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0D8B0" w14:textId="77777777" w:rsidR="0098135C" w:rsidRPr="009711F5" w:rsidRDefault="000B7D5D" w:rsidP="000B7D5D">
      <w:pPr>
        <w:pStyle w:val="tytuinformacji"/>
        <w:contextualSpacing/>
        <w:rPr>
          <w:shd w:val="clear" w:color="auto" w:fill="FFFFFF"/>
        </w:rPr>
      </w:pPr>
      <w:r>
        <w:rPr>
          <w:shd w:val="clear" w:color="auto" w:fill="FFFFFF"/>
        </w:rPr>
        <w:t>Wyniki finansowe</w:t>
      </w:r>
      <w:r w:rsidR="00C84C99">
        <w:rPr>
          <w:shd w:val="clear" w:color="auto" w:fill="FFFFFF"/>
        </w:rPr>
        <w:t xml:space="preserve"> funduszy</w:t>
      </w:r>
      <w:r w:rsidR="00764E2A">
        <w:rPr>
          <w:shd w:val="clear" w:color="auto" w:fill="FFFFFF"/>
        </w:rPr>
        <w:br/>
      </w:r>
      <w:r w:rsidR="00C84C99" w:rsidRPr="00DB5917">
        <w:rPr>
          <w:shd w:val="clear" w:color="auto" w:fill="FFFFFF"/>
        </w:rPr>
        <w:t>inwestycyjnych</w:t>
      </w:r>
      <w:r w:rsidR="004317BC" w:rsidRPr="00DB5917">
        <w:rPr>
          <w:shd w:val="clear" w:color="auto" w:fill="FFFFFF"/>
        </w:rPr>
        <w:t xml:space="preserve"> </w:t>
      </w:r>
      <w:r w:rsidR="00BA39B6" w:rsidRPr="00DB5917">
        <w:rPr>
          <w:shd w:val="clear" w:color="auto" w:fill="FFFFFF"/>
        </w:rPr>
        <w:t>w</w:t>
      </w:r>
      <w:r w:rsidR="00124E84" w:rsidRPr="00DB5917">
        <w:rPr>
          <w:shd w:val="clear" w:color="auto" w:fill="FFFFFF"/>
        </w:rPr>
        <w:t xml:space="preserve"> I półroczu 2021</w:t>
      </w:r>
      <w:r w:rsidR="002A266D" w:rsidRPr="00DB5917">
        <w:rPr>
          <w:shd w:val="clear" w:color="auto" w:fill="FFFFFF"/>
        </w:rPr>
        <w:t xml:space="preserve"> </w:t>
      </w:r>
      <w:r w:rsidRPr="00DB5917">
        <w:rPr>
          <w:shd w:val="clear" w:color="auto" w:fill="FFFFFF"/>
        </w:rPr>
        <w:t>roku</w:t>
      </w:r>
      <w:r w:rsidR="00B440FE" w:rsidRPr="00DB5917">
        <w:rPr>
          <w:rStyle w:val="Odwoanieprzypisukocowego"/>
          <w:shd w:val="clear" w:color="auto" w:fill="FFFFFF"/>
        </w:rPr>
        <w:endnoteReference w:id="1"/>
      </w:r>
    </w:p>
    <w:p w14:paraId="1AF0D8B1" w14:textId="77777777" w:rsidR="00393761" w:rsidRPr="009711F5" w:rsidRDefault="00393761" w:rsidP="00074DD8">
      <w:pPr>
        <w:pStyle w:val="tytuinformacji"/>
        <w:rPr>
          <w:sz w:val="32"/>
        </w:rPr>
      </w:pPr>
    </w:p>
    <w:p w14:paraId="1AF0D8B2" w14:textId="77777777" w:rsidR="00416E70" w:rsidRDefault="00EC7F75" w:rsidP="005941F7">
      <w:pPr>
        <w:pStyle w:val="LID"/>
        <w:spacing w:after="0"/>
      </w:pPr>
      <w:r w:rsidRPr="00DB5917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AF0D988" wp14:editId="1AF0D989">
                <wp:simplePos x="0" y="0"/>
                <wp:positionH relativeFrom="margin">
                  <wp:align>left</wp:align>
                </wp:positionH>
                <wp:positionV relativeFrom="paragraph">
                  <wp:posOffset>81280</wp:posOffset>
                </wp:positionV>
                <wp:extent cx="1776730" cy="148653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730" cy="148653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0D9BB" w14:textId="77777777" w:rsidR="0040232D" w:rsidRPr="00B66B19" w:rsidRDefault="0040232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1AF0D9D5" wp14:editId="1AF0D9D6">
                                  <wp:extent cx="333375" cy="333375"/>
                                  <wp:effectExtent l="0" t="0" r="0" b="0"/>
                                  <wp:docPr id="5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scene3d>
                                            <a:camera prst="orthographicFront">
                                              <a:rot lat="0" lon="13200000" rev="0"/>
                                            </a:camera>
                                            <a:lightRig rig="threePt" dir="t"/>
                                          </a:scene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A39B1">
                              <w:rPr>
                                <w:rFonts w:ascii="Fira Sans SemiBold" w:hAnsi="Fira Sans SemiBold"/>
                                <w:color w:val="FFFFFF" w:themeColor="background1"/>
                                <w:sz w:val="56"/>
                                <w:szCs w:val="56"/>
                              </w:rPr>
                              <w:t>1</w:t>
                            </w:r>
                            <w:r w:rsidR="00680E93">
                              <w:rPr>
                                <w:rFonts w:ascii="Fira Sans SemiBold" w:hAnsi="Fira Sans SemiBold"/>
                                <w:color w:val="FFFFFF" w:themeColor="background1"/>
                                <w:sz w:val="56"/>
                                <w:szCs w:val="56"/>
                              </w:rPr>
                              <w:t>1</w:t>
                            </w:r>
                            <w:r w:rsidR="00FA39B1">
                              <w:rPr>
                                <w:rFonts w:ascii="Fira Sans SemiBold" w:hAnsi="Fira Sans SemiBold"/>
                                <w:color w:val="FFFFFF" w:themeColor="background1"/>
                                <w:sz w:val="56"/>
                                <w:szCs w:val="56"/>
                              </w:rPr>
                              <w:t>6,8</w:t>
                            </w:r>
                          </w:p>
                          <w:p w14:paraId="1AF0D9BC" w14:textId="77777777" w:rsidR="0040232D" w:rsidRPr="007C7F88" w:rsidRDefault="00FA39B1" w:rsidP="005941F7">
                            <w:pPr>
                              <w:pStyle w:val="tekstnaniebieskimtle"/>
                              <w:spacing w:before="120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Dynamika aktywów ogółem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F0D98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4pt;width:139.9pt;height:117.0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" fillcolor="#001d77" stroked="f">
                <v:textbox>
                  <w:txbxContent>
                    <w:p w14:paraId="1AF0D9BB" w14:textId="77777777" w:rsidR="0040232D" w:rsidRPr="00B66B19" w:rsidRDefault="0040232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1AF0D9D5" wp14:editId="1AF0D9D6">
                            <wp:extent cx="333375" cy="333375"/>
                            <wp:effectExtent l="0" t="0" r="0" b="0"/>
                            <wp:docPr id="5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scene3d>
                                      <a:camera prst="orthographicFront">
                                        <a:rot lat="0" lon="13200000" rev="0"/>
                                      </a:camera>
                                      <a:lightRig rig="threePt" dir="t"/>
                                    </a:scene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A39B1">
                        <w:rPr>
                          <w:rFonts w:ascii="Fira Sans SemiBold" w:hAnsi="Fira Sans SemiBold"/>
                          <w:color w:val="FFFFFF" w:themeColor="background1"/>
                          <w:sz w:val="56"/>
                          <w:szCs w:val="56"/>
                        </w:rPr>
                        <w:t>1</w:t>
                      </w:r>
                      <w:r w:rsidR="00680E93">
                        <w:rPr>
                          <w:rFonts w:ascii="Fira Sans SemiBold" w:hAnsi="Fira Sans SemiBold"/>
                          <w:color w:val="FFFFFF" w:themeColor="background1"/>
                          <w:sz w:val="56"/>
                          <w:szCs w:val="56"/>
                        </w:rPr>
                        <w:t>1</w:t>
                      </w:r>
                      <w:r w:rsidR="00FA39B1">
                        <w:rPr>
                          <w:rFonts w:ascii="Fira Sans SemiBold" w:hAnsi="Fira Sans SemiBold"/>
                          <w:color w:val="FFFFFF" w:themeColor="background1"/>
                          <w:sz w:val="56"/>
                          <w:szCs w:val="56"/>
                        </w:rPr>
                        <w:t>6,8</w:t>
                      </w:r>
                    </w:p>
                    <w:p w14:paraId="1AF0D9BC" w14:textId="77777777" w:rsidR="0040232D" w:rsidRPr="007C7F88" w:rsidRDefault="00FA39B1" w:rsidP="005941F7">
                      <w:pPr>
                        <w:pStyle w:val="tekstnaniebieskimtle"/>
                        <w:spacing w:before="120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Dynamika aktywów ogółem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41498" w:rsidRPr="00DB5917">
        <w:t xml:space="preserve">Wartość aktywów ogółem zgromadzonych </w:t>
      </w:r>
      <w:r w:rsidR="00276839" w:rsidRPr="00DB5917">
        <w:t>p</w:t>
      </w:r>
      <w:r w:rsidR="00F41498" w:rsidRPr="00DB5917">
        <w:t>rze</w:t>
      </w:r>
      <w:r w:rsidR="002A0BC6" w:rsidRPr="00DB5917">
        <w:t>z</w:t>
      </w:r>
      <w:r w:rsidR="00127AAE" w:rsidRPr="00DB5917">
        <w:t xml:space="preserve"> fundusze inwestycyjne na</w:t>
      </w:r>
      <w:r w:rsidR="00680ACB" w:rsidRPr="00DB5917">
        <w:t xml:space="preserve"> koniec</w:t>
      </w:r>
      <w:r w:rsidR="00D11FD6" w:rsidRPr="00DB5917">
        <w:t xml:space="preserve"> czerwc</w:t>
      </w:r>
      <w:r w:rsidR="00127AAE" w:rsidRPr="00DB5917">
        <w:t xml:space="preserve">a </w:t>
      </w:r>
      <w:r w:rsidR="00F70D6D" w:rsidRPr="00DB5917">
        <w:t>2021</w:t>
      </w:r>
      <w:r w:rsidR="00047E14" w:rsidRPr="00DB5917">
        <w:t> </w:t>
      </w:r>
      <w:r w:rsidR="00F70D6D" w:rsidRPr="00DB5917">
        <w:t>r. wyniosła 348,9</w:t>
      </w:r>
      <w:r w:rsidR="004E177A" w:rsidRPr="00DB5917">
        <w:t> </w:t>
      </w:r>
      <w:r w:rsidR="00385622" w:rsidRPr="00DB5917">
        <w:t>mld</w:t>
      </w:r>
      <w:r w:rsidR="00047E14" w:rsidRPr="00DB5917">
        <w:t> </w:t>
      </w:r>
      <w:r w:rsidR="00680ACB" w:rsidRPr="00DB5917">
        <w:t>zł</w:t>
      </w:r>
      <w:r w:rsidR="00F70D6D" w:rsidRPr="00DB5917">
        <w:t>, (wzrost o 16,8</w:t>
      </w:r>
      <w:r w:rsidR="00AE1514" w:rsidRPr="00DB5917">
        <w:t xml:space="preserve">% w stosunku do </w:t>
      </w:r>
      <w:r w:rsidR="00D11FD6" w:rsidRPr="00DB5917">
        <w:t xml:space="preserve">końca czerwca </w:t>
      </w:r>
      <w:r w:rsidR="00AE1514" w:rsidRPr="00DB5917">
        <w:t>poprzedniego</w:t>
      </w:r>
      <w:r w:rsidR="00D11FD6" w:rsidRPr="00DB5917">
        <w:t xml:space="preserve"> roku</w:t>
      </w:r>
      <w:r w:rsidR="00AE1514" w:rsidRPr="00DB5917">
        <w:t xml:space="preserve">). </w:t>
      </w:r>
      <w:r w:rsidR="00F70D6D" w:rsidRPr="00DB5917">
        <w:t>Wartość lokat funduszy wzrosła do 281,3</w:t>
      </w:r>
      <w:r w:rsidR="009C3864" w:rsidRPr="00DB5917">
        <w:t xml:space="preserve"> mld zł (o 5</w:t>
      </w:r>
      <w:r w:rsidR="00F70D6D" w:rsidRPr="00DB5917">
        <w:t>,7</w:t>
      </w:r>
      <w:r w:rsidR="00AE1514" w:rsidRPr="00D82C53">
        <w:t>%</w:t>
      </w:r>
      <w:r w:rsidR="00AE1514" w:rsidRPr="00225784">
        <w:t>).</w:t>
      </w:r>
    </w:p>
    <w:p w14:paraId="1AF0D8B3" w14:textId="77777777" w:rsidR="002E6ADF" w:rsidRDefault="002E6ADF" w:rsidP="005941F7">
      <w:pPr>
        <w:pStyle w:val="LID"/>
        <w:spacing w:after="0"/>
      </w:pPr>
    </w:p>
    <w:p w14:paraId="1AF0D8B4" w14:textId="77777777" w:rsidR="002E6ADF" w:rsidRDefault="002E6ADF" w:rsidP="005941F7">
      <w:pPr>
        <w:pStyle w:val="LID"/>
        <w:spacing w:after="0"/>
      </w:pPr>
    </w:p>
    <w:p w14:paraId="1AF0D8B5" w14:textId="77777777" w:rsidR="007F28C0" w:rsidRDefault="007F28C0" w:rsidP="005941F7">
      <w:pPr>
        <w:pStyle w:val="LID"/>
        <w:spacing w:after="0"/>
      </w:pPr>
    </w:p>
    <w:p w14:paraId="1AF0D8B6" w14:textId="77777777" w:rsidR="00764E2A" w:rsidRDefault="00EC7F75" w:rsidP="005941F7">
      <w:pPr>
        <w:pStyle w:val="LID"/>
        <w:spacing w:after="0"/>
      </w:pPr>
      <w:r>
        <w:rPr>
          <w:sz w:val="40"/>
        </w:rPr>
        <mc:AlternateContent>
          <mc:Choice Requires="wps">
            <w:drawing>
              <wp:anchor distT="45720" distB="45720" distL="114300" distR="114300" simplePos="0" relativeHeight="251773952" behindDoc="1" locked="0" layoutInCell="1" allowOverlap="1" wp14:anchorId="1AF0D98A" wp14:editId="1AF0D98B">
                <wp:simplePos x="0" y="0"/>
                <wp:positionH relativeFrom="column">
                  <wp:posOffset>5219700</wp:posOffset>
                </wp:positionH>
                <wp:positionV relativeFrom="paragraph">
                  <wp:posOffset>147955</wp:posOffset>
                </wp:positionV>
                <wp:extent cx="1725295" cy="1478280"/>
                <wp:effectExtent l="0" t="0" r="0" b="0"/>
                <wp:wrapTight wrapText="bothSides">
                  <wp:wrapPolygon edited="0">
                    <wp:start x="715" y="0"/>
                    <wp:lineTo x="715" y="21155"/>
                    <wp:lineTo x="20749" y="21155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478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0D9BD" w14:textId="77777777" w:rsidR="007F28C0" w:rsidRPr="009711F5" w:rsidRDefault="007F28C0" w:rsidP="007F28C0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0D98A" id="_x0000_s1027" type="#_x0000_t202" style="position:absolute;margin-left:411pt;margin-top:11.65pt;width:135.85pt;height:116.4pt;z-index:-251542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" filled="f" stroked="f">
                <v:textbox>
                  <w:txbxContent>
                    <w:p w14:paraId="1AF0D9BD" w14:textId="77777777" w:rsidR="007F28C0" w:rsidRPr="009711F5" w:rsidRDefault="007F28C0" w:rsidP="007F28C0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AF0D8B7" w14:textId="77777777" w:rsidR="002A0BC6" w:rsidRPr="001A3D3F" w:rsidRDefault="00A170C5" w:rsidP="002A0BC6">
      <w:pPr>
        <w:rPr>
          <w:b/>
          <w:spacing w:val="-2"/>
          <w:sz w:val="18"/>
          <w:shd w:val="clear" w:color="auto" w:fill="FFFFFF"/>
        </w:rPr>
      </w:pPr>
      <w:r w:rsidRPr="00DB5917">
        <w:rPr>
          <w:noProof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79072" behindDoc="1" locked="0" layoutInCell="1" allowOverlap="1" wp14:anchorId="1AF0D98C" wp14:editId="1AF0D98D">
                <wp:simplePos x="0" y="0"/>
                <wp:positionH relativeFrom="column">
                  <wp:posOffset>5229225</wp:posOffset>
                </wp:positionH>
                <wp:positionV relativeFrom="paragraph">
                  <wp:posOffset>326390</wp:posOffset>
                </wp:positionV>
                <wp:extent cx="1725295" cy="1068705"/>
                <wp:effectExtent l="0" t="0" r="0" b="0"/>
                <wp:wrapTight wrapText="bothSides">
                  <wp:wrapPolygon edited="0">
                    <wp:start x="715" y="0"/>
                    <wp:lineTo x="715" y="21176"/>
                    <wp:lineTo x="20749" y="21176"/>
                    <wp:lineTo x="20749" y="0"/>
                    <wp:lineTo x="715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68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0D9BE" w14:textId="77777777" w:rsidR="009511F0" w:rsidRPr="00074DD8" w:rsidRDefault="00972AFC" w:rsidP="009511F0">
                            <w:pPr>
                              <w:pStyle w:val="tekstzboku"/>
                            </w:pPr>
                            <w:r>
                              <w:t>W</w:t>
                            </w:r>
                            <w:r w:rsidR="00A27A8F">
                              <w:t>ynik z operacji funduszy inwestycyjnych był w</w:t>
                            </w:r>
                            <w:r>
                              <w:t xml:space="preserve"> </w:t>
                            </w:r>
                            <w:r w:rsidR="00DA5D4B">
                              <w:t>końcu I półrocza 2021 r. dodatni i wyniósł 10,5</w:t>
                            </w:r>
                            <w:r w:rsidR="00A27A8F">
                              <w:t xml:space="preserve"> mld zł.</w:t>
                            </w:r>
                          </w:p>
                          <w:p w14:paraId="1AF0D9BF" w14:textId="77777777" w:rsidR="009511F0" w:rsidRPr="00D616D2" w:rsidRDefault="009511F0" w:rsidP="009511F0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0D98C" id="Pole tekstowe 15" o:spid="_x0000_s1028" type="#_x0000_t202" style="position:absolute;margin-left:411.75pt;margin-top:25.7pt;width:135.85pt;height:84.15pt;z-index:-251537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" filled="f" stroked="f">
                <v:textbox>
                  <w:txbxContent>
                    <w:p w14:paraId="1AF0D9BE" w14:textId="77777777" w:rsidR="009511F0" w:rsidRPr="00074DD8" w:rsidRDefault="00972AFC" w:rsidP="009511F0">
                      <w:pPr>
                        <w:pStyle w:val="tekstzboku"/>
                      </w:pPr>
                      <w:r>
                        <w:t>W</w:t>
                      </w:r>
                      <w:r w:rsidR="00A27A8F">
                        <w:t>ynik z operacji funduszy inwestycyjnych był w</w:t>
                      </w:r>
                      <w:r>
                        <w:t xml:space="preserve"> </w:t>
                      </w:r>
                      <w:r w:rsidR="00DA5D4B">
                        <w:t>końcu I półrocza 2021 r. dodatni i wyniósł 10,5</w:t>
                      </w:r>
                      <w:r w:rsidR="00A27A8F">
                        <w:t xml:space="preserve"> mld zł.</w:t>
                      </w:r>
                    </w:p>
                    <w:p w14:paraId="1AF0D9BF" w14:textId="77777777" w:rsidR="009511F0" w:rsidRPr="00D616D2" w:rsidRDefault="009511F0" w:rsidP="009511F0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A0BC6" w:rsidRPr="00DB5917">
        <w:rPr>
          <w:b/>
          <w:spacing w:val="-2"/>
          <w:sz w:val="18"/>
          <w:shd w:val="clear" w:color="auto" w:fill="FFFFFF"/>
        </w:rPr>
        <w:t>Tablica 1. Podstaw</w:t>
      </w:r>
      <w:r w:rsidR="00A9134F" w:rsidRPr="00DB5917">
        <w:rPr>
          <w:b/>
          <w:spacing w:val="-2"/>
          <w:sz w:val="18"/>
          <w:shd w:val="clear" w:color="auto" w:fill="FFFFFF"/>
        </w:rPr>
        <w:t>owe dane funduszy inwes</w:t>
      </w:r>
      <w:r w:rsidR="00A9134F">
        <w:rPr>
          <w:b/>
          <w:spacing w:val="-2"/>
          <w:sz w:val="18"/>
          <w:shd w:val="clear" w:color="auto" w:fill="FFFFFF"/>
        </w:rPr>
        <w:t>tycyjnych</w:t>
      </w:r>
    </w:p>
    <w:tbl>
      <w:tblPr>
        <w:tblStyle w:val="Siatkatabelijasna1"/>
        <w:tblpPr w:leftFromText="141" w:rightFromText="141" w:vertAnchor="text" w:horzAnchor="margin" w:tblpY="129"/>
        <w:tblW w:w="7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23"/>
        <w:gridCol w:w="1701"/>
        <w:gridCol w:w="1701"/>
        <w:gridCol w:w="1701"/>
      </w:tblGrid>
      <w:tr w:rsidR="002A0BC6" w:rsidRPr="001A3D3F" w14:paraId="1AF0D8BC" w14:textId="77777777" w:rsidTr="00D356AB">
        <w:trPr>
          <w:trHeight w:val="57"/>
        </w:trPr>
        <w:tc>
          <w:tcPr>
            <w:tcW w:w="2823" w:type="dxa"/>
            <w:vMerge w:val="restart"/>
            <w:vAlign w:val="center"/>
          </w:tcPr>
          <w:p w14:paraId="1AF0D8B8" w14:textId="77777777" w:rsidR="002A0BC6" w:rsidRPr="001A3D3F" w:rsidRDefault="002A0BC6" w:rsidP="00D356AB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1A3D3F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701" w:type="dxa"/>
            <w:vAlign w:val="center"/>
          </w:tcPr>
          <w:p w14:paraId="1AF0D8B9" w14:textId="77777777" w:rsidR="002A0BC6" w:rsidRPr="001A3D3F" w:rsidRDefault="00074235" w:rsidP="00D356AB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I półrocze </w:t>
            </w:r>
            <w:r w:rsidR="00A961B3">
              <w:rPr>
                <w:rFonts w:ascii="Fira Sans" w:hAnsi="Fira Sans"/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1701" w:type="dxa"/>
            <w:vAlign w:val="center"/>
          </w:tcPr>
          <w:p w14:paraId="1AF0D8BA" w14:textId="77777777" w:rsidR="002A0BC6" w:rsidRPr="001A3D3F" w:rsidRDefault="00A961B3" w:rsidP="00D356AB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 półrocze 2021</w:t>
            </w:r>
          </w:p>
        </w:tc>
        <w:tc>
          <w:tcPr>
            <w:tcW w:w="1701" w:type="dxa"/>
            <w:vMerge w:val="restart"/>
            <w:vAlign w:val="center"/>
          </w:tcPr>
          <w:p w14:paraId="1AF0D8BB" w14:textId="77777777" w:rsidR="002A0BC6" w:rsidRPr="001A3D3F" w:rsidRDefault="00A961B3" w:rsidP="00D356AB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 półrocze 2020</w:t>
            </w:r>
            <w:r w:rsidR="002A0BC6" w:rsidRPr="001A3D3F">
              <w:rPr>
                <w:rFonts w:ascii="Fira Sans" w:hAnsi="Fira Sans"/>
                <w:color w:val="000000" w:themeColor="text1"/>
                <w:sz w:val="16"/>
                <w:szCs w:val="16"/>
              </w:rPr>
              <w:t>=100</w:t>
            </w:r>
          </w:p>
        </w:tc>
      </w:tr>
      <w:tr w:rsidR="002A0BC6" w:rsidRPr="001A3D3F" w14:paraId="1AF0D8C0" w14:textId="77777777" w:rsidTr="00D356AB">
        <w:trPr>
          <w:trHeight w:val="57"/>
        </w:trPr>
        <w:tc>
          <w:tcPr>
            <w:tcW w:w="2823" w:type="dxa"/>
            <w:vMerge/>
            <w:tcBorders>
              <w:bottom w:val="single" w:sz="12" w:space="0" w:color="212492"/>
            </w:tcBorders>
            <w:vAlign w:val="center"/>
          </w:tcPr>
          <w:p w14:paraId="1AF0D8BD" w14:textId="77777777" w:rsidR="002A0BC6" w:rsidRPr="001A3D3F" w:rsidRDefault="002A0BC6" w:rsidP="00D356AB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bottom w:val="single" w:sz="12" w:space="0" w:color="212492"/>
            </w:tcBorders>
            <w:vAlign w:val="center"/>
          </w:tcPr>
          <w:p w14:paraId="1AF0D8BE" w14:textId="77777777" w:rsidR="002A0BC6" w:rsidRPr="001A3D3F" w:rsidRDefault="002A0BC6" w:rsidP="00D356AB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A3D3F">
              <w:rPr>
                <w:rFonts w:ascii="Fira Sans" w:hAnsi="Fira Sans"/>
                <w:color w:val="000000" w:themeColor="text1"/>
                <w:sz w:val="16"/>
                <w:szCs w:val="16"/>
              </w:rPr>
              <w:t>w mln zł</w:t>
            </w:r>
          </w:p>
        </w:tc>
        <w:tc>
          <w:tcPr>
            <w:tcW w:w="1701" w:type="dxa"/>
            <w:vMerge/>
            <w:tcBorders>
              <w:bottom w:val="single" w:sz="12" w:space="0" w:color="212492"/>
            </w:tcBorders>
            <w:vAlign w:val="center"/>
          </w:tcPr>
          <w:p w14:paraId="1AF0D8BF" w14:textId="77777777" w:rsidR="002A0BC6" w:rsidRPr="001A3D3F" w:rsidRDefault="002A0BC6" w:rsidP="00D356AB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A961B3" w:rsidRPr="001A3D3F" w14:paraId="1AF0D8C5" w14:textId="77777777" w:rsidTr="00D356AB">
        <w:trPr>
          <w:trHeight w:hRule="exact" w:val="510"/>
        </w:trPr>
        <w:tc>
          <w:tcPr>
            <w:tcW w:w="2823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14:paraId="1AF0D8C1" w14:textId="77777777" w:rsidR="00A961B3" w:rsidRPr="001A3D3F" w:rsidRDefault="00A961B3" w:rsidP="00A961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Aktywa ogółem, w tym</w:t>
            </w:r>
            <w:r w:rsidRPr="001A3D3F">
              <w:rPr>
                <w:sz w:val="16"/>
                <w:szCs w:val="16"/>
              </w:rPr>
              <w:t>: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14:paraId="1AF0D8C2" w14:textId="77777777" w:rsidR="00A961B3" w:rsidRPr="001A3D3F" w:rsidRDefault="00A961B3" w:rsidP="00A961B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298 793,8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14:paraId="1AF0D8C3" w14:textId="77777777" w:rsidR="00A961B3" w:rsidRPr="001A3D3F" w:rsidRDefault="00882881" w:rsidP="00A961B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348 938,8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14:paraId="1AF0D8C4" w14:textId="77777777" w:rsidR="00A961B3" w:rsidRPr="001A3D3F" w:rsidRDefault="00882881" w:rsidP="00A961B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116,8</w:t>
            </w:r>
          </w:p>
        </w:tc>
      </w:tr>
      <w:tr w:rsidR="00A961B3" w:rsidRPr="001A3D3F" w14:paraId="1AF0D8CA" w14:textId="77777777" w:rsidTr="00D356AB">
        <w:trPr>
          <w:trHeight w:hRule="exact" w:val="510"/>
        </w:trPr>
        <w:tc>
          <w:tcPr>
            <w:tcW w:w="2823" w:type="dxa"/>
            <w:tcBorders>
              <w:top w:val="single" w:sz="4" w:space="0" w:color="212492"/>
            </w:tcBorders>
            <w:vAlign w:val="center"/>
          </w:tcPr>
          <w:p w14:paraId="1AF0D8C6" w14:textId="77777777" w:rsidR="00A961B3" w:rsidRPr="001A3D3F" w:rsidRDefault="00A961B3" w:rsidP="00A961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Lokaty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14:paraId="1AF0D8C7" w14:textId="77777777" w:rsidR="00A961B3" w:rsidRPr="001A3D3F" w:rsidRDefault="00A961B3" w:rsidP="00A961B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266 111,1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14:paraId="1AF0D8C8" w14:textId="77777777" w:rsidR="00A961B3" w:rsidRPr="001A3D3F" w:rsidRDefault="00882881" w:rsidP="00A961B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281 258,4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14:paraId="1AF0D8C9" w14:textId="77777777" w:rsidR="00A961B3" w:rsidRPr="001A3D3F" w:rsidRDefault="00882881" w:rsidP="00A961B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105,7</w:t>
            </w:r>
          </w:p>
        </w:tc>
      </w:tr>
      <w:tr w:rsidR="00A961B3" w:rsidRPr="001A3D3F" w14:paraId="1AF0D8CF" w14:textId="77777777" w:rsidTr="00D356AB">
        <w:trPr>
          <w:trHeight w:hRule="exact" w:val="510"/>
        </w:trPr>
        <w:tc>
          <w:tcPr>
            <w:tcW w:w="2823" w:type="dxa"/>
            <w:vAlign w:val="center"/>
          </w:tcPr>
          <w:p w14:paraId="1AF0D8CB" w14:textId="77777777" w:rsidR="00A961B3" w:rsidRPr="001A3D3F" w:rsidRDefault="00A961B3" w:rsidP="00A961B3">
            <w:pPr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Należności</w:t>
            </w:r>
          </w:p>
        </w:tc>
        <w:tc>
          <w:tcPr>
            <w:tcW w:w="1701" w:type="dxa"/>
            <w:vAlign w:val="bottom"/>
          </w:tcPr>
          <w:p w14:paraId="1AF0D8CC" w14:textId="77777777" w:rsidR="00A961B3" w:rsidRPr="001A3D3F" w:rsidRDefault="00A961B3" w:rsidP="00A961B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15 525,4</w:t>
            </w:r>
          </w:p>
        </w:tc>
        <w:tc>
          <w:tcPr>
            <w:tcW w:w="1701" w:type="dxa"/>
            <w:vAlign w:val="bottom"/>
          </w:tcPr>
          <w:p w14:paraId="1AF0D8CD" w14:textId="77777777" w:rsidR="00A961B3" w:rsidRPr="001A3D3F" w:rsidRDefault="00882881" w:rsidP="00A961B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48 439,5</w:t>
            </w:r>
          </w:p>
        </w:tc>
        <w:tc>
          <w:tcPr>
            <w:tcW w:w="1701" w:type="dxa"/>
            <w:vAlign w:val="bottom"/>
          </w:tcPr>
          <w:p w14:paraId="1AF0D8CE" w14:textId="77777777" w:rsidR="00A961B3" w:rsidRPr="001A3D3F" w:rsidRDefault="00882881" w:rsidP="00A961B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312,0</w:t>
            </w:r>
          </w:p>
        </w:tc>
      </w:tr>
      <w:tr w:rsidR="00A961B3" w:rsidRPr="001A3D3F" w14:paraId="1AF0D8D4" w14:textId="77777777" w:rsidTr="00A9134F">
        <w:trPr>
          <w:trHeight w:hRule="exact" w:val="777"/>
        </w:trPr>
        <w:tc>
          <w:tcPr>
            <w:tcW w:w="2823" w:type="dxa"/>
            <w:vAlign w:val="center"/>
          </w:tcPr>
          <w:p w14:paraId="1AF0D8D0" w14:textId="77777777" w:rsidR="00A961B3" w:rsidRPr="001A3D3F" w:rsidRDefault="00A961B3" w:rsidP="00A961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Środki pieniężne i ich ekwiwalenty</w:t>
            </w:r>
          </w:p>
        </w:tc>
        <w:tc>
          <w:tcPr>
            <w:tcW w:w="1701" w:type="dxa"/>
            <w:vAlign w:val="bottom"/>
          </w:tcPr>
          <w:p w14:paraId="1AF0D8D1" w14:textId="77777777" w:rsidR="00A961B3" w:rsidRPr="001A3D3F" w:rsidRDefault="00A961B3" w:rsidP="00A961B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11 960,2</w:t>
            </w:r>
          </w:p>
        </w:tc>
        <w:tc>
          <w:tcPr>
            <w:tcW w:w="1701" w:type="dxa"/>
            <w:vAlign w:val="bottom"/>
          </w:tcPr>
          <w:p w14:paraId="1AF0D8D2" w14:textId="77777777" w:rsidR="00A961B3" w:rsidRPr="001A3D3F" w:rsidRDefault="00882881" w:rsidP="00A961B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11 568,5</w:t>
            </w:r>
          </w:p>
        </w:tc>
        <w:tc>
          <w:tcPr>
            <w:tcW w:w="1701" w:type="dxa"/>
            <w:vAlign w:val="bottom"/>
          </w:tcPr>
          <w:p w14:paraId="1AF0D8D3" w14:textId="77777777" w:rsidR="00A961B3" w:rsidRPr="001A3D3F" w:rsidRDefault="00882881" w:rsidP="00A961B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96,7</w:t>
            </w:r>
          </w:p>
        </w:tc>
      </w:tr>
      <w:tr w:rsidR="00A961B3" w:rsidRPr="001A3D3F" w14:paraId="1AF0D8D9" w14:textId="77777777" w:rsidTr="00D356AB">
        <w:trPr>
          <w:trHeight w:hRule="exact" w:val="510"/>
        </w:trPr>
        <w:tc>
          <w:tcPr>
            <w:tcW w:w="2823" w:type="dxa"/>
            <w:vAlign w:val="center"/>
          </w:tcPr>
          <w:p w14:paraId="1AF0D8D5" w14:textId="77777777" w:rsidR="00A961B3" w:rsidRPr="001A3D3F" w:rsidRDefault="00A961B3" w:rsidP="00A961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Wynik z operacji</w:t>
            </w:r>
          </w:p>
        </w:tc>
        <w:tc>
          <w:tcPr>
            <w:tcW w:w="1701" w:type="dxa"/>
            <w:vAlign w:val="bottom"/>
          </w:tcPr>
          <w:p w14:paraId="1AF0D8D6" w14:textId="77777777" w:rsidR="00A961B3" w:rsidRPr="001A3D3F" w:rsidRDefault="00A961B3" w:rsidP="00A961B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-2 293,7</w:t>
            </w:r>
          </w:p>
        </w:tc>
        <w:tc>
          <w:tcPr>
            <w:tcW w:w="1701" w:type="dxa"/>
            <w:vAlign w:val="bottom"/>
          </w:tcPr>
          <w:p w14:paraId="1AF0D8D7" w14:textId="77777777" w:rsidR="00A961B3" w:rsidRPr="001A3D3F" w:rsidRDefault="00882881" w:rsidP="00A961B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10 518,3</w:t>
            </w:r>
          </w:p>
        </w:tc>
        <w:tc>
          <w:tcPr>
            <w:tcW w:w="1701" w:type="dxa"/>
            <w:vAlign w:val="bottom"/>
          </w:tcPr>
          <w:p w14:paraId="1AF0D8D8" w14:textId="77777777" w:rsidR="00A961B3" w:rsidRPr="001A3D3F" w:rsidRDefault="00882881" w:rsidP="00A961B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</w:p>
        </w:tc>
      </w:tr>
    </w:tbl>
    <w:p w14:paraId="1AF0D8DA" w14:textId="77777777" w:rsidR="007F28C0" w:rsidRPr="00271812" w:rsidRDefault="00EC7F75" w:rsidP="005941F7">
      <w:pPr>
        <w:pStyle w:val="LID"/>
        <w:spacing w:after="0"/>
      </w:pPr>
      <w:r>
        <w:rPr>
          <w:spacing w:val="-2"/>
        </w:rPr>
        <mc:AlternateContent>
          <mc:Choice Requires="wps">
            <w:drawing>
              <wp:anchor distT="45720" distB="45720" distL="114300" distR="114300" simplePos="0" relativeHeight="251776000" behindDoc="1" locked="0" layoutInCell="1" allowOverlap="1" wp14:anchorId="1AF0D98E" wp14:editId="1AF0D98F">
                <wp:simplePos x="0" y="0"/>
                <wp:positionH relativeFrom="column">
                  <wp:posOffset>5229225</wp:posOffset>
                </wp:positionH>
                <wp:positionV relativeFrom="paragraph">
                  <wp:posOffset>190500</wp:posOffset>
                </wp:positionV>
                <wp:extent cx="1725295" cy="854075"/>
                <wp:effectExtent l="0" t="0" r="0" b="3175"/>
                <wp:wrapTight wrapText="bothSides">
                  <wp:wrapPolygon edited="0">
                    <wp:start x="715" y="0"/>
                    <wp:lineTo x="715" y="21199"/>
                    <wp:lineTo x="20749" y="21199"/>
                    <wp:lineTo x="20749" y="0"/>
                    <wp:lineTo x="715" y="0"/>
                  </wp:wrapPolygon>
                </wp:wrapTight>
                <wp:docPr id="2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5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0D9C0" w14:textId="77777777" w:rsidR="00392D35" w:rsidRPr="00074DD8" w:rsidRDefault="00392D35" w:rsidP="00392D35">
                            <w:pPr>
                              <w:pStyle w:val="tekstzboku"/>
                            </w:pPr>
                          </w:p>
                          <w:p w14:paraId="1AF0D9C1" w14:textId="77777777" w:rsidR="00392D35" w:rsidRPr="00D616D2" w:rsidRDefault="00392D35" w:rsidP="00392D35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0D98E" id="Pole tekstowe 30" o:spid="_x0000_s1029" type="#_x0000_t202" style="position:absolute;margin-left:411.75pt;margin-top:15pt;width:135.85pt;height:67.25pt;z-index:-251540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" filled="f" stroked="f">
                <v:textbox>
                  <w:txbxContent>
                    <w:p w14:paraId="1AF0D9C0" w14:textId="77777777" w:rsidR="00392D35" w:rsidRPr="00074DD8" w:rsidRDefault="00392D35" w:rsidP="00392D35">
                      <w:pPr>
                        <w:pStyle w:val="tekstzboku"/>
                      </w:pPr>
                    </w:p>
                    <w:p w14:paraId="1AF0D9C1" w14:textId="77777777" w:rsidR="00392D35" w:rsidRPr="00D616D2" w:rsidRDefault="00392D35" w:rsidP="00392D35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AF0D8DB" w14:textId="77777777" w:rsidR="006112F2" w:rsidRPr="001A3D3F" w:rsidRDefault="00893D1A" w:rsidP="009B085A">
      <w:pPr>
        <w:rPr>
          <w:shd w:val="clear" w:color="auto" w:fill="FFFFFF"/>
        </w:rPr>
      </w:pPr>
      <w:r w:rsidRPr="00C62335">
        <w:rPr>
          <w:shd w:val="clear" w:color="auto" w:fill="FFFFFF"/>
        </w:rPr>
        <w:t xml:space="preserve">W końcu </w:t>
      </w:r>
      <w:r w:rsidR="00EE37AD" w:rsidRPr="00C62335">
        <w:rPr>
          <w:shd w:val="clear" w:color="auto" w:fill="FFFFFF"/>
        </w:rPr>
        <w:t>I półrocza 2021</w:t>
      </w:r>
      <w:r w:rsidR="00C11A8A" w:rsidRPr="00C62335">
        <w:rPr>
          <w:shd w:val="clear" w:color="auto" w:fill="FFFFFF"/>
        </w:rPr>
        <w:t> r., z</w:t>
      </w:r>
      <w:r w:rsidR="00546CD3" w:rsidRPr="00C62335">
        <w:rPr>
          <w:shd w:val="clear" w:color="auto" w:fill="FFFFFF"/>
        </w:rPr>
        <w:t>godnie z informacją Komisji Nadzoru Finansowego</w:t>
      </w:r>
      <w:r w:rsidR="00C11A8A" w:rsidRPr="00C62335">
        <w:rPr>
          <w:shd w:val="clear" w:color="auto" w:fill="FFFFFF"/>
        </w:rPr>
        <w:t>,</w:t>
      </w:r>
      <w:r w:rsidR="00546CD3" w:rsidRPr="00C62335">
        <w:rPr>
          <w:shd w:val="clear" w:color="auto" w:fill="FFFFFF"/>
        </w:rPr>
        <w:t xml:space="preserve"> przekazan</w:t>
      </w:r>
      <w:r w:rsidR="006112F2" w:rsidRPr="00C62335">
        <w:rPr>
          <w:shd w:val="clear" w:color="auto" w:fill="FFFFFF"/>
        </w:rPr>
        <w:t>o ogó</w:t>
      </w:r>
      <w:r w:rsidR="00546CD3" w:rsidRPr="00C62335">
        <w:rPr>
          <w:shd w:val="clear" w:color="auto" w:fill="FFFFFF"/>
        </w:rPr>
        <w:t>łem</w:t>
      </w:r>
      <w:r w:rsidR="00B20CDB" w:rsidRPr="00C62335">
        <w:rPr>
          <w:shd w:val="clear" w:color="auto" w:fill="FFFFFF"/>
        </w:rPr>
        <w:t xml:space="preserve"> 679</w:t>
      </w:r>
      <w:r w:rsidR="006112F2" w:rsidRPr="00C62335">
        <w:rPr>
          <w:shd w:val="clear" w:color="auto" w:fill="FFFFFF"/>
        </w:rPr>
        <w:t xml:space="preserve"> </w:t>
      </w:r>
      <w:r w:rsidR="00B20CDB" w:rsidRPr="00C62335">
        <w:rPr>
          <w:shd w:val="clear" w:color="auto" w:fill="FFFFFF"/>
        </w:rPr>
        <w:t>sprawozdań finansowy</w:t>
      </w:r>
      <w:r w:rsidR="0080459A">
        <w:rPr>
          <w:shd w:val="clear" w:color="auto" w:fill="FFFFFF"/>
        </w:rPr>
        <w:t>ch</w:t>
      </w:r>
      <w:r w:rsidR="00546CD3" w:rsidRPr="00C62335">
        <w:rPr>
          <w:shd w:val="clear" w:color="auto" w:fill="FFFFFF"/>
        </w:rPr>
        <w:t xml:space="preserve"> </w:t>
      </w:r>
      <w:r w:rsidR="006112F2" w:rsidRPr="00C62335">
        <w:rPr>
          <w:shd w:val="clear" w:color="auto" w:fill="FFFFFF"/>
        </w:rPr>
        <w:t>funduszy inwestycyjnych</w:t>
      </w:r>
      <w:r w:rsidR="006112F2" w:rsidRPr="00C62335">
        <w:rPr>
          <w:rStyle w:val="Odwoanieprzypisukocowego"/>
          <w:shd w:val="clear" w:color="auto" w:fill="FFFFFF"/>
        </w:rPr>
        <w:endnoteReference w:id="2"/>
      </w:r>
      <w:r w:rsidR="00546CD3" w:rsidRPr="00C62335">
        <w:rPr>
          <w:shd w:val="clear" w:color="auto" w:fill="FFFFFF"/>
        </w:rPr>
        <w:t xml:space="preserve"> za I półrocze 2021 r</w:t>
      </w:r>
      <w:r w:rsidR="006112F2" w:rsidRPr="00C62335">
        <w:rPr>
          <w:shd w:val="clear" w:color="auto" w:fill="FFFFFF"/>
        </w:rPr>
        <w:t xml:space="preserve">. Liczba </w:t>
      </w:r>
      <w:r w:rsidR="00546CD3" w:rsidRPr="00C62335">
        <w:rPr>
          <w:shd w:val="clear" w:color="auto" w:fill="FFFFFF"/>
        </w:rPr>
        <w:t xml:space="preserve">sprawozdań </w:t>
      </w:r>
      <w:r w:rsidR="006112F2" w:rsidRPr="00C62335">
        <w:rPr>
          <w:shd w:val="clear" w:color="auto" w:fill="FFFFFF"/>
        </w:rPr>
        <w:t>otwartych funduszy inwestycyjnych wynio</w:t>
      </w:r>
      <w:r w:rsidR="00546CD3" w:rsidRPr="00C62335">
        <w:rPr>
          <w:shd w:val="clear" w:color="auto" w:fill="FFFFFF"/>
        </w:rPr>
        <w:t>sła 45</w:t>
      </w:r>
      <w:r w:rsidR="006112F2" w:rsidRPr="00C62335">
        <w:rPr>
          <w:shd w:val="clear" w:color="auto" w:fill="FFFFFF"/>
        </w:rPr>
        <w:t xml:space="preserve">, liczba </w:t>
      </w:r>
      <w:r w:rsidR="00546CD3" w:rsidRPr="00C62335">
        <w:rPr>
          <w:shd w:val="clear" w:color="auto" w:fill="FFFFFF"/>
        </w:rPr>
        <w:t xml:space="preserve">sprawozdań </w:t>
      </w:r>
      <w:r w:rsidR="006112F2" w:rsidRPr="00C62335">
        <w:rPr>
          <w:shd w:val="clear" w:color="auto" w:fill="FFFFFF"/>
        </w:rPr>
        <w:t>specjalistycznych funduszy inwestycyj</w:t>
      </w:r>
      <w:r w:rsidR="00B20CDB" w:rsidRPr="00C62335">
        <w:rPr>
          <w:shd w:val="clear" w:color="auto" w:fill="FFFFFF"/>
        </w:rPr>
        <w:t>nych otwartych to 212</w:t>
      </w:r>
      <w:r w:rsidR="006112F2" w:rsidRPr="00C62335">
        <w:rPr>
          <w:shd w:val="clear" w:color="auto" w:fill="FFFFFF"/>
        </w:rPr>
        <w:t>. W grupie funduszy inwestycyjnych za</w:t>
      </w:r>
      <w:r w:rsidR="00B20CDB" w:rsidRPr="00C62335">
        <w:rPr>
          <w:shd w:val="clear" w:color="auto" w:fill="FFFFFF"/>
        </w:rPr>
        <w:t>mkniętych liczba sprawozdań wyniosła</w:t>
      </w:r>
      <w:r w:rsidR="006112F2" w:rsidRPr="00C62335">
        <w:rPr>
          <w:shd w:val="clear" w:color="auto" w:fill="FFFFFF"/>
        </w:rPr>
        <w:t xml:space="preserve"> </w:t>
      </w:r>
      <w:r w:rsidR="00B20CDB" w:rsidRPr="00C62335">
        <w:rPr>
          <w:shd w:val="clear" w:color="auto" w:fill="FFFFFF"/>
        </w:rPr>
        <w:t xml:space="preserve">422. </w:t>
      </w:r>
    </w:p>
    <w:p w14:paraId="1AF0D8DC" w14:textId="77777777" w:rsidR="009511F0" w:rsidRPr="00DB5917" w:rsidRDefault="00EE37AD" w:rsidP="009B085A">
      <w:pPr>
        <w:rPr>
          <w:shd w:val="clear" w:color="auto" w:fill="FFFFFF"/>
        </w:rPr>
      </w:pPr>
      <w:r w:rsidRPr="00DB5917">
        <w:rPr>
          <w:shd w:val="clear" w:color="auto" w:fill="FFFFFF"/>
        </w:rPr>
        <w:t>Według stanu na 30 czerwca 2021</w:t>
      </w:r>
      <w:r w:rsidR="009511F0" w:rsidRPr="00DB5917">
        <w:rPr>
          <w:shd w:val="clear" w:color="auto" w:fill="FFFFFF"/>
        </w:rPr>
        <w:t> r. wartość aktywów ogółem zgromadzonych przez fundusze inwe</w:t>
      </w:r>
      <w:r w:rsidRPr="00DB5917">
        <w:rPr>
          <w:shd w:val="clear" w:color="auto" w:fill="FFFFFF"/>
        </w:rPr>
        <w:t>stycyjne wyniosła 348 938</w:t>
      </w:r>
      <w:r w:rsidR="00F4472D" w:rsidRPr="00DB5917">
        <w:rPr>
          <w:shd w:val="clear" w:color="auto" w:fill="FFFFFF"/>
        </w:rPr>
        <w:t>,8 mln zł (wzrost o 16,8</w:t>
      </w:r>
      <w:r w:rsidR="005B2416" w:rsidRPr="00DB5917">
        <w:rPr>
          <w:shd w:val="clear" w:color="auto" w:fill="FFFFFF"/>
        </w:rPr>
        <w:t xml:space="preserve">% w stosunku do </w:t>
      </w:r>
      <w:r w:rsidR="00F4472D" w:rsidRPr="00DB5917">
        <w:rPr>
          <w:shd w:val="clear" w:color="auto" w:fill="FFFFFF"/>
        </w:rPr>
        <w:t>I półrocza 2020</w:t>
      </w:r>
      <w:r w:rsidR="009511F0" w:rsidRPr="00DB5917">
        <w:rPr>
          <w:shd w:val="clear" w:color="auto" w:fill="FFFFFF"/>
        </w:rPr>
        <w:t> r.),</w:t>
      </w:r>
      <w:r w:rsidR="00C16FF9" w:rsidRPr="00DB5917">
        <w:rPr>
          <w:shd w:val="clear" w:color="auto" w:fill="FFFFFF"/>
        </w:rPr>
        <w:t xml:space="preserve">        </w:t>
      </w:r>
      <w:r w:rsidR="009511F0" w:rsidRPr="00DB5917">
        <w:rPr>
          <w:shd w:val="clear" w:color="auto" w:fill="FFFFFF"/>
        </w:rPr>
        <w:t xml:space="preserve"> z tego aktywa:</w:t>
      </w:r>
    </w:p>
    <w:p w14:paraId="1AF0D8DD" w14:textId="77777777" w:rsidR="009511F0" w:rsidRPr="00DB5917" w:rsidRDefault="009511F0" w:rsidP="00840030">
      <w:pPr>
        <w:pStyle w:val="Akapitzlist"/>
        <w:numPr>
          <w:ilvl w:val="0"/>
          <w:numId w:val="3"/>
        </w:numPr>
        <w:rPr>
          <w:shd w:val="clear" w:color="auto" w:fill="FFFFFF"/>
        </w:rPr>
      </w:pPr>
      <w:r w:rsidRPr="00DB5917">
        <w:rPr>
          <w:shd w:val="clear" w:color="auto" w:fill="FFFFFF"/>
        </w:rPr>
        <w:t>funduszy inwestycyjnyc</w:t>
      </w:r>
      <w:r w:rsidR="005B2416" w:rsidRPr="00DB5917">
        <w:rPr>
          <w:shd w:val="clear" w:color="auto" w:fill="FFFFFF"/>
        </w:rPr>
        <w:t>h zamkniętych wyniosły 1</w:t>
      </w:r>
      <w:r w:rsidR="007F3749" w:rsidRPr="00DB5917">
        <w:rPr>
          <w:shd w:val="clear" w:color="auto" w:fill="FFFFFF"/>
        </w:rPr>
        <w:t>30 003,5</w:t>
      </w:r>
      <w:r w:rsidR="005B2416" w:rsidRPr="00DB5917">
        <w:rPr>
          <w:shd w:val="clear" w:color="auto" w:fill="FFFFFF"/>
        </w:rPr>
        <w:t xml:space="preserve"> mln zł (spadek o </w:t>
      </w:r>
      <w:r w:rsidR="007F3749" w:rsidRPr="00DB5917">
        <w:rPr>
          <w:shd w:val="clear" w:color="auto" w:fill="FFFFFF"/>
        </w:rPr>
        <w:t>5,5</w:t>
      </w:r>
      <w:r w:rsidR="005B2416" w:rsidRPr="00DB5917">
        <w:rPr>
          <w:shd w:val="clear" w:color="auto" w:fill="FFFFFF"/>
        </w:rPr>
        <w:t>%);</w:t>
      </w:r>
      <w:r w:rsidRPr="00DB5917">
        <w:rPr>
          <w:shd w:val="clear" w:color="auto" w:fill="FFFFFF"/>
        </w:rPr>
        <w:t xml:space="preserve"> udział tej grupy funduszy w aktywa</w:t>
      </w:r>
      <w:r w:rsidR="007F3749" w:rsidRPr="00DB5917">
        <w:rPr>
          <w:shd w:val="clear" w:color="auto" w:fill="FFFFFF"/>
        </w:rPr>
        <w:t>ch ogółem zmniejszył się z</w:t>
      </w:r>
      <w:r w:rsidR="00E8142F" w:rsidRPr="00DB5917">
        <w:rPr>
          <w:shd w:val="clear" w:color="auto" w:fill="FFFFFF"/>
        </w:rPr>
        <w:t xml:space="preserve"> 46,1%</w:t>
      </w:r>
      <w:r w:rsidR="007F3749" w:rsidRPr="00DB5917">
        <w:rPr>
          <w:shd w:val="clear" w:color="auto" w:fill="FFFFFF"/>
        </w:rPr>
        <w:t xml:space="preserve"> do 37,3%</w:t>
      </w:r>
      <w:r w:rsidRPr="00DB5917">
        <w:rPr>
          <w:shd w:val="clear" w:color="auto" w:fill="FFFFFF"/>
        </w:rPr>
        <w:t>;</w:t>
      </w:r>
    </w:p>
    <w:p w14:paraId="1AF0D8DE" w14:textId="77777777" w:rsidR="009511F0" w:rsidRPr="00DB5917" w:rsidRDefault="009511F0" w:rsidP="00840030">
      <w:pPr>
        <w:pStyle w:val="Akapitzlist"/>
        <w:numPr>
          <w:ilvl w:val="0"/>
          <w:numId w:val="3"/>
        </w:numPr>
        <w:rPr>
          <w:shd w:val="clear" w:color="auto" w:fill="FFFFFF"/>
        </w:rPr>
      </w:pPr>
      <w:r w:rsidRPr="00DB5917">
        <w:rPr>
          <w:shd w:val="clear" w:color="auto" w:fill="FFFFFF"/>
        </w:rPr>
        <w:t>otwartych funduszy inwestycyj</w:t>
      </w:r>
      <w:r w:rsidR="006D0304" w:rsidRPr="00DB5917">
        <w:rPr>
          <w:shd w:val="clear" w:color="auto" w:fill="FFFFFF"/>
        </w:rPr>
        <w:t>nych osiągnęły wartość 139 908,2</w:t>
      </w:r>
      <w:r w:rsidR="0044075B" w:rsidRPr="00DB5917">
        <w:rPr>
          <w:shd w:val="clear" w:color="auto" w:fill="FFFFFF"/>
        </w:rPr>
        <w:t xml:space="preserve"> mln zł </w:t>
      </w:r>
      <w:r w:rsidR="006A079B" w:rsidRPr="00DB5917">
        <w:rPr>
          <w:shd w:val="clear" w:color="auto" w:fill="FFFFFF"/>
        </w:rPr>
        <w:t>(</w:t>
      </w:r>
      <w:r w:rsidR="006D0304" w:rsidRPr="00DB5917">
        <w:rPr>
          <w:shd w:val="clear" w:color="auto" w:fill="FFFFFF"/>
        </w:rPr>
        <w:t>wzrost</w:t>
      </w:r>
      <w:r w:rsidRPr="00DB5917">
        <w:rPr>
          <w:shd w:val="clear" w:color="auto" w:fill="FFFFFF"/>
        </w:rPr>
        <w:t xml:space="preserve"> o </w:t>
      </w:r>
      <w:r w:rsidR="006D0304" w:rsidRPr="00DB5917">
        <w:rPr>
          <w:shd w:val="clear" w:color="auto" w:fill="FFFFFF"/>
        </w:rPr>
        <w:t>30,0</w:t>
      </w:r>
      <w:r w:rsidR="00F06DD6" w:rsidRPr="00DB5917">
        <w:rPr>
          <w:shd w:val="clear" w:color="auto" w:fill="FFFFFF"/>
        </w:rPr>
        <w:t>%);</w:t>
      </w:r>
      <w:r w:rsidRPr="00DB5917">
        <w:rPr>
          <w:shd w:val="clear" w:color="auto" w:fill="FFFFFF"/>
        </w:rPr>
        <w:t xml:space="preserve"> ich udział w aktywach funduszy ogółem </w:t>
      </w:r>
      <w:r w:rsidR="00C0133D" w:rsidRPr="00DB5917">
        <w:rPr>
          <w:shd w:val="clear" w:color="auto" w:fill="FFFFFF"/>
        </w:rPr>
        <w:t>zwięk</w:t>
      </w:r>
      <w:r w:rsidR="00F06DD6" w:rsidRPr="00DB5917">
        <w:rPr>
          <w:shd w:val="clear" w:color="auto" w:fill="FFFFFF"/>
        </w:rPr>
        <w:t>szył się z</w:t>
      </w:r>
      <w:r w:rsidR="00C0133D" w:rsidRPr="00DB5917">
        <w:rPr>
          <w:shd w:val="clear" w:color="auto" w:fill="FFFFFF"/>
        </w:rPr>
        <w:t xml:space="preserve"> 36,0</w:t>
      </w:r>
      <w:r w:rsidRPr="00DB5917">
        <w:rPr>
          <w:shd w:val="clear" w:color="auto" w:fill="FFFFFF"/>
        </w:rPr>
        <w:t>%</w:t>
      </w:r>
      <w:r w:rsidR="00C0133D" w:rsidRPr="00DB5917">
        <w:rPr>
          <w:shd w:val="clear" w:color="auto" w:fill="FFFFFF"/>
        </w:rPr>
        <w:t xml:space="preserve"> do 40,1</w:t>
      </w:r>
      <w:r w:rsidR="00F06DD6" w:rsidRPr="00DB5917">
        <w:rPr>
          <w:shd w:val="clear" w:color="auto" w:fill="FFFFFF"/>
        </w:rPr>
        <w:t>%</w:t>
      </w:r>
      <w:r w:rsidRPr="00DB5917">
        <w:rPr>
          <w:shd w:val="clear" w:color="auto" w:fill="FFFFFF"/>
        </w:rPr>
        <w:t>;</w:t>
      </w:r>
    </w:p>
    <w:p w14:paraId="1AF0D8DF" w14:textId="77777777" w:rsidR="009511F0" w:rsidRPr="00DB5917" w:rsidRDefault="009511F0" w:rsidP="00840030">
      <w:pPr>
        <w:pStyle w:val="Akapitzlist"/>
        <w:numPr>
          <w:ilvl w:val="0"/>
          <w:numId w:val="3"/>
        </w:numPr>
        <w:rPr>
          <w:shd w:val="clear" w:color="auto" w:fill="FFFFFF"/>
        </w:rPr>
      </w:pPr>
      <w:r w:rsidRPr="00DB5917">
        <w:rPr>
          <w:shd w:val="clear" w:color="auto" w:fill="FFFFFF"/>
        </w:rPr>
        <w:t xml:space="preserve">specjalistycznych funduszy inwestycyjnych otwartych ukształtowały się </w:t>
      </w:r>
      <w:r w:rsidR="006B2F39" w:rsidRPr="00DB5917">
        <w:rPr>
          <w:shd w:val="clear" w:color="auto" w:fill="FFFFFF"/>
        </w:rPr>
        <w:t>na poziomie 79 027,2</w:t>
      </w:r>
      <w:r w:rsidRPr="00DB5917">
        <w:rPr>
          <w:shd w:val="clear" w:color="auto" w:fill="FFFFFF"/>
        </w:rPr>
        <w:t xml:space="preserve"> mln </w:t>
      </w:r>
      <w:r w:rsidR="006B2F39" w:rsidRPr="00DB5917">
        <w:rPr>
          <w:shd w:val="clear" w:color="auto" w:fill="FFFFFF"/>
        </w:rPr>
        <w:t>zł (wzrost</w:t>
      </w:r>
      <w:r w:rsidR="00FA51EC" w:rsidRPr="00DB5917">
        <w:rPr>
          <w:shd w:val="clear" w:color="auto" w:fill="FFFFFF"/>
        </w:rPr>
        <w:t xml:space="preserve"> o 4</w:t>
      </w:r>
      <w:r w:rsidR="006B2F39" w:rsidRPr="00DB5917">
        <w:rPr>
          <w:shd w:val="clear" w:color="auto" w:fill="FFFFFF"/>
        </w:rPr>
        <w:t>7,5</w:t>
      </w:r>
      <w:r w:rsidRPr="00DB5917">
        <w:rPr>
          <w:shd w:val="clear" w:color="auto" w:fill="FFFFFF"/>
        </w:rPr>
        <w:t>%), ich udział w aktyw</w:t>
      </w:r>
      <w:r w:rsidR="00D577EE" w:rsidRPr="00DB5917">
        <w:rPr>
          <w:shd w:val="clear" w:color="auto" w:fill="FFFFFF"/>
        </w:rPr>
        <w:t>ach ogółem zwięk</w:t>
      </w:r>
      <w:r w:rsidRPr="00DB5917">
        <w:rPr>
          <w:shd w:val="clear" w:color="auto" w:fill="FFFFFF"/>
        </w:rPr>
        <w:t>szył się do</w:t>
      </w:r>
      <w:r w:rsidR="00C651BD" w:rsidRPr="00DB5917">
        <w:rPr>
          <w:shd w:val="clear" w:color="auto" w:fill="FFFFFF"/>
        </w:rPr>
        <w:t xml:space="preserve"> 22,6</w:t>
      </w:r>
      <w:r w:rsidR="00C26439" w:rsidRPr="00DB5917">
        <w:rPr>
          <w:shd w:val="clear" w:color="auto" w:fill="FFFFFF"/>
        </w:rPr>
        <w:t xml:space="preserve">% </w:t>
      </w:r>
      <w:r w:rsidRPr="00DB5917">
        <w:rPr>
          <w:shd w:val="clear" w:color="auto" w:fill="FFFFFF"/>
        </w:rPr>
        <w:t xml:space="preserve"> wo</w:t>
      </w:r>
      <w:r w:rsidR="00C651BD" w:rsidRPr="00DB5917">
        <w:rPr>
          <w:shd w:val="clear" w:color="auto" w:fill="FFFFFF"/>
        </w:rPr>
        <w:t>bec 17,9</w:t>
      </w:r>
      <w:r w:rsidRPr="00DB5917">
        <w:rPr>
          <w:shd w:val="clear" w:color="auto" w:fill="FFFFFF"/>
        </w:rPr>
        <w:t>% przed rokiem.</w:t>
      </w:r>
    </w:p>
    <w:p w14:paraId="1AF0D8E0" w14:textId="77777777" w:rsidR="00606605" w:rsidRDefault="00606605" w:rsidP="00392D35">
      <w:pPr>
        <w:spacing w:after="20"/>
        <w:jc w:val="both"/>
        <w:rPr>
          <w:lang w:eastAsia="pl-PL"/>
        </w:rPr>
      </w:pPr>
    </w:p>
    <w:p w14:paraId="1AF0D8E1" w14:textId="77777777" w:rsidR="00A959CA" w:rsidRPr="001A3D3F" w:rsidRDefault="00EC7F75" w:rsidP="00915034">
      <w:pPr>
        <w:rPr>
          <w:shd w:val="clear" w:color="auto" w:fill="FFFFFF"/>
        </w:rPr>
      </w:pPr>
      <w:r w:rsidRPr="00AE6A91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81120" behindDoc="1" locked="0" layoutInCell="1" allowOverlap="1" wp14:anchorId="1AF0D990" wp14:editId="1AF0D991">
                <wp:simplePos x="0" y="0"/>
                <wp:positionH relativeFrom="column">
                  <wp:posOffset>5229225</wp:posOffset>
                </wp:positionH>
                <wp:positionV relativeFrom="paragraph">
                  <wp:posOffset>204470</wp:posOffset>
                </wp:positionV>
                <wp:extent cx="1725295" cy="933450"/>
                <wp:effectExtent l="0" t="0" r="0" b="0"/>
                <wp:wrapTight wrapText="bothSides">
                  <wp:wrapPolygon edited="0">
                    <wp:start x="715" y="0"/>
                    <wp:lineTo x="715" y="21159"/>
                    <wp:lineTo x="20749" y="21159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0D9C2" w14:textId="77777777" w:rsidR="00A959CA" w:rsidRPr="00074DD8" w:rsidRDefault="00A959CA" w:rsidP="00A959CA">
                            <w:pPr>
                              <w:pStyle w:val="tekstzboku"/>
                              <w:jc w:val="both"/>
                            </w:pPr>
                          </w:p>
                          <w:p w14:paraId="1AF0D9C3" w14:textId="77777777" w:rsidR="00A959CA" w:rsidRPr="00D616D2" w:rsidRDefault="00A959CA" w:rsidP="00A959C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0D990" id="Pole tekstowe 16" o:spid="_x0000_s1030" type="#_x0000_t202" style="position:absolute;margin-left:411.75pt;margin-top:16.1pt;width:135.85pt;height:73.5pt;z-index:-251535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" filled="f" stroked="f">
                <v:textbox>
                  <w:txbxContent>
                    <w:p w14:paraId="1AF0D9C2" w14:textId="77777777" w:rsidR="00A959CA" w:rsidRPr="00074DD8" w:rsidRDefault="00A959CA" w:rsidP="00A959CA">
                      <w:pPr>
                        <w:pStyle w:val="tekstzboku"/>
                        <w:jc w:val="both"/>
                      </w:pPr>
                    </w:p>
                    <w:p w14:paraId="1AF0D9C3" w14:textId="77777777" w:rsidR="00A959CA" w:rsidRPr="00D616D2" w:rsidRDefault="00A959CA" w:rsidP="00A959C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959CA" w:rsidRPr="00AE6A91">
        <w:rPr>
          <w:shd w:val="clear" w:color="auto" w:fill="FFFFFF"/>
        </w:rPr>
        <w:t>Główną pozycję aktywów ogółem funduszy inwestycyjny</w:t>
      </w:r>
      <w:r w:rsidR="001B372E" w:rsidRPr="00AE6A91">
        <w:rPr>
          <w:shd w:val="clear" w:color="auto" w:fill="FFFFFF"/>
        </w:rPr>
        <w:t xml:space="preserve">ch stanowiły składniki lokat </w:t>
      </w:r>
      <w:r w:rsidR="00A959CA" w:rsidRPr="00AE6A91">
        <w:rPr>
          <w:shd w:val="clear" w:color="auto" w:fill="FFFFFF"/>
        </w:rPr>
        <w:t>notowane na aktywnym rynku,</w:t>
      </w:r>
      <w:r w:rsidR="00660694" w:rsidRPr="00AE6A91">
        <w:rPr>
          <w:shd w:val="clear" w:color="auto" w:fill="FFFFFF"/>
        </w:rPr>
        <w:t xml:space="preserve"> a</w:t>
      </w:r>
      <w:r w:rsidR="00A959CA" w:rsidRPr="00AE6A91">
        <w:rPr>
          <w:shd w:val="clear" w:color="auto" w:fill="FFFFFF"/>
        </w:rPr>
        <w:t xml:space="preserve"> ic</w:t>
      </w:r>
      <w:r w:rsidR="001B372E" w:rsidRPr="00AE6A91">
        <w:rPr>
          <w:shd w:val="clear" w:color="auto" w:fill="FFFFFF"/>
        </w:rPr>
        <w:t>h wartość na koniec czerwca 2021</w:t>
      </w:r>
      <w:r w:rsidR="00A959CA" w:rsidRPr="00AE6A91">
        <w:rPr>
          <w:shd w:val="clear" w:color="auto" w:fill="FFFFFF"/>
        </w:rPr>
        <w:t> </w:t>
      </w:r>
      <w:r w:rsidR="001B372E" w:rsidRPr="00AE6A91">
        <w:rPr>
          <w:shd w:val="clear" w:color="auto" w:fill="FFFFFF"/>
        </w:rPr>
        <w:t>r. wyniosła 158 148,3</w:t>
      </w:r>
      <w:r w:rsidR="00A959CA" w:rsidRPr="00AE6A91">
        <w:rPr>
          <w:shd w:val="clear" w:color="auto" w:fill="FFFFFF"/>
        </w:rPr>
        <w:t xml:space="preserve"> mln zł</w:t>
      </w:r>
      <w:r w:rsidR="00A959CA" w:rsidRPr="00AE6A91">
        <w:rPr>
          <w:shd w:val="clear" w:color="auto" w:fill="FFFFFF"/>
        </w:rPr>
        <w:br/>
        <w:t xml:space="preserve"> i </w:t>
      </w:r>
      <w:r w:rsidR="001B372E" w:rsidRPr="00AE6A91">
        <w:rPr>
          <w:shd w:val="clear" w:color="auto" w:fill="FFFFFF"/>
        </w:rPr>
        <w:t>była wyższa o 24,7% w stosunku do czerwca 2020</w:t>
      </w:r>
      <w:r w:rsidR="00A959CA" w:rsidRPr="00AE6A91">
        <w:rPr>
          <w:shd w:val="clear" w:color="auto" w:fill="FFFFFF"/>
        </w:rPr>
        <w:t> r. Udział tej pozycji w aktywach ogółe</w:t>
      </w:r>
      <w:r w:rsidR="001B372E" w:rsidRPr="00AE6A91">
        <w:rPr>
          <w:shd w:val="clear" w:color="auto" w:fill="FFFFFF"/>
        </w:rPr>
        <w:t>m zwiększył się do 45</w:t>
      </w:r>
      <w:r w:rsidR="0083612B" w:rsidRPr="00AE6A91">
        <w:rPr>
          <w:shd w:val="clear" w:color="auto" w:fill="FFFFFF"/>
        </w:rPr>
        <w:t>,3</w:t>
      </w:r>
      <w:r w:rsidR="00A959CA" w:rsidRPr="00AE6A91">
        <w:rPr>
          <w:shd w:val="clear" w:color="auto" w:fill="FFFFFF"/>
        </w:rPr>
        <w:t>%</w:t>
      </w:r>
      <w:r w:rsidR="001B372E" w:rsidRPr="00AE6A91">
        <w:rPr>
          <w:shd w:val="clear" w:color="auto" w:fill="FFFFFF"/>
        </w:rPr>
        <w:t xml:space="preserve"> (wobec 42,4</w:t>
      </w:r>
      <w:r w:rsidR="0083612B" w:rsidRPr="00AE6A91">
        <w:rPr>
          <w:shd w:val="clear" w:color="auto" w:fill="FFFFFF"/>
        </w:rPr>
        <w:t>% rok wcześniej</w:t>
      </w:r>
      <w:r w:rsidR="00A959CA" w:rsidRPr="00AE6A91">
        <w:rPr>
          <w:shd w:val="clear" w:color="auto" w:fill="FFFFFF"/>
        </w:rPr>
        <w:t>).</w:t>
      </w:r>
    </w:p>
    <w:p w14:paraId="1AF0D8E2" w14:textId="77777777" w:rsidR="00A959CA" w:rsidRPr="00AE6A91" w:rsidRDefault="003201F0" w:rsidP="00915034">
      <w:pPr>
        <w:rPr>
          <w:shd w:val="clear" w:color="auto" w:fill="FFFFFF"/>
        </w:rPr>
      </w:pPr>
      <w:r w:rsidRPr="00AE6A91">
        <w:rPr>
          <w:shd w:val="clear" w:color="auto" w:fill="FFFFFF"/>
        </w:rPr>
        <w:t xml:space="preserve">W </w:t>
      </w:r>
      <w:r w:rsidR="0067264E" w:rsidRPr="00AE6A91">
        <w:rPr>
          <w:shd w:val="clear" w:color="auto" w:fill="FFFFFF"/>
        </w:rPr>
        <w:t>I półroczu 2021</w:t>
      </w:r>
      <w:r w:rsidR="00A959CA" w:rsidRPr="00AE6A91">
        <w:rPr>
          <w:shd w:val="clear" w:color="auto" w:fill="FFFFFF"/>
        </w:rPr>
        <w:t> r. należności funduszy in</w:t>
      </w:r>
      <w:r w:rsidR="0067264E" w:rsidRPr="00AE6A91">
        <w:rPr>
          <w:shd w:val="clear" w:color="auto" w:fill="FFFFFF"/>
        </w:rPr>
        <w:t>westycyjnych wyniosły 48 439,5</w:t>
      </w:r>
      <w:r w:rsidR="00A959CA" w:rsidRPr="00AE6A91">
        <w:rPr>
          <w:shd w:val="clear" w:color="auto" w:fill="FFFFFF"/>
        </w:rPr>
        <w:t xml:space="preserve"> mln </w:t>
      </w:r>
      <w:r w:rsidRPr="00AE6A91">
        <w:rPr>
          <w:shd w:val="clear" w:color="auto" w:fill="FFFFFF"/>
        </w:rPr>
        <w:t>zł</w:t>
      </w:r>
      <w:r w:rsidR="0067264E" w:rsidRPr="00AE6A91">
        <w:rPr>
          <w:shd w:val="clear" w:color="auto" w:fill="FFFFFF"/>
        </w:rPr>
        <w:t xml:space="preserve"> i były wyższe o 212,0</w:t>
      </w:r>
      <w:r w:rsidR="00A959CA" w:rsidRPr="00AE6A91">
        <w:rPr>
          <w:shd w:val="clear" w:color="auto" w:fill="FFFFFF"/>
        </w:rPr>
        <w:t>% w </w:t>
      </w:r>
      <w:r w:rsidR="005538CC" w:rsidRPr="00AE6A91">
        <w:rPr>
          <w:shd w:val="clear" w:color="auto" w:fill="FFFFFF"/>
        </w:rPr>
        <w:t>porównaniu z k</w:t>
      </w:r>
      <w:r w:rsidR="0067264E" w:rsidRPr="00AE6A91">
        <w:rPr>
          <w:shd w:val="clear" w:color="auto" w:fill="FFFFFF"/>
        </w:rPr>
        <w:t>ońcem czerwca 2020</w:t>
      </w:r>
      <w:r w:rsidR="00A959CA" w:rsidRPr="00AE6A91">
        <w:rPr>
          <w:shd w:val="clear" w:color="auto" w:fill="FFFFFF"/>
        </w:rPr>
        <w:t xml:space="preserve"> r. </w:t>
      </w:r>
    </w:p>
    <w:p w14:paraId="1AF0D8E3" w14:textId="77777777" w:rsidR="00A959CA" w:rsidRPr="00AE6A91" w:rsidRDefault="00A959CA" w:rsidP="00915034">
      <w:pPr>
        <w:rPr>
          <w:shd w:val="clear" w:color="auto" w:fill="FFFFFF"/>
        </w:rPr>
      </w:pPr>
      <w:r w:rsidRPr="00AE6A91">
        <w:rPr>
          <w:shd w:val="clear" w:color="auto" w:fill="FFFFFF"/>
        </w:rPr>
        <w:t>Zobowiązania funduszy inwestycyjny</w:t>
      </w:r>
      <w:r w:rsidR="00C30E4E" w:rsidRPr="00AE6A91">
        <w:rPr>
          <w:shd w:val="clear" w:color="auto" w:fill="FFFFFF"/>
        </w:rPr>
        <w:t xml:space="preserve">ch </w:t>
      </w:r>
      <w:r w:rsidR="002F7584" w:rsidRPr="00AE6A91">
        <w:rPr>
          <w:shd w:val="clear" w:color="auto" w:fill="FFFFFF"/>
        </w:rPr>
        <w:t>osiągnęły wartość 21 420,3</w:t>
      </w:r>
      <w:r w:rsidRPr="00AE6A91">
        <w:rPr>
          <w:shd w:val="clear" w:color="auto" w:fill="FFFFFF"/>
        </w:rPr>
        <w:t xml:space="preserve"> mln </w:t>
      </w:r>
      <w:r w:rsidR="00C30E4E" w:rsidRPr="00AE6A91">
        <w:rPr>
          <w:shd w:val="clear" w:color="auto" w:fill="FFFFFF"/>
        </w:rPr>
        <w:t>zł</w:t>
      </w:r>
      <w:r w:rsidR="002F7584" w:rsidRPr="00AE6A91">
        <w:rPr>
          <w:shd w:val="clear" w:color="auto" w:fill="FFFFFF"/>
        </w:rPr>
        <w:t xml:space="preserve"> (wzrost o 16,2</w:t>
      </w:r>
      <w:r w:rsidRPr="00AE6A91">
        <w:rPr>
          <w:shd w:val="clear" w:color="auto" w:fill="FFFFFF"/>
        </w:rPr>
        <w:t>%). Najwięk</w:t>
      </w:r>
      <w:r w:rsidR="00C30E4E" w:rsidRPr="00AE6A91">
        <w:rPr>
          <w:shd w:val="clear" w:color="auto" w:fill="FFFFFF"/>
        </w:rPr>
        <w:t>sz</w:t>
      </w:r>
      <w:r w:rsidR="00D45BC2" w:rsidRPr="00AE6A91">
        <w:rPr>
          <w:shd w:val="clear" w:color="auto" w:fill="FFFFFF"/>
        </w:rPr>
        <w:t>e zobowiązania w kwocie 14 380,0</w:t>
      </w:r>
      <w:r w:rsidRPr="00AE6A91">
        <w:rPr>
          <w:shd w:val="clear" w:color="auto" w:fill="FFFFFF"/>
        </w:rPr>
        <w:t xml:space="preserve"> mln zł wykazały otwarte fundusze inwestycyjne, co stanowiło</w:t>
      </w:r>
      <w:r w:rsidR="00D45BC2" w:rsidRPr="00AE6A91">
        <w:rPr>
          <w:shd w:val="clear" w:color="auto" w:fill="FFFFFF"/>
        </w:rPr>
        <w:t xml:space="preserve"> 67,1</w:t>
      </w:r>
      <w:r w:rsidRPr="00AE6A91">
        <w:rPr>
          <w:shd w:val="clear" w:color="auto" w:fill="FFFFFF"/>
        </w:rPr>
        <w:t>% wartości zobowiązań wszystkich funduszy inwestycyjnych</w:t>
      </w:r>
      <w:r w:rsidR="00D45BC2" w:rsidRPr="00AE6A91">
        <w:rPr>
          <w:shd w:val="clear" w:color="auto" w:fill="FFFFFF"/>
        </w:rPr>
        <w:t xml:space="preserve"> (58,3</w:t>
      </w:r>
      <w:r w:rsidRPr="00AE6A91">
        <w:rPr>
          <w:shd w:val="clear" w:color="auto" w:fill="FFFFFF"/>
        </w:rPr>
        <w:t>% przed rokiem).</w:t>
      </w:r>
    </w:p>
    <w:p w14:paraId="1AF0D8E4" w14:textId="77777777" w:rsidR="0002237F" w:rsidRPr="00AE6A91" w:rsidRDefault="00937201" w:rsidP="00E9792D">
      <w:pPr>
        <w:rPr>
          <w:shd w:val="clear" w:color="auto" w:fill="FFFFFF"/>
        </w:rPr>
      </w:pPr>
      <w:r w:rsidRPr="00AE6A91">
        <w:rPr>
          <w:shd w:val="clear" w:color="auto" w:fill="FFFFFF"/>
        </w:rPr>
        <w:t>W dniu 30 czerwc</w:t>
      </w:r>
      <w:r w:rsidR="0002377E" w:rsidRPr="00AE6A91">
        <w:rPr>
          <w:shd w:val="clear" w:color="auto" w:fill="FFFFFF"/>
        </w:rPr>
        <w:t>a 20</w:t>
      </w:r>
      <w:r w:rsidR="00F95A0E" w:rsidRPr="00AE6A91">
        <w:rPr>
          <w:shd w:val="clear" w:color="auto" w:fill="FFFFFF"/>
        </w:rPr>
        <w:t>21</w:t>
      </w:r>
      <w:r w:rsidR="0002237F" w:rsidRPr="00AE6A91">
        <w:rPr>
          <w:shd w:val="clear" w:color="auto" w:fill="FFFFFF"/>
        </w:rPr>
        <w:t> r. aktywa netto funduszy</w:t>
      </w:r>
      <w:r w:rsidR="00F80048" w:rsidRPr="00AE6A91">
        <w:rPr>
          <w:shd w:val="clear" w:color="auto" w:fill="FFFFFF"/>
        </w:rPr>
        <w:t xml:space="preserve"> inwestycyjnych</w:t>
      </w:r>
      <w:r w:rsidR="0002237F" w:rsidRPr="00AE6A91">
        <w:rPr>
          <w:shd w:val="clear" w:color="auto" w:fill="FFFFFF"/>
        </w:rPr>
        <w:t xml:space="preserve"> wynosiły</w:t>
      </w:r>
      <w:r w:rsidR="00F95A0E" w:rsidRPr="00AE6A91">
        <w:rPr>
          <w:shd w:val="clear" w:color="auto" w:fill="FFFFFF"/>
        </w:rPr>
        <w:t xml:space="preserve"> 327 518,4</w:t>
      </w:r>
      <w:r w:rsidR="0002237F" w:rsidRPr="00AE6A91">
        <w:rPr>
          <w:shd w:val="clear" w:color="auto" w:fill="FFFFFF"/>
        </w:rPr>
        <w:t xml:space="preserve"> mln zł, tj. na poziomie o </w:t>
      </w:r>
      <w:r w:rsidR="009B21FD" w:rsidRPr="00AE6A91">
        <w:rPr>
          <w:shd w:val="clear" w:color="auto" w:fill="FFFFFF"/>
        </w:rPr>
        <w:t>16,8% wy</w:t>
      </w:r>
      <w:r w:rsidR="0002237F" w:rsidRPr="00AE6A91">
        <w:rPr>
          <w:shd w:val="clear" w:color="auto" w:fill="FFFFFF"/>
        </w:rPr>
        <w:t>ż</w:t>
      </w:r>
      <w:r w:rsidR="009B21FD" w:rsidRPr="00AE6A91">
        <w:rPr>
          <w:shd w:val="clear" w:color="auto" w:fill="FFFFFF"/>
        </w:rPr>
        <w:t>szym niż na koniec czerwca 2020</w:t>
      </w:r>
      <w:r w:rsidR="0002237F" w:rsidRPr="00AE6A91">
        <w:rPr>
          <w:shd w:val="clear" w:color="auto" w:fill="FFFFFF"/>
        </w:rPr>
        <w:t> r. Aktywa netto funduszy inwestycyjnych zamkniętych osiągnęły war</w:t>
      </w:r>
      <w:r w:rsidR="00EF5D2E" w:rsidRPr="00AE6A91">
        <w:rPr>
          <w:shd w:val="clear" w:color="auto" w:fill="FFFFFF"/>
        </w:rPr>
        <w:t>tość 126 539,2</w:t>
      </w:r>
      <w:r w:rsidR="0002237F" w:rsidRPr="00AE6A91">
        <w:rPr>
          <w:shd w:val="clear" w:color="auto" w:fill="FFFFFF"/>
        </w:rPr>
        <w:t xml:space="preserve"> mln zł</w:t>
      </w:r>
      <w:r w:rsidR="00EF5D2E" w:rsidRPr="00AE6A91">
        <w:rPr>
          <w:shd w:val="clear" w:color="auto" w:fill="FFFFFF"/>
        </w:rPr>
        <w:t xml:space="preserve"> (o 4,4</w:t>
      </w:r>
      <w:r w:rsidR="0002237F" w:rsidRPr="00AE6A91">
        <w:rPr>
          <w:shd w:val="clear" w:color="auto" w:fill="FFFFFF"/>
        </w:rPr>
        <w:t>% niższą niż przed rokiem), funduszy inwestycyjnych otwar</w:t>
      </w:r>
      <w:r w:rsidR="00A131EC" w:rsidRPr="00AE6A91">
        <w:rPr>
          <w:shd w:val="clear" w:color="auto" w:fill="FFFFFF"/>
        </w:rPr>
        <w:t>tych 125 528,2</w:t>
      </w:r>
      <w:r w:rsidR="0002237F" w:rsidRPr="00AE6A91">
        <w:rPr>
          <w:shd w:val="clear" w:color="auto" w:fill="FFFFFF"/>
        </w:rPr>
        <w:t xml:space="preserve"> mln </w:t>
      </w:r>
      <w:r w:rsidR="00A131EC" w:rsidRPr="00AE6A91">
        <w:rPr>
          <w:shd w:val="clear" w:color="auto" w:fill="FFFFFF"/>
        </w:rPr>
        <w:t>zł (wyższą o 29,5</w:t>
      </w:r>
      <w:r w:rsidR="0002237F" w:rsidRPr="00AE6A91">
        <w:rPr>
          <w:shd w:val="clear" w:color="auto" w:fill="FFFFFF"/>
        </w:rPr>
        <w:t>%), a specjalistycz</w:t>
      </w:r>
      <w:r w:rsidR="00A131EC" w:rsidRPr="00AE6A91">
        <w:rPr>
          <w:shd w:val="clear" w:color="auto" w:fill="FFFFFF"/>
        </w:rPr>
        <w:t>nych funduszy otwartych 75 451,0 mln zł (wzrost o 47,6</w:t>
      </w:r>
      <w:r w:rsidR="0002237F" w:rsidRPr="00AE6A91">
        <w:rPr>
          <w:shd w:val="clear" w:color="auto" w:fill="FFFFFF"/>
        </w:rPr>
        <w:t xml:space="preserve">%). </w:t>
      </w:r>
    </w:p>
    <w:p w14:paraId="1AF0D8E5" w14:textId="77777777" w:rsidR="00341C5B" w:rsidRPr="00CB12AE" w:rsidRDefault="00341C5B" w:rsidP="00341C5B">
      <w:pPr>
        <w:rPr>
          <w:b/>
          <w:spacing w:val="-2"/>
          <w:sz w:val="18"/>
          <w:shd w:val="clear" w:color="auto" w:fill="FFFFFF"/>
        </w:rPr>
      </w:pPr>
      <w:r w:rsidRPr="00AE6A91">
        <w:rPr>
          <w:b/>
          <w:spacing w:val="-2"/>
          <w:sz w:val="18"/>
          <w:shd w:val="clear" w:color="auto" w:fill="FFFFFF"/>
        </w:rPr>
        <w:t>Tablica 2. Wybrane pozycje z bilansu funduszy inwestycyjnych</w:t>
      </w:r>
    </w:p>
    <w:tbl>
      <w:tblPr>
        <w:tblStyle w:val="Siatkatabelijasna1"/>
        <w:tblpPr w:leftFromText="141" w:rightFromText="141" w:vertAnchor="text" w:horzAnchor="margin" w:tblpY="129"/>
        <w:tblW w:w="7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23"/>
        <w:gridCol w:w="1701"/>
        <w:gridCol w:w="1701"/>
        <w:gridCol w:w="1701"/>
      </w:tblGrid>
      <w:tr w:rsidR="00341C5B" w:rsidRPr="001A3D3F" w14:paraId="1AF0D8EA" w14:textId="77777777" w:rsidTr="00695EB6">
        <w:trPr>
          <w:trHeight w:val="57"/>
        </w:trPr>
        <w:tc>
          <w:tcPr>
            <w:tcW w:w="2823" w:type="dxa"/>
            <w:vMerge w:val="restart"/>
            <w:vAlign w:val="center"/>
          </w:tcPr>
          <w:p w14:paraId="1AF0D8E6" w14:textId="77777777" w:rsidR="00341C5B" w:rsidRPr="001A3D3F" w:rsidRDefault="00341C5B" w:rsidP="00695EB6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1A3D3F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701" w:type="dxa"/>
            <w:vAlign w:val="center"/>
          </w:tcPr>
          <w:p w14:paraId="1AF0D8E7" w14:textId="77777777" w:rsidR="00341C5B" w:rsidRPr="001A3D3F" w:rsidRDefault="00221462" w:rsidP="00695EB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I półrocze </w:t>
            </w:r>
            <w:r w:rsidR="00526FF3">
              <w:rPr>
                <w:rFonts w:ascii="Fira Sans" w:hAnsi="Fira Sans"/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1701" w:type="dxa"/>
            <w:vAlign w:val="center"/>
          </w:tcPr>
          <w:p w14:paraId="1AF0D8E8" w14:textId="77777777" w:rsidR="00341C5B" w:rsidRPr="001A3D3F" w:rsidRDefault="00526FF3" w:rsidP="00695EB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 półrocze 2021</w:t>
            </w:r>
          </w:p>
        </w:tc>
        <w:tc>
          <w:tcPr>
            <w:tcW w:w="1701" w:type="dxa"/>
            <w:vMerge w:val="restart"/>
            <w:vAlign w:val="center"/>
          </w:tcPr>
          <w:p w14:paraId="1AF0D8E9" w14:textId="77777777" w:rsidR="00341C5B" w:rsidRPr="001A3D3F" w:rsidRDefault="00526FF3" w:rsidP="00695EB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 półrocze 2020</w:t>
            </w:r>
            <w:r w:rsidR="00341C5B" w:rsidRPr="001A3D3F">
              <w:rPr>
                <w:rFonts w:ascii="Fira Sans" w:hAnsi="Fira Sans"/>
                <w:color w:val="000000" w:themeColor="text1"/>
                <w:sz w:val="16"/>
                <w:szCs w:val="16"/>
              </w:rPr>
              <w:t>=100</w:t>
            </w:r>
          </w:p>
        </w:tc>
      </w:tr>
      <w:tr w:rsidR="00341C5B" w:rsidRPr="001A3D3F" w14:paraId="1AF0D8EE" w14:textId="77777777" w:rsidTr="00695EB6">
        <w:trPr>
          <w:trHeight w:val="57"/>
        </w:trPr>
        <w:tc>
          <w:tcPr>
            <w:tcW w:w="2823" w:type="dxa"/>
            <w:vMerge/>
            <w:tcBorders>
              <w:bottom w:val="single" w:sz="12" w:space="0" w:color="212492"/>
            </w:tcBorders>
            <w:vAlign w:val="center"/>
          </w:tcPr>
          <w:p w14:paraId="1AF0D8EB" w14:textId="77777777" w:rsidR="00341C5B" w:rsidRPr="001A3D3F" w:rsidRDefault="00341C5B" w:rsidP="00695EB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bottom w:val="single" w:sz="12" w:space="0" w:color="212492"/>
            </w:tcBorders>
            <w:vAlign w:val="center"/>
          </w:tcPr>
          <w:p w14:paraId="1AF0D8EC" w14:textId="77777777" w:rsidR="00341C5B" w:rsidRPr="001A3D3F" w:rsidRDefault="00341C5B" w:rsidP="00695EB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A3D3F">
              <w:rPr>
                <w:rFonts w:ascii="Fira Sans" w:hAnsi="Fira Sans"/>
                <w:color w:val="000000" w:themeColor="text1"/>
                <w:sz w:val="16"/>
                <w:szCs w:val="16"/>
              </w:rPr>
              <w:t>w mln zł</w:t>
            </w:r>
          </w:p>
        </w:tc>
        <w:tc>
          <w:tcPr>
            <w:tcW w:w="1701" w:type="dxa"/>
            <w:vMerge/>
            <w:tcBorders>
              <w:bottom w:val="single" w:sz="12" w:space="0" w:color="212492"/>
            </w:tcBorders>
            <w:vAlign w:val="center"/>
          </w:tcPr>
          <w:p w14:paraId="1AF0D8ED" w14:textId="77777777" w:rsidR="00341C5B" w:rsidRPr="001A3D3F" w:rsidRDefault="00341C5B" w:rsidP="00695EB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526FF3" w:rsidRPr="001A3D3F" w14:paraId="1AF0D8F3" w14:textId="77777777" w:rsidTr="00695EB6">
        <w:trPr>
          <w:trHeight w:hRule="exact" w:val="510"/>
        </w:trPr>
        <w:tc>
          <w:tcPr>
            <w:tcW w:w="2823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14:paraId="1AF0D8EF" w14:textId="77777777" w:rsidR="00526FF3" w:rsidRPr="001A3D3F" w:rsidRDefault="00526FF3" w:rsidP="00526F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Aktywa ogółem, w tym</w:t>
            </w:r>
            <w:r w:rsidRPr="001A3D3F">
              <w:rPr>
                <w:sz w:val="16"/>
                <w:szCs w:val="16"/>
              </w:rPr>
              <w:t>: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14:paraId="1AF0D8F0" w14:textId="77777777" w:rsidR="00526FF3" w:rsidRPr="001A3D3F" w:rsidRDefault="00526FF3" w:rsidP="00526FF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298 793,8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14:paraId="1AF0D8F1" w14:textId="77777777" w:rsidR="00526FF3" w:rsidRPr="001A3D3F" w:rsidRDefault="007D6169" w:rsidP="00526FF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348 938,8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14:paraId="1AF0D8F2" w14:textId="77777777" w:rsidR="00526FF3" w:rsidRPr="001A3D3F" w:rsidRDefault="002B43AA" w:rsidP="00526FF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116,8</w:t>
            </w:r>
          </w:p>
        </w:tc>
      </w:tr>
      <w:tr w:rsidR="00526FF3" w:rsidRPr="001A3D3F" w14:paraId="1AF0D8F8" w14:textId="77777777" w:rsidTr="00695EB6">
        <w:trPr>
          <w:trHeight w:hRule="exact" w:val="510"/>
        </w:trPr>
        <w:tc>
          <w:tcPr>
            <w:tcW w:w="2823" w:type="dxa"/>
            <w:tcBorders>
              <w:top w:val="single" w:sz="4" w:space="0" w:color="212492"/>
            </w:tcBorders>
            <w:vAlign w:val="center"/>
          </w:tcPr>
          <w:p w14:paraId="1AF0D8F4" w14:textId="77777777" w:rsidR="00526FF3" w:rsidRPr="001A3D3F" w:rsidRDefault="00526FF3" w:rsidP="00526F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Należności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14:paraId="1AF0D8F5" w14:textId="77777777" w:rsidR="00526FF3" w:rsidRPr="001A3D3F" w:rsidRDefault="00526FF3" w:rsidP="00526FF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15 525,4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14:paraId="1AF0D8F6" w14:textId="77777777" w:rsidR="00526FF3" w:rsidRPr="001A3D3F" w:rsidRDefault="007D6169" w:rsidP="00526FF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48 439,5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14:paraId="1AF0D8F7" w14:textId="77777777" w:rsidR="00526FF3" w:rsidRPr="001A3D3F" w:rsidRDefault="002B43AA" w:rsidP="00526FF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312,0</w:t>
            </w:r>
          </w:p>
        </w:tc>
      </w:tr>
      <w:tr w:rsidR="00526FF3" w:rsidRPr="001A3D3F" w14:paraId="1AF0D8FD" w14:textId="77777777" w:rsidTr="002A3CB3">
        <w:trPr>
          <w:trHeight w:hRule="exact" w:val="761"/>
        </w:trPr>
        <w:tc>
          <w:tcPr>
            <w:tcW w:w="2823" w:type="dxa"/>
            <w:vAlign w:val="center"/>
          </w:tcPr>
          <w:p w14:paraId="1AF0D8F9" w14:textId="77777777" w:rsidR="00526FF3" w:rsidRPr="001A3D3F" w:rsidRDefault="00526FF3" w:rsidP="00526F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Składniki lokat nienotowane na aktywnym rynku</w:t>
            </w:r>
          </w:p>
        </w:tc>
        <w:tc>
          <w:tcPr>
            <w:tcW w:w="1701" w:type="dxa"/>
            <w:vAlign w:val="bottom"/>
          </w:tcPr>
          <w:p w14:paraId="1AF0D8FA" w14:textId="77777777" w:rsidR="00526FF3" w:rsidRPr="001A3D3F" w:rsidRDefault="00526FF3" w:rsidP="00526FF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138 431,4</w:t>
            </w:r>
          </w:p>
        </w:tc>
        <w:tc>
          <w:tcPr>
            <w:tcW w:w="1701" w:type="dxa"/>
            <w:vAlign w:val="bottom"/>
          </w:tcPr>
          <w:p w14:paraId="1AF0D8FB" w14:textId="77777777" w:rsidR="00526FF3" w:rsidRPr="001A3D3F" w:rsidRDefault="007D6169" w:rsidP="00526FF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122 432,3</w:t>
            </w:r>
          </w:p>
        </w:tc>
        <w:tc>
          <w:tcPr>
            <w:tcW w:w="1701" w:type="dxa"/>
            <w:vAlign w:val="bottom"/>
          </w:tcPr>
          <w:p w14:paraId="1AF0D8FC" w14:textId="77777777" w:rsidR="00526FF3" w:rsidRPr="001A3D3F" w:rsidRDefault="002B43AA" w:rsidP="00526FF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88,4</w:t>
            </w:r>
          </w:p>
        </w:tc>
      </w:tr>
      <w:tr w:rsidR="00526FF3" w:rsidRPr="001A3D3F" w14:paraId="1AF0D902" w14:textId="77777777" w:rsidTr="002A3CB3">
        <w:trPr>
          <w:trHeight w:hRule="exact" w:val="802"/>
        </w:trPr>
        <w:tc>
          <w:tcPr>
            <w:tcW w:w="2823" w:type="dxa"/>
            <w:vAlign w:val="center"/>
          </w:tcPr>
          <w:p w14:paraId="1AF0D8FE" w14:textId="77777777" w:rsidR="00526FF3" w:rsidRPr="00C57B06" w:rsidRDefault="00526FF3" w:rsidP="00526FF3">
            <w:pPr>
              <w:rPr>
                <w:sz w:val="16"/>
                <w:szCs w:val="16"/>
              </w:rPr>
            </w:pPr>
            <w:r w:rsidRPr="00C57B06">
              <w:rPr>
                <w:sz w:val="16"/>
                <w:szCs w:val="16"/>
              </w:rPr>
              <w:t xml:space="preserve">     Składniki lokat notowane na aktywnym rynku</w:t>
            </w:r>
          </w:p>
        </w:tc>
        <w:tc>
          <w:tcPr>
            <w:tcW w:w="1701" w:type="dxa"/>
            <w:vAlign w:val="bottom"/>
          </w:tcPr>
          <w:p w14:paraId="1AF0D8FF" w14:textId="77777777" w:rsidR="00526FF3" w:rsidRPr="00C57B06" w:rsidRDefault="00526FF3" w:rsidP="00526FF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57B06">
              <w:rPr>
                <w:rFonts w:cs="Arial"/>
                <w:color w:val="000000"/>
                <w:sz w:val="16"/>
                <w:szCs w:val="16"/>
              </w:rPr>
              <w:t>126 772,4</w:t>
            </w:r>
          </w:p>
        </w:tc>
        <w:tc>
          <w:tcPr>
            <w:tcW w:w="1701" w:type="dxa"/>
            <w:vAlign w:val="bottom"/>
          </w:tcPr>
          <w:p w14:paraId="1AF0D900" w14:textId="77777777" w:rsidR="00526FF3" w:rsidRPr="00C57B06" w:rsidRDefault="007D6169" w:rsidP="00526FF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C57B06">
              <w:rPr>
                <w:rFonts w:cs="Arial"/>
                <w:color w:val="000000"/>
                <w:sz w:val="16"/>
                <w:szCs w:val="16"/>
              </w:rPr>
              <w:t>158 148,3</w:t>
            </w:r>
          </w:p>
        </w:tc>
        <w:tc>
          <w:tcPr>
            <w:tcW w:w="1701" w:type="dxa"/>
            <w:vAlign w:val="bottom"/>
          </w:tcPr>
          <w:p w14:paraId="1AF0D901" w14:textId="77777777" w:rsidR="00526FF3" w:rsidRPr="001A3D3F" w:rsidRDefault="00C94BCB" w:rsidP="00526FF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124,7</w:t>
            </w:r>
          </w:p>
        </w:tc>
      </w:tr>
      <w:tr w:rsidR="00526FF3" w:rsidRPr="001A3D3F" w14:paraId="1AF0D907" w14:textId="77777777" w:rsidTr="00695EB6">
        <w:trPr>
          <w:trHeight w:hRule="exact" w:val="510"/>
        </w:trPr>
        <w:tc>
          <w:tcPr>
            <w:tcW w:w="2823" w:type="dxa"/>
            <w:vAlign w:val="center"/>
          </w:tcPr>
          <w:p w14:paraId="1AF0D903" w14:textId="77777777" w:rsidR="00526FF3" w:rsidRPr="001A3D3F" w:rsidRDefault="00526FF3" w:rsidP="00526F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Zobowiązania</w:t>
            </w:r>
          </w:p>
        </w:tc>
        <w:tc>
          <w:tcPr>
            <w:tcW w:w="1701" w:type="dxa"/>
            <w:vAlign w:val="bottom"/>
          </w:tcPr>
          <w:p w14:paraId="1AF0D904" w14:textId="77777777" w:rsidR="00526FF3" w:rsidRPr="001A3D3F" w:rsidRDefault="00526FF3" w:rsidP="00526FF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18 428,6</w:t>
            </w:r>
          </w:p>
        </w:tc>
        <w:tc>
          <w:tcPr>
            <w:tcW w:w="1701" w:type="dxa"/>
            <w:vAlign w:val="bottom"/>
          </w:tcPr>
          <w:p w14:paraId="1AF0D905" w14:textId="77777777" w:rsidR="00526FF3" w:rsidRPr="001A3D3F" w:rsidRDefault="007D6169" w:rsidP="00526FF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21 420,3</w:t>
            </w:r>
          </w:p>
        </w:tc>
        <w:tc>
          <w:tcPr>
            <w:tcW w:w="1701" w:type="dxa"/>
            <w:vAlign w:val="bottom"/>
          </w:tcPr>
          <w:p w14:paraId="1AF0D906" w14:textId="77777777" w:rsidR="00526FF3" w:rsidRPr="001A3D3F" w:rsidRDefault="002B43AA" w:rsidP="00526FF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116,2</w:t>
            </w:r>
          </w:p>
        </w:tc>
      </w:tr>
      <w:tr w:rsidR="00526FF3" w:rsidRPr="001A3D3F" w14:paraId="1AF0D90C" w14:textId="77777777" w:rsidTr="00695EB6">
        <w:trPr>
          <w:trHeight w:hRule="exact" w:val="510"/>
        </w:trPr>
        <w:tc>
          <w:tcPr>
            <w:tcW w:w="2823" w:type="dxa"/>
            <w:vAlign w:val="center"/>
          </w:tcPr>
          <w:p w14:paraId="1AF0D908" w14:textId="77777777" w:rsidR="00526FF3" w:rsidRPr="001A3D3F" w:rsidRDefault="00526FF3" w:rsidP="00526F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Aktywa netto</w:t>
            </w:r>
          </w:p>
        </w:tc>
        <w:tc>
          <w:tcPr>
            <w:tcW w:w="1701" w:type="dxa"/>
            <w:vAlign w:val="bottom"/>
          </w:tcPr>
          <w:p w14:paraId="1AF0D909" w14:textId="77777777" w:rsidR="00526FF3" w:rsidRPr="001A3D3F" w:rsidRDefault="00526FF3" w:rsidP="00526FF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280 365,2</w:t>
            </w:r>
          </w:p>
        </w:tc>
        <w:tc>
          <w:tcPr>
            <w:tcW w:w="1701" w:type="dxa"/>
            <w:vAlign w:val="bottom"/>
          </w:tcPr>
          <w:p w14:paraId="1AF0D90A" w14:textId="77777777" w:rsidR="00526FF3" w:rsidRPr="001A3D3F" w:rsidRDefault="007D6169" w:rsidP="00526FF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327 518,4</w:t>
            </w:r>
          </w:p>
        </w:tc>
        <w:tc>
          <w:tcPr>
            <w:tcW w:w="1701" w:type="dxa"/>
            <w:vAlign w:val="bottom"/>
          </w:tcPr>
          <w:p w14:paraId="1AF0D90B" w14:textId="77777777" w:rsidR="00526FF3" w:rsidRPr="001A3D3F" w:rsidRDefault="002B43AA" w:rsidP="00526FF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116,8</w:t>
            </w:r>
          </w:p>
        </w:tc>
      </w:tr>
      <w:tr w:rsidR="00526FF3" w:rsidRPr="001A3D3F" w14:paraId="1AF0D911" w14:textId="77777777" w:rsidTr="00695EB6">
        <w:trPr>
          <w:trHeight w:hRule="exact" w:val="510"/>
        </w:trPr>
        <w:tc>
          <w:tcPr>
            <w:tcW w:w="2823" w:type="dxa"/>
            <w:vAlign w:val="center"/>
          </w:tcPr>
          <w:p w14:paraId="1AF0D90D" w14:textId="77777777" w:rsidR="00526FF3" w:rsidRPr="001A3D3F" w:rsidRDefault="00526FF3" w:rsidP="00526F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Kapitał </w:t>
            </w:r>
          </w:p>
        </w:tc>
        <w:tc>
          <w:tcPr>
            <w:tcW w:w="1701" w:type="dxa"/>
            <w:vAlign w:val="bottom"/>
          </w:tcPr>
          <w:p w14:paraId="1AF0D90E" w14:textId="77777777" w:rsidR="00526FF3" w:rsidRPr="001A3D3F" w:rsidRDefault="00526FF3" w:rsidP="00526FF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190 071,1</w:t>
            </w:r>
          </w:p>
        </w:tc>
        <w:tc>
          <w:tcPr>
            <w:tcW w:w="1701" w:type="dxa"/>
            <w:vAlign w:val="bottom"/>
          </w:tcPr>
          <w:p w14:paraId="1AF0D90F" w14:textId="77777777" w:rsidR="00526FF3" w:rsidRPr="001A3D3F" w:rsidRDefault="007D6169" w:rsidP="00526FF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220 795,0</w:t>
            </w:r>
          </w:p>
        </w:tc>
        <w:tc>
          <w:tcPr>
            <w:tcW w:w="1701" w:type="dxa"/>
            <w:vAlign w:val="bottom"/>
          </w:tcPr>
          <w:p w14:paraId="1AF0D910" w14:textId="77777777" w:rsidR="00526FF3" w:rsidRPr="001A3D3F" w:rsidRDefault="002B43AA" w:rsidP="00526FF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116,2</w:t>
            </w:r>
          </w:p>
        </w:tc>
      </w:tr>
    </w:tbl>
    <w:p w14:paraId="1AF0D912" w14:textId="77777777" w:rsidR="0030581F" w:rsidRDefault="00EC7F75" w:rsidP="0030581F">
      <w:pPr>
        <w:jc w:val="both"/>
        <w:rPr>
          <w:lang w:eastAsia="pl-PL"/>
        </w:rPr>
      </w:pPr>
      <w:r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3168" behindDoc="1" locked="0" layoutInCell="1" allowOverlap="1" wp14:anchorId="1AF0D992" wp14:editId="1AF0D993">
                <wp:simplePos x="0" y="0"/>
                <wp:positionH relativeFrom="column">
                  <wp:posOffset>5229225</wp:posOffset>
                </wp:positionH>
                <wp:positionV relativeFrom="paragraph">
                  <wp:posOffset>3585845</wp:posOffset>
                </wp:positionV>
                <wp:extent cx="1725295" cy="1189990"/>
                <wp:effectExtent l="0" t="0" r="0" b="0"/>
                <wp:wrapTight wrapText="bothSides">
                  <wp:wrapPolygon edited="0">
                    <wp:start x="715" y="0"/>
                    <wp:lineTo x="715" y="21093"/>
                    <wp:lineTo x="20749" y="21093"/>
                    <wp:lineTo x="20749" y="0"/>
                    <wp:lineTo x="715" y="0"/>
                  </wp:wrapPolygon>
                </wp:wrapTight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89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0D9C4" w14:textId="77777777" w:rsidR="0030581F" w:rsidRPr="00074DD8" w:rsidRDefault="00353D95" w:rsidP="0030581F">
                            <w:pPr>
                              <w:pStyle w:val="tekstzboku"/>
                              <w:jc w:val="both"/>
                            </w:pPr>
                            <w:r>
                              <w:t>Na koniec czerwca 2021</w:t>
                            </w:r>
                            <w:r w:rsidR="0030581F" w:rsidRPr="0090351B">
                              <w:t> r. lokaty funduszy inwestycyjnych wy</w:t>
                            </w:r>
                            <w:r>
                              <w:t>niosły 281,3</w:t>
                            </w:r>
                            <w:r w:rsidR="0030581F" w:rsidRPr="0090351B">
                              <w:t xml:space="preserve"> mld zł.</w:t>
                            </w:r>
                          </w:p>
                          <w:p w14:paraId="1AF0D9C5" w14:textId="77777777" w:rsidR="0030581F" w:rsidRDefault="0030581F" w:rsidP="0030581F">
                            <w:pPr>
                              <w:spacing w:after="0"/>
                              <w:jc w:val="both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  <w:p w14:paraId="1AF0D9C6" w14:textId="77777777" w:rsidR="0030581F" w:rsidRDefault="0030581F" w:rsidP="0030581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  <w:p w14:paraId="1AF0D9C7" w14:textId="77777777" w:rsidR="0030581F" w:rsidRPr="00D616D2" w:rsidRDefault="0030581F" w:rsidP="0030581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0D992" id="Pole tekstowe 18" o:spid="_x0000_s1031" type="#_x0000_t202" style="position:absolute;left:0;text-align:left;margin-left:411.75pt;margin-top:282.35pt;width:135.85pt;height:93.7pt;z-index:-251533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" filled="f" stroked="f">
                <v:textbox>
                  <w:txbxContent>
                    <w:p w14:paraId="1AF0D9C4" w14:textId="77777777" w:rsidR="0030581F" w:rsidRPr="00074DD8" w:rsidRDefault="00353D95" w:rsidP="0030581F">
                      <w:pPr>
                        <w:pStyle w:val="tekstzboku"/>
                        <w:jc w:val="both"/>
                      </w:pPr>
                      <w:r>
                        <w:t>Na koniec czerwca 2021</w:t>
                      </w:r>
                      <w:r w:rsidR="0030581F" w:rsidRPr="0090351B">
                        <w:t> r. lokaty funduszy inwestycyjnych wy</w:t>
                      </w:r>
                      <w:r>
                        <w:t>niosły 281,3</w:t>
                      </w:r>
                      <w:r w:rsidR="0030581F" w:rsidRPr="0090351B">
                        <w:t xml:space="preserve"> mld zł.</w:t>
                      </w:r>
                    </w:p>
                    <w:p w14:paraId="1AF0D9C5" w14:textId="77777777" w:rsidR="0030581F" w:rsidRDefault="0030581F" w:rsidP="0030581F">
                      <w:pPr>
                        <w:spacing w:after="0"/>
                        <w:jc w:val="both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  <w:p w14:paraId="1AF0D9C6" w14:textId="77777777" w:rsidR="0030581F" w:rsidRDefault="0030581F" w:rsidP="0030581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  <w:p w14:paraId="1AF0D9C7" w14:textId="77777777" w:rsidR="0030581F" w:rsidRPr="00D616D2" w:rsidRDefault="0030581F" w:rsidP="0030581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AF0D913" w14:textId="5C4FD1AD" w:rsidR="0030581F" w:rsidRDefault="00EC7F75" w:rsidP="005936C4">
      <w:pPr>
        <w:rPr>
          <w:lang w:eastAsia="pl-PL"/>
        </w:rPr>
      </w:pPr>
      <w:r w:rsidRPr="00F1519F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4192" behindDoc="1" locked="0" layoutInCell="1" allowOverlap="1" wp14:anchorId="1AF0D994" wp14:editId="1AF0D995">
                <wp:simplePos x="0" y="0"/>
                <wp:positionH relativeFrom="column">
                  <wp:posOffset>5229225</wp:posOffset>
                </wp:positionH>
                <wp:positionV relativeFrom="paragraph">
                  <wp:posOffset>804545</wp:posOffset>
                </wp:positionV>
                <wp:extent cx="1725295" cy="819150"/>
                <wp:effectExtent l="0" t="0" r="0" b="0"/>
                <wp:wrapTight wrapText="bothSides">
                  <wp:wrapPolygon edited="0">
                    <wp:start x="715" y="0"/>
                    <wp:lineTo x="715" y="21098"/>
                    <wp:lineTo x="20749" y="21098"/>
                    <wp:lineTo x="20749" y="0"/>
                    <wp:lineTo x="715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0D9C8" w14:textId="77777777" w:rsidR="0030581F" w:rsidRPr="00D616D2" w:rsidRDefault="0030581F" w:rsidP="0030581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0D994" id="Pole tekstowe 19" o:spid="_x0000_s1032" type="#_x0000_t202" style="position:absolute;margin-left:411.75pt;margin-top:63.35pt;width:135.85pt;height:64.5pt;z-index:-251532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" filled="f" stroked="f">
                <v:textbox>
                  <w:txbxContent>
                    <w:p w14:paraId="1AF0D9C8" w14:textId="77777777" w:rsidR="0030581F" w:rsidRPr="00D616D2" w:rsidRDefault="0030581F" w:rsidP="0030581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0581F" w:rsidRPr="00F1519F">
        <w:rPr>
          <w:lang w:eastAsia="pl-PL"/>
        </w:rPr>
        <w:t xml:space="preserve">Wartość lokat </w:t>
      </w:r>
      <w:r w:rsidR="00D95022" w:rsidRPr="00F1519F">
        <w:rPr>
          <w:lang w:eastAsia="pl-PL"/>
        </w:rPr>
        <w:t xml:space="preserve">ogółem </w:t>
      </w:r>
      <w:r w:rsidR="0030581F" w:rsidRPr="00F1519F">
        <w:rPr>
          <w:lang w:eastAsia="pl-PL"/>
        </w:rPr>
        <w:t xml:space="preserve">funduszy inwestycyjnych na koniec </w:t>
      </w:r>
      <w:r w:rsidR="00D57E94" w:rsidRPr="00F1519F">
        <w:rPr>
          <w:lang w:eastAsia="pl-PL"/>
        </w:rPr>
        <w:t>czerwca 2021</w:t>
      </w:r>
      <w:r w:rsidR="0030581F" w:rsidRPr="00F1519F">
        <w:rPr>
          <w:lang w:eastAsia="pl-PL"/>
        </w:rPr>
        <w:t> </w:t>
      </w:r>
      <w:r w:rsidR="00D57E94" w:rsidRPr="00F1519F">
        <w:rPr>
          <w:lang w:eastAsia="pl-PL"/>
        </w:rPr>
        <w:t>r. zwięk</w:t>
      </w:r>
      <w:r w:rsidR="00D95022" w:rsidRPr="00F1519F">
        <w:rPr>
          <w:lang w:eastAsia="pl-PL"/>
        </w:rPr>
        <w:t>szy</w:t>
      </w:r>
      <w:r w:rsidR="0030581F" w:rsidRPr="00F1519F">
        <w:rPr>
          <w:lang w:eastAsia="pl-PL"/>
        </w:rPr>
        <w:t xml:space="preserve">ła </w:t>
      </w:r>
      <w:r w:rsidR="00080AC7" w:rsidRPr="00F1519F">
        <w:rPr>
          <w:lang w:eastAsia="pl-PL"/>
        </w:rPr>
        <w:t>się do 281 258,4</w:t>
      </w:r>
      <w:r w:rsidR="00D95022" w:rsidRPr="00F1519F">
        <w:rPr>
          <w:lang w:eastAsia="pl-PL"/>
        </w:rPr>
        <w:t xml:space="preserve"> mln zł (o 5</w:t>
      </w:r>
      <w:r w:rsidR="00080AC7" w:rsidRPr="00F1519F">
        <w:rPr>
          <w:lang w:eastAsia="pl-PL"/>
        </w:rPr>
        <w:t>,7</w:t>
      </w:r>
      <w:r w:rsidR="0030581F" w:rsidRPr="00F1519F">
        <w:rPr>
          <w:lang w:eastAsia="pl-PL"/>
        </w:rPr>
        <w:t xml:space="preserve">%). </w:t>
      </w:r>
      <w:r w:rsidR="003D086D" w:rsidRPr="00F1519F">
        <w:rPr>
          <w:lang w:eastAsia="pl-PL"/>
        </w:rPr>
        <w:t>Głównym składnikiem lokat były dłużn</w:t>
      </w:r>
      <w:r w:rsidR="00083F63" w:rsidRPr="00F1519F">
        <w:rPr>
          <w:lang w:eastAsia="pl-PL"/>
        </w:rPr>
        <w:t>e papiery wartościowe w kwocie</w:t>
      </w:r>
      <w:r w:rsidR="00080AC7" w:rsidRPr="00F1519F">
        <w:rPr>
          <w:lang w:eastAsia="pl-PL"/>
        </w:rPr>
        <w:t xml:space="preserve"> 165 022,2 mln zł (wzrost o 22,4</w:t>
      </w:r>
      <w:r w:rsidR="0030581F" w:rsidRPr="00F1519F">
        <w:rPr>
          <w:lang w:eastAsia="pl-PL"/>
        </w:rPr>
        <w:t>%).</w:t>
      </w:r>
      <w:r w:rsidR="00080AC7" w:rsidRPr="00F1519F">
        <w:rPr>
          <w:lang w:eastAsia="pl-PL"/>
        </w:rPr>
        <w:t xml:space="preserve"> Wartość a</w:t>
      </w:r>
      <w:r w:rsidR="00814B5F">
        <w:rPr>
          <w:lang w:eastAsia="pl-PL"/>
        </w:rPr>
        <w:t>kcji zmniejszy</w:t>
      </w:r>
      <w:r w:rsidR="004E33DF" w:rsidRPr="00F1519F">
        <w:rPr>
          <w:lang w:eastAsia="pl-PL"/>
        </w:rPr>
        <w:t>ła</w:t>
      </w:r>
      <w:r w:rsidR="00E67183" w:rsidRPr="00F1519F">
        <w:rPr>
          <w:lang w:eastAsia="pl-PL"/>
        </w:rPr>
        <w:t xml:space="preserve"> </w:t>
      </w:r>
      <w:r w:rsidR="00C301CC">
        <w:rPr>
          <w:lang w:eastAsia="pl-PL"/>
        </w:rPr>
        <w:t xml:space="preserve">się </w:t>
      </w:r>
      <w:r w:rsidR="00E67183" w:rsidRPr="00F1519F">
        <w:rPr>
          <w:lang w:eastAsia="pl-PL"/>
        </w:rPr>
        <w:t>do</w:t>
      </w:r>
      <w:r w:rsidR="00080AC7" w:rsidRPr="00F1519F">
        <w:rPr>
          <w:lang w:eastAsia="pl-PL"/>
        </w:rPr>
        <w:t xml:space="preserve"> 54 422,6 mln zł (o 24,9</w:t>
      </w:r>
      <w:r w:rsidR="0030581F" w:rsidRPr="00F1519F">
        <w:rPr>
          <w:lang w:eastAsia="pl-PL"/>
        </w:rPr>
        <w:t>%). Wierzytelności ukształtowały się na pozio</w:t>
      </w:r>
      <w:r w:rsidR="00080AC7" w:rsidRPr="00F1519F">
        <w:rPr>
          <w:lang w:eastAsia="pl-PL"/>
        </w:rPr>
        <w:t>mie 14 290</w:t>
      </w:r>
      <w:r w:rsidR="004107B0" w:rsidRPr="00F1519F">
        <w:rPr>
          <w:lang w:eastAsia="pl-PL"/>
        </w:rPr>
        <w:t>,8</w:t>
      </w:r>
      <w:r w:rsidR="0030581F" w:rsidRPr="00F1519F">
        <w:rPr>
          <w:lang w:eastAsia="pl-PL"/>
        </w:rPr>
        <w:t xml:space="preserve"> mln </w:t>
      </w:r>
      <w:r w:rsidR="00080F70" w:rsidRPr="00F1519F">
        <w:rPr>
          <w:lang w:eastAsia="pl-PL"/>
        </w:rPr>
        <w:t>zł</w:t>
      </w:r>
      <w:r w:rsidR="00080AC7" w:rsidRPr="00F1519F">
        <w:rPr>
          <w:lang w:eastAsia="pl-PL"/>
        </w:rPr>
        <w:t xml:space="preserve"> (spadek o 24,0</w:t>
      </w:r>
      <w:r w:rsidR="0030581F" w:rsidRPr="00F1519F">
        <w:rPr>
          <w:lang w:eastAsia="pl-PL"/>
        </w:rPr>
        <w:t>%).</w:t>
      </w:r>
      <w:r w:rsidR="00CC5B5E" w:rsidRPr="00F1519F">
        <w:rPr>
          <w:lang w:eastAsia="pl-PL"/>
        </w:rPr>
        <w:t xml:space="preserve"> Depozyty zmniejszyły si</w:t>
      </w:r>
      <w:r w:rsidR="00636BC1" w:rsidRPr="00F1519F">
        <w:rPr>
          <w:lang w:eastAsia="pl-PL"/>
        </w:rPr>
        <w:t>ę do 1 368,7</w:t>
      </w:r>
      <w:r w:rsidR="0030581F" w:rsidRPr="00F1519F">
        <w:rPr>
          <w:lang w:eastAsia="pl-PL"/>
        </w:rPr>
        <w:t xml:space="preserve"> mln zł (o </w:t>
      </w:r>
      <w:r w:rsidR="00636BC1" w:rsidRPr="00F1519F">
        <w:rPr>
          <w:lang w:eastAsia="pl-PL"/>
        </w:rPr>
        <w:t>20</w:t>
      </w:r>
      <w:r w:rsidR="00080F70" w:rsidRPr="00F1519F">
        <w:rPr>
          <w:lang w:eastAsia="pl-PL"/>
        </w:rPr>
        <w:t>,7</w:t>
      </w:r>
      <w:r w:rsidR="00604207" w:rsidRPr="00F1519F">
        <w:rPr>
          <w:lang w:eastAsia="pl-PL"/>
        </w:rPr>
        <w:t>%).</w:t>
      </w:r>
      <w:r w:rsidR="0030581F" w:rsidRPr="001A3D3F">
        <w:rPr>
          <w:lang w:eastAsia="pl-PL"/>
        </w:rPr>
        <w:t xml:space="preserve"> </w:t>
      </w:r>
    </w:p>
    <w:p w14:paraId="1AF0D914" w14:textId="77777777" w:rsidR="0044280B" w:rsidRDefault="0044280B" w:rsidP="0030581F">
      <w:pPr>
        <w:jc w:val="both"/>
        <w:rPr>
          <w:lang w:eastAsia="pl-PL"/>
        </w:rPr>
      </w:pPr>
    </w:p>
    <w:p w14:paraId="1AF0D915" w14:textId="77777777" w:rsidR="0044280B" w:rsidRPr="001A3D3F" w:rsidRDefault="0044280B" w:rsidP="0044280B">
      <w:pPr>
        <w:rPr>
          <w:b/>
          <w:spacing w:val="-2"/>
          <w:sz w:val="18"/>
          <w:shd w:val="clear" w:color="auto" w:fill="FFFFFF"/>
        </w:rPr>
      </w:pPr>
      <w:r w:rsidRPr="00F1519F">
        <w:rPr>
          <w:b/>
          <w:spacing w:val="-2"/>
          <w:sz w:val="18"/>
          <w:shd w:val="clear" w:color="auto" w:fill="FFFFFF"/>
        </w:rPr>
        <w:t>Tablica 3. Wartość lokat funduszy inwestycyjnych</w:t>
      </w:r>
    </w:p>
    <w:tbl>
      <w:tblPr>
        <w:tblStyle w:val="Siatkatabelijasna1"/>
        <w:tblpPr w:leftFromText="141" w:rightFromText="141" w:vertAnchor="text" w:horzAnchor="margin" w:tblpY="129"/>
        <w:tblW w:w="7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23"/>
        <w:gridCol w:w="1701"/>
        <w:gridCol w:w="1701"/>
        <w:gridCol w:w="1701"/>
      </w:tblGrid>
      <w:tr w:rsidR="0044280B" w:rsidRPr="001A3D3F" w14:paraId="1AF0D91A" w14:textId="77777777" w:rsidTr="00695EB6">
        <w:trPr>
          <w:trHeight w:val="57"/>
        </w:trPr>
        <w:tc>
          <w:tcPr>
            <w:tcW w:w="2823" w:type="dxa"/>
            <w:vMerge w:val="restart"/>
            <w:vAlign w:val="center"/>
          </w:tcPr>
          <w:p w14:paraId="1AF0D916" w14:textId="77777777" w:rsidR="0044280B" w:rsidRPr="001A3D3F" w:rsidRDefault="0044280B" w:rsidP="00695EB6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1A3D3F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701" w:type="dxa"/>
            <w:vAlign w:val="center"/>
          </w:tcPr>
          <w:p w14:paraId="1AF0D917" w14:textId="77777777" w:rsidR="0044280B" w:rsidRPr="001A3D3F" w:rsidRDefault="00B6643E" w:rsidP="00695EB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I półrocze </w:t>
            </w:r>
            <w:r w:rsidR="00A21AA2">
              <w:rPr>
                <w:rFonts w:ascii="Fira Sans" w:hAnsi="Fira Sans"/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1701" w:type="dxa"/>
            <w:vAlign w:val="center"/>
          </w:tcPr>
          <w:p w14:paraId="1AF0D918" w14:textId="77777777" w:rsidR="0044280B" w:rsidRPr="001A3D3F" w:rsidRDefault="00A21AA2" w:rsidP="00695EB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 półrocze 2021</w:t>
            </w:r>
          </w:p>
        </w:tc>
        <w:tc>
          <w:tcPr>
            <w:tcW w:w="1701" w:type="dxa"/>
            <w:vMerge w:val="restart"/>
            <w:vAlign w:val="center"/>
          </w:tcPr>
          <w:p w14:paraId="1AF0D919" w14:textId="77777777" w:rsidR="0044280B" w:rsidRPr="001A3D3F" w:rsidRDefault="00A21AA2" w:rsidP="00695EB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 półrocze 2020</w:t>
            </w:r>
            <w:r w:rsidR="0044280B" w:rsidRPr="001A3D3F">
              <w:rPr>
                <w:rFonts w:ascii="Fira Sans" w:hAnsi="Fira Sans"/>
                <w:color w:val="000000" w:themeColor="text1"/>
                <w:sz w:val="16"/>
                <w:szCs w:val="16"/>
              </w:rPr>
              <w:t>=100</w:t>
            </w:r>
          </w:p>
        </w:tc>
      </w:tr>
      <w:tr w:rsidR="0044280B" w:rsidRPr="001A3D3F" w14:paraId="1AF0D91E" w14:textId="77777777" w:rsidTr="00695EB6">
        <w:trPr>
          <w:trHeight w:val="57"/>
        </w:trPr>
        <w:tc>
          <w:tcPr>
            <w:tcW w:w="2823" w:type="dxa"/>
            <w:vMerge/>
            <w:tcBorders>
              <w:bottom w:val="single" w:sz="12" w:space="0" w:color="212492"/>
            </w:tcBorders>
            <w:vAlign w:val="center"/>
          </w:tcPr>
          <w:p w14:paraId="1AF0D91B" w14:textId="77777777" w:rsidR="0044280B" w:rsidRPr="001A3D3F" w:rsidRDefault="0044280B" w:rsidP="00695EB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bottom w:val="single" w:sz="12" w:space="0" w:color="212492"/>
            </w:tcBorders>
            <w:vAlign w:val="center"/>
          </w:tcPr>
          <w:p w14:paraId="1AF0D91C" w14:textId="77777777" w:rsidR="0044280B" w:rsidRPr="001A3D3F" w:rsidRDefault="0044280B" w:rsidP="00695EB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A3D3F">
              <w:rPr>
                <w:rFonts w:ascii="Fira Sans" w:hAnsi="Fira Sans"/>
                <w:color w:val="000000" w:themeColor="text1"/>
                <w:sz w:val="16"/>
                <w:szCs w:val="16"/>
              </w:rPr>
              <w:t>w mln zł</w:t>
            </w:r>
          </w:p>
        </w:tc>
        <w:tc>
          <w:tcPr>
            <w:tcW w:w="1701" w:type="dxa"/>
            <w:vMerge/>
            <w:tcBorders>
              <w:bottom w:val="single" w:sz="12" w:space="0" w:color="212492"/>
            </w:tcBorders>
            <w:vAlign w:val="center"/>
          </w:tcPr>
          <w:p w14:paraId="1AF0D91D" w14:textId="77777777" w:rsidR="0044280B" w:rsidRPr="001A3D3F" w:rsidRDefault="0044280B" w:rsidP="00695EB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A21AA2" w:rsidRPr="001A3D3F" w14:paraId="1AF0D923" w14:textId="77777777" w:rsidTr="00695EB6">
        <w:trPr>
          <w:trHeight w:hRule="exact" w:val="510"/>
        </w:trPr>
        <w:tc>
          <w:tcPr>
            <w:tcW w:w="2823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14:paraId="1AF0D91F" w14:textId="77777777" w:rsidR="00A21AA2" w:rsidRPr="001A3D3F" w:rsidRDefault="00A21AA2" w:rsidP="00A21A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Lokaty, w tym</w:t>
            </w:r>
            <w:r w:rsidRPr="001A3D3F">
              <w:rPr>
                <w:sz w:val="16"/>
                <w:szCs w:val="16"/>
              </w:rPr>
              <w:t>: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14:paraId="1AF0D920" w14:textId="77777777" w:rsidR="00A21AA2" w:rsidRPr="001A3D3F" w:rsidRDefault="00A21AA2" w:rsidP="00A21AA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266 111,1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14:paraId="1AF0D921" w14:textId="77777777" w:rsidR="00A21AA2" w:rsidRPr="001A3D3F" w:rsidRDefault="00312104" w:rsidP="00A21AA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281 258,4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14:paraId="1AF0D922" w14:textId="77777777" w:rsidR="00A21AA2" w:rsidRPr="001A3D3F" w:rsidRDefault="00F84B31" w:rsidP="00A21AA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105,7</w:t>
            </w:r>
          </w:p>
        </w:tc>
      </w:tr>
      <w:tr w:rsidR="00A21AA2" w:rsidRPr="001A3D3F" w14:paraId="1AF0D928" w14:textId="77777777" w:rsidTr="00695EB6">
        <w:trPr>
          <w:trHeight w:hRule="exact" w:val="510"/>
        </w:trPr>
        <w:tc>
          <w:tcPr>
            <w:tcW w:w="2823" w:type="dxa"/>
            <w:tcBorders>
              <w:top w:val="single" w:sz="4" w:space="0" w:color="212492"/>
            </w:tcBorders>
            <w:vAlign w:val="center"/>
          </w:tcPr>
          <w:p w14:paraId="1AF0D924" w14:textId="77777777" w:rsidR="00A21AA2" w:rsidRPr="001A3D3F" w:rsidRDefault="00A21AA2" w:rsidP="00A21A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Akcje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14:paraId="1AF0D925" w14:textId="77777777" w:rsidR="00A21AA2" w:rsidRPr="001A3D3F" w:rsidRDefault="00A21AA2" w:rsidP="00A21AA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72 425,3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14:paraId="1AF0D926" w14:textId="77777777" w:rsidR="00A21AA2" w:rsidRPr="001A3D3F" w:rsidRDefault="00312104" w:rsidP="00A21AA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54 422,6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14:paraId="1AF0D927" w14:textId="77777777" w:rsidR="00A21AA2" w:rsidRPr="001A3D3F" w:rsidRDefault="00F84B31" w:rsidP="00A21AA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75,1</w:t>
            </w:r>
          </w:p>
        </w:tc>
      </w:tr>
      <w:tr w:rsidR="00A21AA2" w:rsidRPr="001A3D3F" w14:paraId="1AF0D92D" w14:textId="77777777" w:rsidTr="00695EB6">
        <w:trPr>
          <w:trHeight w:hRule="exact" w:val="510"/>
        </w:trPr>
        <w:tc>
          <w:tcPr>
            <w:tcW w:w="2823" w:type="dxa"/>
            <w:vAlign w:val="center"/>
          </w:tcPr>
          <w:p w14:paraId="1AF0D929" w14:textId="77777777" w:rsidR="00A21AA2" w:rsidRPr="001A3D3F" w:rsidRDefault="00A21AA2" w:rsidP="00A21AA2">
            <w:pPr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Dłużne papiery wartościowe</w:t>
            </w:r>
          </w:p>
        </w:tc>
        <w:tc>
          <w:tcPr>
            <w:tcW w:w="1701" w:type="dxa"/>
            <w:vAlign w:val="bottom"/>
          </w:tcPr>
          <w:p w14:paraId="1AF0D92A" w14:textId="77777777" w:rsidR="00A21AA2" w:rsidRPr="001A3D3F" w:rsidRDefault="00A21AA2" w:rsidP="00A21AA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134 848,4</w:t>
            </w:r>
          </w:p>
        </w:tc>
        <w:tc>
          <w:tcPr>
            <w:tcW w:w="1701" w:type="dxa"/>
            <w:vAlign w:val="bottom"/>
          </w:tcPr>
          <w:p w14:paraId="1AF0D92B" w14:textId="77777777" w:rsidR="00A21AA2" w:rsidRPr="001A3D3F" w:rsidRDefault="00312104" w:rsidP="00A21AA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165 022,2</w:t>
            </w:r>
          </w:p>
        </w:tc>
        <w:tc>
          <w:tcPr>
            <w:tcW w:w="1701" w:type="dxa"/>
            <w:vAlign w:val="bottom"/>
          </w:tcPr>
          <w:p w14:paraId="1AF0D92C" w14:textId="77777777" w:rsidR="00A21AA2" w:rsidRPr="001A3D3F" w:rsidRDefault="00F84B31" w:rsidP="00A21AA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122,4</w:t>
            </w:r>
          </w:p>
        </w:tc>
      </w:tr>
      <w:tr w:rsidR="00A21AA2" w:rsidRPr="001A3D3F" w14:paraId="1AF0D932" w14:textId="77777777" w:rsidTr="00695EB6">
        <w:trPr>
          <w:trHeight w:hRule="exact" w:val="510"/>
        </w:trPr>
        <w:tc>
          <w:tcPr>
            <w:tcW w:w="2823" w:type="dxa"/>
            <w:vAlign w:val="center"/>
          </w:tcPr>
          <w:p w14:paraId="1AF0D92E" w14:textId="77777777" w:rsidR="00A21AA2" w:rsidRPr="001A3D3F" w:rsidRDefault="00A21AA2" w:rsidP="00A21A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    Wierzytelności</w:t>
            </w:r>
          </w:p>
        </w:tc>
        <w:tc>
          <w:tcPr>
            <w:tcW w:w="1701" w:type="dxa"/>
            <w:vAlign w:val="bottom"/>
          </w:tcPr>
          <w:p w14:paraId="1AF0D92F" w14:textId="77777777" w:rsidR="00A21AA2" w:rsidRPr="001A3D3F" w:rsidRDefault="00A21AA2" w:rsidP="00A21AA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18 801,8</w:t>
            </w:r>
          </w:p>
        </w:tc>
        <w:tc>
          <w:tcPr>
            <w:tcW w:w="1701" w:type="dxa"/>
            <w:vAlign w:val="bottom"/>
          </w:tcPr>
          <w:p w14:paraId="1AF0D930" w14:textId="77777777" w:rsidR="00A21AA2" w:rsidRPr="001A3D3F" w:rsidRDefault="007C3ECD" w:rsidP="00A21AA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14 290,8</w:t>
            </w:r>
          </w:p>
        </w:tc>
        <w:tc>
          <w:tcPr>
            <w:tcW w:w="1701" w:type="dxa"/>
            <w:vAlign w:val="bottom"/>
          </w:tcPr>
          <w:p w14:paraId="1AF0D931" w14:textId="77777777" w:rsidR="00A21AA2" w:rsidRPr="001A3D3F" w:rsidRDefault="00F84B31" w:rsidP="00A21AA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76,0</w:t>
            </w:r>
          </w:p>
        </w:tc>
      </w:tr>
      <w:tr w:rsidR="00A21AA2" w:rsidRPr="001A3D3F" w14:paraId="1AF0D937" w14:textId="77777777" w:rsidTr="0044280B">
        <w:trPr>
          <w:trHeight w:hRule="exact" w:val="1201"/>
        </w:trPr>
        <w:tc>
          <w:tcPr>
            <w:tcW w:w="2823" w:type="dxa"/>
            <w:vAlign w:val="center"/>
          </w:tcPr>
          <w:p w14:paraId="1AF0D933" w14:textId="77777777" w:rsidR="00A21AA2" w:rsidRPr="001A3D3F" w:rsidRDefault="00A21AA2" w:rsidP="00A21AA2">
            <w:pPr>
              <w:ind w:left="1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Tytuły uczestnictwa emitowane przez instytucje wspólnego inwestowania mające siedzibę za granicą</w:t>
            </w:r>
          </w:p>
        </w:tc>
        <w:tc>
          <w:tcPr>
            <w:tcW w:w="1701" w:type="dxa"/>
            <w:vAlign w:val="bottom"/>
          </w:tcPr>
          <w:p w14:paraId="1AF0D934" w14:textId="77777777" w:rsidR="00A21AA2" w:rsidRPr="001A3D3F" w:rsidRDefault="00A21AA2" w:rsidP="00A21AA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12 065,3</w:t>
            </w:r>
          </w:p>
        </w:tc>
        <w:tc>
          <w:tcPr>
            <w:tcW w:w="1701" w:type="dxa"/>
            <w:vAlign w:val="bottom"/>
          </w:tcPr>
          <w:p w14:paraId="1AF0D935" w14:textId="77777777" w:rsidR="00A21AA2" w:rsidRPr="001A3D3F" w:rsidRDefault="007C3ECD" w:rsidP="00A21AA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18 423,7</w:t>
            </w:r>
          </w:p>
        </w:tc>
        <w:tc>
          <w:tcPr>
            <w:tcW w:w="1701" w:type="dxa"/>
            <w:vAlign w:val="bottom"/>
          </w:tcPr>
          <w:p w14:paraId="1AF0D936" w14:textId="77777777" w:rsidR="00A21AA2" w:rsidRPr="001A3D3F" w:rsidRDefault="00F84B31" w:rsidP="00A21AA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152,7</w:t>
            </w:r>
          </w:p>
        </w:tc>
      </w:tr>
      <w:tr w:rsidR="00A21AA2" w:rsidRPr="001A3D3F" w14:paraId="1AF0D93C" w14:textId="77777777" w:rsidTr="00695EB6">
        <w:trPr>
          <w:trHeight w:hRule="exact" w:val="510"/>
        </w:trPr>
        <w:tc>
          <w:tcPr>
            <w:tcW w:w="2823" w:type="dxa"/>
            <w:vAlign w:val="center"/>
          </w:tcPr>
          <w:p w14:paraId="1AF0D938" w14:textId="77777777" w:rsidR="00A21AA2" w:rsidRPr="001A3D3F" w:rsidRDefault="00A21AA2" w:rsidP="00A21A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Depozyty</w:t>
            </w:r>
          </w:p>
        </w:tc>
        <w:tc>
          <w:tcPr>
            <w:tcW w:w="1701" w:type="dxa"/>
            <w:vAlign w:val="bottom"/>
          </w:tcPr>
          <w:p w14:paraId="1AF0D939" w14:textId="77777777" w:rsidR="00A21AA2" w:rsidRPr="001A3D3F" w:rsidRDefault="00A21AA2" w:rsidP="00A21AA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1 726,0</w:t>
            </w:r>
          </w:p>
        </w:tc>
        <w:tc>
          <w:tcPr>
            <w:tcW w:w="1701" w:type="dxa"/>
            <w:vAlign w:val="bottom"/>
          </w:tcPr>
          <w:p w14:paraId="1AF0D93A" w14:textId="77777777" w:rsidR="00A21AA2" w:rsidRPr="001A3D3F" w:rsidRDefault="007C3ECD" w:rsidP="00A21AA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1 368,7</w:t>
            </w:r>
          </w:p>
        </w:tc>
        <w:tc>
          <w:tcPr>
            <w:tcW w:w="1701" w:type="dxa"/>
            <w:vAlign w:val="bottom"/>
          </w:tcPr>
          <w:p w14:paraId="1AF0D93B" w14:textId="77777777" w:rsidR="00A21AA2" w:rsidRPr="001A3D3F" w:rsidRDefault="00F84B31" w:rsidP="00A21AA2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79,3</w:t>
            </w:r>
          </w:p>
        </w:tc>
      </w:tr>
    </w:tbl>
    <w:p w14:paraId="1AF0D93D" w14:textId="77777777" w:rsidR="002E3B0A" w:rsidRDefault="00EC7F75" w:rsidP="00AE2F97">
      <w:pPr>
        <w:rPr>
          <w:lang w:eastAsia="pl-PL"/>
        </w:rPr>
      </w:pPr>
      <w:r w:rsidRPr="00882791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6240" behindDoc="1" locked="0" layoutInCell="1" allowOverlap="1" wp14:anchorId="1AF0D996" wp14:editId="1AF0D997">
                <wp:simplePos x="0" y="0"/>
                <wp:positionH relativeFrom="column">
                  <wp:posOffset>5229225</wp:posOffset>
                </wp:positionH>
                <wp:positionV relativeFrom="paragraph">
                  <wp:posOffset>1457960</wp:posOffset>
                </wp:positionV>
                <wp:extent cx="1725295" cy="1227455"/>
                <wp:effectExtent l="0" t="0" r="0" b="0"/>
                <wp:wrapTight wrapText="bothSides">
                  <wp:wrapPolygon edited="0">
                    <wp:start x="715" y="0"/>
                    <wp:lineTo x="715" y="21120"/>
                    <wp:lineTo x="20749" y="21120"/>
                    <wp:lineTo x="20749" y="0"/>
                    <wp:lineTo x="715" y="0"/>
                  </wp:wrapPolygon>
                </wp:wrapTight>
                <wp:docPr id="20" name="Pole tekstow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27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0D9C9" w14:textId="77777777" w:rsidR="009A79F0" w:rsidRPr="00074DD8" w:rsidRDefault="00575C1E" w:rsidP="009A79F0">
                            <w:pPr>
                              <w:pStyle w:val="tekstzboku"/>
                            </w:pPr>
                            <w:r w:rsidRPr="00ED777E">
                              <w:t xml:space="preserve">W </w:t>
                            </w:r>
                            <w:r w:rsidR="00A07FED">
                              <w:t>I półroczu 2021</w:t>
                            </w:r>
                            <w:r w:rsidR="009A79F0" w:rsidRPr="00ED777E">
                              <w:t> r. przychody z lokat funduszy inwestycyjnych wy</w:t>
                            </w:r>
                            <w:r w:rsidR="00A07FED">
                              <w:t>niosły 4,1</w:t>
                            </w:r>
                            <w:r w:rsidR="009A79F0" w:rsidRPr="00ED777E">
                              <w:t xml:space="preserve"> mld zł.</w:t>
                            </w:r>
                          </w:p>
                          <w:p w14:paraId="1AF0D9CA" w14:textId="77777777" w:rsidR="009A79F0" w:rsidRPr="00D616D2" w:rsidRDefault="009A79F0" w:rsidP="009A79F0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0D996" id="Pole tekstowe 20" o:spid="_x0000_s1033" type="#_x0000_t202" style="position:absolute;margin-left:411.75pt;margin-top:114.8pt;width:135.85pt;height:96.65pt;z-index:-251530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" filled="f" stroked="f">
                <v:textbox>
                  <w:txbxContent>
                    <w:p w14:paraId="1AF0D9C9" w14:textId="77777777" w:rsidR="009A79F0" w:rsidRPr="00074DD8" w:rsidRDefault="00575C1E" w:rsidP="009A79F0">
                      <w:pPr>
                        <w:pStyle w:val="tekstzboku"/>
                      </w:pPr>
                      <w:r w:rsidRPr="00ED777E">
                        <w:t xml:space="preserve">W </w:t>
                      </w:r>
                      <w:r w:rsidR="00A07FED">
                        <w:t>I półroczu 2021</w:t>
                      </w:r>
                      <w:r w:rsidR="009A79F0" w:rsidRPr="00ED777E">
                        <w:t> r. przychody z lokat funduszy inwestycyjnych wy</w:t>
                      </w:r>
                      <w:r w:rsidR="00A07FED">
                        <w:t>niosły 4,1</w:t>
                      </w:r>
                      <w:r w:rsidR="009A79F0" w:rsidRPr="00ED777E">
                        <w:t xml:space="preserve"> mld zł.</w:t>
                      </w:r>
                    </w:p>
                    <w:p w14:paraId="1AF0D9CA" w14:textId="77777777" w:rsidR="009A79F0" w:rsidRPr="00D616D2" w:rsidRDefault="009A79F0" w:rsidP="009A79F0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A79F0" w:rsidRPr="00882791">
        <w:rPr>
          <w:lang w:eastAsia="pl-PL"/>
        </w:rPr>
        <w:t xml:space="preserve">Przychody z lokat funduszy inwestycyjnych w </w:t>
      </w:r>
      <w:r w:rsidR="003C31B1" w:rsidRPr="00882791">
        <w:rPr>
          <w:lang w:eastAsia="pl-PL"/>
        </w:rPr>
        <w:t>I półroczu 2021</w:t>
      </w:r>
      <w:r w:rsidR="009A79F0" w:rsidRPr="00882791">
        <w:rPr>
          <w:lang w:eastAsia="pl-PL"/>
        </w:rPr>
        <w:t> </w:t>
      </w:r>
      <w:r w:rsidR="003C31B1" w:rsidRPr="00882791">
        <w:rPr>
          <w:lang w:eastAsia="pl-PL"/>
        </w:rPr>
        <w:t>r. wyniosły 4 141,8</w:t>
      </w:r>
      <w:r w:rsidR="009A79F0" w:rsidRPr="00882791">
        <w:rPr>
          <w:lang w:eastAsia="pl-PL"/>
        </w:rPr>
        <w:t xml:space="preserve"> mln </w:t>
      </w:r>
      <w:r w:rsidR="003C31B1" w:rsidRPr="00882791">
        <w:rPr>
          <w:lang w:eastAsia="pl-PL"/>
        </w:rPr>
        <w:t>zł (o 8,5% mni</w:t>
      </w:r>
      <w:r w:rsidR="009A79F0" w:rsidRPr="00882791">
        <w:rPr>
          <w:lang w:eastAsia="pl-PL"/>
        </w:rPr>
        <w:t>ej niż przed rokiem). Główną ich pozycją były przychody odsetkowe,</w:t>
      </w:r>
      <w:r w:rsidR="00E02F86" w:rsidRPr="00882791">
        <w:rPr>
          <w:lang w:eastAsia="pl-PL"/>
        </w:rPr>
        <w:t xml:space="preserve"> które osiągnęły wartość 1</w:t>
      </w:r>
      <w:r w:rsidR="00EC6B16" w:rsidRPr="00882791">
        <w:rPr>
          <w:lang w:eastAsia="pl-PL"/>
        </w:rPr>
        <w:t> 754</w:t>
      </w:r>
      <w:r w:rsidR="00376BB5" w:rsidRPr="00882791">
        <w:rPr>
          <w:lang w:eastAsia="pl-PL"/>
        </w:rPr>
        <w:t>,5</w:t>
      </w:r>
      <w:r w:rsidR="009A79F0" w:rsidRPr="00882791">
        <w:rPr>
          <w:lang w:eastAsia="pl-PL"/>
        </w:rPr>
        <w:t>mln </w:t>
      </w:r>
      <w:r w:rsidR="00EC6B16" w:rsidRPr="00882791">
        <w:rPr>
          <w:lang w:eastAsia="pl-PL"/>
        </w:rPr>
        <w:t>zł i stanowiły 42,4</w:t>
      </w:r>
      <w:r w:rsidR="009A79F0" w:rsidRPr="00882791">
        <w:rPr>
          <w:lang w:eastAsia="pl-PL"/>
        </w:rPr>
        <w:t>% przychodów z lokat. Dywidendy i inne udziały w zyskach wynios</w:t>
      </w:r>
      <w:r w:rsidR="007A2613" w:rsidRPr="00882791">
        <w:rPr>
          <w:lang w:eastAsia="pl-PL"/>
        </w:rPr>
        <w:t>ł</w:t>
      </w:r>
      <w:r w:rsidR="007C4A2D" w:rsidRPr="00882791">
        <w:rPr>
          <w:lang w:eastAsia="pl-PL"/>
        </w:rPr>
        <w:t>y 498,9</w:t>
      </w:r>
      <w:r w:rsidR="009A79F0" w:rsidRPr="00882791">
        <w:rPr>
          <w:lang w:eastAsia="pl-PL"/>
        </w:rPr>
        <w:t xml:space="preserve"> mln </w:t>
      </w:r>
      <w:r w:rsidR="007C4A2D" w:rsidRPr="00882791">
        <w:rPr>
          <w:lang w:eastAsia="pl-PL"/>
        </w:rPr>
        <w:t>zł (456,4</w:t>
      </w:r>
      <w:r w:rsidR="009A79F0" w:rsidRPr="00882791">
        <w:rPr>
          <w:lang w:eastAsia="pl-PL"/>
        </w:rPr>
        <w:t xml:space="preserve"> mln zł przed rokiem). Wynagrodzenia dla towarzystw zarządzających funduszami wynio</w:t>
      </w:r>
      <w:r w:rsidR="008D6E22" w:rsidRPr="00882791">
        <w:rPr>
          <w:lang w:eastAsia="pl-PL"/>
        </w:rPr>
        <w:t>sły 1 746,5</w:t>
      </w:r>
      <w:r w:rsidR="009A79F0" w:rsidRPr="00882791">
        <w:rPr>
          <w:lang w:eastAsia="pl-PL"/>
        </w:rPr>
        <w:t xml:space="preserve"> mln zł (</w:t>
      </w:r>
      <w:r w:rsidR="008D6E22" w:rsidRPr="00882791">
        <w:rPr>
          <w:lang w:eastAsia="pl-PL"/>
        </w:rPr>
        <w:t>1 562,7</w:t>
      </w:r>
      <w:r w:rsidR="0060363F" w:rsidRPr="00882791">
        <w:rPr>
          <w:lang w:eastAsia="pl-PL"/>
        </w:rPr>
        <w:t xml:space="preserve"> mln zł</w:t>
      </w:r>
      <w:r w:rsidR="009A79F0" w:rsidRPr="00882791">
        <w:rPr>
          <w:lang w:eastAsia="pl-PL"/>
        </w:rPr>
        <w:t xml:space="preserve"> przed rokiem). Koszty netto funduszy inwestycyjnych, po uwzględnieniu kosztów pokrywanych przez towarzystwo, wynio</w:t>
      </w:r>
      <w:r w:rsidR="00A9774A" w:rsidRPr="00882791">
        <w:rPr>
          <w:lang w:eastAsia="pl-PL"/>
        </w:rPr>
        <w:t>sły 2</w:t>
      </w:r>
      <w:r w:rsidR="00CF7B87">
        <w:rPr>
          <w:lang w:eastAsia="pl-PL"/>
        </w:rPr>
        <w:t> </w:t>
      </w:r>
      <w:r w:rsidR="00A9774A" w:rsidRPr="00882791">
        <w:rPr>
          <w:lang w:eastAsia="pl-PL"/>
        </w:rPr>
        <w:t>557</w:t>
      </w:r>
      <w:r w:rsidR="00CF7B87">
        <w:rPr>
          <w:lang w:eastAsia="pl-PL"/>
        </w:rPr>
        <w:t>,4 mln zł i były niższe o 0,1% iż rok wcześniej.</w:t>
      </w:r>
    </w:p>
    <w:p w14:paraId="1AF0D93E" w14:textId="77777777" w:rsidR="009A79F0" w:rsidRPr="001A3D3F" w:rsidRDefault="00153655" w:rsidP="00AE2F97">
      <w:pPr>
        <w:rPr>
          <w:lang w:eastAsia="pl-PL"/>
        </w:rPr>
      </w:pPr>
      <w:r w:rsidRPr="00882791">
        <w:rPr>
          <w:lang w:eastAsia="pl-PL"/>
        </w:rPr>
        <w:t xml:space="preserve">Fundusze inwestycyjne w </w:t>
      </w:r>
      <w:r w:rsidR="00B12C73" w:rsidRPr="00882791">
        <w:rPr>
          <w:lang w:eastAsia="pl-PL"/>
        </w:rPr>
        <w:t>I połowie 2021 r. wykazały dodatni</w:t>
      </w:r>
      <w:r w:rsidR="009A79F0" w:rsidRPr="00882791">
        <w:rPr>
          <w:lang w:eastAsia="pl-PL"/>
        </w:rPr>
        <w:t xml:space="preserve"> wynik z operacji w kwo</w:t>
      </w:r>
      <w:r w:rsidR="00825BFF" w:rsidRPr="00882791">
        <w:rPr>
          <w:lang w:eastAsia="pl-PL"/>
        </w:rPr>
        <w:t xml:space="preserve">cie          </w:t>
      </w:r>
      <w:r w:rsidR="00E22AC9" w:rsidRPr="00177AD1">
        <w:rPr>
          <w:lang w:eastAsia="pl-PL"/>
        </w:rPr>
        <w:t>10 518,3</w:t>
      </w:r>
      <w:r w:rsidR="00825BFF" w:rsidRPr="00177AD1">
        <w:rPr>
          <w:lang w:eastAsia="pl-PL"/>
        </w:rPr>
        <w:t xml:space="preserve"> </w:t>
      </w:r>
      <w:r w:rsidR="009A79F0" w:rsidRPr="00882791">
        <w:rPr>
          <w:lang w:eastAsia="pl-PL"/>
        </w:rPr>
        <w:t>mln </w:t>
      </w:r>
      <w:r w:rsidRPr="00882791">
        <w:rPr>
          <w:lang w:eastAsia="pl-PL"/>
        </w:rPr>
        <w:t>zł (</w:t>
      </w:r>
      <w:r w:rsidR="00451E0A">
        <w:rPr>
          <w:lang w:eastAsia="pl-PL"/>
        </w:rPr>
        <w:t xml:space="preserve">rok wcześniej wykazały stratę </w:t>
      </w:r>
      <w:r w:rsidR="00B12C73" w:rsidRPr="00882791">
        <w:rPr>
          <w:lang w:eastAsia="pl-PL"/>
        </w:rPr>
        <w:t>2</w:t>
      </w:r>
      <w:r w:rsidR="00E22AC9" w:rsidRPr="00882791">
        <w:rPr>
          <w:lang w:eastAsia="pl-PL"/>
        </w:rPr>
        <w:t xml:space="preserve"> 293</w:t>
      </w:r>
      <w:r w:rsidR="00B12C73" w:rsidRPr="00882791">
        <w:rPr>
          <w:lang w:eastAsia="pl-PL"/>
        </w:rPr>
        <w:t>,</w:t>
      </w:r>
      <w:r w:rsidR="00E22AC9" w:rsidRPr="00882791">
        <w:rPr>
          <w:lang w:eastAsia="pl-PL"/>
        </w:rPr>
        <w:t xml:space="preserve">7 </w:t>
      </w:r>
      <w:r w:rsidR="005B6B8E" w:rsidRPr="00882791">
        <w:rPr>
          <w:lang w:eastAsia="pl-PL"/>
        </w:rPr>
        <w:t>mln zł</w:t>
      </w:r>
      <w:r w:rsidR="009A79F0" w:rsidRPr="00882791">
        <w:rPr>
          <w:lang w:eastAsia="pl-PL"/>
        </w:rPr>
        <w:t xml:space="preserve">), w tym wynik z operacji funduszy </w:t>
      </w:r>
      <w:r w:rsidR="00032CED" w:rsidRPr="00882791">
        <w:rPr>
          <w:lang w:eastAsia="pl-PL"/>
        </w:rPr>
        <w:t xml:space="preserve">inwestycyjnych </w:t>
      </w:r>
      <w:r w:rsidR="009A79F0" w:rsidRPr="00882791">
        <w:rPr>
          <w:lang w:eastAsia="pl-PL"/>
        </w:rPr>
        <w:t xml:space="preserve">zamkniętych </w:t>
      </w:r>
      <w:r w:rsidR="00EB63D2" w:rsidRPr="005A08F0">
        <w:rPr>
          <w:lang w:eastAsia="pl-PL"/>
        </w:rPr>
        <w:t>5 575,9</w:t>
      </w:r>
      <w:r w:rsidR="00EB63D2" w:rsidRPr="00C301CC">
        <w:rPr>
          <w:rStyle w:val="jlqj4b"/>
          <w:rFonts w:ascii="Calibri" w:hAnsi="Calibri" w:cs="Calibri"/>
        </w:rPr>
        <w:t xml:space="preserve"> </w:t>
      </w:r>
      <w:r w:rsidR="00EB63D2" w:rsidRPr="00451E0A">
        <w:rPr>
          <w:lang w:eastAsia="pl-PL"/>
        </w:rPr>
        <w:t>m</w:t>
      </w:r>
      <w:r w:rsidR="00EB63D2" w:rsidRPr="00882791">
        <w:rPr>
          <w:lang w:eastAsia="pl-PL"/>
        </w:rPr>
        <w:t>ln</w:t>
      </w:r>
      <w:r w:rsidR="0057571D" w:rsidRPr="00882791">
        <w:rPr>
          <w:lang w:eastAsia="pl-PL"/>
        </w:rPr>
        <w:t xml:space="preserve"> zł</w:t>
      </w:r>
      <w:r w:rsidR="00C139F6" w:rsidRPr="00882791">
        <w:rPr>
          <w:lang w:eastAsia="pl-PL"/>
        </w:rPr>
        <w:t xml:space="preserve"> </w:t>
      </w:r>
      <w:r w:rsidR="00D50666" w:rsidRPr="00882791">
        <w:rPr>
          <w:lang w:eastAsia="pl-PL"/>
        </w:rPr>
        <w:t xml:space="preserve">(przed rokiem </w:t>
      </w:r>
      <w:r w:rsidR="00451E0A" w:rsidRPr="00451E0A">
        <w:rPr>
          <w:lang w:eastAsia="pl-PL"/>
        </w:rPr>
        <w:t>strata</w:t>
      </w:r>
      <w:r w:rsidR="00451E0A" w:rsidRPr="00C301CC">
        <w:rPr>
          <w:rStyle w:val="jlqj4b"/>
          <w:rFonts w:ascii="Calibri" w:hAnsi="Calibri" w:cs="Calibri"/>
        </w:rPr>
        <w:t xml:space="preserve"> </w:t>
      </w:r>
      <w:r w:rsidR="00017D05" w:rsidRPr="00C301CC">
        <w:rPr>
          <w:rStyle w:val="jlqj4b"/>
        </w:rPr>
        <w:t>1 423</w:t>
      </w:r>
      <w:r w:rsidR="00D50666" w:rsidRPr="00C301CC">
        <w:rPr>
          <w:rStyle w:val="jlqj4b"/>
        </w:rPr>
        <w:t>,</w:t>
      </w:r>
      <w:r w:rsidR="00017D05" w:rsidRPr="00C301CC">
        <w:rPr>
          <w:rStyle w:val="jlqj4b"/>
        </w:rPr>
        <w:t>7</w:t>
      </w:r>
      <w:r w:rsidR="00D50666" w:rsidRPr="00C301CC">
        <w:rPr>
          <w:rStyle w:val="jlqj4b"/>
        </w:rPr>
        <w:t xml:space="preserve"> </w:t>
      </w:r>
      <w:r w:rsidR="00C139F6" w:rsidRPr="00882791">
        <w:rPr>
          <w:lang w:eastAsia="pl-PL"/>
        </w:rPr>
        <w:t>mln zł)</w:t>
      </w:r>
      <w:r w:rsidR="009A79F0" w:rsidRPr="00882791">
        <w:rPr>
          <w:lang w:eastAsia="pl-PL"/>
        </w:rPr>
        <w:t xml:space="preserve">, funduszy </w:t>
      </w:r>
      <w:r w:rsidR="00032CED" w:rsidRPr="00882791">
        <w:rPr>
          <w:lang w:eastAsia="pl-PL"/>
        </w:rPr>
        <w:t xml:space="preserve">inwestycyjnych </w:t>
      </w:r>
      <w:r w:rsidR="009A79F0" w:rsidRPr="00882791">
        <w:rPr>
          <w:lang w:eastAsia="pl-PL"/>
        </w:rPr>
        <w:t xml:space="preserve">otwartych </w:t>
      </w:r>
      <w:r w:rsidR="00A86459" w:rsidRPr="00A96F44">
        <w:rPr>
          <w:lang w:eastAsia="pl-PL"/>
        </w:rPr>
        <w:t>2 958,8</w:t>
      </w:r>
      <w:r w:rsidR="009F596D" w:rsidRPr="00A96F44">
        <w:rPr>
          <w:lang w:eastAsia="pl-PL"/>
        </w:rPr>
        <w:t xml:space="preserve"> </w:t>
      </w:r>
      <w:r w:rsidRPr="00882791">
        <w:rPr>
          <w:lang w:eastAsia="pl-PL"/>
        </w:rPr>
        <w:t>mln zł</w:t>
      </w:r>
      <w:r w:rsidR="00C139F6" w:rsidRPr="00882791">
        <w:rPr>
          <w:lang w:eastAsia="pl-PL"/>
        </w:rPr>
        <w:t xml:space="preserve"> (pr</w:t>
      </w:r>
      <w:r w:rsidR="0059707E" w:rsidRPr="00882791">
        <w:rPr>
          <w:lang w:eastAsia="pl-PL"/>
        </w:rPr>
        <w:t xml:space="preserve">zed rokiem </w:t>
      </w:r>
      <w:r w:rsidR="00451E0A">
        <w:rPr>
          <w:lang w:eastAsia="pl-PL"/>
        </w:rPr>
        <w:t xml:space="preserve">strata </w:t>
      </w:r>
      <w:r w:rsidR="00A86459" w:rsidRPr="00882791">
        <w:rPr>
          <w:lang w:eastAsia="pl-PL"/>
        </w:rPr>
        <w:t>563,4</w:t>
      </w:r>
      <w:r w:rsidR="00C139F6" w:rsidRPr="00882791">
        <w:rPr>
          <w:lang w:eastAsia="pl-PL"/>
        </w:rPr>
        <w:t xml:space="preserve"> mln zł)</w:t>
      </w:r>
      <w:r w:rsidR="00CE3F40" w:rsidRPr="00882791">
        <w:rPr>
          <w:lang w:eastAsia="pl-PL"/>
        </w:rPr>
        <w:t xml:space="preserve"> </w:t>
      </w:r>
      <w:r w:rsidR="009A79F0" w:rsidRPr="00882791">
        <w:rPr>
          <w:lang w:eastAsia="pl-PL"/>
        </w:rPr>
        <w:t xml:space="preserve">i specjalistycznych </w:t>
      </w:r>
      <w:r w:rsidR="00032CED" w:rsidRPr="00882791">
        <w:rPr>
          <w:lang w:eastAsia="pl-PL"/>
        </w:rPr>
        <w:t xml:space="preserve">funduszy inwestycyjnych </w:t>
      </w:r>
      <w:r w:rsidR="009A79F0" w:rsidRPr="00882791">
        <w:rPr>
          <w:lang w:eastAsia="pl-PL"/>
        </w:rPr>
        <w:t>otwartych</w:t>
      </w:r>
      <w:r w:rsidR="00032CED" w:rsidRPr="00882791">
        <w:rPr>
          <w:lang w:eastAsia="pl-PL"/>
        </w:rPr>
        <w:t xml:space="preserve"> </w:t>
      </w:r>
      <w:r w:rsidR="00CD438A" w:rsidRPr="00C301CC">
        <w:rPr>
          <w:rStyle w:val="jlqj4b"/>
          <w:rFonts w:cs="Calibri"/>
        </w:rPr>
        <w:t>1 983,5</w:t>
      </w:r>
      <w:r w:rsidR="00CE3F40" w:rsidRPr="00C301CC">
        <w:rPr>
          <w:lang w:eastAsia="pl-PL"/>
        </w:rPr>
        <w:t xml:space="preserve"> </w:t>
      </w:r>
      <w:r w:rsidR="00C139F6" w:rsidRPr="00C301CC">
        <w:rPr>
          <w:lang w:eastAsia="pl-PL"/>
        </w:rPr>
        <w:t>mln zł</w:t>
      </w:r>
      <w:r w:rsidR="00C139F6" w:rsidRPr="00882791">
        <w:rPr>
          <w:lang w:eastAsia="pl-PL"/>
        </w:rPr>
        <w:t xml:space="preserve"> (</w:t>
      </w:r>
      <w:r w:rsidR="00451E0A">
        <w:rPr>
          <w:lang w:eastAsia="pl-PL"/>
        </w:rPr>
        <w:t xml:space="preserve">rok wcześniej strata </w:t>
      </w:r>
      <w:r w:rsidR="00CD438A" w:rsidRPr="00882791">
        <w:rPr>
          <w:lang w:eastAsia="pl-PL"/>
        </w:rPr>
        <w:t>306,5</w:t>
      </w:r>
      <w:r w:rsidR="001969D6" w:rsidRPr="00882791">
        <w:rPr>
          <w:lang w:eastAsia="pl-PL"/>
        </w:rPr>
        <w:t xml:space="preserve"> mln zł</w:t>
      </w:r>
      <w:r w:rsidR="00C139F6" w:rsidRPr="00882791">
        <w:rPr>
          <w:lang w:eastAsia="pl-PL"/>
        </w:rPr>
        <w:t>).</w:t>
      </w:r>
    </w:p>
    <w:p w14:paraId="1AF0D93F" w14:textId="77777777" w:rsidR="00341C5B" w:rsidRPr="001A3D3F" w:rsidRDefault="00341C5B" w:rsidP="0002237F">
      <w:pPr>
        <w:jc w:val="both"/>
        <w:rPr>
          <w:shd w:val="clear" w:color="auto" w:fill="FFFFFF"/>
        </w:rPr>
      </w:pPr>
    </w:p>
    <w:p w14:paraId="1AF0D940" w14:textId="77777777" w:rsidR="008C5145" w:rsidRPr="00125A1F" w:rsidRDefault="00EC7F75" w:rsidP="00125A1F">
      <w:pPr>
        <w:spacing w:after="20"/>
        <w:jc w:val="both"/>
        <w:rPr>
          <w:lang w:eastAsia="pl-PL"/>
        </w:rPr>
      </w:pPr>
      <w:r w:rsidRPr="00882791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1AF0D998" wp14:editId="1AF0D999">
                <wp:simplePos x="0" y="0"/>
                <wp:positionH relativeFrom="column">
                  <wp:posOffset>5229225</wp:posOffset>
                </wp:positionH>
                <wp:positionV relativeFrom="paragraph">
                  <wp:posOffset>669290</wp:posOffset>
                </wp:positionV>
                <wp:extent cx="1725295" cy="890270"/>
                <wp:effectExtent l="0" t="0" r="0" b="5080"/>
                <wp:wrapTight wrapText="bothSides">
                  <wp:wrapPolygon edited="0">
                    <wp:start x="715" y="0"/>
                    <wp:lineTo x="715" y="21261"/>
                    <wp:lineTo x="20749" y="21261"/>
                    <wp:lineTo x="20749" y="0"/>
                    <wp:lineTo x="715" y="0"/>
                  </wp:wrapPolygon>
                </wp:wrapTight>
                <wp:docPr id="30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90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0D9CB" w14:textId="77777777" w:rsidR="0040232D" w:rsidRPr="00D616D2" w:rsidRDefault="0040232D" w:rsidP="00B1715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0D998" id="_x0000_s1034" type="#_x0000_t202" style="position:absolute;left:0;text-align:left;margin-left:411.75pt;margin-top:52.7pt;width:135.85pt;height:70.1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" filled="f" stroked="f">
                <v:textbox>
                  <w:txbxContent>
                    <w:p w14:paraId="1AF0D9CB" w14:textId="77777777" w:rsidR="0040232D" w:rsidRPr="00D616D2" w:rsidRDefault="0040232D" w:rsidP="00B1715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C5145" w:rsidRPr="00882791">
        <w:rPr>
          <w:b/>
          <w:spacing w:val="-2"/>
          <w:sz w:val="18"/>
          <w:shd w:val="clear" w:color="auto" w:fill="FFFFFF"/>
        </w:rPr>
        <w:t xml:space="preserve">Tablica </w:t>
      </w:r>
      <w:r w:rsidR="00125A1F" w:rsidRPr="00882791">
        <w:rPr>
          <w:b/>
          <w:spacing w:val="-2"/>
          <w:sz w:val="18"/>
          <w:shd w:val="clear" w:color="auto" w:fill="FFFFFF"/>
        </w:rPr>
        <w:t>4. Wybrane pozycje z rachunku wyniku z operacji</w:t>
      </w:r>
      <w:r w:rsidR="008C5145" w:rsidRPr="00882791">
        <w:rPr>
          <w:b/>
          <w:spacing w:val="-2"/>
          <w:sz w:val="18"/>
          <w:shd w:val="clear" w:color="auto" w:fill="FFFFFF"/>
        </w:rPr>
        <w:t xml:space="preserve"> funduszy inwestycyjnych</w:t>
      </w:r>
    </w:p>
    <w:tbl>
      <w:tblPr>
        <w:tblStyle w:val="Siatkatabelijasna1"/>
        <w:tblpPr w:leftFromText="141" w:rightFromText="141" w:vertAnchor="text" w:horzAnchor="margin" w:tblpY="129"/>
        <w:tblW w:w="7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23"/>
        <w:gridCol w:w="1701"/>
        <w:gridCol w:w="1701"/>
        <w:gridCol w:w="1701"/>
      </w:tblGrid>
      <w:tr w:rsidR="008C5145" w:rsidRPr="001A3D3F" w14:paraId="1AF0D945" w14:textId="77777777" w:rsidTr="00DD2426">
        <w:trPr>
          <w:trHeight w:val="57"/>
        </w:trPr>
        <w:tc>
          <w:tcPr>
            <w:tcW w:w="2823" w:type="dxa"/>
            <w:vMerge w:val="restart"/>
            <w:vAlign w:val="center"/>
          </w:tcPr>
          <w:p w14:paraId="1AF0D941" w14:textId="77777777" w:rsidR="008C5145" w:rsidRPr="001A3D3F" w:rsidRDefault="008C5145" w:rsidP="00DD2426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1A3D3F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701" w:type="dxa"/>
            <w:vAlign w:val="center"/>
          </w:tcPr>
          <w:p w14:paraId="1AF0D942" w14:textId="77777777" w:rsidR="008C5145" w:rsidRPr="001A3D3F" w:rsidRDefault="00F633A5" w:rsidP="00DD242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I półrocze </w:t>
            </w:r>
            <w:r w:rsidR="00DA15D5">
              <w:rPr>
                <w:rFonts w:ascii="Fira Sans" w:hAnsi="Fira Sans"/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1701" w:type="dxa"/>
            <w:vAlign w:val="center"/>
          </w:tcPr>
          <w:p w14:paraId="1AF0D943" w14:textId="77777777" w:rsidR="008C5145" w:rsidRPr="001A3D3F" w:rsidRDefault="00DA15D5" w:rsidP="00DD242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 półrocze 2021</w:t>
            </w:r>
          </w:p>
        </w:tc>
        <w:tc>
          <w:tcPr>
            <w:tcW w:w="1701" w:type="dxa"/>
            <w:vMerge w:val="restart"/>
            <w:vAlign w:val="center"/>
          </w:tcPr>
          <w:p w14:paraId="1AF0D944" w14:textId="77777777" w:rsidR="008C5145" w:rsidRPr="001A3D3F" w:rsidRDefault="00DA15D5" w:rsidP="00DD242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 półrocze 2020</w:t>
            </w:r>
            <w:r w:rsidR="008C5145" w:rsidRPr="001A3D3F">
              <w:rPr>
                <w:rFonts w:ascii="Fira Sans" w:hAnsi="Fira Sans"/>
                <w:color w:val="000000" w:themeColor="text1"/>
                <w:sz w:val="16"/>
                <w:szCs w:val="16"/>
              </w:rPr>
              <w:t>=100</w:t>
            </w:r>
          </w:p>
        </w:tc>
      </w:tr>
      <w:tr w:rsidR="008C5145" w:rsidRPr="001A3D3F" w14:paraId="1AF0D949" w14:textId="77777777" w:rsidTr="00DD2426">
        <w:trPr>
          <w:trHeight w:val="57"/>
        </w:trPr>
        <w:tc>
          <w:tcPr>
            <w:tcW w:w="2823" w:type="dxa"/>
            <w:vMerge/>
            <w:tcBorders>
              <w:bottom w:val="single" w:sz="12" w:space="0" w:color="212492"/>
            </w:tcBorders>
            <w:vAlign w:val="center"/>
          </w:tcPr>
          <w:p w14:paraId="1AF0D946" w14:textId="77777777" w:rsidR="008C5145" w:rsidRPr="001A3D3F" w:rsidRDefault="008C5145" w:rsidP="00DD242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bottom w:val="single" w:sz="12" w:space="0" w:color="212492"/>
            </w:tcBorders>
            <w:vAlign w:val="center"/>
          </w:tcPr>
          <w:p w14:paraId="1AF0D947" w14:textId="77777777" w:rsidR="008C5145" w:rsidRPr="001A3D3F" w:rsidRDefault="008C5145" w:rsidP="00DD242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A3D3F">
              <w:rPr>
                <w:rFonts w:ascii="Fira Sans" w:hAnsi="Fira Sans"/>
                <w:color w:val="000000" w:themeColor="text1"/>
                <w:sz w:val="16"/>
                <w:szCs w:val="16"/>
              </w:rPr>
              <w:t>w mln zł</w:t>
            </w:r>
          </w:p>
        </w:tc>
        <w:tc>
          <w:tcPr>
            <w:tcW w:w="1701" w:type="dxa"/>
            <w:vMerge/>
            <w:tcBorders>
              <w:bottom w:val="single" w:sz="12" w:space="0" w:color="212492"/>
            </w:tcBorders>
            <w:vAlign w:val="center"/>
          </w:tcPr>
          <w:p w14:paraId="1AF0D948" w14:textId="77777777" w:rsidR="008C5145" w:rsidRPr="001A3D3F" w:rsidRDefault="008C5145" w:rsidP="00DD242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9D05B3" w:rsidRPr="001A3D3F" w14:paraId="1AF0D94E" w14:textId="77777777" w:rsidTr="00DD2426">
        <w:trPr>
          <w:trHeight w:hRule="exact" w:val="510"/>
        </w:trPr>
        <w:tc>
          <w:tcPr>
            <w:tcW w:w="2823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14:paraId="1AF0D94A" w14:textId="77777777" w:rsidR="009D05B3" w:rsidRPr="001A3D3F" w:rsidRDefault="009D05B3" w:rsidP="009D05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Przychody z lokat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14:paraId="1AF0D94B" w14:textId="77777777" w:rsidR="009D05B3" w:rsidRPr="001A3D3F" w:rsidRDefault="009D05B3" w:rsidP="009D05B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4 528,2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14:paraId="1AF0D94C" w14:textId="77777777" w:rsidR="009D05B3" w:rsidRPr="001A3D3F" w:rsidRDefault="00A113BD" w:rsidP="009D05B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4 141,8</w:t>
            </w:r>
          </w:p>
        </w:tc>
        <w:tc>
          <w:tcPr>
            <w:tcW w:w="1701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14:paraId="1AF0D94D" w14:textId="77777777" w:rsidR="009D05B3" w:rsidRPr="001A3D3F" w:rsidRDefault="00C60D1C" w:rsidP="009D05B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91,5</w:t>
            </w:r>
          </w:p>
        </w:tc>
      </w:tr>
      <w:tr w:rsidR="009D05B3" w:rsidRPr="001A3D3F" w14:paraId="1AF0D953" w14:textId="77777777" w:rsidTr="00DD2426">
        <w:trPr>
          <w:trHeight w:hRule="exact" w:val="510"/>
        </w:trPr>
        <w:tc>
          <w:tcPr>
            <w:tcW w:w="2823" w:type="dxa"/>
            <w:tcBorders>
              <w:top w:val="single" w:sz="4" w:space="0" w:color="212492"/>
            </w:tcBorders>
            <w:vAlign w:val="center"/>
          </w:tcPr>
          <w:p w14:paraId="1AF0D94F" w14:textId="77777777" w:rsidR="009D05B3" w:rsidRPr="001A3D3F" w:rsidRDefault="009D05B3" w:rsidP="009D05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Koszty funduszu, w tym: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14:paraId="1AF0D950" w14:textId="77777777" w:rsidR="009D05B3" w:rsidRPr="001A3D3F" w:rsidRDefault="009D05B3" w:rsidP="009D05B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2 619,8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14:paraId="1AF0D951" w14:textId="77777777" w:rsidR="009D05B3" w:rsidRPr="001A3D3F" w:rsidRDefault="00A113BD" w:rsidP="009D05B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2 573,4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14:paraId="1AF0D952" w14:textId="77777777" w:rsidR="009D05B3" w:rsidRPr="001A3D3F" w:rsidRDefault="00C60D1C" w:rsidP="009D05B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98,2</w:t>
            </w:r>
          </w:p>
        </w:tc>
      </w:tr>
      <w:tr w:rsidR="009D05B3" w:rsidRPr="001A3D3F" w14:paraId="1AF0D958" w14:textId="77777777" w:rsidTr="00DD2426">
        <w:trPr>
          <w:trHeight w:hRule="exact" w:val="510"/>
        </w:trPr>
        <w:tc>
          <w:tcPr>
            <w:tcW w:w="2823" w:type="dxa"/>
            <w:tcBorders>
              <w:top w:val="single" w:sz="4" w:space="0" w:color="212492"/>
            </w:tcBorders>
            <w:vAlign w:val="center"/>
          </w:tcPr>
          <w:p w14:paraId="1AF0D954" w14:textId="77777777" w:rsidR="009D05B3" w:rsidRDefault="009D05B3" w:rsidP="009D05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Wynagrodzenie dla towarzystwa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14:paraId="1AF0D955" w14:textId="77777777" w:rsidR="009D05B3" w:rsidRDefault="009D05B3" w:rsidP="009D05B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1 562,7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14:paraId="1AF0D956" w14:textId="77777777" w:rsidR="009D05B3" w:rsidRDefault="00A113BD" w:rsidP="009D05B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1 746,5</w:t>
            </w:r>
          </w:p>
        </w:tc>
        <w:tc>
          <w:tcPr>
            <w:tcW w:w="1701" w:type="dxa"/>
            <w:tcBorders>
              <w:top w:val="single" w:sz="4" w:space="0" w:color="212492"/>
            </w:tcBorders>
            <w:vAlign w:val="bottom"/>
          </w:tcPr>
          <w:p w14:paraId="1AF0D957" w14:textId="77777777" w:rsidR="009D05B3" w:rsidRDefault="00C60D1C" w:rsidP="009D05B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111,8</w:t>
            </w:r>
          </w:p>
        </w:tc>
      </w:tr>
      <w:tr w:rsidR="009D05B3" w:rsidRPr="001A3D3F" w14:paraId="1AF0D95D" w14:textId="77777777" w:rsidTr="00125A1F">
        <w:trPr>
          <w:trHeight w:hRule="exact" w:val="769"/>
        </w:trPr>
        <w:tc>
          <w:tcPr>
            <w:tcW w:w="2823" w:type="dxa"/>
            <w:vAlign w:val="center"/>
          </w:tcPr>
          <w:p w14:paraId="1AF0D959" w14:textId="77777777" w:rsidR="009D05B3" w:rsidRPr="001A3D3F" w:rsidRDefault="009D05B3" w:rsidP="009D05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Zrealizowany zysk/strata ze zbycia lokat</w:t>
            </w:r>
          </w:p>
        </w:tc>
        <w:tc>
          <w:tcPr>
            <w:tcW w:w="1701" w:type="dxa"/>
            <w:vAlign w:val="bottom"/>
          </w:tcPr>
          <w:p w14:paraId="1AF0D95A" w14:textId="77777777" w:rsidR="009D05B3" w:rsidRPr="001A3D3F" w:rsidRDefault="009D05B3" w:rsidP="009D05B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-1 525,1</w:t>
            </w:r>
          </w:p>
        </w:tc>
        <w:tc>
          <w:tcPr>
            <w:tcW w:w="1701" w:type="dxa"/>
            <w:vAlign w:val="bottom"/>
          </w:tcPr>
          <w:p w14:paraId="1AF0D95B" w14:textId="77777777" w:rsidR="009D05B3" w:rsidRPr="001A3D3F" w:rsidRDefault="00A113BD" w:rsidP="009D05B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3 679,7</w:t>
            </w:r>
          </w:p>
        </w:tc>
        <w:tc>
          <w:tcPr>
            <w:tcW w:w="1701" w:type="dxa"/>
            <w:vAlign w:val="bottom"/>
          </w:tcPr>
          <w:p w14:paraId="1AF0D95C" w14:textId="77777777" w:rsidR="009D05B3" w:rsidRPr="001A3D3F" w:rsidRDefault="00C60D1C" w:rsidP="009D05B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</w:p>
        </w:tc>
      </w:tr>
      <w:tr w:rsidR="009D05B3" w:rsidRPr="001A3D3F" w14:paraId="1AF0D962" w14:textId="77777777" w:rsidTr="00DD2426">
        <w:trPr>
          <w:trHeight w:hRule="exact" w:val="510"/>
        </w:trPr>
        <w:tc>
          <w:tcPr>
            <w:tcW w:w="2823" w:type="dxa"/>
            <w:vAlign w:val="center"/>
          </w:tcPr>
          <w:p w14:paraId="1AF0D95E" w14:textId="77777777" w:rsidR="009D05B3" w:rsidRPr="001A3D3F" w:rsidRDefault="009D05B3" w:rsidP="009D05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Wynik z operacji</w:t>
            </w:r>
          </w:p>
        </w:tc>
        <w:tc>
          <w:tcPr>
            <w:tcW w:w="1701" w:type="dxa"/>
            <w:vAlign w:val="bottom"/>
          </w:tcPr>
          <w:p w14:paraId="1AF0D95F" w14:textId="77777777" w:rsidR="009D05B3" w:rsidRPr="001A3D3F" w:rsidRDefault="009D05B3" w:rsidP="009D05B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-2 293,7</w:t>
            </w:r>
          </w:p>
        </w:tc>
        <w:tc>
          <w:tcPr>
            <w:tcW w:w="1701" w:type="dxa"/>
            <w:vAlign w:val="bottom"/>
          </w:tcPr>
          <w:p w14:paraId="1AF0D960" w14:textId="77777777" w:rsidR="009D05B3" w:rsidRPr="001A3D3F" w:rsidRDefault="00A113BD" w:rsidP="009D05B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10 518,3</w:t>
            </w:r>
          </w:p>
        </w:tc>
        <w:tc>
          <w:tcPr>
            <w:tcW w:w="1701" w:type="dxa"/>
            <w:vAlign w:val="bottom"/>
          </w:tcPr>
          <w:p w14:paraId="1AF0D961" w14:textId="77777777" w:rsidR="009D05B3" w:rsidRPr="001A3D3F" w:rsidRDefault="00C60D1C" w:rsidP="009D05B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</w:p>
        </w:tc>
      </w:tr>
    </w:tbl>
    <w:p w14:paraId="1AF0D963" w14:textId="77777777" w:rsidR="00392D35" w:rsidRPr="00271812" w:rsidRDefault="00392D35" w:rsidP="00320E0F">
      <w:pPr>
        <w:rPr>
          <w:lang w:eastAsia="pl-PL"/>
        </w:rPr>
      </w:pPr>
    </w:p>
    <w:p w14:paraId="1AF0D964" w14:textId="77777777" w:rsidR="00BC243A" w:rsidRDefault="00BC243A" w:rsidP="00E76D26">
      <w:pPr>
        <w:rPr>
          <w:shd w:val="clear" w:color="auto" w:fill="FFFFFF"/>
        </w:rPr>
      </w:pPr>
    </w:p>
    <w:p w14:paraId="1AF0D965" w14:textId="77777777" w:rsidR="00BC243A" w:rsidRDefault="00BC243A" w:rsidP="00BC243A">
      <w:pPr>
        <w:jc w:val="both"/>
        <w:rPr>
          <w:lang w:eastAsia="pl-PL"/>
        </w:rPr>
      </w:pPr>
      <w:r>
        <w:rPr>
          <w:lang w:eastAsia="pl-PL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1AF0D966" w14:textId="77777777" w:rsidR="00821AE4" w:rsidRDefault="00821AE4" w:rsidP="00BC243A">
      <w:pPr>
        <w:jc w:val="both"/>
        <w:rPr>
          <w:lang w:eastAsia="pl-PL"/>
        </w:rPr>
      </w:pPr>
    </w:p>
    <w:p w14:paraId="1AF0D967" w14:textId="77777777" w:rsidR="00821AE4" w:rsidRDefault="00821AE4" w:rsidP="00BC243A">
      <w:pPr>
        <w:jc w:val="both"/>
        <w:rPr>
          <w:lang w:eastAsia="pl-PL"/>
        </w:rPr>
      </w:pPr>
    </w:p>
    <w:p w14:paraId="1AF0D968" w14:textId="77777777" w:rsidR="00821AE4" w:rsidRDefault="00821AE4" w:rsidP="00BC243A">
      <w:pPr>
        <w:jc w:val="both"/>
        <w:rPr>
          <w:lang w:eastAsia="pl-PL"/>
        </w:rPr>
      </w:pPr>
      <w:r>
        <w:rPr>
          <w:lang w:eastAsia="pl-PL"/>
        </w:rPr>
        <w:t>Niniejszą informację opracowano na podstawie danych otrzymanych 15.09.2021 r. z Urzędu Komisji Nadzoru Finansowego.</w:t>
      </w:r>
    </w:p>
    <w:p w14:paraId="1AF0D969" w14:textId="77777777" w:rsidR="00BC243A" w:rsidRDefault="00BC243A" w:rsidP="00BC243A">
      <w:pPr>
        <w:rPr>
          <w:lang w:eastAsia="pl-PL"/>
        </w:rPr>
      </w:pPr>
    </w:p>
    <w:p w14:paraId="1AF0D96A" w14:textId="77777777" w:rsidR="00BC243A" w:rsidRPr="001A3D3F" w:rsidRDefault="00BC243A" w:rsidP="00E76D26">
      <w:pPr>
        <w:rPr>
          <w:shd w:val="clear" w:color="auto" w:fill="FFFFFF"/>
        </w:rPr>
        <w:sectPr w:rsidR="00BC243A" w:rsidRPr="001A3D3F" w:rsidSect="00EC722E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39" w:code="9"/>
          <w:pgMar w:top="720" w:right="3119" w:bottom="720" w:left="720" w:header="284" w:footer="284" w:gutter="0"/>
          <w:cols w:space="708"/>
          <w:titlePg/>
          <w:docGrid w:linePitch="360"/>
        </w:sectPr>
      </w:pPr>
    </w:p>
    <w:p w14:paraId="1AF0D96B" w14:textId="77777777" w:rsidR="000470AA" w:rsidRPr="001A3D3F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0470AA" w:rsidRPr="00C301CC" w14:paraId="1AF0D976" w14:textId="77777777" w:rsidTr="00E23337">
        <w:trPr>
          <w:trHeight w:val="1912"/>
        </w:trPr>
        <w:tc>
          <w:tcPr>
            <w:tcW w:w="4379" w:type="dxa"/>
          </w:tcPr>
          <w:p w14:paraId="1AF0D96C" w14:textId="77777777" w:rsidR="000470AA" w:rsidRPr="00766E54" w:rsidRDefault="000470AA" w:rsidP="00E23337">
            <w:pPr>
              <w:spacing w:before="0" w:after="0" w:line="276" w:lineRule="auto"/>
              <w:rPr>
                <w:rFonts w:cs="Arial"/>
                <w:sz w:val="20"/>
              </w:rPr>
            </w:pPr>
            <w:r w:rsidRPr="00766E54">
              <w:rPr>
                <w:rFonts w:cs="Arial"/>
                <w:sz w:val="20"/>
              </w:rPr>
              <w:t>Opracowanie merytoryczne:</w:t>
            </w:r>
          </w:p>
          <w:p w14:paraId="1AF0D96D" w14:textId="77777777" w:rsidR="000470AA" w:rsidRPr="00766E54" w:rsidRDefault="000470AA" w:rsidP="00D00796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 w:rsidRPr="00766E54">
              <w:rPr>
                <w:rFonts w:cs="Arial"/>
                <w:b/>
                <w:sz w:val="20"/>
              </w:rPr>
              <w:t xml:space="preserve">Departament </w:t>
            </w:r>
            <w:r w:rsidR="00155873" w:rsidRPr="00766E54">
              <w:rPr>
                <w:rFonts w:cs="Arial"/>
                <w:b/>
                <w:sz w:val="20"/>
              </w:rPr>
              <w:t>Studiów Makroekonomicznych i Finansów</w:t>
            </w:r>
          </w:p>
          <w:p w14:paraId="1AF0D96E" w14:textId="77777777" w:rsidR="000470AA" w:rsidRPr="00766E54" w:rsidRDefault="004A3EE5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 xml:space="preserve">Dyrektor Mirosław Błażej </w:t>
            </w:r>
          </w:p>
          <w:p w14:paraId="1AF0D96F" w14:textId="77777777" w:rsidR="000470AA" w:rsidRPr="00766E54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766E54">
              <w:rPr>
                <w:rFonts w:ascii="Fira Sans" w:hAnsi="Fira Sans" w:cs="Arial"/>
                <w:color w:val="auto"/>
                <w:sz w:val="20"/>
                <w:lang w:val="fi-FI"/>
              </w:rPr>
              <w:t>Tel: 22 </w:t>
            </w:r>
            <w:r w:rsidR="00155873" w:rsidRPr="00766E54">
              <w:rPr>
                <w:rFonts w:ascii="Fira Sans" w:hAnsi="Fira Sans" w:cs="Arial"/>
                <w:color w:val="auto"/>
                <w:sz w:val="20"/>
                <w:lang w:val="fi-FI"/>
              </w:rPr>
              <w:t>6083</w:t>
            </w:r>
            <w:r w:rsidR="00D869D9" w:rsidRPr="00766E54">
              <w:rPr>
                <w:rFonts w:ascii="Fira Sans" w:hAnsi="Fira Sans" w:cs="Arial"/>
                <w:color w:val="auto"/>
                <w:sz w:val="20"/>
                <w:lang w:val="fi-FI"/>
              </w:rPr>
              <w:t>7</w:t>
            </w:r>
            <w:r w:rsidR="004A3EE5">
              <w:rPr>
                <w:rFonts w:ascii="Fira Sans" w:hAnsi="Fira Sans" w:cs="Arial"/>
                <w:color w:val="auto"/>
                <w:sz w:val="20"/>
                <w:lang w:val="fi-FI"/>
              </w:rPr>
              <w:t>73</w:t>
            </w:r>
          </w:p>
          <w:p w14:paraId="1AF0D970" w14:textId="77777777" w:rsidR="000470AA" w:rsidRPr="00766E54" w:rsidRDefault="000470AA" w:rsidP="006F16BA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</w:p>
        </w:tc>
        <w:tc>
          <w:tcPr>
            <w:tcW w:w="3942" w:type="dxa"/>
          </w:tcPr>
          <w:p w14:paraId="1AF0D971" w14:textId="77777777" w:rsidR="00E761AE" w:rsidRPr="001A3D3F" w:rsidRDefault="000470AA" w:rsidP="00E761A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1A3D3F"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14:paraId="1AF0D972" w14:textId="77777777" w:rsidR="00E761AE" w:rsidRPr="001A3D3F" w:rsidRDefault="000470AA" w:rsidP="00E761AE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1A3D3F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1AF0D973" w14:textId="77777777" w:rsidR="000470AA" w:rsidRPr="001A3D3F" w:rsidRDefault="00C835A2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</w:t>
            </w:r>
            <w:r w:rsidR="000470AA" w:rsidRPr="001A3D3F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</w:t>
            </w:r>
          </w:p>
          <w:p w14:paraId="1AF0D975" w14:textId="6754D7B6" w:rsidR="000470AA" w:rsidRPr="002C01D8" w:rsidRDefault="002B18D3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</w:tc>
      </w:tr>
    </w:tbl>
    <w:p w14:paraId="1AF0D977" w14:textId="77777777" w:rsidR="000470AA" w:rsidRPr="002C01D8" w:rsidRDefault="000470AA" w:rsidP="000470AA">
      <w:pPr>
        <w:rPr>
          <w:sz w:val="20"/>
          <w:lang w:val="en-US"/>
        </w:rPr>
      </w:pPr>
    </w:p>
    <w:p w14:paraId="1AF0D978" w14:textId="77777777" w:rsidR="000470AA" w:rsidRPr="002C01D8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766E54" w14:paraId="1AF0D97E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1AF0D979" w14:textId="77777777" w:rsidR="000470AA" w:rsidRPr="00766E54" w:rsidRDefault="000470AA" w:rsidP="000470AA">
            <w:pPr>
              <w:rPr>
                <w:b/>
                <w:sz w:val="20"/>
              </w:rPr>
            </w:pPr>
            <w:r w:rsidRPr="00766E54">
              <w:rPr>
                <w:b/>
                <w:sz w:val="20"/>
              </w:rPr>
              <w:t xml:space="preserve">Wydział Współpracy z Mediami </w:t>
            </w:r>
          </w:p>
          <w:p w14:paraId="1AF0D97A" w14:textId="77777777" w:rsidR="000470AA" w:rsidRPr="00766E54" w:rsidRDefault="00766E54" w:rsidP="000470AA">
            <w:pPr>
              <w:rPr>
                <w:sz w:val="20"/>
              </w:rPr>
            </w:pPr>
            <w:r w:rsidRPr="00766E54">
              <w:rPr>
                <w:sz w:val="20"/>
              </w:rPr>
              <w:t>T</w:t>
            </w:r>
            <w:r w:rsidR="000470AA" w:rsidRPr="00766E54">
              <w:rPr>
                <w:sz w:val="20"/>
              </w:rPr>
              <w:t>el:</w:t>
            </w:r>
            <w:r>
              <w:rPr>
                <w:sz w:val="20"/>
              </w:rPr>
              <w:t>22 608 34</w:t>
            </w:r>
            <w:r w:rsidR="00097840" w:rsidRPr="00766E54">
              <w:rPr>
                <w:sz w:val="20"/>
              </w:rPr>
              <w:t>91, 22</w:t>
            </w:r>
            <w:r>
              <w:rPr>
                <w:sz w:val="20"/>
              </w:rPr>
              <w:t xml:space="preserve"> 608 38</w:t>
            </w:r>
            <w:r w:rsidR="000470AA" w:rsidRPr="00766E54">
              <w:rPr>
                <w:sz w:val="20"/>
              </w:rPr>
              <w:t xml:space="preserve">04 </w:t>
            </w:r>
          </w:p>
          <w:p w14:paraId="1AF0D97B" w14:textId="77777777" w:rsidR="000470AA" w:rsidRPr="00C301CC" w:rsidRDefault="000470AA" w:rsidP="000470AA">
            <w:pPr>
              <w:rPr>
                <w:sz w:val="18"/>
              </w:rPr>
            </w:pPr>
            <w:r w:rsidRPr="00C301CC">
              <w:rPr>
                <w:b/>
                <w:sz w:val="20"/>
              </w:rPr>
              <w:t>e-mail:</w:t>
            </w:r>
            <w:hyperlink r:id="rId15" w:history="1">
              <w:r w:rsidRPr="00C301CC">
                <w:rPr>
                  <w:rStyle w:val="Hipercze"/>
                  <w:rFonts w:cstheme="minorBidi"/>
                  <w:b/>
                  <w:color w:val="auto"/>
                  <w:sz w:val="20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1AF0D97C" w14:textId="77777777" w:rsidR="000470AA" w:rsidRPr="00C301CC" w:rsidRDefault="000470AA" w:rsidP="000470AA">
            <w:pPr>
              <w:rPr>
                <w:sz w:val="18"/>
              </w:rPr>
            </w:pPr>
            <w:r w:rsidRPr="00766E5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1AF0D99A" wp14:editId="1AF0D99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1AF0D97D" w14:textId="77777777" w:rsidR="000470AA" w:rsidRPr="00766E54" w:rsidRDefault="006726FE" w:rsidP="000470AA">
            <w:pPr>
              <w:rPr>
                <w:sz w:val="18"/>
              </w:rPr>
            </w:pPr>
            <w:hyperlink r:id="rId17" w:history="1">
              <w:r w:rsidR="006F16BA" w:rsidRPr="00766E54">
                <w:rPr>
                  <w:rStyle w:val="Hipercze"/>
                  <w:rFonts w:cstheme="minorBidi"/>
                  <w:color w:val="auto"/>
                  <w:sz w:val="20"/>
                </w:rPr>
                <w:t>www.stat.gov.pl</w:t>
              </w:r>
            </w:hyperlink>
          </w:p>
        </w:tc>
      </w:tr>
      <w:tr w:rsidR="000470AA" w14:paraId="1AF0D982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1AF0D97F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AF0D980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1AF0D99C" wp14:editId="1AF0D99D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1AF0D981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14:paraId="1AF0D986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1AF0D983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AF0D984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1AF0D99E" wp14:editId="1AF0D99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1AF0D985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1AF0D987" w14:textId="77777777" w:rsidR="00D261A2" w:rsidRPr="00001C5B" w:rsidRDefault="00EC7F75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AF0D9A0" wp14:editId="1AF0D9A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6559550" cy="2972435"/>
                <wp:effectExtent l="0" t="0" r="12700" b="1841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29724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0D9CC" w14:textId="77777777" w:rsidR="0040232D" w:rsidRPr="00766E54" w:rsidRDefault="0040232D" w:rsidP="00F25976">
                            <w:pPr>
                              <w:rPr>
                                <w:b/>
                                <w:color w:val="001D77"/>
                              </w:rPr>
                            </w:pPr>
                            <w:r w:rsidRPr="000A4081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1AF0D9CD" w14:textId="77777777" w:rsidR="0040232D" w:rsidRPr="002B18D3" w:rsidRDefault="006726FE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0" w:history="1">
                              <w:r w:rsidR="0040232D" w:rsidRPr="002B18D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Informacje sygnalne. Wyniki finan</w:t>
                              </w:r>
                              <w:r w:rsidR="009E004E" w:rsidRPr="002B18D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sowe towarzystw funduszy inwestycyjnych</w:t>
                              </w:r>
                              <w:r w:rsidR="0040232D" w:rsidRPr="002B18D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.</w:t>
                              </w:r>
                            </w:hyperlink>
                          </w:p>
                          <w:p w14:paraId="1AF0D9CE" w14:textId="77777777" w:rsidR="0040232D" w:rsidRDefault="0040232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1AF0D9CF" w14:textId="77777777" w:rsidR="0040232D" w:rsidRPr="000A4081" w:rsidRDefault="0040232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0A408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  <w:bookmarkStart w:id="0" w:name="_GoBack"/>
                            <w:bookmarkEnd w:id="0"/>
                          </w:p>
                          <w:p w14:paraId="1AF0D9D0" w14:textId="77777777" w:rsidR="0040232D" w:rsidRPr="00766E54" w:rsidRDefault="006726FE" w:rsidP="005D14B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40232D" w:rsidRPr="00766E5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1AF0D9D1" w14:textId="77777777" w:rsidR="0040232D" w:rsidRPr="000A4081" w:rsidRDefault="0040232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1AF0D9D2" w14:textId="77777777" w:rsidR="0040232D" w:rsidRDefault="0040232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1AF0D9D3" w14:textId="77777777" w:rsidR="0040232D" w:rsidRPr="00766E54" w:rsidRDefault="006726FE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40232D" w:rsidRPr="00766E5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Fundusz Inwestycyjny</w:t>
                              </w:r>
                            </w:hyperlink>
                          </w:p>
                          <w:p w14:paraId="1AF0D9D4" w14:textId="77777777" w:rsidR="0040232D" w:rsidRPr="00766E54" w:rsidRDefault="006726FE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40232D" w:rsidRPr="00766E5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Towarzystwo Funduszy Inwestycyjnych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0D9A0" id="_x0000_s1035" type="#_x0000_t202" style="position:absolute;margin-left:1.5pt;margin-top:33.5pt;width:516.5pt;height:234.0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" fillcolor="#f2f2f2 [3052]" strokecolor="white [3212]">
                <v:textbox>
                  <w:txbxContent>
                    <w:p w14:paraId="1AF0D9CC" w14:textId="77777777" w:rsidR="0040232D" w:rsidRPr="00766E54" w:rsidRDefault="0040232D" w:rsidP="00F25976">
                      <w:pPr>
                        <w:rPr>
                          <w:b/>
                          <w:color w:val="001D77"/>
                        </w:rPr>
                      </w:pPr>
                      <w:r w:rsidRPr="000A4081">
                        <w:rPr>
                          <w:b/>
                        </w:rPr>
                        <w:t>Powiązane opracowania</w:t>
                      </w:r>
                    </w:p>
                    <w:p w14:paraId="1AF0D9CD" w14:textId="77777777" w:rsidR="0040232D" w:rsidRPr="002B18D3" w:rsidRDefault="006726FE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24" w:history="1">
                        <w:r w:rsidR="0040232D" w:rsidRPr="002B18D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Informacje sygnalne. Wyniki finan</w:t>
                        </w:r>
                        <w:r w:rsidR="009E004E" w:rsidRPr="002B18D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sowe towarzystw funduszy inwestycyjnych</w:t>
                        </w:r>
                        <w:r w:rsidR="0040232D" w:rsidRPr="002B18D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.</w:t>
                        </w:r>
                      </w:hyperlink>
                    </w:p>
                    <w:p w14:paraId="1AF0D9CE" w14:textId="77777777" w:rsidR="0040232D" w:rsidRDefault="0040232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1AF0D9CF" w14:textId="77777777" w:rsidR="0040232D" w:rsidRPr="000A4081" w:rsidRDefault="0040232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0A4081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  <w:bookmarkStart w:id="1" w:name="_GoBack"/>
                      <w:bookmarkEnd w:id="1"/>
                    </w:p>
                    <w:p w14:paraId="1AF0D9D0" w14:textId="77777777" w:rsidR="0040232D" w:rsidRPr="00766E54" w:rsidRDefault="006726FE" w:rsidP="005D14B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5" w:history="1">
                        <w:r w:rsidR="0040232D" w:rsidRPr="00766E5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1AF0D9D1" w14:textId="77777777" w:rsidR="0040232D" w:rsidRPr="000A4081" w:rsidRDefault="0040232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1AF0D9D2" w14:textId="77777777" w:rsidR="0040232D" w:rsidRDefault="0040232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1AF0D9D3" w14:textId="77777777" w:rsidR="0040232D" w:rsidRPr="00766E54" w:rsidRDefault="006726FE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6" w:history="1">
                        <w:r w:rsidR="0040232D" w:rsidRPr="00766E5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Fundusz Inwestycyjny</w:t>
                        </w:r>
                      </w:hyperlink>
                    </w:p>
                    <w:p w14:paraId="1AF0D9D4" w14:textId="77777777" w:rsidR="0040232D" w:rsidRPr="00766E54" w:rsidRDefault="006726FE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27" w:history="1">
                        <w:r w:rsidR="0040232D" w:rsidRPr="00766E5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Towarzystwo Funduszy Inwestycyjnych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28"/>
      <w:footerReference w:type="default" r:id="rId29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DB24F" w14:textId="77777777" w:rsidR="006726FE" w:rsidRDefault="006726FE" w:rsidP="000662E2">
      <w:pPr>
        <w:spacing w:after="0" w:line="240" w:lineRule="auto"/>
      </w:pPr>
      <w:r>
        <w:separator/>
      </w:r>
    </w:p>
  </w:endnote>
  <w:endnote w:type="continuationSeparator" w:id="0">
    <w:p w14:paraId="04EE829F" w14:textId="77777777" w:rsidR="006726FE" w:rsidRDefault="006726FE" w:rsidP="000662E2">
      <w:pPr>
        <w:spacing w:after="0" w:line="240" w:lineRule="auto"/>
      </w:pPr>
      <w:r>
        <w:continuationSeparator/>
      </w:r>
    </w:p>
  </w:endnote>
  <w:endnote w:id="1">
    <w:p w14:paraId="1AF0D9B9" w14:textId="77777777" w:rsidR="00B440FE" w:rsidRDefault="00B440FE">
      <w:pPr>
        <w:pStyle w:val="Tekstprzypisukocowego"/>
      </w:pPr>
      <w:r>
        <w:rPr>
          <w:rStyle w:val="Odwoanieprzypisukocowego"/>
        </w:rPr>
        <w:endnoteRef/>
      </w:r>
      <w:r w:rsidRPr="00B440FE">
        <w:rPr>
          <w:sz w:val="16"/>
          <w:szCs w:val="16"/>
        </w:rPr>
        <w:t>Niniejsza</w:t>
      </w:r>
      <w:r>
        <w:rPr>
          <w:sz w:val="16"/>
          <w:szCs w:val="16"/>
        </w:rPr>
        <w:t xml:space="preserve"> publikacja jest drugą częścią informacji sygnalnej „Wyniki finansowe towarzystw funduszy inw</w:t>
      </w:r>
      <w:r w:rsidR="00845358">
        <w:rPr>
          <w:sz w:val="16"/>
          <w:szCs w:val="16"/>
        </w:rPr>
        <w:t>estycyjnych” opublikowanej 19</w:t>
      </w:r>
      <w:r w:rsidR="00D45444">
        <w:rPr>
          <w:sz w:val="16"/>
          <w:szCs w:val="16"/>
        </w:rPr>
        <w:t>.10</w:t>
      </w:r>
      <w:r w:rsidR="00845358">
        <w:rPr>
          <w:sz w:val="16"/>
          <w:szCs w:val="16"/>
        </w:rPr>
        <w:t>.2021</w:t>
      </w:r>
      <w:r>
        <w:rPr>
          <w:sz w:val="16"/>
          <w:szCs w:val="16"/>
        </w:rPr>
        <w:t xml:space="preserve"> r.</w:t>
      </w:r>
    </w:p>
  </w:endnote>
  <w:endnote w:id="2">
    <w:p w14:paraId="1AF0D9BA" w14:textId="77777777" w:rsidR="006112F2" w:rsidRPr="005D3F15" w:rsidRDefault="006112F2" w:rsidP="006112F2">
      <w:pPr>
        <w:pStyle w:val="Tekstprzypisukocowego"/>
        <w:jc w:val="both"/>
        <w:rPr>
          <w:sz w:val="16"/>
          <w:szCs w:val="16"/>
        </w:rPr>
      </w:pPr>
      <w:r>
        <w:rPr>
          <w:rStyle w:val="Odwoanieprzypisukocowego"/>
        </w:rPr>
        <w:endnoteRef/>
      </w:r>
      <w:r>
        <w:rPr>
          <w:sz w:val="16"/>
          <w:szCs w:val="16"/>
        </w:rPr>
        <w:t>Pojęcie „fundusze inwestycyjne” obejmuje: otwarte fundusze inwestycyjne, specjalistyczne fundusze inwestycyjne otwarte i fundusze inwestycyjne zamknięte.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0864908"/>
      <w:docPartObj>
        <w:docPartGallery w:val="Page Numbers (Bottom of Page)"/>
        <w:docPartUnique/>
      </w:docPartObj>
    </w:sdtPr>
    <w:sdtEndPr/>
    <w:sdtContent>
      <w:p w14:paraId="1AF0D9A8" w14:textId="77777777" w:rsidR="0040232D" w:rsidRDefault="00EB72A5" w:rsidP="003B18B6">
        <w:pPr>
          <w:pStyle w:val="Stopka"/>
          <w:jc w:val="center"/>
        </w:pPr>
        <w:r>
          <w:rPr>
            <w:noProof/>
          </w:rPr>
          <w:fldChar w:fldCharType="begin"/>
        </w:r>
        <w:r w:rsidR="0040232D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77A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4777727"/>
      <w:docPartObj>
        <w:docPartGallery w:val="Page Numbers (Bottom of Page)"/>
        <w:docPartUnique/>
      </w:docPartObj>
    </w:sdtPr>
    <w:sdtEndPr/>
    <w:sdtContent>
      <w:p w14:paraId="1AF0D9AB" w14:textId="77777777" w:rsidR="0040232D" w:rsidRDefault="00EB72A5" w:rsidP="003B18B6">
        <w:pPr>
          <w:pStyle w:val="Stopka"/>
          <w:jc w:val="center"/>
        </w:pPr>
        <w:r>
          <w:rPr>
            <w:noProof/>
          </w:rPr>
          <w:fldChar w:fldCharType="begin"/>
        </w:r>
        <w:r w:rsidR="0040232D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378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0D9AE" w14:textId="77777777" w:rsidR="0040232D" w:rsidRDefault="00EB72A5" w:rsidP="003B18B6">
    <w:pPr>
      <w:pStyle w:val="Stopka"/>
      <w:jc w:val="center"/>
    </w:pPr>
    <w:r>
      <w:rPr>
        <w:noProof/>
      </w:rPr>
      <w:fldChar w:fldCharType="begin"/>
    </w:r>
    <w:r w:rsidR="0040232D">
      <w:rPr>
        <w:noProof/>
      </w:rPr>
      <w:instrText>PAGE   \* MERGEFORMAT</w:instrText>
    </w:r>
    <w:r>
      <w:rPr>
        <w:noProof/>
      </w:rPr>
      <w:fldChar w:fldCharType="separate"/>
    </w:r>
    <w:r w:rsidR="00684C76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04815" w14:textId="77777777" w:rsidR="006726FE" w:rsidRDefault="006726FE" w:rsidP="000662E2">
      <w:pPr>
        <w:spacing w:after="0" w:line="240" w:lineRule="auto"/>
      </w:pPr>
      <w:r>
        <w:separator/>
      </w:r>
    </w:p>
  </w:footnote>
  <w:footnote w:type="continuationSeparator" w:id="0">
    <w:p w14:paraId="4F83D603" w14:textId="77777777" w:rsidR="006726FE" w:rsidRDefault="006726FE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0D9A6" w14:textId="77777777" w:rsidR="0040232D" w:rsidRDefault="00EC7F7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AF0D9AF" wp14:editId="1AF0D9B0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ADFED1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14:paraId="1AF0D9A7" w14:textId="77777777" w:rsidR="0040232D" w:rsidRDefault="004023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0D9A9" w14:textId="77777777" w:rsidR="0040232D" w:rsidRDefault="00EC7F75" w:rsidP="004E177A">
    <w:pPr>
      <w:pStyle w:val="Nagwek"/>
      <w:tabs>
        <w:tab w:val="clear" w:pos="4536"/>
        <w:tab w:val="clear" w:pos="9072"/>
        <w:tab w:val="center" w:pos="4034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AF0D9B1" wp14:editId="1AF0D9B2">
              <wp:simplePos x="0" y="0"/>
              <wp:positionH relativeFrom="column">
                <wp:posOffset>5219700</wp:posOffset>
              </wp:positionH>
              <wp:positionV relativeFrom="paragraph">
                <wp:posOffset>373380</wp:posOffset>
              </wp:positionV>
              <wp:extent cx="1871980" cy="20115530"/>
              <wp:effectExtent l="0" t="1270" r="4445" b="0"/>
              <wp:wrapNone/>
              <wp:docPr id="1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198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13025B" id="Prostokąt 10" o:spid="_x0000_s1026" style="position:absolute;margin-left:411pt;margin-top:29.4pt;width:147.4pt;height:1583.9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" fillcolor="#f2f2f2" stroked="f" strokeweight="1pt"/>
          </w:pict>
        </mc:Fallback>
      </mc:AlternateContent>
    </w:r>
    <w:r w:rsidR="0040232D" w:rsidRPr="002442D5">
      <w:rPr>
        <w:noProof/>
        <w:lang w:eastAsia="pl-PL"/>
      </w:rPr>
      <w:drawing>
        <wp:inline distT="0" distB="0" distL="0" distR="0" wp14:anchorId="1AF0D9B3" wp14:editId="1AF0D9B4">
          <wp:extent cx="1153274" cy="720000"/>
          <wp:effectExtent l="0" t="0" r="0" b="4445"/>
          <wp:docPr id="6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AF0D9B5" wp14:editId="1AF0D9B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AF0D9D7" w14:textId="77777777" w:rsidR="0040232D" w:rsidRPr="003C6C8D" w:rsidRDefault="0040232D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F0D9B5" id="Schemat blokowy: opóźnienie 6" o:spid="_x0000_s1036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AF0D9D7" w14:textId="77777777" w:rsidR="0040232D" w:rsidRPr="003C6C8D" w:rsidRDefault="0040232D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4E177A">
      <w:rPr>
        <w:noProof/>
        <w:lang w:eastAsia="pl-PL"/>
      </w:rPr>
      <w:tab/>
    </w:r>
  </w:p>
  <w:p w14:paraId="1AF0D9AA" w14:textId="77777777" w:rsidR="0040232D" w:rsidRDefault="00EC7F75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AF0D9B7" wp14:editId="1AF0D9B8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F0D9D8" w14:textId="77777777" w:rsidR="0040232D" w:rsidRPr="00C97596" w:rsidRDefault="0024715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23</w:t>
                          </w:r>
                          <w:r w:rsidR="003561D3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11.2021</w:t>
                          </w:r>
                          <w:r w:rsidR="0040232D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F0D9B7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AF0D9D8" w14:textId="77777777" w:rsidR="0040232D" w:rsidRPr="00C97596" w:rsidRDefault="0024715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23</w:t>
                    </w:r>
                    <w:r w:rsidR="003561D3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11.2021</w:t>
                    </w:r>
                    <w:r w:rsidR="0040232D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0D9AC" w14:textId="77777777" w:rsidR="0040232D" w:rsidRDefault="0040232D">
    <w:pPr>
      <w:pStyle w:val="Nagwek"/>
    </w:pPr>
  </w:p>
  <w:p w14:paraId="1AF0D9AD" w14:textId="77777777" w:rsidR="0040232D" w:rsidRDefault="004023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3pt;height:124.8pt;visibility:visible" o:bullet="t">
        <v:imagedata r:id="rId1" o:title=""/>
      </v:shape>
    </w:pict>
  </w:numPicBullet>
  <w:numPicBullet w:numPicBulletId="1">
    <w:pict>
      <v:shape id="_x0000_i1033" type="#_x0000_t75" style="width:123.6pt;height:124.8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3492533"/>
    <w:multiLevelType w:val="hybridMultilevel"/>
    <w:tmpl w:val="7CC89D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3437"/>
    <w:rsid w:val="0000708E"/>
    <w:rsid w:val="0000709F"/>
    <w:rsid w:val="000108B8"/>
    <w:rsid w:val="00011C4E"/>
    <w:rsid w:val="00012153"/>
    <w:rsid w:val="00012B87"/>
    <w:rsid w:val="00012F09"/>
    <w:rsid w:val="000136CD"/>
    <w:rsid w:val="00013E5C"/>
    <w:rsid w:val="000152F5"/>
    <w:rsid w:val="00016955"/>
    <w:rsid w:val="0001745A"/>
    <w:rsid w:val="00017BF3"/>
    <w:rsid w:val="00017D05"/>
    <w:rsid w:val="000200A8"/>
    <w:rsid w:val="00020F3A"/>
    <w:rsid w:val="0002237F"/>
    <w:rsid w:val="0002377E"/>
    <w:rsid w:val="0002673B"/>
    <w:rsid w:val="00027439"/>
    <w:rsid w:val="0003226B"/>
    <w:rsid w:val="00032CED"/>
    <w:rsid w:val="0003375A"/>
    <w:rsid w:val="00034545"/>
    <w:rsid w:val="00035F24"/>
    <w:rsid w:val="00036113"/>
    <w:rsid w:val="0004374E"/>
    <w:rsid w:val="0004582E"/>
    <w:rsid w:val="000470AA"/>
    <w:rsid w:val="00047A22"/>
    <w:rsid w:val="00047C61"/>
    <w:rsid w:val="00047E14"/>
    <w:rsid w:val="00050CB7"/>
    <w:rsid w:val="00053E26"/>
    <w:rsid w:val="00054442"/>
    <w:rsid w:val="0005694F"/>
    <w:rsid w:val="00056D0F"/>
    <w:rsid w:val="000578A2"/>
    <w:rsid w:val="00057CA1"/>
    <w:rsid w:val="00065308"/>
    <w:rsid w:val="000655DA"/>
    <w:rsid w:val="0006591D"/>
    <w:rsid w:val="000662E2"/>
    <w:rsid w:val="00066883"/>
    <w:rsid w:val="00074235"/>
    <w:rsid w:val="00074DD8"/>
    <w:rsid w:val="000806F7"/>
    <w:rsid w:val="0008096A"/>
    <w:rsid w:val="00080AC7"/>
    <w:rsid w:val="00080F70"/>
    <w:rsid w:val="00083F63"/>
    <w:rsid w:val="000853B8"/>
    <w:rsid w:val="0009054A"/>
    <w:rsid w:val="00091492"/>
    <w:rsid w:val="00091F15"/>
    <w:rsid w:val="00094B9D"/>
    <w:rsid w:val="000970C7"/>
    <w:rsid w:val="00097840"/>
    <w:rsid w:val="000A4081"/>
    <w:rsid w:val="000A51D9"/>
    <w:rsid w:val="000A6AA4"/>
    <w:rsid w:val="000B0727"/>
    <w:rsid w:val="000B09CE"/>
    <w:rsid w:val="000B1A34"/>
    <w:rsid w:val="000B24D5"/>
    <w:rsid w:val="000B45EF"/>
    <w:rsid w:val="000B47CF"/>
    <w:rsid w:val="000B7334"/>
    <w:rsid w:val="000B7D5D"/>
    <w:rsid w:val="000C00CA"/>
    <w:rsid w:val="000C01B7"/>
    <w:rsid w:val="000C0D18"/>
    <w:rsid w:val="000C135D"/>
    <w:rsid w:val="000C472B"/>
    <w:rsid w:val="000C6103"/>
    <w:rsid w:val="000D17AB"/>
    <w:rsid w:val="000D19E0"/>
    <w:rsid w:val="000D1D43"/>
    <w:rsid w:val="000D225C"/>
    <w:rsid w:val="000D23F0"/>
    <w:rsid w:val="000D25D6"/>
    <w:rsid w:val="000D2A5C"/>
    <w:rsid w:val="000D670C"/>
    <w:rsid w:val="000E0918"/>
    <w:rsid w:val="000E2515"/>
    <w:rsid w:val="000E3934"/>
    <w:rsid w:val="000E52D1"/>
    <w:rsid w:val="000F14E6"/>
    <w:rsid w:val="000F2A63"/>
    <w:rsid w:val="000F3B2A"/>
    <w:rsid w:val="000F6DCD"/>
    <w:rsid w:val="00100CE3"/>
    <w:rsid w:val="001011C3"/>
    <w:rsid w:val="00105600"/>
    <w:rsid w:val="00106359"/>
    <w:rsid w:val="00110D87"/>
    <w:rsid w:val="00111B34"/>
    <w:rsid w:val="00112782"/>
    <w:rsid w:val="001128E4"/>
    <w:rsid w:val="00114446"/>
    <w:rsid w:val="00114DB9"/>
    <w:rsid w:val="00115034"/>
    <w:rsid w:val="00116087"/>
    <w:rsid w:val="00116638"/>
    <w:rsid w:val="00117860"/>
    <w:rsid w:val="00120F7A"/>
    <w:rsid w:val="001222C8"/>
    <w:rsid w:val="00124E84"/>
    <w:rsid w:val="001257D5"/>
    <w:rsid w:val="00125A1F"/>
    <w:rsid w:val="00127AAE"/>
    <w:rsid w:val="00130296"/>
    <w:rsid w:val="00130B04"/>
    <w:rsid w:val="00131D2F"/>
    <w:rsid w:val="00137DE0"/>
    <w:rsid w:val="00142289"/>
    <w:rsid w:val="001423B6"/>
    <w:rsid w:val="0014313E"/>
    <w:rsid w:val="00143436"/>
    <w:rsid w:val="001448A7"/>
    <w:rsid w:val="00145AB5"/>
    <w:rsid w:val="00146621"/>
    <w:rsid w:val="00153655"/>
    <w:rsid w:val="00155873"/>
    <w:rsid w:val="001568E3"/>
    <w:rsid w:val="001622EB"/>
    <w:rsid w:val="00162325"/>
    <w:rsid w:val="001656C0"/>
    <w:rsid w:val="00165A8D"/>
    <w:rsid w:val="001700C7"/>
    <w:rsid w:val="00172AAF"/>
    <w:rsid w:val="00172C32"/>
    <w:rsid w:val="00173593"/>
    <w:rsid w:val="001765D3"/>
    <w:rsid w:val="00176E6D"/>
    <w:rsid w:val="00177AD1"/>
    <w:rsid w:val="0018111D"/>
    <w:rsid w:val="00187D7A"/>
    <w:rsid w:val="00191E59"/>
    <w:rsid w:val="00194DFB"/>
    <w:rsid w:val="001951DA"/>
    <w:rsid w:val="0019592F"/>
    <w:rsid w:val="001969D6"/>
    <w:rsid w:val="001977A6"/>
    <w:rsid w:val="001A3BCC"/>
    <w:rsid w:val="001A3D3F"/>
    <w:rsid w:val="001A4AE5"/>
    <w:rsid w:val="001A52EB"/>
    <w:rsid w:val="001A6F40"/>
    <w:rsid w:val="001A7BA9"/>
    <w:rsid w:val="001B372E"/>
    <w:rsid w:val="001C0488"/>
    <w:rsid w:val="001C3269"/>
    <w:rsid w:val="001C63EF"/>
    <w:rsid w:val="001D1DB4"/>
    <w:rsid w:val="001D4ABE"/>
    <w:rsid w:val="001D6005"/>
    <w:rsid w:val="001D6723"/>
    <w:rsid w:val="001D6DAE"/>
    <w:rsid w:val="001E0053"/>
    <w:rsid w:val="001E0350"/>
    <w:rsid w:val="001F2837"/>
    <w:rsid w:val="001F304A"/>
    <w:rsid w:val="001F33AE"/>
    <w:rsid w:val="001F48C4"/>
    <w:rsid w:val="00203BA6"/>
    <w:rsid w:val="002059CC"/>
    <w:rsid w:val="00206261"/>
    <w:rsid w:val="002062A6"/>
    <w:rsid w:val="00206B56"/>
    <w:rsid w:val="00214A12"/>
    <w:rsid w:val="00214F2A"/>
    <w:rsid w:val="00215791"/>
    <w:rsid w:val="00216C45"/>
    <w:rsid w:val="00216D42"/>
    <w:rsid w:val="002174FF"/>
    <w:rsid w:val="002175E5"/>
    <w:rsid w:val="0021786D"/>
    <w:rsid w:val="00217F7E"/>
    <w:rsid w:val="00221462"/>
    <w:rsid w:val="002229B3"/>
    <w:rsid w:val="0022316B"/>
    <w:rsid w:val="00225784"/>
    <w:rsid w:val="00226332"/>
    <w:rsid w:val="00226BCA"/>
    <w:rsid w:val="00230943"/>
    <w:rsid w:val="00232461"/>
    <w:rsid w:val="002346A4"/>
    <w:rsid w:val="0024127A"/>
    <w:rsid w:val="002442D5"/>
    <w:rsid w:val="0024641A"/>
    <w:rsid w:val="0024715B"/>
    <w:rsid w:val="00250153"/>
    <w:rsid w:val="00252D66"/>
    <w:rsid w:val="00253761"/>
    <w:rsid w:val="00256D94"/>
    <w:rsid w:val="002574F9"/>
    <w:rsid w:val="00261862"/>
    <w:rsid w:val="0026295B"/>
    <w:rsid w:val="00262B61"/>
    <w:rsid w:val="002710D2"/>
    <w:rsid w:val="00271812"/>
    <w:rsid w:val="00272A86"/>
    <w:rsid w:val="00273838"/>
    <w:rsid w:val="0027397C"/>
    <w:rsid w:val="00274072"/>
    <w:rsid w:val="002747E0"/>
    <w:rsid w:val="00276651"/>
    <w:rsid w:val="00276811"/>
    <w:rsid w:val="00276839"/>
    <w:rsid w:val="00280AD6"/>
    <w:rsid w:val="00281B24"/>
    <w:rsid w:val="00281BC4"/>
    <w:rsid w:val="00282699"/>
    <w:rsid w:val="00286003"/>
    <w:rsid w:val="00290C08"/>
    <w:rsid w:val="00291D9D"/>
    <w:rsid w:val="002926DF"/>
    <w:rsid w:val="00294259"/>
    <w:rsid w:val="00296697"/>
    <w:rsid w:val="0029679E"/>
    <w:rsid w:val="002A0BC6"/>
    <w:rsid w:val="002A0E2C"/>
    <w:rsid w:val="002A266D"/>
    <w:rsid w:val="002A3CB3"/>
    <w:rsid w:val="002A6AD5"/>
    <w:rsid w:val="002B0472"/>
    <w:rsid w:val="002B0BE8"/>
    <w:rsid w:val="002B18D3"/>
    <w:rsid w:val="002B43AA"/>
    <w:rsid w:val="002B4E3B"/>
    <w:rsid w:val="002B63AC"/>
    <w:rsid w:val="002B6B12"/>
    <w:rsid w:val="002B6F2B"/>
    <w:rsid w:val="002C01D8"/>
    <w:rsid w:val="002C09C1"/>
    <w:rsid w:val="002C1B93"/>
    <w:rsid w:val="002C2F02"/>
    <w:rsid w:val="002C3C81"/>
    <w:rsid w:val="002C67CC"/>
    <w:rsid w:val="002D09E7"/>
    <w:rsid w:val="002D1C2F"/>
    <w:rsid w:val="002D5FAB"/>
    <w:rsid w:val="002D7144"/>
    <w:rsid w:val="002D7403"/>
    <w:rsid w:val="002E01AD"/>
    <w:rsid w:val="002E042C"/>
    <w:rsid w:val="002E134E"/>
    <w:rsid w:val="002E299F"/>
    <w:rsid w:val="002E33D7"/>
    <w:rsid w:val="002E3B0A"/>
    <w:rsid w:val="002E5C86"/>
    <w:rsid w:val="002E6140"/>
    <w:rsid w:val="002E6985"/>
    <w:rsid w:val="002E6ADF"/>
    <w:rsid w:val="002E71B6"/>
    <w:rsid w:val="002F00B0"/>
    <w:rsid w:val="002F0122"/>
    <w:rsid w:val="002F18F0"/>
    <w:rsid w:val="002F33E5"/>
    <w:rsid w:val="002F468D"/>
    <w:rsid w:val="002F6FB4"/>
    <w:rsid w:val="002F7054"/>
    <w:rsid w:val="002F7584"/>
    <w:rsid w:val="002F77C8"/>
    <w:rsid w:val="00300405"/>
    <w:rsid w:val="00304E49"/>
    <w:rsid w:val="00304F22"/>
    <w:rsid w:val="00304F2D"/>
    <w:rsid w:val="0030562D"/>
    <w:rsid w:val="0030581F"/>
    <w:rsid w:val="0030622E"/>
    <w:rsid w:val="00306C7C"/>
    <w:rsid w:val="00312104"/>
    <w:rsid w:val="003132A5"/>
    <w:rsid w:val="00315E84"/>
    <w:rsid w:val="00317096"/>
    <w:rsid w:val="003201F0"/>
    <w:rsid w:val="0032077B"/>
    <w:rsid w:val="00320E0F"/>
    <w:rsid w:val="00321A45"/>
    <w:rsid w:val="00322EDD"/>
    <w:rsid w:val="0032478B"/>
    <w:rsid w:val="00330488"/>
    <w:rsid w:val="00330CD0"/>
    <w:rsid w:val="003311E7"/>
    <w:rsid w:val="00332320"/>
    <w:rsid w:val="00332C23"/>
    <w:rsid w:val="00332EAC"/>
    <w:rsid w:val="00337CC2"/>
    <w:rsid w:val="00337E65"/>
    <w:rsid w:val="003409BE"/>
    <w:rsid w:val="00341C5B"/>
    <w:rsid w:val="0034231D"/>
    <w:rsid w:val="00342EC3"/>
    <w:rsid w:val="00344A01"/>
    <w:rsid w:val="00347D72"/>
    <w:rsid w:val="00353D95"/>
    <w:rsid w:val="00354E64"/>
    <w:rsid w:val="003561D3"/>
    <w:rsid w:val="00357611"/>
    <w:rsid w:val="00360DE8"/>
    <w:rsid w:val="003616C1"/>
    <w:rsid w:val="003631A8"/>
    <w:rsid w:val="00363948"/>
    <w:rsid w:val="00364956"/>
    <w:rsid w:val="00365F40"/>
    <w:rsid w:val="00367237"/>
    <w:rsid w:val="0037077F"/>
    <w:rsid w:val="00372320"/>
    <w:rsid w:val="00372411"/>
    <w:rsid w:val="00373882"/>
    <w:rsid w:val="00373FC7"/>
    <w:rsid w:val="00374412"/>
    <w:rsid w:val="00376BB5"/>
    <w:rsid w:val="00377780"/>
    <w:rsid w:val="00377AD5"/>
    <w:rsid w:val="00377FA0"/>
    <w:rsid w:val="0038064C"/>
    <w:rsid w:val="00382293"/>
    <w:rsid w:val="003832BA"/>
    <w:rsid w:val="003843CD"/>
    <w:rsid w:val="003843DB"/>
    <w:rsid w:val="00385622"/>
    <w:rsid w:val="00385C33"/>
    <w:rsid w:val="00390566"/>
    <w:rsid w:val="00390633"/>
    <w:rsid w:val="00392024"/>
    <w:rsid w:val="00392D35"/>
    <w:rsid w:val="00393761"/>
    <w:rsid w:val="003938ED"/>
    <w:rsid w:val="003953A5"/>
    <w:rsid w:val="00397BCD"/>
    <w:rsid w:val="00397D18"/>
    <w:rsid w:val="003A0E70"/>
    <w:rsid w:val="003A1B36"/>
    <w:rsid w:val="003A5679"/>
    <w:rsid w:val="003A5DE6"/>
    <w:rsid w:val="003B1454"/>
    <w:rsid w:val="003B18B6"/>
    <w:rsid w:val="003B2391"/>
    <w:rsid w:val="003B2EE1"/>
    <w:rsid w:val="003B42FF"/>
    <w:rsid w:val="003B509D"/>
    <w:rsid w:val="003B65DB"/>
    <w:rsid w:val="003B6605"/>
    <w:rsid w:val="003B7811"/>
    <w:rsid w:val="003C1237"/>
    <w:rsid w:val="003C15D5"/>
    <w:rsid w:val="003C2132"/>
    <w:rsid w:val="003C31B1"/>
    <w:rsid w:val="003C364F"/>
    <w:rsid w:val="003C4624"/>
    <w:rsid w:val="003C59E0"/>
    <w:rsid w:val="003C6C8D"/>
    <w:rsid w:val="003D05ED"/>
    <w:rsid w:val="003D086D"/>
    <w:rsid w:val="003D2027"/>
    <w:rsid w:val="003D388D"/>
    <w:rsid w:val="003D4F95"/>
    <w:rsid w:val="003D5F42"/>
    <w:rsid w:val="003D60A9"/>
    <w:rsid w:val="003E210B"/>
    <w:rsid w:val="003E24D5"/>
    <w:rsid w:val="003E38C5"/>
    <w:rsid w:val="003E53B2"/>
    <w:rsid w:val="003F167E"/>
    <w:rsid w:val="003F1F4A"/>
    <w:rsid w:val="003F2CD5"/>
    <w:rsid w:val="003F4C97"/>
    <w:rsid w:val="003F7FE6"/>
    <w:rsid w:val="00400193"/>
    <w:rsid w:val="00400A20"/>
    <w:rsid w:val="0040232D"/>
    <w:rsid w:val="00404720"/>
    <w:rsid w:val="00406073"/>
    <w:rsid w:val="00406696"/>
    <w:rsid w:val="004107B0"/>
    <w:rsid w:val="004113DB"/>
    <w:rsid w:val="00411F63"/>
    <w:rsid w:val="00413875"/>
    <w:rsid w:val="0041685F"/>
    <w:rsid w:val="00416E70"/>
    <w:rsid w:val="00417B41"/>
    <w:rsid w:val="00417FC3"/>
    <w:rsid w:val="00420EE9"/>
    <w:rsid w:val="004212E7"/>
    <w:rsid w:val="00423574"/>
    <w:rsid w:val="0042446D"/>
    <w:rsid w:val="00426CE3"/>
    <w:rsid w:val="00427BF8"/>
    <w:rsid w:val="00427F2F"/>
    <w:rsid w:val="004302E9"/>
    <w:rsid w:val="004317BC"/>
    <w:rsid w:val="00431C02"/>
    <w:rsid w:val="00437395"/>
    <w:rsid w:val="0044075B"/>
    <w:rsid w:val="004410BE"/>
    <w:rsid w:val="00441F04"/>
    <w:rsid w:val="0044280B"/>
    <w:rsid w:val="00443132"/>
    <w:rsid w:val="00444871"/>
    <w:rsid w:val="00445047"/>
    <w:rsid w:val="00451E0A"/>
    <w:rsid w:val="0045486D"/>
    <w:rsid w:val="0045551C"/>
    <w:rsid w:val="00460FFB"/>
    <w:rsid w:val="00463E39"/>
    <w:rsid w:val="0046454A"/>
    <w:rsid w:val="004652B1"/>
    <w:rsid w:val="004653FA"/>
    <w:rsid w:val="004657FC"/>
    <w:rsid w:val="00470626"/>
    <w:rsid w:val="00470922"/>
    <w:rsid w:val="00472FD1"/>
    <w:rsid w:val="004731FD"/>
    <w:rsid w:val="004733F6"/>
    <w:rsid w:val="00474E69"/>
    <w:rsid w:val="004752B6"/>
    <w:rsid w:val="00476717"/>
    <w:rsid w:val="00480774"/>
    <w:rsid w:val="004930AA"/>
    <w:rsid w:val="004938C3"/>
    <w:rsid w:val="004939BC"/>
    <w:rsid w:val="00493A0E"/>
    <w:rsid w:val="0049621B"/>
    <w:rsid w:val="004A04E7"/>
    <w:rsid w:val="004A2572"/>
    <w:rsid w:val="004A3EE5"/>
    <w:rsid w:val="004A4566"/>
    <w:rsid w:val="004A4B0C"/>
    <w:rsid w:val="004A4F94"/>
    <w:rsid w:val="004A6EFF"/>
    <w:rsid w:val="004B10CA"/>
    <w:rsid w:val="004B32CA"/>
    <w:rsid w:val="004B3C88"/>
    <w:rsid w:val="004B406B"/>
    <w:rsid w:val="004B416D"/>
    <w:rsid w:val="004B4795"/>
    <w:rsid w:val="004B7E4C"/>
    <w:rsid w:val="004C0546"/>
    <w:rsid w:val="004C1895"/>
    <w:rsid w:val="004C3833"/>
    <w:rsid w:val="004C39CD"/>
    <w:rsid w:val="004C662F"/>
    <w:rsid w:val="004C66F1"/>
    <w:rsid w:val="004C6CCF"/>
    <w:rsid w:val="004C6D40"/>
    <w:rsid w:val="004D17D2"/>
    <w:rsid w:val="004D2A2F"/>
    <w:rsid w:val="004D2A90"/>
    <w:rsid w:val="004D36E0"/>
    <w:rsid w:val="004D3A1D"/>
    <w:rsid w:val="004D49D1"/>
    <w:rsid w:val="004D7316"/>
    <w:rsid w:val="004E0792"/>
    <w:rsid w:val="004E177A"/>
    <w:rsid w:val="004E17F8"/>
    <w:rsid w:val="004E33DF"/>
    <w:rsid w:val="004E5469"/>
    <w:rsid w:val="004E7858"/>
    <w:rsid w:val="004F0C3C"/>
    <w:rsid w:val="004F0EB5"/>
    <w:rsid w:val="004F111D"/>
    <w:rsid w:val="004F2058"/>
    <w:rsid w:val="004F20AB"/>
    <w:rsid w:val="004F2B1A"/>
    <w:rsid w:val="004F3C0B"/>
    <w:rsid w:val="004F3D0A"/>
    <w:rsid w:val="004F450D"/>
    <w:rsid w:val="004F5B1B"/>
    <w:rsid w:val="004F63FC"/>
    <w:rsid w:val="00501638"/>
    <w:rsid w:val="00504341"/>
    <w:rsid w:val="00505A92"/>
    <w:rsid w:val="00507E20"/>
    <w:rsid w:val="00512A46"/>
    <w:rsid w:val="005203F1"/>
    <w:rsid w:val="00521BC3"/>
    <w:rsid w:val="00522CB0"/>
    <w:rsid w:val="005240E2"/>
    <w:rsid w:val="0052468E"/>
    <w:rsid w:val="00526FF3"/>
    <w:rsid w:val="005278FB"/>
    <w:rsid w:val="0053170A"/>
    <w:rsid w:val="0053177E"/>
    <w:rsid w:val="00532C9E"/>
    <w:rsid w:val="00533632"/>
    <w:rsid w:val="00540CC6"/>
    <w:rsid w:val="00541E6E"/>
    <w:rsid w:val="0054251F"/>
    <w:rsid w:val="00544A60"/>
    <w:rsid w:val="00545EB7"/>
    <w:rsid w:val="00546CD3"/>
    <w:rsid w:val="00547E8A"/>
    <w:rsid w:val="00550A9A"/>
    <w:rsid w:val="005511D2"/>
    <w:rsid w:val="005520D8"/>
    <w:rsid w:val="005538CC"/>
    <w:rsid w:val="005544D6"/>
    <w:rsid w:val="00555AB1"/>
    <w:rsid w:val="00555FD1"/>
    <w:rsid w:val="00556CF1"/>
    <w:rsid w:val="005579EB"/>
    <w:rsid w:val="005622C0"/>
    <w:rsid w:val="00562DAA"/>
    <w:rsid w:val="00563D8D"/>
    <w:rsid w:val="00564622"/>
    <w:rsid w:val="00566578"/>
    <w:rsid w:val="00566F50"/>
    <w:rsid w:val="005676F2"/>
    <w:rsid w:val="00572D52"/>
    <w:rsid w:val="005738CC"/>
    <w:rsid w:val="00574EA3"/>
    <w:rsid w:val="0057571D"/>
    <w:rsid w:val="00575C1E"/>
    <w:rsid w:val="005762A7"/>
    <w:rsid w:val="0058354A"/>
    <w:rsid w:val="005916D7"/>
    <w:rsid w:val="00591F59"/>
    <w:rsid w:val="0059366D"/>
    <w:rsid w:val="005936C4"/>
    <w:rsid w:val="005941F7"/>
    <w:rsid w:val="00594C59"/>
    <w:rsid w:val="00595233"/>
    <w:rsid w:val="0059707E"/>
    <w:rsid w:val="005979C2"/>
    <w:rsid w:val="005A08F0"/>
    <w:rsid w:val="005A48CE"/>
    <w:rsid w:val="005A698C"/>
    <w:rsid w:val="005A7921"/>
    <w:rsid w:val="005B125F"/>
    <w:rsid w:val="005B2416"/>
    <w:rsid w:val="005B4388"/>
    <w:rsid w:val="005B4AD9"/>
    <w:rsid w:val="005B4C37"/>
    <w:rsid w:val="005B645C"/>
    <w:rsid w:val="005B6B8E"/>
    <w:rsid w:val="005C1D02"/>
    <w:rsid w:val="005C3021"/>
    <w:rsid w:val="005C5AAE"/>
    <w:rsid w:val="005C6135"/>
    <w:rsid w:val="005C7C8C"/>
    <w:rsid w:val="005D14B0"/>
    <w:rsid w:val="005D3F15"/>
    <w:rsid w:val="005D6823"/>
    <w:rsid w:val="005E0799"/>
    <w:rsid w:val="005E307F"/>
    <w:rsid w:val="005E331F"/>
    <w:rsid w:val="005E50FA"/>
    <w:rsid w:val="005F10D5"/>
    <w:rsid w:val="005F5A80"/>
    <w:rsid w:val="005F6E56"/>
    <w:rsid w:val="006013EB"/>
    <w:rsid w:val="00602EC8"/>
    <w:rsid w:val="0060363F"/>
    <w:rsid w:val="00604207"/>
    <w:rsid w:val="006044FF"/>
    <w:rsid w:val="00606467"/>
    <w:rsid w:val="00606605"/>
    <w:rsid w:val="00607CC5"/>
    <w:rsid w:val="006100E2"/>
    <w:rsid w:val="00610400"/>
    <w:rsid w:val="006112F2"/>
    <w:rsid w:val="00611B56"/>
    <w:rsid w:val="00614534"/>
    <w:rsid w:val="00615088"/>
    <w:rsid w:val="00620F2A"/>
    <w:rsid w:val="00623516"/>
    <w:rsid w:val="00633014"/>
    <w:rsid w:val="006337FA"/>
    <w:rsid w:val="0063437B"/>
    <w:rsid w:val="00634415"/>
    <w:rsid w:val="00636BC1"/>
    <w:rsid w:val="00636F96"/>
    <w:rsid w:val="006429F4"/>
    <w:rsid w:val="00644BCF"/>
    <w:rsid w:val="006453B1"/>
    <w:rsid w:val="00650FA9"/>
    <w:rsid w:val="00654762"/>
    <w:rsid w:val="00655D30"/>
    <w:rsid w:val="00656E04"/>
    <w:rsid w:val="00660694"/>
    <w:rsid w:val="00662889"/>
    <w:rsid w:val="006673CA"/>
    <w:rsid w:val="0067264E"/>
    <w:rsid w:val="006726FE"/>
    <w:rsid w:val="00673C26"/>
    <w:rsid w:val="00680ACB"/>
    <w:rsid w:val="00680E93"/>
    <w:rsid w:val="006812AF"/>
    <w:rsid w:val="00681C09"/>
    <w:rsid w:val="00682D89"/>
    <w:rsid w:val="0068327D"/>
    <w:rsid w:val="00684617"/>
    <w:rsid w:val="00684C76"/>
    <w:rsid w:val="00685EC9"/>
    <w:rsid w:val="00686D55"/>
    <w:rsid w:val="00687806"/>
    <w:rsid w:val="006924D2"/>
    <w:rsid w:val="00693E39"/>
    <w:rsid w:val="00693F5C"/>
    <w:rsid w:val="00694AF0"/>
    <w:rsid w:val="006966CE"/>
    <w:rsid w:val="00696765"/>
    <w:rsid w:val="006A079B"/>
    <w:rsid w:val="006A210A"/>
    <w:rsid w:val="006A2D0A"/>
    <w:rsid w:val="006A3168"/>
    <w:rsid w:val="006A4686"/>
    <w:rsid w:val="006A6B89"/>
    <w:rsid w:val="006B0E9E"/>
    <w:rsid w:val="006B122A"/>
    <w:rsid w:val="006B2F39"/>
    <w:rsid w:val="006B48ED"/>
    <w:rsid w:val="006B5AE4"/>
    <w:rsid w:val="006B5C09"/>
    <w:rsid w:val="006C36D8"/>
    <w:rsid w:val="006C74EF"/>
    <w:rsid w:val="006D0304"/>
    <w:rsid w:val="006D1507"/>
    <w:rsid w:val="006D4054"/>
    <w:rsid w:val="006D4585"/>
    <w:rsid w:val="006D5384"/>
    <w:rsid w:val="006D6FBE"/>
    <w:rsid w:val="006E02EC"/>
    <w:rsid w:val="006E4E0E"/>
    <w:rsid w:val="006F13A1"/>
    <w:rsid w:val="006F16BA"/>
    <w:rsid w:val="006F4DAF"/>
    <w:rsid w:val="006F7FF7"/>
    <w:rsid w:val="00700EEA"/>
    <w:rsid w:val="0070642E"/>
    <w:rsid w:val="00706C0B"/>
    <w:rsid w:val="00711637"/>
    <w:rsid w:val="0071390E"/>
    <w:rsid w:val="007211B1"/>
    <w:rsid w:val="007244A4"/>
    <w:rsid w:val="00736C64"/>
    <w:rsid w:val="0074305F"/>
    <w:rsid w:val="00746187"/>
    <w:rsid w:val="00746760"/>
    <w:rsid w:val="0075437B"/>
    <w:rsid w:val="0075513C"/>
    <w:rsid w:val="00755B7D"/>
    <w:rsid w:val="007604AE"/>
    <w:rsid w:val="00761647"/>
    <w:rsid w:val="00762443"/>
    <w:rsid w:val="0076254F"/>
    <w:rsid w:val="00763BC2"/>
    <w:rsid w:val="00764E2A"/>
    <w:rsid w:val="00766E54"/>
    <w:rsid w:val="007738B5"/>
    <w:rsid w:val="00774052"/>
    <w:rsid w:val="00775B09"/>
    <w:rsid w:val="0077644F"/>
    <w:rsid w:val="007773FB"/>
    <w:rsid w:val="007801F5"/>
    <w:rsid w:val="0078183C"/>
    <w:rsid w:val="007834B8"/>
    <w:rsid w:val="00783CA4"/>
    <w:rsid w:val="007842FB"/>
    <w:rsid w:val="0078532B"/>
    <w:rsid w:val="0078596A"/>
    <w:rsid w:val="00786124"/>
    <w:rsid w:val="007871FE"/>
    <w:rsid w:val="00790992"/>
    <w:rsid w:val="0079105A"/>
    <w:rsid w:val="00793C23"/>
    <w:rsid w:val="0079472D"/>
    <w:rsid w:val="0079514B"/>
    <w:rsid w:val="00795D94"/>
    <w:rsid w:val="007A0155"/>
    <w:rsid w:val="007A245B"/>
    <w:rsid w:val="007A2613"/>
    <w:rsid w:val="007A2DC1"/>
    <w:rsid w:val="007A5775"/>
    <w:rsid w:val="007A6B17"/>
    <w:rsid w:val="007B4ACB"/>
    <w:rsid w:val="007B4BE3"/>
    <w:rsid w:val="007B583A"/>
    <w:rsid w:val="007B6D65"/>
    <w:rsid w:val="007C04DD"/>
    <w:rsid w:val="007C33B3"/>
    <w:rsid w:val="007C39D1"/>
    <w:rsid w:val="007C3ECD"/>
    <w:rsid w:val="007C42BD"/>
    <w:rsid w:val="007C4A2D"/>
    <w:rsid w:val="007C7EA9"/>
    <w:rsid w:val="007C7F88"/>
    <w:rsid w:val="007D2453"/>
    <w:rsid w:val="007D3319"/>
    <w:rsid w:val="007D335D"/>
    <w:rsid w:val="007D6169"/>
    <w:rsid w:val="007E16E9"/>
    <w:rsid w:val="007E2C33"/>
    <w:rsid w:val="007E3314"/>
    <w:rsid w:val="007E4B03"/>
    <w:rsid w:val="007F0670"/>
    <w:rsid w:val="007F14BA"/>
    <w:rsid w:val="007F27EB"/>
    <w:rsid w:val="007F28C0"/>
    <w:rsid w:val="007F324B"/>
    <w:rsid w:val="007F3749"/>
    <w:rsid w:val="007F5637"/>
    <w:rsid w:val="007F78ED"/>
    <w:rsid w:val="008004B6"/>
    <w:rsid w:val="00800583"/>
    <w:rsid w:val="008018B8"/>
    <w:rsid w:val="0080410D"/>
    <w:rsid w:val="0080459A"/>
    <w:rsid w:val="0080553C"/>
    <w:rsid w:val="008058B3"/>
    <w:rsid w:val="00805B46"/>
    <w:rsid w:val="00810D58"/>
    <w:rsid w:val="008112B2"/>
    <w:rsid w:val="008117EF"/>
    <w:rsid w:val="00814B5F"/>
    <w:rsid w:val="008177B7"/>
    <w:rsid w:val="0082142D"/>
    <w:rsid w:val="00821AE4"/>
    <w:rsid w:val="0082212A"/>
    <w:rsid w:val="00823503"/>
    <w:rsid w:val="008245E6"/>
    <w:rsid w:val="00825BFF"/>
    <w:rsid w:val="00825DC2"/>
    <w:rsid w:val="00826169"/>
    <w:rsid w:val="00832467"/>
    <w:rsid w:val="008337A4"/>
    <w:rsid w:val="00834AD3"/>
    <w:rsid w:val="0083612B"/>
    <w:rsid w:val="00836F2A"/>
    <w:rsid w:val="00840030"/>
    <w:rsid w:val="008402E9"/>
    <w:rsid w:val="00840B7F"/>
    <w:rsid w:val="00841715"/>
    <w:rsid w:val="00843795"/>
    <w:rsid w:val="00845358"/>
    <w:rsid w:val="0084584A"/>
    <w:rsid w:val="00847F0F"/>
    <w:rsid w:val="00850EBF"/>
    <w:rsid w:val="00852448"/>
    <w:rsid w:val="00854E11"/>
    <w:rsid w:val="008560D4"/>
    <w:rsid w:val="00857FA7"/>
    <w:rsid w:val="00861BC1"/>
    <w:rsid w:val="00862E1E"/>
    <w:rsid w:val="00863005"/>
    <w:rsid w:val="00870ABF"/>
    <w:rsid w:val="00870B55"/>
    <w:rsid w:val="00870FC5"/>
    <w:rsid w:val="008732AC"/>
    <w:rsid w:val="00873659"/>
    <w:rsid w:val="008759FD"/>
    <w:rsid w:val="00881816"/>
    <w:rsid w:val="0088258A"/>
    <w:rsid w:val="00882791"/>
    <w:rsid w:val="00882881"/>
    <w:rsid w:val="00883EE7"/>
    <w:rsid w:val="008844A6"/>
    <w:rsid w:val="00886332"/>
    <w:rsid w:val="008913C5"/>
    <w:rsid w:val="008921D7"/>
    <w:rsid w:val="00893D1A"/>
    <w:rsid w:val="00897778"/>
    <w:rsid w:val="008A10EE"/>
    <w:rsid w:val="008A17A7"/>
    <w:rsid w:val="008A26D9"/>
    <w:rsid w:val="008A3F5A"/>
    <w:rsid w:val="008A5E55"/>
    <w:rsid w:val="008A698E"/>
    <w:rsid w:val="008B19EB"/>
    <w:rsid w:val="008B38F9"/>
    <w:rsid w:val="008B3F6A"/>
    <w:rsid w:val="008B5489"/>
    <w:rsid w:val="008B6E57"/>
    <w:rsid w:val="008B7EFE"/>
    <w:rsid w:val="008C00A0"/>
    <w:rsid w:val="008C0841"/>
    <w:rsid w:val="008C0C29"/>
    <w:rsid w:val="008C264C"/>
    <w:rsid w:val="008C4C60"/>
    <w:rsid w:val="008C5145"/>
    <w:rsid w:val="008C6BC0"/>
    <w:rsid w:val="008C6CD3"/>
    <w:rsid w:val="008D05EF"/>
    <w:rsid w:val="008D25A6"/>
    <w:rsid w:val="008D3DBD"/>
    <w:rsid w:val="008D4206"/>
    <w:rsid w:val="008D6CAD"/>
    <w:rsid w:val="008D6E22"/>
    <w:rsid w:val="008D772A"/>
    <w:rsid w:val="008E0984"/>
    <w:rsid w:val="008F1A4D"/>
    <w:rsid w:val="008F2E54"/>
    <w:rsid w:val="008F334A"/>
    <w:rsid w:val="008F3638"/>
    <w:rsid w:val="008F4441"/>
    <w:rsid w:val="008F4B44"/>
    <w:rsid w:val="008F6E53"/>
    <w:rsid w:val="008F6F31"/>
    <w:rsid w:val="008F7307"/>
    <w:rsid w:val="008F74DF"/>
    <w:rsid w:val="0090095A"/>
    <w:rsid w:val="0090267C"/>
    <w:rsid w:val="0090351B"/>
    <w:rsid w:val="00910E68"/>
    <w:rsid w:val="009112A9"/>
    <w:rsid w:val="009127BA"/>
    <w:rsid w:val="00915034"/>
    <w:rsid w:val="009227A6"/>
    <w:rsid w:val="00922DB9"/>
    <w:rsid w:val="00927DE8"/>
    <w:rsid w:val="00933EC1"/>
    <w:rsid w:val="00937201"/>
    <w:rsid w:val="009429A2"/>
    <w:rsid w:val="009438D0"/>
    <w:rsid w:val="0094486C"/>
    <w:rsid w:val="009511F0"/>
    <w:rsid w:val="009530DB"/>
    <w:rsid w:val="00953519"/>
    <w:rsid w:val="00953676"/>
    <w:rsid w:val="00955195"/>
    <w:rsid w:val="0095545E"/>
    <w:rsid w:val="00956102"/>
    <w:rsid w:val="00962DCB"/>
    <w:rsid w:val="009646F0"/>
    <w:rsid w:val="0096756D"/>
    <w:rsid w:val="00967C8F"/>
    <w:rsid w:val="00970442"/>
    <w:rsid w:val="009705EE"/>
    <w:rsid w:val="00970D75"/>
    <w:rsid w:val="009711F5"/>
    <w:rsid w:val="00972AFC"/>
    <w:rsid w:val="009738A0"/>
    <w:rsid w:val="00973AFF"/>
    <w:rsid w:val="00974707"/>
    <w:rsid w:val="009751C2"/>
    <w:rsid w:val="00977927"/>
    <w:rsid w:val="009809DA"/>
    <w:rsid w:val="00981125"/>
    <w:rsid w:val="0098135C"/>
    <w:rsid w:val="0098156A"/>
    <w:rsid w:val="00982546"/>
    <w:rsid w:val="009855D4"/>
    <w:rsid w:val="00991621"/>
    <w:rsid w:val="00991BAC"/>
    <w:rsid w:val="0099505F"/>
    <w:rsid w:val="00996239"/>
    <w:rsid w:val="0099722B"/>
    <w:rsid w:val="009A0646"/>
    <w:rsid w:val="009A1D8D"/>
    <w:rsid w:val="009A3D0F"/>
    <w:rsid w:val="009A5580"/>
    <w:rsid w:val="009A6EA0"/>
    <w:rsid w:val="009A6F97"/>
    <w:rsid w:val="009A79F0"/>
    <w:rsid w:val="009B085A"/>
    <w:rsid w:val="009B21FD"/>
    <w:rsid w:val="009B4E78"/>
    <w:rsid w:val="009C0E6F"/>
    <w:rsid w:val="009C1335"/>
    <w:rsid w:val="009C16A0"/>
    <w:rsid w:val="009C1AB2"/>
    <w:rsid w:val="009C1DB3"/>
    <w:rsid w:val="009C3864"/>
    <w:rsid w:val="009C42BB"/>
    <w:rsid w:val="009C50B1"/>
    <w:rsid w:val="009C527D"/>
    <w:rsid w:val="009C7251"/>
    <w:rsid w:val="009D05B3"/>
    <w:rsid w:val="009D1692"/>
    <w:rsid w:val="009D23B7"/>
    <w:rsid w:val="009D5100"/>
    <w:rsid w:val="009E004E"/>
    <w:rsid w:val="009E0A81"/>
    <w:rsid w:val="009E1EFA"/>
    <w:rsid w:val="009E25C8"/>
    <w:rsid w:val="009E2E91"/>
    <w:rsid w:val="009E3614"/>
    <w:rsid w:val="009F27D6"/>
    <w:rsid w:val="009F356B"/>
    <w:rsid w:val="009F42E7"/>
    <w:rsid w:val="009F596D"/>
    <w:rsid w:val="009F59D6"/>
    <w:rsid w:val="00A07FED"/>
    <w:rsid w:val="00A113BD"/>
    <w:rsid w:val="00A129DD"/>
    <w:rsid w:val="00A12B88"/>
    <w:rsid w:val="00A131EC"/>
    <w:rsid w:val="00A139F5"/>
    <w:rsid w:val="00A13AFF"/>
    <w:rsid w:val="00A170C5"/>
    <w:rsid w:val="00A21AA2"/>
    <w:rsid w:val="00A21C8A"/>
    <w:rsid w:val="00A23BFD"/>
    <w:rsid w:val="00A23D59"/>
    <w:rsid w:val="00A26C65"/>
    <w:rsid w:val="00A26C66"/>
    <w:rsid w:val="00A27A8F"/>
    <w:rsid w:val="00A3019B"/>
    <w:rsid w:val="00A3518B"/>
    <w:rsid w:val="00A363E6"/>
    <w:rsid w:val="00A365F4"/>
    <w:rsid w:val="00A369C5"/>
    <w:rsid w:val="00A36ECA"/>
    <w:rsid w:val="00A400EC"/>
    <w:rsid w:val="00A404D7"/>
    <w:rsid w:val="00A448FE"/>
    <w:rsid w:val="00A46817"/>
    <w:rsid w:val="00A47D80"/>
    <w:rsid w:val="00A50784"/>
    <w:rsid w:val="00A52880"/>
    <w:rsid w:val="00A5299E"/>
    <w:rsid w:val="00A52F06"/>
    <w:rsid w:val="00A53132"/>
    <w:rsid w:val="00A5355A"/>
    <w:rsid w:val="00A53703"/>
    <w:rsid w:val="00A563F2"/>
    <w:rsid w:val="00A566E8"/>
    <w:rsid w:val="00A5724A"/>
    <w:rsid w:val="00A61575"/>
    <w:rsid w:val="00A6162C"/>
    <w:rsid w:val="00A61F64"/>
    <w:rsid w:val="00A710AA"/>
    <w:rsid w:val="00A711BD"/>
    <w:rsid w:val="00A749B7"/>
    <w:rsid w:val="00A810F9"/>
    <w:rsid w:val="00A8212F"/>
    <w:rsid w:val="00A86459"/>
    <w:rsid w:val="00A86ECC"/>
    <w:rsid w:val="00A86FCC"/>
    <w:rsid w:val="00A90281"/>
    <w:rsid w:val="00A9134F"/>
    <w:rsid w:val="00A9552E"/>
    <w:rsid w:val="00A959CA"/>
    <w:rsid w:val="00A960C3"/>
    <w:rsid w:val="00A961B3"/>
    <w:rsid w:val="00A96F44"/>
    <w:rsid w:val="00A9774A"/>
    <w:rsid w:val="00AA0042"/>
    <w:rsid w:val="00AA0FFC"/>
    <w:rsid w:val="00AA12DB"/>
    <w:rsid w:val="00AA1B06"/>
    <w:rsid w:val="00AA2832"/>
    <w:rsid w:val="00AA5B39"/>
    <w:rsid w:val="00AA710D"/>
    <w:rsid w:val="00AB0FC7"/>
    <w:rsid w:val="00AB1747"/>
    <w:rsid w:val="00AB2BA3"/>
    <w:rsid w:val="00AB329A"/>
    <w:rsid w:val="00AB4312"/>
    <w:rsid w:val="00AB6AEB"/>
    <w:rsid w:val="00AB6D25"/>
    <w:rsid w:val="00AC023F"/>
    <w:rsid w:val="00AC1948"/>
    <w:rsid w:val="00AC309E"/>
    <w:rsid w:val="00AC6D90"/>
    <w:rsid w:val="00AD444D"/>
    <w:rsid w:val="00AD5D19"/>
    <w:rsid w:val="00AD5EA8"/>
    <w:rsid w:val="00AE0B88"/>
    <w:rsid w:val="00AE1514"/>
    <w:rsid w:val="00AE2D4B"/>
    <w:rsid w:val="00AE2F97"/>
    <w:rsid w:val="00AE384F"/>
    <w:rsid w:val="00AE485C"/>
    <w:rsid w:val="00AE4F99"/>
    <w:rsid w:val="00AE53C3"/>
    <w:rsid w:val="00AE6A91"/>
    <w:rsid w:val="00AE6AC5"/>
    <w:rsid w:val="00AE78D1"/>
    <w:rsid w:val="00AF4E19"/>
    <w:rsid w:val="00AF5E24"/>
    <w:rsid w:val="00AF719A"/>
    <w:rsid w:val="00B0006D"/>
    <w:rsid w:val="00B04114"/>
    <w:rsid w:val="00B11B69"/>
    <w:rsid w:val="00B12C73"/>
    <w:rsid w:val="00B14952"/>
    <w:rsid w:val="00B17158"/>
    <w:rsid w:val="00B20CDB"/>
    <w:rsid w:val="00B233BF"/>
    <w:rsid w:val="00B27C83"/>
    <w:rsid w:val="00B30CBB"/>
    <w:rsid w:val="00B31E5A"/>
    <w:rsid w:val="00B349C1"/>
    <w:rsid w:val="00B378AC"/>
    <w:rsid w:val="00B440FE"/>
    <w:rsid w:val="00B44C06"/>
    <w:rsid w:val="00B51472"/>
    <w:rsid w:val="00B54129"/>
    <w:rsid w:val="00B5622F"/>
    <w:rsid w:val="00B5702F"/>
    <w:rsid w:val="00B61498"/>
    <w:rsid w:val="00B618C5"/>
    <w:rsid w:val="00B62159"/>
    <w:rsid w:val="00B653AB"/>
    <w:rsid w:val="00B65F9E"/>
    <w:rsid w:val="00B6643E"/>
    <w:rsid w:val="00B66B19"/>
    <w:rsid w:val="00B71CA4"/>
    <w:rsid w:val="00B7273F"/>
    <w:rsid w:val="00B735A4"/>
    <w:rsid w:val="00B80C6D"/>
    <w:rsid w:val="00B82634"/>
    <w:rsid w:val="00B83B7D"/>
    <w:rsid w:val="00B914E9"/>
    <w:rsid w:val="00B94E11"/>
    <w:rsid w:val="00B956EE"/>
    <w:rsid w:val="00B95CEF"/>
    <w:rsid w:val="00B95F8F"/>
    <w:rsid w:val="00B977DD"/>
    <w:rsid w:val="00BA2BA1"/>
    <w:rsid w:val="00BA3562"/>
    <w:rsid w:val="00BA39B6"/>
    <w:rsid w:val="00BA3E54"/>
    <w:rsid w:val="00BA66E4"/>
    <w:rsid w:val="00BA67A6"/>
    <w:rsid w:val="00BB09F4"/>
    <w:rsid w:val="00BB4F09"/>
    <w:rsid w:val="00BB606C"/>
    <w:rsid w:val="00BC0E57"/>
    <w:rsid w:val="00BC1D6C"/>
    <w:rsid w:val="00BC243A"/>
    <w:rsid w:val="00BC3743"/>
    <w:rsid w:val="00BD097C"/>
    <w:rsid w:val="00BD3691"/>
    <w:rsid w:val="00BD38E3"/>
    <w:rsid w:val="00BD43FD"/>
    <w:rsid w:val="00BD4E33"/>
    <w:rsid w:val="00BD601D"/>
    <w:rsid w:val="00BE3C36"/>
    <w:rsid w:val="00BE51A4"/>
    <w:rsid w:val="00BE6260"/>
    <w:rsid w:val="00BE6622"/>
    <w:rsid w:val="00BE684D"/>
    <w:rsid w:val="00BF1E1B"/>
    <w:rsid w:val="00BF32A1"/>
    <w:rsid w:val="00BF4D8E"/>
    <w:rsid w:val="00BF65C3"/>
    <w:rsid w:val="00C00BB8"/>
    <w:rsid w:val="00C00FA8"/>
    <w:rsid w:val="00C0133D"/>
    <w:rsid w:val="00C01503"/>
    <w:rsid w:val="00C02FC3"/>
    <w:rsid w:val="00C030DE"/>
    <w:rsid w:val="00C064E1"/>
    <w:rsid w:val="00C10867"/>
    <w:rsid w:val="00C11A8A"/>
    <w:rsid w:val="00C13855"/>
    <w:rsid w:val="00C139F6"/>
    <w:rsid w:val="00C1646D"/>
    <w:rsid w:val="00C16FF9"/>
    <w:rsid w:val="00C22105"/>
    <w:rsid w:val="00C244B6"/>
    <w:rsid w:val="00C26439"/>
    <w:rsid w:val="00C279F2"/>
    <w:rsid w:val="00C301CC"/>
    <w:rsid w:val="00C30E4E"/>
    <w:rsid w:val="00C3118A"/>
    <w:rsid w:val="00C31560"/>
    <w:rsid w:val="00C31691"/>
    <w:rsid w:val="00C33721"/>
    <w:rsid w:val="00C358FC"/>
    <w:rsid w:val="00C3702F"/>
    <w:rsid w:val="00C40B3D"/>
    <w:rsid w:val="00C4383D"/>
    <w:rsid w:val="00C4500A"/>
    <w:rsid w:val="00C52B29"/>
    <w:rsid w:val="00C53DFB"/>
    <w:rsid w:val="00C54EE5"/>
    <w:rsid w:val="00C57563"/>
    <w:rsid w:val="00C57B06"/>
    <w:rsid w:val="00C60D1C"/>
    <w:rsid w:val="00C620FB"/>
    <w:rsid w:val="00C62335"/>
    <w:rsid w:val="00C6271D"/>
    <w:rsid w:val="00C63D61"/>
    <w:rsid w:val="00C64A37"/>
    <w:rsid w:val="00C651BD"/>
    <w:rsid w:val="00C7158E"/>
    <w:rsid w:val="00C7250B"/>
    <w:rsid w:val="00C7346B"/>
    <w:rsid w:val="00C75769"/>
    <w:rsid w:val="00C757B8"/>
    <w:rsid w:val="00C77C0E"/>
    <w:rsid w:val="00C80120"/>
    <w:rsid w:val="00C80B4B"/>
    <w:rsid w:val="00C81C3B"/>
    <w:rsid w:val="00C82D42"/>
    <w:rsid w:val="00C835A2"/>
    <w:rsid w:val="00C839CC"/>
    <w:rsid w:val="00C83ED1"/>
    <w:rsid w:val="00C8489D"/>
    <w:rsid w:val="00C84B39"/>
    <w:rsid w:val="00C84C99"/>
    <w:rsid w:val="00C85E22"/>
    <w:rsid w:val="00C8773F"/>
    <w:rsid w:val="00C879A5"/>
    <w:rsid w:val="00C87FE8"/>
    <w:rsid w:val="00C908F9"/>
    <w:rsid w:val="00C91687"/>
    <w:rsid w:val="00C921AF"/>
    <w:rsid w:val="00C924A8"/>
    <w:rsid w:val="00C92F09"/>
    <w:rsid w:val="00C93177"/>
    <w:rsid w:val="00C93196"/>
    <w:rsid w:val="00C9388B"/>
    <w:rsid w:val="00C945FE"/>
    <w:rsid w:val="00C94BCB"/>
    <w:rsid w:val="00C94C47"/>
    <w:rsid w:val="00C965E2"/>
    <w:rsid w:val="00C96FAA"/>
    <w:rsid w:val="00C97A04"/>
    <w:rsid w:val="00C97CF3"/>
    <w:rsid w:val="00CA107B"/>
    <w:rsid w:val="00CA20F9"/>
    <w:rsid w:val="00CA484D"/>
    <w:rsid w:val="00CA4FB6"/>
    <w:rsid w:val="00CB12AE"/>
    <w:rsid w:val="00CB1646"/>
    <w:rsid w:val="00CB1F54"/>
    <w:rsid w:val="00CB4829"/>
    <w:rsid w:val="00CB5CC0"/>
    <w:rsid w:val="00CC0890"/>
    <w:rsid w:val="00CC2821"/>
    <w:rsid w:val="00CC5B5E"/>
    <w:rsid w:val="00CC6A79"/>
    <w:rsid w:val="00CC6EF4"/>
    <w:rsid w:val="00CC739E"/>
    <w:rsid w:val="00CD11F5"/>
    <w:rsid w:val="00CD1BB3"/>
    <w:rsid w:val="00CD2203"/>
    <w:rsid w:val="00CD438A"/>
    <w:rsid w:val="00CD58B7"/>
    <w:rsid w:val="00CE05BE"/>
    <w:rsid w:val="00CE2908"/>
    <w:rsid w:val="00CE2CF8"/>
    <w:rsid w:val="00CE3F40"/>
    <w:rsid w:val="00CE54BB"/>
    <w:rsid w:val="00CF07BE"/>
    <w:rsid w:val="00CF232E"/>
    <w:rsid w:val="00CF3700"/>
    <w:rsid w:val="00CF4099"/>
    <w:rsid w:val="00CF592D"/>
    <w:rsid w:val="00CF5988"/>
    <w:rsid w:val="00CF5F01"/>
    <w:rsid w:val="00CF65B2"/>
    <w:rsid w:val="00CF7B87"/>
    <w:rsid w:val="00D005CA"/>
    <w:rsid w:val="00D00796"/>
    <w:rsid w:val="00D04C42"/>
    <w:rsid w:val="00D11E50"/>
    <w:rsid w:val="00D11F25"/>
    <w:rsid w:val="00D11FD6"/>
    <w:rsid w:val="00D127F2"/>
    <w:rsid w:val="00D20984"/>
    <w:rsid w:val="00D20A2A"/>
    <w:rsid w:val="00D21705"/>
    <w:rsid w:val="00D220D3"/>
    <w:rsid w:val="00D22E49"/>
    <w:rsid w:val="00D233B2"/>
    <w:rsid w:val="00D25633"/>
    <w:rsid w:val="00D261A2"/>
    <w:rsid w:val="00D26638"/>
    <w:rsid w:val="00D278CB"/>
    <w:rsid w:val="00D3113B"/>
    <w:rsid w:val="00D32D6F"/>
    <w:rsid w:val="00D33311"/>
    <w:rsid w:val="00D3367A"/>
    <w:rsid w:val="00D35AB7"/>
    <w:rsid w:val="00D37EB5"/>
    <w:rsid w:val="00D40647"/>
    <w:rsid w:val="00D40876"/>
    <w:rsid w:val="00D4232A"/>
    <w:rsid w:val="00D448F1"/>
    <w:rsid w:val="00D45444"/>
    <w:rsid w:val="00D45BC2"/>
    <w:rsid w:val="00D46BE3"/>
    <w:rsid w:val="00D500D0"/>
    <w:rsid w:val="00D50666"/>
    <w:rsid w:val="00D51F2E"/>
    <w:rsid w:val="00D530CE"/>
    <w:rsid w:val="00D5388A"/>
    <w:rsid w:val="00D577EE"/>
    <w:rsid w:val="00D57E94"/>
    <w:rsid w:val="00D604B5"/>
    <w:rsid w:val="00D61141"/>
    <w:rsid w:val="00D616D2"/>
    <w:rsid w:val="00D61CFB"/>
    <w:rsid w:val="00D63014"/>
    <w:rsid w:val="00D63B5F"/>
    <w:rsid w:val="00D6434E"/>
    <w:rsid w:val="00D64523"/>
    <w:rsid w:val="00D70DD6"/>
    <w:rsid w:val="00D70EF7"/>
    <w:rsid w:val="00D749DB"/>
    <w:rsid w:val="00D755A1"/>
    <w:rsid w:val="00D76D29"/>
    <w:rsid w:val="00D82C53"/>
    <w:rsid w:val="00D8397C"/>
    <w:rsid w:val="00D86310"/>
    <w:rsid w:val="00D869D9"/>
    <w:rsid w:val="00D92DB8"/>
    <w:rsid w:val="00D947AB"/>
    <w:rsid w:val="00D94EED"/>
    <w:rsid w:val="00D95022"/>
    <w:rsid w:val="00D96026"/>
    <w:rsid w:val="00D96040"/>
    <w:rsid w:val="00D964EF"/>
    <w:rsid w:val="00D9783D"/>
    <w:rsid w:val="00DA15D5"/>
    <w:rsid w:val="00DA2857"/>
    <w:rsid w:val="00DA28ED"/>
    <w:rsid w:val="00DA2D79"/>
    <w:rsid w:val="00DA5D4B"/>
    <w:rsid w:val="00DA7A18"/>
    <w:rsid w:val="00DA7C1C"/>
    <w:rsid w:val="00DB147A"/>
    <w:rsid w:val="00DB1B7A"/>
    <w:rsid w:val="00DB2C4B"/>
    <w:rsid w:val="00DB3F6F"/>
    <w:rsid w:val="00DB5917"/>
    <w:rsid w:val="00DC27B5"/>
    <w:rsid w:val="00DC3686"/>
    <w:rsid w:val="00DC4AFA"/>
    <w:rsid w:val="00DC4C6D"/>
    <w:rsid w:val="00DC55D0"/>
    <w:rsid w:val="00DC6708"/>
    <w:rsid w:val="00DD1B5F"/>
    <w:rsid w:val="00DD21E3"/>
    <w:rsid w:val="00DD358A"/>
    <w:rsid w:val="00DD4C9C"/>
    <w:rsid w:val="00DD50F8"/>
    <w:rsid w:val="00DD5E33"/>
    <w:rsid w:val="00DE44C0"/>
    <w:rsid w:val="00DE5863"/>
    <w:rsid w:val="00DE5E03"/>
    <w:rsid w:val="00DE6F80"/>
    <w:rsid w:val="00DF17C4"/>
    <w:rsid w:val="00DF18EB"/>
    <w:rsid w:val="00DF5C3C"/>
    <w:rsid w:val="00E01436"/>
    <w:rsid w:val="00E01C7C"/>
    <w:rsid w:val="00E02F2E"/>
    <w:rsid w:val="00E02F86"/>
    <w:rsid w:val="00E042E1"/>
    <w:rsid w:val="00E045BD"/>
    <w:rsid w:val="00E05040"/>
    <w:rsid w:val="00E05E14"/>
    <w:rsid w:val="00E07E08"/>
    <w:rsid w:val="00E113FA"/>
    <w:rsid w:val="00E13DA0"/>
    <w:rsid w:val="00E17227"/>
    <w:rsid w:val="00E178CE"/>
    <w:rsid w:val="00E17B77"/>
    <w:rsid w:val="00E22AC9"/>
    <w:rsid w:val="00E22C64"/>
    <w:rsid w:val="00E23337"/>
    <w:rsid w:val="00E259EA"/>
    <w:rsid w:val="00E275B3"/>
    <w:rsid w:val="00E32061"/>
    <w:rsid w:val="00E34EAA"/>
    <w:rsid w:val="00E35E85"/>
    <w:rsid w:val="00E408EB"/>
    <w:rsid w:val="00E4104F"/>
    <w:rsid w:val="00E42FF9"/>
    <w:rsid w:val="00E43091"/>
    <w:rsid w:val="00E432C6"/>
    <w:rsid w:val="00E44723"/>
    <w:rsid w:val="00E448A4"/>
    <w:rsid w:val="00E44AD2"/>
    <w:rsid w:val="00E45C25"/>
    <w:rsid w:val="00E45E8D"/>
    <w:rsid w:val="00E46889"/>
    <w:rsid w:val="00E4714C"/>
    <w:rsid w:val="00E51AEB"/>
    <w:rsid w:val="00E522A7"/>
    <w:rsid w:val="00E54452"/>
    <w:rsid w:val="00E5708B"/>
    <w:rsid w:val="00E6405B"/>
    <w:rsid w:val="00E64B66"/>
    <w:rsid w:val="00E659EE"/>
    <w:rsid w:val="00E664C5"/>
    <w:rsid w:val="00E67183"/>
    <w:rsid w:val="00E671A2"/>
    <w:rsid w:val="00E70ED0"/>
    <w:rsid w:val="00E71614"/>
    <w:rsid w:val="00E74157"/>
    <w:rsid w:val="00E7514A"/>
    <w:rsid w:val="00E761AE"/>
    <w:rsid w:val="00E76D26"/>
    <w:rsid w:val="00E803FD"/>
    <w:rsid w:val="00E8142F"/>
    <w:rsid w:val="00E84B67"/>
    <w:rsid w:val="00E85FA7"/>
    <w:rsid w:val="00E86126"/>
    <w:rsid w:val="00E86263"/>
    <w:rsid w:val="00E9365A"/>
    <w:rsid w:val="00E93A98"/>
    <w:rsid w:val="00E956C7"/>
    <w:rsid w:val="00E96073"/>
    <w:rsid w:val="00E96947"/>
    <w:rsid w:val="00E9792D"/>
    <w:rsid w:val="00E97B7B"/>
    <w:rsid w:val="00EA2C2D"/>
    <w:rsid w:val="00EB074D"/>
    <w:rsid w:val="00EB1390"/>
    <w:rsid w:val="00EB2C71"/>
    <w:rsid w:val="00EB4340"/>
    <w:rsid w:val="00EB4898"/>
    <w:rsid w:val="00EB556D"/>
    <w:rsid w:val="00EB5A7D"/>
    <w:rsid w:val="00EB5E7F"/>
    <w:rsid w:val="00EB63D2"/>
    <w:rsid w:val="00EB72A5"/>
    <w:rsid w:val="00EB77D4"/>
    <w:rsid w:val="00EC0751"/>
    <w:rsid w:val="00EC1A16"/>
    <w:rsid w:val="00EC2DC3"/>
    <w:rsid w:val="00EC5F4C"/>
    <w:rsid w:val="00EC6B16"/>
    <w:rsid w:val="00EC6EFC"/>
    <w:rsid w:val="00EC722E"/>
    <w:rsid w:val="00EC724A"/>
    <w:rsid w:val="00EC7761"/>
    <w:rsid w:val="00EC7F75"/>
    <w:rsid w:val="00ED1DC2"/>
    <w:rsid w:val="00ED4DCE"/>
    <w:rsid w:val="00ED55C0"/>
    <w:rsid w:val="00ED5BA5"/>
    <w:rsid w:val="00ED682B"/>
    <w:rsid w:val="00ED68C9"/>
    <w:rsid w:val="00ED777E"/>
    <w:rsid w:val="00EE0BFE"/>
    <w:rsid w:val="00EE2256"/>
    <w:rsid w:val="00EE313A"/>
    <w:rsid w:val="00EE37AD"/>
    <w:rsid w:val="00EE41D5"/>
    <w:rsid w:val="00EE457C"/>
    <w:rsid w:val="00EE5155"/>
    <w:rsid w:val="00EE59F7"/>
    <w:rsid w:val="00EE5DDD"/>
    <w:rsid w:val="00EF0DD3"/>
    <w:rsid w:val="00EF3EDC"/>
    <w:rsid w:val="00EF4CDB"/>
    <w:rsid w:val="00EF55F2"/>
    <w:rsid w:val="00EF5D2E"/>
    <w:rsid w:val="00EF66D4"/>
    <w:rsid w:val="00EF7668"/>
    <w:rsid w:val="00F037A4"/>
    <w:rsid w:val="00F05DA7"/>
    <w:rsid w:val="00F06B96"/>
    <w:rsid w:val="00F06DD6"/>
    <w:rsid w:val="00F078AF"/>
    <w:rsid w:val="00F122A6"/>
    <w:rsid w:val="00F1519F"/>
    <w:rsid w:val="00F17264"/>
    <w:rsid w:val="00F2062C"/>
    <w:rsid w:val="00F20E8E"/>
    <w:rsid w:val="00F2481A"/>
    <w:rsid w:val="00F25976"/>
    <w:rsid w:val="00F27C8F"/>
    <w:rsid w:val="00F30C80"/>
    <w:rsid w:val="00F32749"/>
    <w:rsid w:val="00F344AD"/>
    <w:rsid w:val="00F37172"/>
    <w:rsid w:val="00F3752A"/>
    <w:rsid w:val="00F41498"/>
    <w:rsid w:val="00F43F9E"/>
    <w:rsid w:val="00F4472D"/>
    <w:rsid w:val="00F4477E"/>
    <w:rsid w:val="00F46E69"/>
    <w:rsid w:val="00F46F09"/>
    <w:rsid w:val="00F50B55"/>
    <w:rsid w:val="00F56602"/>
    <w:rsid w:val="00F56ACC"/>
    <w:rsid w:val="00F5773F"/>
    <w:rsid w:val="00F6219B"/>
    <w:rsid w:val="00F6297C"/>
    <w:rsid w:val="00F6332F"/>
    <w:rsid w:val="00F633A5"/>
    <w:rsid w:val="00F649B0"/>
    <w:rsid w:val="00F6522C"/>
    <w:rsid w:val="00F67D8F"/>
    <w:rsid w:val="00F70D6D"/>
    <w:rsid w:val="00F71033"/>
    <w:rsid w:val="00F768A8"/>
    <w:rsid w:val="00F77FE0"/>
    <w:rsid w:val="00F80048"/>
    <w:rsid w:val="00F802BE"/>
    <w:rsid w:val="00F8063B"/>
    <w:rsid w:val="00F80E93"/>
    <w:rsid w:val="00F84B31"/>
    <w:rsid w:val="00F84DD6"/>
    <w:rsid w:val="00F86024"/>
    <w:rsid w:val="00F8611A"/>
    <w:rsid w:val="00F91A01"/>
    <w:rsid w:val="00F95A0E"/>
    <w:rsid w:val="00FA36DE"/>
    <w:rsid w:val="00FA39B1"/>
    <w:rsid w:val="00FA39B4"/>
    <w:rsid w:val="00FA4553"/>
    <w:rsid w:val="00FA5128"/>
    <w:rsid w:val="00FA51EC"/>
    <w:rsid w:val="00FA7078"/>
    <w:rsid w:val="00FA72C9"/>
    <w:rsid w:val="00FB1358"/>
    <w:rsid w:val="00FB208D"/>
    <w:rsid w:val="00FB34D2"/>
    <w:rsid w:val="00FB42D4"/>
    <w:rsid w:val="00FB5906"/>
    <w:rsid w:val="00FB67A3"/>
    <w:rsid w:val="00FB762F"/>
    <w:rsid w:val="00FC025A"/>
    <w:rsid w:val="00FC0BD2"/>
    <w:rsid w:val="00FC2AED"/>
    <w:rsid w:val="00FC4A80"/>
    <w:rsid w:val="00FC7440"/>
    <w:rsid w:val="00FD146F"/>
    <w:rsid w:val="00FD3130"/>
    <w:rsid w:val="00FD33BE"/>
    <w:rsid w:val="00FD3C08"/>
    <w:rsid w:val="00FD5EA7"/>
    <w:rsid w:val="00FE66C2"/>
    <w:rsid w:val="00FE710B"/>
    <w:rsid w:val="00FE748A"/>
    <w:rsid w:val="00FE77AF"/>
    <w:rsid w:val="00FF1B17"/>
    <w:rsid w:val="00FF5417"/>
    <w:rsid w:val="00FF6CBB"/>
    <w:rsid w:val="00FF7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F0D8B0"/>
  <w15:docId w15:val="{C315F3A6-157E-4F5E-B55E-C24EA6DA2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8596A"/>
    <w:rPr>
      <w:color w:val="954F72" w:themeColor="followedHyperlink"/>
      <w:u w:val="single"/>
    </w:rPr>
  </w:style>
  <w:style w:type="character" w:customStyle="1" w:styleId="apple-converted-space">
    <w:name w:val="apple-converted-space"/>
    <w:rsid w:val="00AB174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3F1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3F15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3F1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9694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4E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4E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4E2A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4E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4E2A"/>
    <w:rPr>
      <w:rFonts w:ascii="Fira Sans" w:hAnsi="Fira Sans"/>
      <w:b/>
      <w:bCs/>
      <w:sz w:val="20"/>
      <w:szCs w:val="20"/>
    </w:rPr>
  </w:style>
  <w:style w:type="character" w:customStyle="1" w:styleId="jlqj4b">
    <w:name w:val="jlqj4b"/>
    <w:basedOn w:val="Domylnaczcionkaakapitu"/>
    <w:rsid w:val="00825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image" Target="media/image6.png"/><Relationship Id="rId26" Type="http://schemas.openxmlformats.org/officeDocument/2006/relationships/hyperlink" Target="http://stat.gov.pl/metainformacje/slownik-pojec/pojecia-stosowane-w-statystyce-publicznej/1526,pojecie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bdm.stat.gov.pl/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://www.stat.gov.pl" TargetMode="External"/><Relationship Id="rId25" Type="http://schemas.openxmlformats.org/officeDocument/2006/relationships/hyperlink" Target="https://bdm.stat.gov.pl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http://stat.gov.pl/obszary-tematyczne/podmioty-gospodarcze-wyniki-finansowe/przedsiebiorstwa-finansowe/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stat.gov.pl/obszary-tematyczne/podmioty-gospodarcze-wyniki-finansowe/przedsiebiorstwa-finansowe/" TargetMode="Externa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metainformacje/slownik-pojec/pojecia-stosowane-w-statystyce-publicznej/1646,pojecie.html" TargetMode="External"/><Relationship Id="rId28" Type="http://schemas.openxmlformats.org/officeDocument/2006/relationships/header" Target="header3.xml"/><Relationship Id="rId10" Type="http://schemas.openxmlformats.org/officeDocument/2006/relationships/image" Target="media/image3.emf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://stat.gov.pl/metainformacje/slownik-pojec/pojecia-stosowane-w-statystyce-publicznej/1526,pojecie.html" TargetMode="External"/><Relationship Id="rId27" Type="http://schemas.openxmlformats.org/officeDocument/2006/relationships/hyperlink" Target="http://stat.gov.pl/metainformacje/slownik-pojec/pojecia-stosowane-w-statystyce-publicznej/1646,pojecie.html" TargetMode="Externa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8C029B3F-2CC4-4A59-AF0D-A90575FA3373">Wyniki_ finansowe_ funduszy_ inwestycyjnych_ w_ I_ połowie_ 2021_ r.docx</NazwaPliku>
    <Odbiorcy2 xmlns="8C029B3F-2CC4-4A59-AF0D-A90575FA3373" xsi:nil="true"/>
    <Osoba xmlns="8C029B3F-2CC4-4A59-AF0D-A90575FA3373">STAT\RozkrutD</Osoba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9FA72-E9F0-4F45-9FDA-13F443006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8C029B3F-2CC4-4A59-AF0D-A90575FA337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60897AB-C219-4495-9F1A-4CB35FE61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944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finansowe otwartych funduszy emerytalnych i powszechnych towarzystw emerytalnych w 2017 roku</vt:lpstr>
    </vt:vector>
  </TitlesOfParts>
  <Company>Główny Urząd Statystyczny</Company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finansowe otwartych funduszy emerytalnych i powszechnych towarzystw emerytalnych w 2017 roku</dc:title>
  <dc:subject>Wyniki finansowe otwartych funduszy emerytalnych i powszechnych towarzystw emerytalnych w 2017 roku</dc:subject>
  <cp:keywords>ofe; otwarte fundusze emerytalne; powszechne towarzystwa emerytalne; wynik finansowy ofe</cp:keywords>
  <dc:description>Wyniki finansowe otwartych funduszy emerytalnych i powszechnych towarzystw emerytalnych w 2017 roku</dc:description>
  <cp:lastPrinted>2019-06-14T12:21:00Z</cp:lastPrinted>
  <dcterms:created xsi:type="dcterms:W3CDTF">2021-11-04T13:58:00Z</dcterms:created>
  <dcterms:modified xsi:type="dcterms:W3CDTF">2021-11-22T09:46:00Z</dcterms:modified>
  <cp:category>Wyniki finansowe otwartych funduszy emerytalnych i powszechnych towarzystw emerytalnych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</Properties>
</file>