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35C" w:rsidRPr="009711F5" w:rsidRDefault="000B7D5D" w:rsidP="000B7D5D">
      <w:pPr>
        <w:pStyle w:val="tytuinformacji"/>
        <w:contextualSpacing/>
        <w:rPr>
          <w:shd w:val="clear" w:color="auto" w:fill="FFFFFF"/>
        </w:rPr>
      </w:pPr>
      <w:r>
        <w:rPr>
          <w:shd w:val="clear" w:color="auto" w:fill="FFFFFF"/>
        </w:rPr>
        <w:t>Wyniki finansowe</w:t>
      </w:r>
      <w:r w:rsidR="00C84C99">
        <w:rPr>
          <w:shd w:val="clear" w:color="auto" w:fill="FFFFFF"/>
        </w:rPr>
        <w:t xml:space="preserve"> funduszy</w:t>
      </w:r>
      <w:r w:rsidR="00DF042C">
        <w:rPr>
          <w:shd w:val="clear" w:color="auto" w:fill="FFFFFF"/>
        </w:rPr>
        <w:t xml:space="preserve"> </w:t>
      </w:r>
      <w:r w:rsidR="00C84C99">
        <w:rPr>
          <w:shd w:val="clear" w:color="auto" w:fill="FFFFFF"/>
        </w:rPr>
        <w:t>inwestycyjnych</w:t>
      </w:r>
      <w:r w:rsidR="002A0BC6">
        <w:rPr>
          <w:shd w:val="clear" w:color="auto" w:fill="FFFFFF"/>
        </w:rPr>
        <w:t xml:space="preserve"> </w:t>
      </w:r>
      <w:r w:rsidR="00BA39B6" w:rsidRPr="00C63B5E">
        <w:rPr>
          <w:shd w:val="clear" w:color="auto" w:fill="FFFFFF"/>
        </w:rPr>
        <w:t>w</w:t>
      </w:r>
      <w:r w:rsidR="002A0BC6" w:rsidRPr="00C63B5E">
        <w:rPr>
          <w:shd w:val="clear" w:color="auto" w:fill="FFFFFF"/>
        </w:rPr>
        <w:t xml:space="preserve"> </w:t>
      </w:r>
      <w:r w:rsidR="00F94BE0" w:rsidRPr="00C63B5E">
        <w:rPr>
          <w:shd w:val="clear" w:color="auto" w:fill="FFFFFF"/>
        </w:rPr>
        <w:t>2020</w:t>
      </w:r>
      <w:r w:rsidR="002A266D" w:rsidRPr="00C63B5E">
        <w:rPr>
          <w:shd w:val="clear" w:color="auto" w:fill="FFFFFF"/>
        </w:rPr>
        <w:t xml:space="preserve"> </w:t>
      </w:r>
      <w:r w:rsidRPr="00C63B5E">
        <w:rPr>
          <w:shd w:val="clear" w:color="auto" w:fill="FFFFFF"/>
        </w:rPr>
        <w:t>roku</w:t>
      </w:r>
    </w:p>
    <w:p w:rsidR="00393761" w:rsidRPr="009711F5" w:rsidRDefault="00393761" w:rsidP="00074DD8">
      <w:pPr>
        <w:pStyle w:val="tytuinformacji"/>
        <w:rPr>
          <w:sz w:val="32"/>
        </w:rPr>
      </w:pPr>
    </w:p>
    <w:p w:rsidR="00416E70" w:rsidRDefault="00D644E8" w:rsidP="005941F7">
      <w:pPr>
        <w:pStyle w:val="LID"/>
        <w:spacing w:after="0"/>
      </w:pPr>
      <w:r w:rsidRPr="00C63B5E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1776730" cy="14865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4865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32D" w:rsidRPr="00B66B19" w:rsidRDefault="00DF042C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6550" cy="33655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421EF">
                              <w:rPr>
                                <w:rFonts w:ascii="Fira Sans SemiBold" w:hAnsi="Fira Sans SemiBold"/>
                                <w:color w:val="FFFFFF" w:themeColor="background1"/>
                                <w:sz w:val="56"/>
                                <w:szCs w:val="56"/>
                              </w:rPr>
                              <w:t>101,0</w:t>
                            </w:r>
                          </w:p>
                          <w:p w:rsidR="0040232D" w:rsidRPr="007C7F88" w:rsidRDefault="00344A01" w:rsidP="005941F7">
                            <w:pPr>
                              <w:pStyle w:val="tekstnaniebieskimtle"/>
                              <w:spacing w:before="120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Dynamika wartości aktywów</w:t>
                            </w:r>
                            <w:r w:rsidR="00680ACB">
                              <w:t xml:space="preserve"> </w:t>
                            </w:r>
                            <w:r w:rsidR="0040232D">
                              <w:t xml:space="preserve">funduszy inwestycyjnych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4pt;width:139.9pt;height:117.0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" fillcolor="#001d77" stroked="f">
                <v:textbox>
                  <w:txbxContent>
                    <w:p w:rsidR="0040232D" w:rsidRPr="00B66B19" w:rsidRDefault="00DF042C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6550" cy="33655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="00D421EF">
                        <w:rPr>
                          <w:rFonts w:ascii="Fira Sans SemiBold" w:hAnsi="Fira Sans SemiBold"/>
                          <w:color w:val="FFFFFF" w:themeColor="background1"/>
                          <w:sz w:val="56"/>
                          <w:szCs w:val="56"/>
                        </w:rPr>
                        <w:t>101,0</w:t>
                      </w:r>
                    </w:p>
                    <w:p w:rsidR="0040232D" w:rsidRPr="007C7F88" w:rsidRDefault="00344A01" w:rsidP="005941F7">
                      <w:pPr>
                        <w:pStyle w:val="tekstnaniebieskimtle"/>
                        <w:spacing w:before="120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Dynamika wartości aktywów</w:t>
                      </w:r>
                      <w:r w:rsidR="00680ACB">
                        <w:t xml:space="preserve"> </w:t>
                      </w:r>
                      <w:r w:rsidR="0040232D">
                        <w:t xml:space="preserve">funduszy inwestycyjnych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1498" w:rsidRPr="00C63B5E">
        <w:t xml:space="preserve">Wartość aktywów ogółem zgromadzonych </w:t>
      </w:r>
      <w:r w:rsidR="00276839" w:rsidRPr="00C63B5E">
        <w:t>p</w:t>
      </w:r>
      <w:r w:rsidR="00F41498" w:rsidRPr="00C63B5E">
        <w:t>rze</w:t>
      </w:r>
      <w:r w:rsidR="002A0BC6" w:rsidRPr="00C63B5E">
        <w:t>z</w:t>
      </w:r>
      <w:r w:rsidR="00127AAE" w:rsidRPr="00C63B5E">
        <w:t xml:space="preserve"> fundusze inwestycyjne na</w:t>
      </w:r>
      <w:r w:rsidR="00680ACB" w:rsidRPr="00C63B5E">
        <w:t xml:space="preserve"> koniec</w:t>
      </w:r>
      <w:r w:rsidR="00385C33" w:rsidRPr="00C63B5E">
        <w:t xml:space="preserve"> </w:t>
      </w:r>
      <w:r w:rsidR="00127AAE" w:rsidRPr="00C63B5E">
        <w:t xml:space="preserve">grudnia </w:t>
      </w:r>
      <w:r w:rsidR="00934EC7" w:rsidRPr="00C63B5E">
        <w:t>2020</w:t>
      </w:r>
      <w:r w:rsidR="00047E14" w:rsidRPr="00C63B5E">
        <w:t> </w:t>
      </w:r>
      <w:r w:rsidR="00680ACB" w:rsidRPr="00C63B5E">
        <w:t>r. wyniosła 3</w:t>
      </w:r>
      <w:r w:rsidR="00934EC7" w:rsidRPr="00C63B5E">
        <w:t>17,3</w:t>
      </w:r>
      <w:r w:rsidR="004E177A" w:rsidRPr="00C63B5E">
        <w:t> </w:t>
      </w:r>
      <w:r w:rsidR="00385622" w:rsidRPr="00C63B5E">
        <w:t>mld</w:t>
      </w:r>
      <w:r w:rsidR="00047E14" w:rsidRPr="00C63B5E">
        <w:t> </w:t>
      </w:r>
      <w:r w:rsidR="00680ACB" w:rsidRPr="00C63B5E">
        <w:t>zł</w:t>
      </w:r>
      <w:r w:rsidR="00AE1514" w:rsidRPr="00C63B5E">
        <w:t>, (wzrost</w:t>
      </w:r>
      <w:r w:rsidR="00934EC7" w:rsidRPr="00C63B5E">
        <w:t xml:space="preserve"> o 1,0</w:t>
      </w:r>
      <w:r w:rsidR="00AE1514" w:rsidRPr="00C63B5E">
        <w:t xml:space="preserve">% w stosunku do roku poprzedniego). </w:t>
      </w:r>
      <w:r w:rsidR="00934EC7" w:rsidRPr="00C63B5E">
        <w:t>W 2020</w:t>
      </w:r>
      <w:r w:rsidR="00AE1514" w:rsidRPr="00C63B5E">
        <w:t> r. fundusze inwestycyjne osiągnęły dodatni wynik z operacji w kwocie 1</w:t>
      </w:r>
      <w:r w:rsidR="00934EC7" w:rsidRPr="00C63B5E">
        <w:t>0,0</w:t>
      </w:r>
      <w:r w:rsidR="00AE1514" w:rsidRPr="00C63B5E">
        <w:t xml:space="preserve"> mld zł</w:t>
      </w:r>
      <w:r w:rsidR="00B7273F" w:rsidRPr="00C63B5E">
        <w:t xml:space="preserve"> </w:t>
      </w:r>
      <w:r w:rsidR="00B30A24" w:rsidRPr="00C63B5E">
        <w:t>(o 3</w:t>
      </w:r>
      <w:r w:rsidR="00AE1514" w:rsidRPr="00C63B5E">
        <w:t>,</w:t>
      </w:r>
      <w:r w:rsidR="00B30A24" w:rsidRPr="00C63B5E">
        <w:t>4 mld zł mni</w:t>
      </w:r>
      <w:r w:rsidR="00AE1514" w:rsidRPr="00C63B5E">
        <w:t>ej niż rok wcześniej).</w:t>
      </w:r>
      <w:r w:rsidR="00F077CE" w:rsidRPr="00C63B5E">
        <w:t xml:space="preserve"> Wartość lokat funduszy zmniejszyła się do 253,3 mld zł (o 10,2</w:t>
      </w:r>
      <w:r w:rsidR="00AE1514" w:rsidRPr="00C63B5E">
        <w:t>%)</w:t>
      </w:r>
      <w:r w:rsidR="00AE1514" w:rsidRPr="003805AE">
        <w:t>.</w:t>
      </w:r>
    </w:p>
    <w:p w:rsidR="002E6ADF" w:rsidRDefault="002E6ADF" w:rsidP="005941F7">
      <w:pPr>
        <w:pStyle w:val="LID"/>
        <w:spacing w:after="0"/>
      </w:pPr>
    </w:p>
    <w:p w:rsidR="002E6ADF" w:rsidRDefault="002E6ADF" w:rsidP="005941F7">
      <w:pPr>
        <w:pStyle w:val="LID"/>
        <w:spacing w:after="0"/>
      </w:pPr>
    </w:p>
    <w:p w:rsidR="007F28C0" w:rsidRDefault="007F28C0" w:rsidP="005941F7">
      <w:pPr>
        <w:pStyle w:val="LID"/>
        <w:spacing w:after="0"/>
      </w:pPr>
    </w:p>
    <w:p w:rsidR="00764E2A" w:rsidRDefault="00D644E8" w:rsidP="005941F7">
      <w:pPr>
        <w:pStyle w:val="LID"/>
        <w:spacing w:after="0"/>
      </w:pPr>
      <w:r>
        <w:rPr>
          <w:sz w:val="40"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147955</wp:posOffset>
                </wp:positionV>
                <wp:extent cx="1725295" cy="1478280"/>
                <wp:effectExtent l="0" t="0" r="0" b="0"/>
                <wp:wrapTight wrapText="bothSides">
                  <wp:wrapPolygon edited="0">
                    <wp:start x="715" y="0"/>
                    <wp:lineTo x="715" y="21155"/>
                    <wp:lineTo x="20749" y="21155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78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8C0" w:rsidRPr="009711F5" w:rsidRDefault="00187706" w:rsidP="007F28C0">
                            <w:pPr>
                              <w:pStyle w:val="tekstzboku"/>
                            </w:pPr>
                            <w:r>
                              <w:t>W 2020</w:t>
                            </w:r>
                            <w:r w:rsidR="00C82D42">
                              <w:t xml:space="preserve"> r. wartość aktywów ogółem fund</w:t>
                            </w:r>
                            <w:r w:rsidR="006F583C">
                              <w:t>uszy inwestycyjnych wzro</w:t>
                            </w:r>
                            <w:r>
                              <w:t xml:space="preserve">sła </w:t>
                            </w:r>
                            <w:r w:rsidR="006F583C">
                              <w:t xml:space="preserve">o 1,0% do kwoty </w:t>
                            </w:r>
                            <w:r>
                              <w:t>317,3</w:t>
                            </w:r>
                            <w:r w:rsidR="00C82D42">
                              <w:t xml:space="preserve"> mld zł.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1pt;margin-top:11.65pt;width:135.85pt;height:116.4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" filled="f" stroked="f">
                <v:textbox>
                  <w:txbxContent>
                    <w:p w:rsidR="007F28C0" w:rsidRPr="009711F5" w:rsidRDefault="00187706" w:rsidP="007F28C0">
                      <w:pPr>
                        <w:pStyle w:val="tekstzboku"/>
                      </w:pPr>
                      <w:r>
                        <w:t>W 2020</w:t>
                      </w:r>
                      <w:r w:rsidR="00C82D42">
                        <w:t xml:space="preserve"> r. wartość aktywów ogółem fund</w:t>
                      </w:r>
                      <w:r w:rsidR="006F583C">
                        <w:t>uszy inwestycyjnych wzro</w:t>
                      </w:r>
                      <w:r>
                        <w:t xml:space="preserve">sła </w:t>
                      </w:r>
                      <w:r w:rsidR="006F583C">
                        <w:t xml:space="preserve">o 1,0% do kwoty </w:t>
                      </w:r>
                      <w:r>
                        <w:t>317,3</w:t>
                      </w:r>
                      <w:r w:rsidR="00C82D42">
                        <w:t xml:space="preserve"> mld zł.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A0BC6" w:rsidRPr="001A3D3F" w:rsidRDefault="002A0BC6" w:rsidP="002A0BC6">
      <w:pPr>
        <w:rPr>
          <w:b/>
          <w:spacing w:val="-2"/>
          <w:sz w:val="18"/>
          <w:shd w:val="clear" w:color="auto" w:fill="FFFFFF"/>
        </w:rPr>
      </w:pPr>
      <w:r w:rsidRPr="001A3D3F">
        <w:rPr>
          <w:b/>
          <w:spacing w:val="-2"/>
          <w:sz w:val="18"/>
          <w:shd w:val="clear" w:color="auto" w:fill="FFFFFF"/>
        </w:rPr>
        <w:t xml:space="preserve">Tablica </w:t>
      </w:r>
      <w:r>
        <w:rPr>
          <w:b/>
          <w:spacing w:val="-2"/>
          <w:sz w:val="18"/>
          <w:shd w:val="clear" w:color="auto" w:fill="FFFFFF"/>
        </w:rPr>
        <w:t>1. Podstawowe dane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2A0BC6" w:rsidRPr="001A3D3F" w:rsidTr="00D356AB">
        <w:trPr>
          <w:trHeight w:val="57"/>
        </w:trPr>
        <w:tc>
          <w:tcPr>
            <w:tcW w:w="2823" w:type="dxa"/>
            <w:vMerge w:val="restart"/>
            <w:vAlign w:val="center"/>
          </w:tcPr>
          <w:p w:rsidR="002A0BC6" w:rsidRPr="001A3D3F" w:rsidRDefault="002A0BC6" w:rsidP="00D356A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2A0BC6" w:rsidRPr="001A3D3F" w:rsidRDefault="002A0BC6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2B2E87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:rsidR="002A0BC6" w:rsidRPr="001A3D3F" w:rsidRDefault="002B2E87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701" w:type="dxa"/>
            <w:vMerge w:val="restart"/>
            <w:vAlign w:val="center"/>
          </w:tcPr>
          <w:p w:rsidR="002A0BC6" w:rsidRPr="001A3D3F" w:rsidRDefault="002B2E87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2019</w:t>
            </w:r>
            <w:r w:rsidR="002A0BC6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2A0BC6" w:rsidRPr="001A3D3F" w:rsidTr="00D356AB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2A0BC6" w:rsidRPr="001A3D3F" w:rsidRDefault="002A0BC6" w:rsidP="00D356AB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2A0BC6" w:rsidRPr="001A3D3F" w:rsidRDefault="002A0BC6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2A0BC6" w:rsidRPr="001A3D3F" w:rsidRDefault="002A0BC6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2B2E87" w:rsidRPr="001A3D3F" w:rsidTr="00D356AB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2B2E87" w:rsidRPr="001A3D3F" w:rsidRDefault="002B2E87" w:rsidP="002B2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Aktywa ogółem, w tym</w:t>
            </w:r>
            <w:r w:rsidRPr="001A3D3F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B2E87" w:rsidRPr="001A3D3F" w:rsidRDefault="002B2E87" w:rsidP="002B2E8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314 191,2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B2E87" w:rsidRPr="001A3D3F" w:rsidRDefault="0017728B" w:rsidP="002B2E8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317 303,2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B2E87" w:rsidRPr="001A3D3F" w:rsidRDefault="00EE57CF" w:rsidP="002B2E8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</w:tr>
      <w:tr w:rsidR="002B2E87" w:rsidRPr="001A3D3F" w:rsidTr="00D356AB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2B2E87" w:rsidRPr="001A3D3F" w:rsidRDefault="002B2E87" w:rsidP="002B2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Lokaty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2B2E87" w:rsidRPr="001A3D3F" w:rsidRDefault="002B2E87" w:rsidP="002B2E8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281 987,4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2B2E87" w:rsidRPr="001A3D3F" w:rsidRDefault="0017728B" w:rsidP="002B2E8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253 302,7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2B2E87" w:rsidRPr="001A3D3F" w:rsidRDefault="00EE57CF" w:rsidP="002B2E8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89,8</w:t>
            </w:r>
          </w:p>
        </w:tc>
      </w:tr>
      <w:tr w:rsidR="002B2E87" w:rsidRPr="001A3D3F" w:rsidTr="00D356AB">
        <w:trPr>
          <w:trHeight w:hRule="exact" w:val="510"/>
        </w:trPr>
        <w:tc>
          <w:tcPr>
            <w:tcW w:w="2823" w:type="dxa"/>
            <w:vAlign w:val="center"/>
          </w:tcPr>
          <w:p w:rsidR="002B2E87" w:rsidRPr="001A3D3F" w:rsidRDefault="002B2E87" w:rsidP="002B2E87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Należności</w:t>
            </w:r>
          </w:p>
        </w:tc>
        <w:tc>
          <w:tcPr>
            <w:tcW w:w="1701" w:type="dxa"/>
            <w:vAlign w:val="bottom"/>
          </w:tcPr>
          <w:p w:rsidR="002B2E87" w:rsidRPr="001A3D3F" w:rsidRDefault="002B2E87" w:rsidP="002B2E8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14 449,2</w:t>
            </w:r>
          </w:p>
        </w:tc>
        <w:tc>
          <w:tcPr>
            <w:tcW w:w="1701" w:type="dxa"/>
            <w:vAlign w:val="bottom"/>
          </w:tcPr>
          <w:p w:rsidR="002B2E87" w:rsidRPr="001A3D3F" w:rsidRDefault="00EB016B" w:rsidP="002B2E8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46 609,1</w:t>
            </w:r>
          </w:p>
        </w:tc>
        <w:tc>
          <w:tcPr>
            <w:tcW w:w="1701" w:type="dxa"/>
            <w:vAlign w:val="bottom"/>
          </w:tcPr>
          <w:p w:rsidR="002B2E87" w:rsidRPr="001A3D3F" w:rsidRDefault="00EE57CF" w:rsidP="002B2E8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322,6</w:t>
            </w:r>
          </w:p>
        </w:tc>
      </w:tr>
      <w:tr w:rsidR="002B2E87" w:rsidRPr="001A3D3F" w:rsidTr="00EB016B">
        <w:trPr>
          <w:trHeight w:hRule="exact" w:val="770"/>
        </w:trPr>
        <w:tc>
          <w:tcPr>
            <w:tcW w:w="2823" w:type="dxa"/>
            <w:vAlign w:val="center"/>
          </w:tcPr>
          <w:p w:rsidR="002B2E87" w:rsidRPr="001A3D3F" w:rsidRDefault="002B2E87" w:rsidP="002B2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Środki pieniężne i ich ekwiwalenty</w:t>
            </w:r>
          </w:p>
        </w:tc>
        <w:tc>
          <w:tcPr>
            <w:tcW w:w="1701" w:type="dxa"/>
            <w:vAlign w:val="bottom"/>
          </w:tcPr>
          <w:p w:rsidR="002B2E87" w:rsidRPr="001A3D3F" w:rsidRDefault="002B2E87" w:rsidP="002B2E8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10 328,0</w:t>
            </w:r>
          </w:p>
        </w:tc>
        <w:tc>
          <w:tcPr>
            <w:tcW w:w="1701" w:type="dxa"/>
            <w:vAlign w:val="bottom"/>
          </w:tcPr>
          <w:p w:rsidR="002B2E87" w:rsidRPr="001A3D3F" w:rsidRDefault="00EB016B" w:rsidP="002B2E8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10 185,8</w:t>
            </w:r>
          </w:p>
        </w:tc>
        <w:tc>
          <w:tcPr>
            <w:tcW w:w="1701" w:type="dxa"/>
            <w:vAlign w:val="bottom"/>
          </w:tcPr>
          <w:p w:rsidR="002B2E87" w:rsidRPr="001A3D3F" w:rsidRDefault="00EE57CF" w:rsidP="002B2E8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</w:tr>
      <w:tr w:rsidR="002B2E87" w:rsidRPr="001A3D3F" w:rsidTr="00D356AB">
        <w:trPr>
          <w:trHeight w:hRule="exact" w:val="510"/>
        </w:trPr>
        <w:tc>
          <w:tcPr>
            <w:tcW w:w="2823" w:type="dxa"/>
            <w:vAlign w:val="center"/>
          </w:tcPr>
          <w:p w:rsidR="002B2E87" w:rsidRPr="001A3D3F" w:rsidRDefault="002B2E87" w:rsidP="002B2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Wynik z operacji</w:t>
            </w:r>
          </w:p>
        </w:tc>
        <w:tc>
          <w:tcPr>
            <w:tcW w:w="1701" w:type="dxa"/>
            <w:vAlign w:val="bottom"/>
          </w:tcPr>
          <w:p w:rsidR="002B2E87" w:rsidRPr="001A3D3F" w:rsidRDefault="002B2E87" w:rsidP="002B2E8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13 379,3</w:t>
            </w:r>
          </w:p>
        </w:tc>
        <w:tc>
          <w:tcPr>
            <w:tcW w:w="1701" w:type="dxa"/>
            <w:vAlign w:val="bottom"/>
          </w:tcPr>
          <w:p w:rsidR="002B2E87" w:rsidRPr="001A3D3F" w:rsidRDefault="00EB016B" w:rsidP="002B2E8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9 968,2</w:t>
            </w:r>
          </w:p>
        </w:tc>
        <w:tc>
          <w:tcPr>
            <w:tcW w:w="1701" w:type="dxa"/>
            <w:vAlign w:val="bottom"/>
          </w:tcPr>
          <w:p w:rsidR="002B2E87" w:rsidRPr="001A3D3F" w:rsidRDefault="00EE57CF" w:rsidP="002B2E8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74,5</w:t>
            </w:r>
          </w:p>
        </w:tc>
      </w:tr>
    </w:tbl>
    <w:p w:rsidR="007F28C0" w:rsidRPr="00271812" w:rsidRDefault="00D644E8" w:rsidP="005941F7">
      <w:pPr>
        <w:pStyle w:val="LID"/>
        <w:spacing w:after="0"/>
      </w:pPr>
      <w:r>
        <w:rPr>
          <w:spacing w:val="-2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190500</wp:posOffset>
                </wp:positionV>
                <wp:extent cx="1725295" cy="854075"/>
                <wp:effectExtent l="0" t="0" r="0" b="3175"/>
                <wp:wrapTight wrapText="bothSides">
                  <wp:wrapPolygon edited="0">
                    <wp:start x="715" y="0"/>
                    <wp:lineTo x="715" y="21199"/>
                    <wp:lineTo x="20749" y="21199"/>
                    <wp:lineTo x="20749" y="0"/>
                    <wp:lineTo x="715" y="0"/>
                  </wp:wrapPolygon>
                </wp:wrapTight>
                <wp:docPr id="4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D35" w:rsidRPr="00074DD8" w:rsidRDefault="00392D35" w:rsidP="00392D35">
                            <w:pPr>
                              <w:pStyle w:val="tekstzboku"/>
                            </w:pPr>
                          </w:p>
                          <w:p w:rsidR="00392D35" w:rsidRPr="00D616D2" w:rsidRDefault="00392D35" w:rsidP="00392D3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0" o:spid="_x0000_s1028" type="#_x0000_t202" style="position:absolute;margin-left:411.75pt;margin-top:15pt;width:135.85pt;height:67.25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" filled="f" stroked="f">
                <v:textbox>
                  <w:txbxContent>
                    <w:p w:rsidR="00392D35" w:rsidRPr="00074DD8" w:rsidRDefault="00392D35" w:rsidP="00392D35">
                      <w:pPr>
                        <w:pStyle w:val="tekstzboku"/>
                      </w:pPr>
                    </w:p>
                    <w:p w:rsidR="00392D35" w:rsidRPr="00D616D2" w:rsidRDefault="00392D35" w:rsidP="00392D3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112F2" w:rsidRPr="00AF1B49" w:rsidRDefault="00D644E8" w:rsidP="009B085A">
      <w:pPr>
        <w:rPr>
          <w:shd w:val="clear" w:color="auto" w:fill="FFFFFF"/>
        </w:rPr>
      </w:pPr>
      <w:r w:rsidRPr="00AF1B49">
        <w:rPr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774700</wp:posOffset>
                </wp:positionV>
                <wp:extent cx="1725295" cy="1302385"/>
                <wp:effectExtent l="0" t="0" r="0" b="0"/>
                <wp:wrapTight wrapText="bothSides">
                  <wp:wrapPolygon edited="0">
                    <wp:start x="715" y="0"/>
                    <wp:lineTo x="715" y="21168"/>
                    <wp:lineTo x="20749" y="21168"/>
                    <wp:lineTo x="20749" y="0"/>
                    <wp:lineTo x="715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1F0" w:rsidRPr="00074DD8" w:rsidRDefault="00972AFC" w:rsidP="009511F0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A27A8F">
                              <w:t>ynik z operacji funduszy inwestycyjnych był w</w:t>
                            </w:r>
                            <w:r w:rsidR="00BC2B8B">
                              <w:t xml:space="preserve"> 2020 r. dodatni i wyniósł 10,0</w:t>
                            </w:r>
                            <w:r w:rsidR="00A27A8F">
                              <w:t xml:space="preserve"> mld zł.</w:t>
                            </w:r>
                          </w:p>
                          <w:p w:rsidR="009511F0" w:rsidRPr="00D616D2" w:rsidRDefault="009511F0" w:rsidP="009511F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o:spid="_x0000_s1029" type="#_x0000_t202" style="position:absolute;margin-left:411.75pt;margin-top:61pt;width:135.85pt;height:102.5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" filled="f" stroked="f">
                <v:textbox>
                  <w:txbxContent>
                    <w:p w:rsidR="009511F0" w:rsidRPr="00074DD8" w:rsidRDefault="00972AFC" w:rsidP="009511F0">
                      <w:pPr>
                        <w:pStyle w:val="tekstzboku"/>
                      </w:pPr>
                      <w:r>
                        <w:t>W</w:t>
                      </w:r>
                      <w:r w:rsidR="00A27A8F">
                        <w:t>ynik z operacji funduszy inwestycyjnych był w</w:t>
                      </w:r>
                      <w:r w:rsidR="00BC2B8B">
                        <w:t xml:space="preserve"> 2020 r. dodatni i wyniósł 10,0</w:t>
                      </w:r>
                      <w:r w:rsidR="00A27A8F">
                        <w:t xml:space="preserve"> mld zł.</w:t>
                      </w:r>
                    </w:p>
                    <w:p w:rsidR="009511F0" w:rsidRPr="00D616D2" w:rsidRDefault="009511F0" w:rsidP="009511F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E5251" w:rsidRPr="00AF1B49">
        <w:rPr>
          <w:shd w:val="clear" w:color="auto" w:fill="FFFFFF"/>
        </w:rPr>
        <w:t>W końcu 2020</w:t>
      </w:r>
      <w:r w:rsidR="00C11A8A" w:rsidRPr="00AF1B49">
        <w:rPr>
          <w:shd w:val="clear" w:color="auto" w:fill="FFFFFF"/>
        </w:rPr>
        <w:t> r., zgodnie z informacją o złożonych sprawozdaniach finansowych,</w:t>
      </w:r>
      <w:r w:rsidR="006112F2" w:rsidRPr="00AF1B49">
        <w:rPr>
          <w:shd w:val="clear" w:color="auto" w:fill="FFFFFF"/>
        </w:rPr>
        <w:t xml:space="preserve"> funkcjonowało ogó</w:t>
      </w:r>
      <w:r w:rsidR="008E5251" w:rsidRPr="00AF1B49">
        <w:rPr>
          <w:shd w:val="clear" w:color="auto" w:fill="FFFFFF"/>
        </w:rPr>
        <w:t>łem 737</w:t>
      </w:r>
      <w:r w:rsidR="006112F2" w:rsidRPr="00AF1B49">
        <w:rPr>
          <w:shd w:val="clear" w:color="auto" w:fill="FFFFFF"/>
        </w:rPr>
        <w:t xml:space="preserve"> funduszy inwestycyjnych. Liczba otwartych funduszy inwestycyjnych wynio</w:t>
      </w:r>
      <w:r w:rsidR="008E5251" w:rsidRPr="00AF1B49">
        <w:rPr>
          <w:shd w:val="clear" w:color="auto" w:fill="FFFFFF"/>
        </w:rPr>
        <w:t>sła 47 (o jeden mniej niż</w:t>
      </w:r>
      <w:r w:rsidR="00C11A8A" w:rsidRPr="00AF1B49">
        <w:rPr>
          <w:shd w:val="clear" w:color="auto" w:fill="FFFFFF"/>
        </w:rPr>
        <w:t xml:space="preserve"> </w:t>
      </w:r>
      <w:r w:rsidR="006112F2" w:rsidRPr="00AF1B49">
        <w:rPr>
          <w:shd w:val="clear" w:color="auto" w:fill="FFFFFF"/>
        </w:rPr>
        <w:t>przed rokiem), liczba specjalistycznych funduszy inwestycyj</w:t>
      </w:r>
      <w:r w:rsidR="008E5251" w:rsidRPr="00AF1B49">
        <w:rPr>
          <w:shd w:val="clear" w:color="auto" w:fill="FFFFFF"/>
        </w:rPr>
        <w:t>nych otwartych to 68 (66</w:t>
      </w:r>
      <w:r w:rsidR="006112F2" w:rsidRPr="00AF1B49">
        <w:rPr>
          <w:shd w:val="clear" w:color="auto" w:fill="FFFFFF"/>
        </w:rPr>
        <w:t xml:space="preserve"> rok wcześniej). W grupie funduszy inwestycyjnych zamkniętych liczba funduszy zmniejszy</w:t>
      </w:r>
      <w:r w:rsidR="00C11A8A" w:rsidRPr="00AF1B49">
        <w:rPr>
          <w:shd w:val="clear" w:color="auto" w:fill="FFFFFF"/>
        </w:rPr>
        <w:t>ła się z</w:t>
      </w:r>
      <w:r w:rsidR="008E5251" w:rsidRPr="00AF1B49">
        <w:rPr>
          <w:shd w:val="clear" w:color="auto" w:fill="FFFFFF"/>
        </w:rPr>
        <w:t xml:space="preserve"> 699 do 622</w:t>
      </w:r>
      <w:r w:rsidR="006112F2" w:rsidRPr="00AF1B49">
        <w:rPr>
          <w:shd w:val="clear" w:color="auto" w:fill="FFFFFF"/>
        </w:rPr>
        <w:t xml:space="preserve">. </w:t>
      </w:r>
    </w:p>
    <w:p w:rsidR="009511F0" w:rsidRPr="00AF1B49" w:rsidRDefault="005B2416" w:rsidP="009B085A">
      <w:pPr>
        <w:rPr>
          <w:shd w:val="clear" w:color="auto" w:fill="FFFFFF"/>
        </w:rPr>
      </w:pPr>
      <w:r w:rsidRPr="00AF1B49">
        <w:rPr>
          <w:shd w:val="clear" w:color="auto" w:fill="FFFFFF"/>
        </w:rPr>
        <w:t xml:space="preserve">Według stanu na 31 </w:t>
      </w:r>
      <w:r w:rsidR="00305799" w:rsidRPr="00AF1B49">
        <w:rPr>
          <w:shd w:val="clear" w:color="auto" w:fill="FFFFFF"/>
        </w:rPr>
        <w:t>grudnia 2020</w:t>
      </w:r>
      <w:r w:rsidR="009511F0" w:rsidRPr="00AF1B49">
        <w:rPr>
          <w:shd w:val="clear" w:color="auto" w:fill="FFFFFF"/>
        </w:rPr>
        <w:t> r. wartość aktywów ogółem zgromadzonych przez fundusze inwe</w:t>
      </w:r>
      <w:r w:rsidR="00305799" w:rsidRPr="00AF1B49">
        <w:rPr>
          <w:shd w:val="clear" w:color="auto" w:fill="FFFFFF"/>
        </w:rPr>
        <w:t>stycyjne wyniosła 317 303,2 mln zł (wzrost o 1,0% w stosunku do 2019</w:t>
      </w:r>
      <w:r w:rsidR="009511F0" w:rsidRPr="00AF1B49">
        <w:rPr>
          <w:shd w:val="clear" w:color="auto" w:fill="FFFFFF"/>
        </w:rPr>
        <w:t> r.), z tego aktywa:</w:t>
      </w:r>
    </w:p>
    <w:p w:rsidR="009511F0" w:rsidRPr="00AF1B49" w:rsidRDefault="009511F0" w:rsidP="00840030">
      <w:pPr>
        <w:pStyle w:val="Akapitzlist"/>
        <w:numPr>
          <w:ilvl w:val="0"/>
          <w:numId w:val="3"/>
        </w:numPr>
        <w:rPr>
          <w:shd w:val="clear" w:color="auto" w:fill="FFFFFF"/>
        </w:rPr>
      </w:pPr>
      <w:r w:rsidRPr="00AF1B49">
        <w:rPr>
          <w:shd w:val="clear" w:color="auto" w:fill="FFFFFF"/>
        </w:rPr>
        <w:t>funduszy inwestycyjnyc</w:t>
      </w:r>
      <w:r w:rsidR="00EB6512" w:rsidRPr="00AF1B49">
        <w:rPr>
          <w:shd w:val="clear" w:color="auto" w:fill="FFFFFF"/>
        </w:rPr>
        <w:t>h zamkniętych wyniosły 129 351,3</w:t>
      </w:r>
      <w:r w:rsidR="005B2416" w:rsidRPr="00AF1B49">
        <w:rPr>
          <w:shd w:val="clear" w:color="auto" w:fill="FFFFFF"/>
        </w:rPr>
        <w:t xml:space="preserve"> mln zł (spadek o </w:t>
      </w:r>
      <w:r w:rsidRPr="00AF1B49">
        <w:rPr>
          <w:shd w:val="clear" w:color="auto" w:fill="FFFFFF"/>
        </w:rPr>
        <w:t>1</w:t>
      </w:r>
      <w:r w:rsidR="0049370C" w:rsidRPr="00AF1B49">
        <w:rPr>
          <w:shd w:val="clear" w:color="auto" w:fill="FFFFFF"/>
        </w:rPr>
        <w:t>0,7</w:t>
      </w:r>
      <w:r w:rsidR="005B2416" w:rsidRPr="00AF1B49">
        <w:rPr>
          <w:shd w:val="clear" w:color="auto" w:fill="FFFFFF"/>
        </w:rPr>
        <w:t>%);</w:t>
      </w:r>
      <w:r w:rsidRPr="00AF1B49">
        <w:rPr>
          <w:shd w:val="clear" w:color="auto" w:fill="FFFFFF"/>
        </w:rPr>
        <w:t xml:space="preserve"> udział tej grupy funduszy w aktywa</w:t>
      </w:r>
      <w:r w:rsidR="00A614AB" w:rsidRPr="00AF1B49">
        <w:rPr>
          <w:shd w:val="clear" w:color="auto" w:fill="FFFFFF"/>
        </w:rPr>
        <w:t>ch ogółem zmniejszył się z</w:t>
      </w:r>
      <w:r w:rsidR="005B2416" w:rsidRPr="00AF1B49">
        <w:rPr>
          <w:shd w:val="clear" w:color="auto" w:fill="FFFFFF"/>
        </w:rPr>
        <w:t xml:space="preserve"> 46,1%</w:t>
      </w:r>
      <w:r w:rsidR="00A614AB" w:rsidRPr="00AF1B49">
        <w:rPr>
          <w:shd w:val="clear" w:color="auto" w:fill="FFFFFF"/>
        </w:rPr>
        <w:t xml:space="preserve"> do 40,8</w:t>
      </w:r>
      <w:r w:rsidR="00096424" w:rsidRPr="00AF1B49">
        <w:rPr>
          <w:shd w:val="clear" w:color="auto" w:fill="FFFFFF"/>
        </w:rPr>
        <w:t>%</w:t>
      </w:r>
      <w:r w:rsidRPr="00AF1B49">
        <w:rPr>
          <w:shd w:val="clear" w:color="auto" w:fill="FFFFFF"/>
        </w:rPr>
        <w:t>;</w:t>
      </w:r>
    </w:p>
    <w:p w:rsidR="009511F0" w:rsidRPr="00AF1B49" w:rsidRDefault="009511F0" w:rsidP="00840030">
      <w:pPr>
        <w:pStyle w:val="Akapitzlist"/>
        <w:numPr>
          <w:ilvl w:val="0"/>
          <w:numId w:val="3"/>
        </w:numPr>
        <w:rPr>
          <w:shd w:val="clear" w:color="auto" w:fill="FFFFFF"/>
        </w:rPr>
      </w:pPr>
      <w:r w:rsidRPr="00AF1B49">
        <w:rPr>
          <w:shd w:val="clear" w:color="auto" w:fill="FFFFFF"/>
        </w:rPr>
        <w:t>otwartych funduszy inwestycyj</w:t>
      </w:r>
      <w:r w:rsidR="004C594E" w:rsidRPr="00AF1B49">
        <w:rPr>
          <w:shd w:val="clear" w:color="auto" w:fill="FFFFFF"/>
        </w:rPr>
        <w:t>nych osiągnęły wartość 123 394</w:t>
      </w:r>
      <w:r w:rsidR="00F06DD6" w:rsidRPr="00AF1B49">
        <w:rPr>
          <w:shd w:val="clear" w:color="auto" w:fill="FFFFFF"/>
        </w:rPr>
        <w:t>,8</w:t>
      </w:r>
      <w:r w:rsidRPr="00AF1B49">
        <w:rPr>
          <w:shd w:val="clear" w:color="auto" w:fill="FFFFFF"/>
        </w:rPr>
        <w:t> mln zł (wzrost o </w:t>
      </w:r>
      <w:r w:rsidR="00A35411" w:rsidRPr="00AF1B49">
        <w:rPr>
          <w:shd w:val="clear" w:color="auto" w:fill="FFFFFF"/>
        </w:rPr>
        <w:t>2,8</w:t>
      </w:r>
      <w:r w:rsidR="00F06DD6" w:rsidRPr="00AF1B49">
        <w:rPr>
          <w:shd w:val="clear" w:color="auto" w:fill="FFFFFF"/>
        </w:rPr>
        <w:t>%);</w:t>
      </w:r>
      <w:r w:rsidRPr="00AF1B49">
        <w:rPr>
          <w:shd w:val="clear" w:color="auto" w:fill="FFFFFF"/>
        </w:rPr>
        <w:t xml:space="preserve"> ich udział w aktywach funduszy ogółem </w:t>
      </w:r>
      <w:r w:rsidR="00F06DD6" w:rsidRPr="00AF1B49">
        <w:rPr>
          <w:shd w:val="clear" w:color="auto" w:fill="FFFFFF"/>
        </w:rPr>
        <w:t>zwiększył się z</w:t>
      </w:r>
      <w:r w:rsidR="00082C33" w:rsidRPr="00AF1B49">
        <w:rPr>
          <w:shd w:val="clear" w:color="auto" w:fill="FFFFFF"/>
        </w:rPr>
        <w:t xml:space="preserve"> </w:t>
      </w:r>
      <w:r w:rsidR="00F06DD6" w:rsidRPr="00AF1B49">
        <w:rPr>
          <w:shd w:val="clear" w:color="auto" w:fill="FFFFFF"/>
        </w:rPr>
        <w:t>38,2</w:t>
      </w:r>
      <w:r w:rsidR="008C4517" w:rsidRPr="00AF1B49">
        <w:rPr>
          <w:shd w:val="clear" w:color="auto" w:fill="FFFFFF"/>
        </w:rPr>
        <w:t>%</w:t>
      </w:r>
      <w:r w:rsidR="00082C33" w:rsidRPr="00AF1B49">
        <w:rPr>
          <w:shd w:val="clear" w:color="auto" w:fill="FFFFFF"/>
        </w:rPr>
        <w:t xml:space="preserve"> do 38,9</w:t>
      </w:r>
      <w:r w:rsidR="00F06DD6" w:rsidRPr="00AF1B49">
        <w:rPr>
          <w:shd w:val="clear" w:color="auto" w:fill="FFFFFF"/>
        </w:rPr>
        <w:t>%</w:t>
      </w:r>
      <w:r w:rsidRPr="00AF1B49">
        <w:rPr>
          <w:shd w:val="clear" w:color="auto" w:fill="FFFFFF"/>
        </w:rPr>
        <w:t>;</w:t>
      </w:r>
    </w:p>
    <w:p w:rsidR="009511F0" w:rsidRPr="00AF1B49" w:rsidRDefault="009511F0" w:rsidP="00840030">
      <w:pPr>
        <w:pStyle w:val="Akapitzlist"/>
        <w:numPr>
          <w:ilvl w:val="0"/>
          <w:numId w:val="3"/>
        </w:numPr>
        <w:rPr>
          <w:shd w:val="clear" w:color="auto" w:fill="FFFFFF"/>
        </w:rPr>
      </w:pPr>
      <w:r w:rsidRPr="00AF1B49">
        <w:rPr>
          <w:shd w:val="clear" w:color="auto" w:fill="FFFFFF"/>
        </w:rPr>
        <w:t xml:space="preserve">specjalistycznych funduszy inwestycyjnych otwartych ukształtowały się </w:t>
      </w:r>
      <w:r w:rsidR="004F0746" w:rsidRPr="00AF1B49">
        <w:rPr>
          <w:shd w:val="clear" w:color="auto" w:fill="FFFFFF"/>
        </w:rPr>
        <w:t>na poziomie 64 557,0</w:t>
      </w:r>
      <w:r w:rsidRPr="00AF1B49">
        <w:rPr>
          <w:shd w:val="clear" w:color="auto" w:fill="FFFFFF"/>
        </w:rPr>
        <w:t xml:space="preserve"> mln </w:t>
      </w:r>
      <w:r w:rsidR="000C00CA" w:rsidRPr="00AF1B49">
        <w:rPr>
          <w:shd w:val="clear" w:color="auto" w:fill="FFFFFF"/>
        </w:rPr>
        <w:t>zł</w:t>
      </w:r>
      <w:r w:rsidR="00013AB3" w:rsidRPr="00AF1B49">
        <w:rPr>
          <w:shd w:val="clear" w:color="auto" w:fill="FFFFFF"/>
        </w:rPr>
        <w:t xml:space="preserve"> (wzrost o 30,9</w:t>
      </w:r>
      <w:r w:rsidRPr="00AF1B49">
        <w:rPr>
          <w:shd w:val="clear" w:color="auto" w:fill="FFFFFF"/>
        </w:rPr>
        <w:t>%), ich udział w aktyw</w:t>
      </w:r>
      <w:r w:rsidR="00A03A60" w:rsidRPr="00AF1B49">
        <w:rPr>
          <w:shd w:val="clear" w:color="auto" w:fill="FFFFFF"/>
        </w:rPr>
        <w:t>ach ogółem zwięk</w:t>
      </w:r>
      <w:r w:rsidRPr="00AF1B49">
        <w:rPr>
          <w:shd w:val="clear" w:color="auto" w:fill="FFFFFF"/>
        </w:rPr>
        <w:t>szył się do</w:t>
      </w:r>
      <w:r w:rsidR="00E02F2E" w:rsidRPr="00AF1B49">
        <w:rPr>
          <w:shd w:val="clear" w:color="auto" w:fill="FFFFFF"/>
        </w:rPr>
        <w:t xml:space="preserve"> </w:t>
      </w:r>
      <w:r w:rsidR="00A03A60" w:rsidRPr="00AF1B49">
        <w:rPr>
          <w:shd w:val="clear" w:color="auto" w:fill="FFFFFF"/>
        </w:rPr>
        <w:t>20,3</w:t>
      </w:r>
      <w:r w:rsidR="00C26439" w:rsidRPr="00AF1B49">
        <w:rPr>
          <w:shd w:val="clear" w:color="auto" w:fill="FFFFFF"/>
        </w:rPr>
        <w:t xml:space="preserve">% </w:t>
      </w:r>
      <w:r w:rsidRPr="00AF1B49">
        <w:rPr>
          <w:shd w:val="clear" w:color="auto" w:fill="FFFFFF"/>
        </w:rPr>
        <w:t xml:space="preserve"> wo</w:t>
      </w:r>
      <w:r w:rsidR="00A03A60" w:rsidRPr="00AF1B49">
        <w:rPr>
          <w:shd w:val="clear" w:color="auto" w:fill="FFFFFF"/>
        </w:rPr>
        <w:t>bec 15,7</w:t>
      </w:r>
      <w:r w:rsidRPr="00AF1B49">
        <w:rPr>
          <w:shd w:val="clear" w:color="auto" w:fill="FFFFFF"/>
        </w:rPr>
        <w:t>% przed rokiem.</w:t>
      </w:r>
    </w:p>
    <w:p w:rsidR="00606605" w:rsidRDefault="00606605" w:rsidP="00392D35">
      <w:pPr>
        <w:spacing w:after="20"/>
        <w:jc w:val="both"/>
        <w:rPr>
          <w:lang w:eastAsia="pl-PL"/>
        </w:rPr>
      </w:pPr>
    </w:p>
    <w:p w:rsidR="00A959CA" w:rsidRPr="001A3D3F" w:rsidRDefault="00D644E8" w:rsidP="00915034">
      <w:pPr>
        <w:rPr>
          <w:shd w:val="clear" w:color="auto" w:fill="FFFFFF"/>
        </w:rPr>
      </w:pPr>
      <w:r w:rsidRPr="00D30BF0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81120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204470</wp:posOffset>
                </wp:positionV>
                <wp:extent cx="1725295" cy="933450"/>
                <wp:effectExtent l="0" t="0" r="0" b="0"/>
                <wp:wrapTight wrapText="bothSides">
                  <wp:wrapPolygon edited="0">
                    <wp:start x="715" y="0"/>
                    <wp:lineTo x="715" y="21159"/>
                    <wp:lineTo x="20749" y="21159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9CA" w:rsidRPr="00074DD8" w:rsidRDefault="00A959CA" w:rsidP="00A959CA">
                            <w:pPr>
                              <w:pStyle w:val="tekstzboku"/>
                              <w:jc w:val="both"/>
                            </w:pPr>
                          </w:p>
                          <w:p w:rsidR="00A959CA" w:rsidRPr="00D616D2" w:rsidRDefault="00A959CA" w:rsidP="00A959C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30" type="#_x0000_t202" style="position:absolute;margin-left:411.75pt;margin-top:16.1pt;width:135.85pt;height:73.5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" filled="f" stroked="f">
                <v:textbox>
                  <w:txbxContent>
                    <w:p w:rsidR="00A959CA" w:rsidRPr="00074DD8" w:rsidRDefault="00A959CA" w:rsidP="00A959CA">
                      <w:pPr>
                        <w:pStyle w:val="tekstzboku"/>
                        <w:jc w:val="both"/>
                      </w:pPr>
                    </w:p>
                    <w:p w:rsidR="00A959CA" w:rsidRPr="00D616D2" w:rsidRDefault="00A959CA" w:rsidP="00A959C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959CA" w:rsidRPr="00D30BF0">
        <w:rPr>
          <w:shd w:val="clear" w:color="auto" w:fill="FFFFFF"/>
        </w:rPr>
        <w:t xml:space="preserve">Główną pozycję aktywów ogółem funduszy inwestycyjnych </w:t>
      </w:r>
      <w:r w:rsidR="00F547F7" w:rsidRPr="00D30BF0">
        <w:rPr>
          <w:shd w:val="clear" w:color="auto" w:fill="FFFFFF"/>
        </w:rPr>
        <w:t>stanowiły składniki lokat notowane na aktywnym rynku;</w:t>
      </w:r>
      <w:r w:rsidR="00A959CA" w:rsidRPr="00D30BF0">
        <w:rPr>
          <w:shd w:val="clear" w:color="auto" w:fill="FFFFFF"/>
        </w:rPr>
        <w:t xml:space="preserve"> ic</w:t>
      </w:r>
      <w:r w:rsidR="00F547F7" w:rsidRPr="00D30BF0">
        <w:rPr>
          <w:shd w:val="clear" w:color="auto" w:fill="FFFFFF"/>
        </w:rPr>
        <w:t>h wartość na koniec grudnia 2020</w:t>
      </w:r>
      <w:r w:rsidR="00A959CA" w:rsidRPr="00D30BF0">
        <w:rPr>
          <w:shd w:val="clear" w:color="auto" w:fill="FFFFFF"/>
        </w:rPr>
        <w:t> </w:t>
      </w:r>
      <w:r w:rsidR="00F547F7" w:rsidRPr="00D30BF0">
        <w:rPr>
          <w:shd w:val="clear" w:color="auto" w:fill="FFFFFF"/>
        </w:rPr>
        <w:t>r. wyniosła 149 559,1</w:t>
      </w:r>
      <w:r w:rsidR="00A959CA" w:rsidRPr="00D30BF0">
        <w:rPr>
          <w:shd w:val="clear" w:color="auto" w:fill="FFFFFF"/>
        </w:rPr>
        <w:t xml:space="preserve"> mln zł</w:t>
      </w:r>
      <w:r w:rsidR="00A959CA" w:rsidRPr="00D30BF0">
        <w:rPr>
          <w:shd w:val="clear" w:color="auto" w:fill="FFFFFF"/>
        </w:rPr>
        <w:br/>
        <w:t xml:space="preserve"> i </w:t>
      </w:r>
      <w:r w:rsidR="00544FC0" w:rsidRPr="00D30BF0">
        <w:rPr>
          <w:shd w:val="clear" w:color="auto" w:fill="FFFFFF"/>
        </w:rPr>
        <w:t>była wy</w:t>
      </w:r>
      <w:r w:rsidR="00A959CA" w:rsidRPr="00D30BF0">
        <w:rPr>
          <w:shd w:val="clear" w:color="auto" w:fill="FFFFFF"/>
        </w:rPr>
        <w:t>ższa o 1</w:t>
      </w:r>
      <w:r w:rsidR="00544FC0" w:rsidRPr="00D30BF0">
        <w:rPr>
          <w:shd w:val="clear" w:color="auto" w:fill="FFFFFF"/>
        </w:rPr>
        <w:t>3,1% w stosunku do grudnia 2019</w:t>
      </w:r>
      <w:r w:rsidR="00A959CA" w:rsidRPr="00D30BF0">
        <w:rPr>
          <w:shd w:val="clear" w:color="auto" w:fill="FFFFFF"/>
        </w:rPr>
        <w:t> r. Udział tej pozycji w aktywach ogółem wyniósł 47</w:t>
      </w:r>
      <w:r w:rsidR="00544FC0" w:rsidRPr="00D30BF0">
        <w:rPr>
          <w:shd w:val="clear" w:color="auto" w:fill="FFFFFF"/>
        </w:rPr>
        <w:t>,1</w:t>
      </w:r>
      <w:r w:rsidR="00A959CA" w:rsidRPr="00D30BF0">
        <w:rPr>
          <w:shd w:val="clear" w:color="auto" w:fill="FFFFFF"/>
        </w:rPr>
        <w:t>%</w:t>
      </w:r>
      <w:r w:rsidR="00AD506A" w:rsidRPr="00D30BF0">
        <w:rPr>
          <w:shd w:val="clear" w:color="auto" w:fill="FFFFFF"/>
        </w:rPr>
        <w:t xml:space="preserve"> (o 5</w:t>
      </w:r>
      <w:r w:rsidR="00536022" w:rsidRPr="00D30BF0">
        <w:rPr>
          <w:shd w:val="clear" w:color="auto" w:fill="FFFFFF"/>
        </w:rPr>
        <w:t>,0</w:t>
      </w:r>
      <w:r w:rsidR="00A959CA" w:rsidRPr="00D30BF0">
        <w:rPr>
          <w:shd w:val="clear" w:color="auto" w:fill="FFFFFF"/>
        </w:rPr>
        <w:t xml:space="preserve"> p.</w:t>
      </w:r>
      <w:r w:rsidR="00544FC0" w:rsidRPr="00D30BF0">
        <w:rPr>
          <w:shd w:val="clear" w:color="auto" w:fill="FFFFFF"/>
        </w:rPr>
        <w:t xml:space="preserve"> proc. więc</w:t>
      </w:r>
      <w:r w:rsidR="00A959CA" w:rsidRPr="00D30BF0">
        <w:rPr>
          <w:shd w:val="clear" w:color="auto" w:fill="FFFFFF"/>
        </w:rPr>
        <w:t>ej niż przed rokiem).</w:t>
      </w:r>
      <w:r w:rsidR="00A959CA" w:rsidRPr="001A3D3F">
        <w:rPr>
          <w:shd w:val="clear" w:color="auto" w:fill="FFFFFF"/>
        </w:rPr>
        <w:t xml:space="preserve"> </w:t>
      </w:r>
    </w:p>
    <w:p w:rsidR="00A959CA" w:rsidRPr="00D30BF0" w:rsidRDefault="008A5E2D" w:rsidP="00915034">
      <w:pPr>
        <w:rPr>
          <w:shd w:val="clear" w:color="auto" w:fill="FFFFFF"/>
        </w:rPr>
      </w:pPr>
      <w:r w:rsidRPr="00D30BF0">
        <w:rPr>
          <w:shd w:val="clear" w:color="auto" w:fill="FFFFFF"/>
        </w:rPr>
        <w:t>W 2020</w:t>
      </w:r>
      <w:r w:rsidR="00A959CA" w:rsidRPr="00D30BF0">
        <w:rPr>
          <w:shd w:val="clear" w:color="auto" w:fill="FFFFFF"/>
        </w:rPr>
        <w:t> r. należności funduszy in</w:t>
      </w:r>
      <w:r w:rsidRPr="00D30BF0">
        <w:rPr>
          <w:shd w:val="clear" w:color="auto" w:fill="FFFFFF"/>
        </w:rPr>
        <w:t>westycyjnych wyniosły 46 609,1</w:t>
      </w:r>
      <w:r w:rsidR="00A959CA" w:rsidRPr="00D30BF0">
        <w:rPr>
          <w:shd w:val="clear" w:color="auto" w:fill="FFFFFF"/>
        </w:rPr>
        <w:t xml:space="preserve"> mln </w:t>
      </w:r>
      <w:r w:rsidRPr="00D30BF0">
        <w:rPr>
          <w:shd w:val="clear" w:color="auto" w:fill="FFFFFF"/>
        </w:rPr>
        <w:t xml:space="preserve">zł i były wyższe o </w:t>
      </w:r>
      <w:r w:rsidR="000B4242" w:rsidRPr="00D30BF0">
        <w:rPr>
          <w:shd w:val="clear" w:color="auto" w:fill="FFFFFF"/>
        </w:rPr>
        <w:t>2</w:t>
      </w:r>
      <w:r w:rsidRPr="00D30BF0">
        <w:rPr>
          <w:shd w:val="clear" w:color="auto" w:fill="FFFFFF"/>
        </w:rPr>
        <w:t>22,6</w:t>
      </w:r>
      <w:r w:rsidR="00A959CA" w:rsidRPr="00D30BF0">
        <w:rPr>
          <w:shd w:val="clear" w:color="auto" w:fill="FFFFFF"/>
        </w:rPr>
        <w:t>% w </w:t>
      </w:r>
      <w:r w:rsidRPr="00D30BF0">
        <w:rPr>
          <w:shd w:val="clear" w:color="auto" w:fill="FFFFFF"/>
        </w:rPr>
        <w:t>porównaniu z końcem 2019</w:t>
      </w:r>
      <w:r w:rsidR="00A959CA" w:rsidRPr="00D30BF0">
        <w:rPr>
          <w:shd w:val="clear" w:color="auto" w:fill="FFFFFF"/>
        </w:rPr>
        <w:t xml:space="preserve"> r. </w:t>
      </w:r>
    </w:p>
    <w:p w:rsidR="00A959CA" w:rsidRPr="00D30BF0" w:rsidRDefault="00A959CA" w:rsidP="00915034">
      <w:pPr>
        <w:rPr>
          <w:shd w:val="clear" w:color="auto" w:fill="FFFFFF"/>
        </w:rPr>
      </w:pPr>
      <w:r w:rsidRPr="00D30BF0">
        <w:rPr>
          <w:shd w:val="clear" w:color="auto" w:fill="FFFFFF"/>
        </w:rPr>
        <w:t>Zobowiązania funduszy inwestycyjny</w:t>
      </w:r>
      <w:r w:rsidR="00BD20CC" w:rsidRPr="00D30BF0">
        <w:rPr>
          <w:shd w:val="clear" w:color="auto" w:fill="FFFFFF"/>
        </w:rPr>
        <w:t>ch osiągnęły wartość 14 741</w:t>
      </w:r>
      <w:r w:rsidR="00C30E4E" w:rsidRPr="00D30BF0">
        <w:rPr>
          <w:shd w:val="clear" w:color="auto" w:fill="FFFFFF"/>
        </w:rPr>
        <w:t>,5</w:t>
      </w:r>
      <w:r w:rsidRPr="00D30BF0">
        <w:rPr>
          <w:shd w:val="clear" w:color="auto" w:fill="FFFFFF"/>
        </w:rPr>
        <w:t xml:space="preserve"> mln </w:t>
      </w:r>
      <w:r w:rsidR="00BD20CC" w:rsidRPr="00D30BF0">
        <w:rPr>
          <w:shd w:val="clear" w:color="auto" w:fill="FFFFFF"/>
        </w:rPr>
        <w:t>zł (spadek o 15,6</w:t>
      </w:r>
      <w:r w:rsidRPr="00D30BF0">
        <w:rPr>
          <w:shd w:val="clear" w:color="auto" w:fill="FFFFFF"/>
        </w:rPr>
        <w:t>%). Najwięk</w:t>
      </w:r>
      <w:r w:rsidR="00C30E4E" w:rsidRPr="00D30BF0">
        <w:rPr>
          <w:shd w:val="clear" w:color="auto" w:fill="FFFFFF"/>
        </w:rPr>
        <w:t xml:space="preserve">sze zobowiązania w kwocie </w:t>
      </w:r>
      <w:r w:rsidR="00F705B4" w:rsidRPr="00D30BF0">
        <w:rPr>
          <w:shd w:val="clear" w:color="auto" w:fill="FFFFFF"/>
        </w:rPr>
        <w:t>8 419,2</w:t>
      </w:r>
      <w:r w:rsidRPr="00D30BF0">
        <w:rPr>
          <w:shd w:val="clear" w:color="auto" w:fill="FFFFFF"/>
        </w:rPr>
        <w:t xml:space="preserve"> mln zł wykazały otwarte fundusze inwestycyjne, co stanowiło</w:t>
      </w:r>
      <w:r w:rsidR="00FA4DFE" w:rsidRPr="00D30BF0">
        <w:rPr>
          <w:shd w:val="clear" w:color="auto" w:fill="FFFFFF"/>
        </w:rPr>
        <w:t xml:space="preserve"> 57</w:t>
      </w:r>
      <w:r w:rsidR="00C30E4E" w:rsidRPr="00D30BF0">
        <w:rPr>
          <w:shd w:val="clear" w:color="auto" w:fill="FFFFFF"/>
        </w:rPr>
        <w:t>,1</w:t>
      </w:r>
      <w:r w:rsidRPr="00D30BF0">
        <w:rPr>
          <w:shd w:val="clear" w:color="auto" w:fill="FFFFFF"/>
        </w:rPr>
        <w:t>% wartości zobowiązań wszystkich funduszy inwestycyjnych</w:t>
      </w:r>
      <w:r w:rsidR="00FA4DFE" w:rsidRPr="00D30BF0">
        <w:rPr>
          <w:shd w:val="clear" w:color="auto" w:fill="FFFFFF"/>
        </w:rPr>
        <w:t xml:space="preserve"> (58,1</w:t>
      </w:r>
      <w:r w:rsidRPr="00D30BF0">
        <w:rPr>
          <w:shd w:val="clear" w:color="auto" w:fill="FFFFFF"/>
        </w:rPr>
        <w:t>% przed rokiem).</w:t>
      </w:r>
    </w:p>
    <w:p w:rsidR="0002237F" w:rsidRDefault="00845637" w:rsidP="00E9792D">
      <w:pPr>
        <w:rPr>
          <w:shd w:val="clear" w:color="auto" w:fill="FFFFFF"/>
        </w:rPr>
      </w:pPr>
      <w:r w:rsidRPr="00D30BF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3168" behindDoc="1" locked="0" layoutInCell="1" allowOverlap="1">
                <wp:simplePos x="0" y="0"/>
                <wp:positionH relativeFrom="column">
                  <wp:posOffset>5227955</wp:posOffset>
                </wp:positionH>
                <wp:positionV relativeFrom="paragraph">
                  <wp:posOffset>758825</wp:posOffset>
                </wp:positionV>
                <wp:extent cx="1725295" cy="907415"/>
                <wp:effectExtent l="0" t="0" r="0" b="0"/>
                <wp:wrapTight wrapText="bothSides">
                  <wp:wrapPolygon edited="0">
                    <wp:start x="715" y="0"/>
                    <wp:lineTo x="715" y="20859"/>
                    <wp:lineTo x="20749" y="20859"/>
                    <wp:lineTo x="20749" y="0"/>
                    <wp:lineTo x="715" y="0"/>
                  </wp:wrapPolygon>
                </wp:wrapTight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7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81F" w:rsidRPr="00074DD8" w:rsidRDefault="00343BAA" w:rsidP="0030581F">
                            <w:pPr>
                              <w:pStyle w:val="tekstzboku"/>
                              <w:jc w:val="both"/>
                            </w:pPr>
                            <w:r>
                              <w:t>W strukturze lokat wzrósł udział papierów wartościowych z 50,4% do 59,2%</w:t>
                            </w:r>
                            <w:r w:rsidR="0030581F" w:rsidRPr="003B6605">
                              <w:t>.</w:t>
                            </w:r>
                          </w:p>
                          <w:p w:rsidR="0030581F" w:rsidRDefault="0030581F" w:rsidP="0030581F">
                            <w:pPr>
                              <w:spacing w:after="0"/>
                              <w:jc w:val="both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30581F" w:rsidRDefault="0030581F" w:rsidP="0030581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30581F" w:rsidRPr="00D616D2" w:rsidRDefault="0030581F" w:rsidP="0030581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8" o:spid="_x0000_s1031" type="#_x0000_t202" style="position:absolute;margin-left:411.65pt;margin-top:59.75pt;width:135.85pt;height:71.45pt;z-index:-25153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" filled="f" stroked="f">
                <v:textbox>
                  <w:txbxContent>
                    <w:p w:rsidR="0030581F" w:rsidRPr="00074DD8" w:rsidRDefault="00343BAA" w:rsidP="0030581F">
                      <w:pPr>
                        <w:pStyle w:val="tekstzboku"/>
                        <w:jc w:val="both"/>
                      </w:pPr>
                      <w:r>
                        <w:t>W strukturze lokat wzrósł udział papierów wartościowych z 50,4% do 59,2%</w:t>
                      </w:r>
                      <w:r w:rsidR="0030581F" w:rsidRPr="003B6605">
                        <w:t>.</w:t>
                      </w:r>
                    </w:p>
                    <w:p w:rsidR="0030581F" w:rsidRDefault="0030581F" w:rsidP="0030581F">
                      <w:pPr>
                        <w:spacing w:after="0"/>
                        <w:jc w:val="both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:rsidR="0030581F" w:rsidRDefault="0030581F" w:rsidP="0030581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:rsidR="0030581F" w:rsidRPr="00D616D2" w:rsidRDefault="0030581F" w:rsidP="0030581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D49DD" w:rsidRPr="00D30BF0">
        <w:rPr>
          <w:shd w:val="clear" w:color="auto" w:fill="FFFFFF"/>
        </w:rPr>
        <w:t>W dniu 31 grudnia 2020</w:t>
      </w:r>
      <w:r w:rsidR="005A2CC2" w:rsidRPr="00D30BF0">
        <w:rPr>
          <w:shd w:val="clear" w:color="auto" w:fill="FFFFFF"/>
        </w:rPr>
        <w:t> r. aktywa netto funduszy</w:t>
      </w:r>
      <w:r w:rsidR="0066180C" w:rsidRPr="00D30BF0">
        <w:rPr>
          <w:shd w:val="clear" w:color="auto" w:fill="FFFFFF"/>
        </w:rPr>
        <w:t xml:space="preserve"> </w:t>
      </w:r>
      <w:r w:rsidR="0002237F" w:rsidRPr="00D30BF0">
        <w:rPr>
          <w:shd w:val="clear" w:color="auto" w:fill="FFFFFF"/>
        </w:rPr>
        <w:t>wynosiły</w:t>
      </w:r>
      <w:r w:rsidR="000B2191" w:rsidRPr="00D30BF0">
        <w:rPr>
          <w:shd w:val="clear" w:color="auto" w:fill="FFFFFF"/>
        </w:rPr>
        <w:t xml:space="preserve"> 302</w:t>
      </w:r>
      <w:r w:rsidR="000D49DD" w:rsidRPr="00D30BF0">
        <w:rPr>
          <w:shd w:val="clear" w:color="auto" w:fill="FFFFFF"/>
        </w:rPr>
        <w:t xml:space="preserve"> 561</w:t>
      </w:r>
      <w:r w:rsidR="0002377E" w:rsidRPr="00D30BF0">
        <w:rPr>
          <w:shd w:val="clear" w:color="auto" w:fill="FFFFFF"/>
        </w:rPr>
        <w:t>,7</w:t>
      </w:r>
      <w:r w:rsidR="0002237F" w:rsidRPr="00D30BF0">
        <w:rPr>
          <w:shd w:val="clear" w:color="auto" w:fill="FFFFFF"/>
        </w:rPr>
        <w:t xml:space="preserve"> mln zł, tj. </w:t>
      </w:r>
      <w:r w:rsidR="005A2CC2" w:rsidRPr="00D30BF0">
        <w:rPr>
          <w:shd w:val="clear" w:color="auto" w:fill="FFFFFF"/>
        </w:rPr>
        <w:t xml:space="preserve">były </w:t>
      </w:r>
      <w:r w:rsidR="0002237F" w:rsidRPr="00D30BF0">
        <w:rPr>
          <w:shd w:val="clear" w:color="auto" w:fill="FFFFFF"/>
        </w:rPr>
        <w:t>na poziomie o </w:t>
      </w:r>
      <w:r w:rsidR="000D49DD" w:rsidRPr="00D30BF0">
        <w:rPr>
          <w:shd w:val="clear" w:color="auto" w:fill="FFFFFF"/>
        </w:rPr>
        <w:t>2,0</w:t>
      </w:r>
      <w:r w:rsidR="0002377E" w:rsidRPr="00D30BF0">
        <w:rPr>
          <w:shd w:val="clear" w:color="auto" w:fill="FFFFFF"/>
        </w:rPr>
        <w:t>% wy</w:t>
      </w:r>
      <w:r w:rsidR="0002237F" w:rsidRPr="00D30BF0">
        <w:rPr>
          <w:shd w:val="clear" w:color="auto" w:fill="FFFFFF"/>
        </w:rPr>
        <w:t>ż</w:t>
      </w:r>
      <w:r w:rsidR="0002377E" w:rsidRPr="00D30BF0">
        <w:rPr>
          <w:shd w:val="clear" w:color="auto" w:fill="FFFFFF"/>
        </w:rPr>
        <w:t>szy</w:t>
      </w:r>
      <w:r w:rsidR="000D49DD" w:rsidRPr="00D30BF0">
        <w:rPr>
          <w:shd w:val="clear" w:color="auto" w:fill="FFFFFF"/>
        </w:rPr>
        <w:t>m niż na koniec 2019</w:t>
      </w:r>
      <w:r w:rsidR="0002237F" w:rsidRPr="00D30BF0">
        <w:rPr>
          <w:shd w:val="clear" w:color="auto" w:fill="FFFFFF"/>
        </w:rPr>
        <w:t> r. Aktywa netto funduszy inwestycyjnych zamkniętych osiągnęły war</w:t>
      </w:r>
      <w:r w:rsidR="006C53A5" w:rsidRPr="00D30BF0">
        <w:rPr>
          <w:shd w:val="clear" w:color="auto" w:fill="FFFFFF"/>
        </w:rPr>
        <w:t>tość 125 354,1</w:t>
      </w:r>
      <w:r w:rsidR="0002237F" w:rsidRPr="00D30BF0">
        <w:rPr>
          <w:shd w:val="clear" w:color="auto" w:fill="FFFFFF"/>
        </w:rPr>
        <w:t xml:space="preserve"> mln zł</w:t>
      </w:r>
      <w:r w:rsidR="0002377E" w:rsidRPr="00D30BF0">
        <w:rPr>
          <w:shd w:val="clear" w:color="auto" w:fill="FFFFFF"/>
        </w:rPr>
        <w:t xml:space="preserve"> (o </w:t>
      </w:r>
      <w:r w:rsidR="005F36A3" w:rsidRPr="00D30BF0">
        <w:rPr>
          <w:shd w:val="clear" w:color="auto" w:fill="FFFFFF"/>
        </w:rPr>
        <w:t>10,1</w:t>
      </w:r>
      <w:r w:rsidR="0002237F" w:rsidRPr="00D30BF0">
        <w:rPr>
          <w:shd w:val="clear" w:color="auto" w:fill="FFFFFF"/>
        </w:rPr>
        <w:t>% niższą niż przed rokiem), funduszy inwestycyjnych otwar</w:t>
      </w:r>
      <w:r w:rsidR="0068268D" w:rsidRPr="00D30BF0">
        <w:rPr>
          <w:shd w:val="clear" w:color="auto" w:fill="FFFFFF"/>
        </w:rPr>
        <w:t>tych 114 975,7</w:t>
      </w:r>
      <w:r w:rsidR="0002237F" w:rsidRPr="00D30BF0">
        <w:rPr>
          <w:shd w:val="clear" w:color="auto" w:fill="FFFFFF"/>
        </w:rPr>
        <w:t xml:space="preserve"> mln </w:t>
      </w:r>
      <w:r w:rsidR="0002377E" w:rsidRPr="00D30BF0">
        <w:rPr>
          <w:shd w:val="clear" w:color="auto" w:fill="FFFFFF"/>
        </w:rPr>
        <w:t>zł</w:t>
      </w:r>
      <w:r w:rsidR="00A23EC0" w:rsidRPr="00D30BF0">
        <w:rPr>
          <w:shd w:val="clear" w:color="auto" w:fill="FFFFFF"/>
        </w:rPr>
        <w:t xml:space="preserve"> (wyższą o 4,7</w:t>
      </w:r>
      <w:r w:rsidR="0002237F" w:rsidRPr="00D30BF0">
        <w:rPr>
          <w:shd w:val="clear" w:color="auto" w:fill="FFFFFF"/>
        </w:rPr>
        <w:t>%), a specjalistycz</w:t>
      </w:r>
      <w:r w:rsidR="00A23EC0" w:rsidRPr="00D30BF0">
        <w:rPr>
          <w:shd w:val="clear" w:color="auto" w:fill="FFFFFF"/>
        </w:rPr>
        <w:t>nych funduszy otwartych 62 231</w:t>
      </w:r>
      <w:r w:rsidR="0002377E" w:rsidRPr="00D30BF0">
        <w:rPr>
          <w:shd w:val="clear" w:color="auto" w:fill="FFFFFF"/>
        </w:rPr>
        <w:t>,</w:t>
      </w:r>
      <w:r w:rsidR="00A23EC0" w:rsidRPr="00D30BF0">
        <w:rPr>
          <w:shd w:val="clear" w:color="auto" w:fill="FFFFFF"/>
        </w:rPr>
        <w:t>9</w:t>
      </w:r>
      <w:r w:rsidR="002957D0" w:rsidRPr="00D30BF0">
        <w:rPr>
          <w:shd w:val="clear" w:color="auto" w:fill="FFFFFF"/>
        </w:rPr>
        <w:t xml:space="preserve"> mln zł (wzrost o 31,3</w:t>
      </w:r>
      <w:r w:rsidR="0002237F" w:rsidRPr="00D30BF0">
        <w:rPr>
          <w:shd w:val="clear" w:color="auto" w:fill="FFFFFF"/>
        </w:rPr>
        <w:t>%).</w:t>
      </w:r>
      <w:r w:rsidR="0002237F" w:rsidRPr="001A3D3F">
        <w:rPr>
          <w:shd w:val="clear" w:color="auto" w:fill="FFFFFF"/>
        </w:rPr>
        <w:t xml:space="preserve"> </w:t>
      </w:r>
    </w:p>
    <w:p w:rsidR="00341C5B" w:rsidRPr="001A3D3F" w:rsidRDefault="00341C5B" w:rsidP="00341C5B">
      <w:pPr>
        <w:rPr>
          <w:b/>
          <w:spacing w:val="-2"/>
          <w:sz w:val="18"/>
          <w:shd w:val="clear" w:color="auto" w:fill="FFFFFF"/>
        </w:rPr>
      </w:pPr>
      <w:r w:rsidRPr="001A3D3F">
        <w:rPr>
          <w:b/>
          <w:spacing w:val="-2"/>
          <w:sz w:val="18"/>
          <w:shd w:val="clear" w:color="auto" w:fill="FFFFFF"/>
        </w:rPr>
        <w:t xml:space="preserve">Tablica </w:t>
      </w:r>
      <w:r>
        <w:rPr>
          <w:b/>
          <w:spacing w:val="-2"/>
          <w:sz w:val="18"/>
          <w:shd w:val="clear" w:color="auto" w:fill="FFFFFF"/>
        </w:rPr>
        <w:t>2. Wybrane pozycje z bilansu</w:t>
      </w:r>
      <w:r w:rsidRPr="001A3D3F">
        <w:rPr>
          <w:b/>
          <w:spacing w:val="-2"/>
          <w:sz w:val="18"/>
          <w:shd w:val="clear" w:color="auto" w:fill="FFFFFF"/>
        </w:rPr>
        <w:t xml:space="preserve">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341C5B" w:rsidRPr="001A3D3F" w:rsidTr="00695EB6">
        <w:trPr>
          <w:trHeight w:val="57"/>
        </w:trPr>
        <w:tc>
          <w:tcPr>
            <w:tcW w:w="2823" w:type="dxa"/>
            <w:vMerge w:val="restart"/>
            <w:vAlign w:val="center"/>
          </w:tcPr>
          <w:p w:rsidR="00341C5B" w:rsidRPr="001A3D3F" w:rsidRDefault="00341C5B" w:rsidP="00695EB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341C5B" w:rsidRPr="001A3D3F" w:rsidRDefault="00341C5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EE6232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:rsidR="00341C5B" w:rsidRPr="001A3D3F" w:rsidRDefault="00EE6232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701" w:type="dxa"/>
            <w:vMerge w:val="restart"/>
            <w:vAlign w:val="center"/>
          </w:tcPr>
          <w:p w:rsidR="00341C5B" w:rsidRPr="001A3D3F" w:rsidRDefault="00EE6232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2019</w:t>
            </w:r>
            <w:r w:rsidR="00341C5B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341C5B" w:rsidRPr="001A3D3F" w:rsidTr="00695EB6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341C5B" w:rsidRPr="001A3D3F" w:rsidRDefault="00341C5B" w:rsidP="00695EB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341C5B" w:rsidRPr="001A3D3F" w:rsidRDefault="00341C5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341C5B" w:rsidRPr="001A3D3F" w:rsidRDefault="00341C5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E6232" w:rsidRPr="001A3D3F" w:rsidTr="00695EB6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E6232" w:rsidRPr="001A3D3F" w:rsidRDefault="00EE6232" w:rsidP="00EE6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Aktywa ogółem, w tym</w:t>
            </w:r>
            <w:r w:rsidRPr="001A3D3F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E6232" w:rsidRPr="001A3D3F" w:rsidRDefault="00EE6232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314 191,2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E6232" w:rsidRPr="001A3D3F" w:rsidRDefault="00B60039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317 303,2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E6232" w:rsidRPr="001A3D3F" w:rsidRDefault="00A506CE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</w:tr>
      <w:tr w:rsidR="00EE6232" w:rsidRPr="001A3D3F" w:rsidTr="00695EB6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EE6232" w:rsidRPr="001A3D3F" w:rsidRDefault="00EE6232" w:rsidP="00EE6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Należności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EE6232" w:rsidRPr="001A3D3F" w:rsidRDefault="00EE6232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14 449,2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EE6232" w:rsidRPr="001A3D3F" w:rsidRDefault="00B60039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46 609,1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EE6232" w:rsidRPr="001A3D3F" w:rsidRDefault="00A506CE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322,6</w:t>
            </w:r>
          </w:p>
        </w:tc>
      </w:tr>
      <w:tr w:rsidR="00EE6232" w:rsidRPr="001A3D3F" w:rsidTr="002A3CB3">
        <w:trPr>
          <w:trHeight w:hRule="exact" w:val="761"/>
        </w:trPr>
        <w:tc>
          <w:tcPr>
            <w:tcW w:w="2823" w:type="dxa"/>
            <w:vAlign w:val="center"/>
          </w:tcPr>
          <w:p w:rsidR="00EE6232" w:rsidRPr="001A3D3F" w:rsidRDefault="00EE6232" w:rsidP="00EE6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Składniki lokat nienotowane na aktywnym rynku</w:t>
            </w:r>
          </w:p>
        </w:tc>
        <w:tc>
          <w:tcPr>
            <w:tcW w:w="1701" w:type="dxa"/>
            <w:vAlign w:val="bottom"/>
          </w:tcPr>
          <w:p w:rsidR="00EE6232" w:rsidRPr="001A3D3F" w:rsidRDefault="00EE6232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148 783,5</w:t>
            </w:r>
          </w:p>
        </w:tc>
        <w:tc>
          <w:tcPr>
            <w:tcW w:w="1701" w:type="dxa"/>
            <w:vAlign w:val="bottom"/>
          </w:tcPr>
          <w:p w:rsidR="00EE6232" w:rsidRPr="001A3D3F" w:rsidRDefault="00155A96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103 837,0</w:t>
            </w:r>
          </w:p>
        </w:tc>
        <w:tc>
          <w:tcPr>
            <w:tcW w:w="1701" w:type="dxa"/>
            <w:vAlign w:val="bottom"/>
          </w:tcPr>
          <w:p w:rsidR="00EE6232" w:rsidRPr="001A3D3F" w:rsidRDefault="00C56BA9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69,8</w:t>
            </w:r>
          </w:p>
        </w:tc>
      </w:tr>
      <w:tr w:rsidR="00EE6232" w:rsidRPr="001A3D3F" w:rsidTr="002A3CB3">
        <w:trPr>
          <w:trHeight w:hRule="exact" w:val="802"/>
        </w:trPr>
        <w:tc>
          <w:tcPr>
            <w:tcW w:w="2823" w:type="dxa"/>
            <w:vAlign w:val="center"/>
          </w:tcPr>
          <w:p w:rsidR="00EE6232" w:rsidRPr="001A3D3F" w:rsidRDefault="00EE6232" w:rsidP="00EE6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Składniki lokat notowane na aktywnym rynku</w:t>
            </w:r>
          </w:p>
        </w:tc>
        <w:tc>
          <w:tcPr>
            <w:tcW w:w="1701" w:type="dxa"/>
            <w:vAlign w:val="bottom"/>
          </w:tcPr>
          <w:p w:rsidR="00EE6232" w:rsidRPr="001A3D3F" w:rsidRDefault="00EE6232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132 207,5</w:t>
            </w:r>
          </w:p>
        </w:tc>
        <w:tc>
          <w:tcPr>
            <w:tcW w:w="1701" w:type="dxa"/>
            <w:vAlign w:val="bottom"/>
          </w:tcPr>
          <w:p w:rsidR="00EE6232" w:rsidRPr="001A3D3F" w:rsidRDefault="00155A96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149 559,1</w:t>
            </w:r>
          </w:p>
        </w:tc>
        <w:tc>
          <w:tcPr>
            <w:tcW w:w="1701" w:type="dxa"/>
            <w:vAlign w:val="bottom"/>
          </w:tcPr>
          <w:p w:rsidR="00EE6232" w:rsidRPr="001A3D3F" w:rsidRDefault="00C56BA9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113,1</w:t>
            </w:r>
          </w:p>
        </w:tc>
      </w:tr>
      <w:tr w:rsidR="00EE6232" w:rsidRPr="001A3D3F" w:rsidTr="00695EB6">
        <w:trPr>
          <w:trHeight w:hRule="exact" w:val="510"/>
        </w:trPr>
        <w:tc>
          <w:tcPr>
            <w:tcW w:w="2823" w:type="dxa"/>
            <w:vAlign w:val="center"/>
          </w:tcPr>
          <w:p w:rsidR="00EE6232" w:rsidRPr="001A3D3F" w:rsidRDefault="00EE6232" w:rsidP="00EE6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Zobowiązania</w:t>
            </w:r>
          </w:p>
        </w:tc>
        <w:tc>
          <w:tcPr>
            <w:tcW w:w="1701" w:type="dxa"/>
            <w:vAlign w:val="bottom"/>
          </w:tcPr>
          <w:p w:rsidR="00EE6232" w:rsidRPr="001A3D3F" w:rsidRDefault="00EE6232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17 460,5</w:t>
            </w:r>
          </w:p>
        </w:tc>
        <w:tc>
          <w:tcPr>
            <w:tcW w:w="1701" w:type="dxa"/>
            <w:vAlign w:val="bottom"/>
          </w:tcPr>
          <w:p w:rsidR="00EE6232" w:rsidRPr="001A3D3F" w:rsidRDefault="00B60039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14 741,5</w:t>
            </w:r>
          </w:p>
        </w:tc>
        <w:tc>
          <w:tcPr>
            <w:tcW w:w="1701" w:type="dxa"/>
            <w:vAlign w:val="bottom"/>
          </w:tcPr>
          <w:p w:rsidR="00EE6232" w:rsidRPr="001A3D3F" w:rsidRDefault="00C56BA9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84,4</w:t>
            </w:r>
          </w:p>
        </w:tc>
      </w:tr>
      <w:tr w:rsidR="00EE6232" w:rsidRPr="001A3D3F" w:rsidTr="00695EB6">
        <w:trPr>
          <w:trHeight w:hRule="exact" w:val="510"/>
        </w:trPr>
        <w:tc>
          <w:tcPr>
            <w:tcW w:w="2823" w:type="dxa"/>
            <w:vAlign w:val="center"/>
          </w:tcPr>
          <w:p w:rsidR="00EE6232" w:rsidRPr="001A3D3F" w:rsidRDefault="00EE6232" w:rsidP="00EE6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Aktywa netto</w:t>
            </w:r>
          </w:p>
        </w:tc>
        <w:tc>
          <w:tcPr>
            <w:tcW w:w="1701" w:type="dxa"/>
            <w:vAlign w:val="bottom"/>
          </w:tcPr>
          <w:p w:rsidR="00EE6232" w:rsidRPr="001A3D3F" w:rsidRDefault="00EE6232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296 730,7</w:t>
            </w:r>
          </w:p>
        </w:tc>
        <w:tc>
          <w:tcPr>
            <w:tcW w:w="1701" w:type="dxa"/>
            <w:vAlign w:val="bottom"/>
          </w:tcPr>
          <w:p w:rsidR="00EE6232" w:rsidRPr="001A3D3F" w:rsidRDefault="00B60039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302 561,7</w:t>
            </w:r>
          </w:p>
        </w:tc>
        <w:tc>
          <w:tcPr>
            <w:tcW w:w="1701" w:type="dxa"/>
            <w:vAlign w:val="bottom"/>
          </w:tcPr>
          <w:p w:rsidR="00EE6232" w:rsidRPr="001A3D3F" w:rsidRDefault="00C56BA9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102,0</w:t>
            </w:r>
          </w:p>
        </w:tc>
      </w:tr>
      <w:tr w:rsidR="00EE6232" w:rsidRPr="001A3D3F" w:rsidTr="00695EB6">
        <w:trPr>
          <w:trHeight w:hRule="exact" w:val="510"/>
        </w:trPr>
        <w:tc>
          <w:tcPr>
            <w:tcW w:w="2823" w:type="dxa"/>
            <w:vAlign w:val="center"/>
          </w:tcPr>
          <w:p w:rsidR="00EE6232" w:rsidRPr="001A3D3F" w:rsidRDefault="00EE6232" w:rsidP="00EE6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Kapitał </w:t>
            </w:r>
          </w:p>
        </w:tc>
        <w:tc>
          <w:tcPr>
            <w:tcW w:w="1701" w:type="dxa"/>
            <w:vAlign w:val="bottom"/>
          </w:tcPr>
          <w:p w:rsidR="00EE6232" w:rsidRPr="001A3D3F" w:rsidRDefault="00EE6232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205 520,3</w:t>
            </w:r>
          </w:p>
        </w:tc>
        <w:tc>
          <w:tcPr>
            <w:tcW w:w="1701" w:type="dxa"/>
            <w:vAlign w:val="bottom"/>
          </w:tcPr>
          <w:p w:rsidR="00EE6232" w:rsidRPr="001A3D3F" w:rsidRDefault="00B60039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201 375,7</w:t>
            </w:r>
          </w:p>
        </w:tc>
        <w:tc>
          <w:tcPr>
            <w:tcW w:w="1701" w:type="dxa"/>
            <w:vAlign w:val="bottom"/>
          </w:tcPr>
          <w:p w:rsidR="00EE6232" w:rsidRPr="001A3D3F" w:rsidRDefault="00C56BA9" w:rsidP="00EE623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98,0</w:t>
            </w:r>
          </w:p>
        </w:tc>
      </w:tr>
    </w:tbl>
    <w:p w:rsidR="0030581F" w:rsidRDefault="0030581F" w:rsidP="0030581F">
      <w:pPr>
        <w:jc w:val="both"/>
        <w:rPr>
          <w:lang w:eastAsia="pl-PL"/>
        </w:rPr>
      </w:pPr>
    </w:p>
    <w:p w:rsidR="0030581F" w:rsidRDefault="00D644E8" w:rsidP="005936C4">
      <w:pPr>
        <w:rPr>
          <w:lang w:eastAsia="pl-PL"/>
        </w:rPr>
      </w:pPr>
      <w:r w:rsidRPr="005E3A5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4192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804545</wp:posOffset>
                </wp:positionV>
                <wp:extent cx="1725295" cy="819150"/>
                <wp:effectExtent l="0" t="0" r="0" b="0"/>
                <wp:wrapTight wrapText="bothSides">
                  <wp:wrapPolygon edited="0">
                    <wp:start x="715" y="0"/>
                    <wp:lineTo x="715" y="21098"/>
                    <wp:lineTo x="20749" y="21098"/>
                    <wp:lineTo x="20749" y="0"/>
                    <wp:lineTo x="715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81F" w:rsidRPr="00D616D2" w:rsidRDefault="0030581F" w:rsidP="0030581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" o:spid="_x0000_s1032" type="#_x0000_t202" style="position:absolute;margin-left:411.75pt;margin-top:63.35pt;width:135.85pt;height:64.5pt;z-index:-25153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" filled="f" stroked="f">
                <v:textbox>
                  <w:txbxContent>
                    <w:p w:rsidR="0030581F" w:rsidRPr="00D616D2" w:rsidRDefault="0030581F" w:rsidP="0030581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0581F" w:rsidRPr="005E3A55">
        <w:rPr>
          <w:lang w:eastAsia="pl-PL"/>
        </w:rPr>
        <w:t>Wartość lokat funduszy inwes</w:t>
      </w:r>
      <w:r w:rsidR="004D47C8" w:rsidRPr="005E3A55">
        <w:rPr>
          <w:lang w:eastAsia="pl-PL"/>
        </w:rPr>
        <w:t>tycyjnych na koniec grudnia 2020</w:t>
      </w:r>
      <w:r w:rsidR="0030581F" w:rsidRPr="005E3A55">
        <w:rPr>
          <w:lang w:eastAsia="pl-PL"/>
        </w:rPr>
        <w:t> </w:t>
      </w:r>
      <w:r w:rsidR="004D47C8" w:rsidRPr="005E3A55">
        <w:rPr>
          <w:lang w:eastAsia="pl-PL"/>
        </w:rPr>
        <w:t>r. spadła do 253 302,7 mln zł (o 10,2</w:t>
      </w:r>
      <w:r w:rsidR="0030581F" w:rsidRPr="005E3A55">
        <w:rPr>
          <w:lang w:eastAsia="pl-PL"/>
        </w:rPr>
        <w:t>%). Dłużne papiery wartościowe miały</w:t>
      </w:r>
      <w:r w:rsidR="00534CC1" w:rsidRPr="005E3A55">
        <w:rPr>
          <w:lang w:eastAsia="pl-PL"/>
        </w:rPr>
        <w:t xml:space="preserve"> najwyższą wartość tj. 150 031,4</w:t>
      </w:r>
      <w:r w:rsidR="0030581F" w:rsidRPr="005E3A55">
        <w:rPr>
          <w:lang w:eastAsia="pl-PL"/>
        </w:rPr>
        <w:t xml:space="preserve"> mln zł</w:t>
      </w:r>
      <w:r w:rsidR="00DD4058" w:rsidRPr="005E3A55">
        <w:rPr>
          <w:lang w:eastAsia="pl-PL"/>
        </w:rPr>
        <w:t xml:space="preserve"> (wzrost o 5,5</w:t>
      </w:r>
      <w:r w:rsidR="0030581F" w:rsidRPr="005E3A55">
        <w:rPr>
          <w:lang w:eastAsia="pl-PL"/>
        </w:rPr>
        <w:t xml:space="preserve">%). Wartość akcji zmniejszyła się do </w:t>
      </w:r>
      <w:r w:rsidR="005209CB" w:rsidRPr="005E3A55">
        <w:rPr>
          <w:lang w:eastAsia="pl-PL"/>
        </w:rPr>
        <w:t>kwoty 44 619,4</w:t>
      </w:r>
      <w:r w:rsidR="0030581F" w:rsidRPr="005E3A55">
        <w:rPr>
          <w:lang w:eastAsia="pl-PL"/>
        </w:rPr>
        <w:t xml:space="preserve"> mln zł (o </w:t>
      </w:r>
      <w:r w:rsidR="005209CB" w:rsidRPr="005E3A55">
        <w:rPr>
          <w:lang w:eastAsia="pl-PL"/>
        </w:rPr>
        <w:t>40,6</w:t>
      </w:r>
      <w:r w:rsidR="0030581F" w:rsidRPr="005E3A55">
        <w:rPr>
          <w:lang w:eastAsia="pl-PL"/>
        </w:rPr>
        <w:t>%). Wierzytelności ukształtowały się na pozio</w:t>
      </w:r>
      <w:r w:rsidR="00C530ED" w:rsidRPr="005E3A55">
        <w:rPr>
          <w:lang w:eastAsia="pl-PL"/>
        </w:rPr>
        <w:t>mie 15 142,7</w:t>
      </w:r>
      <w:r w:rsidR="0030581F" w:rsidRPr="005E3A55">
        <w:rPr>
          <w:lang w:eastAsia="pl-PL"/>
        </w:rPr>
        <w:t xml:space="preserve"> mln </w:t>
      </w:r>
      <w:r w:rsidR="00C530ED" w:rsidRPr="005E3A55">
        <w:rPr>
          <w:lang w:eastAsia="pl-PL"/>
        </w:rPr>
        <w:t>zł (spadek o 17,2</w:t>
      </w:r>
      <w:r w:rsidR="0030581F" w:rsidRPr="005E3A55">
        <w:rPr>
          <w:lang w:eastAsia="pl-PL"/>
        </w:rPr>
        <w:t>%). Lokaty w tytułach uczestnictwa emitowanych przez instytucje wspólnego inwestowania o statusi</w:t>
      </w:r>
      <w:r w:rsidR="00186C9A" w:rsidRPr="005E3A55">
        <w:rPr>
          <w:lang w:eastAsia="pl-PL"/>
        </w:rPr>
        <w:t>e nierezydenta wyniosły 15 100,4</w:t>
      </w:r>
      <w:r w:rsidR="0030581F" w:rsidRPr="005E3A55">
        <w:rPr>
          <w:lang w:eastAsia="pl-PL"/>
        </w:rPr>
        <w:t xml:space="preserve"> mln zł. Udziały w spółkach </w:t>
      </w:r>
      <w:r w:rsidR="007E4A45" w:rsidRPr="005E3A55">
        <w:rPr>
          <w:lang w:eastAsia="pl-PL"/>
        </w:rPr>
        <w:t>zmniejszyły się do kwoty 15 671,1</w:t>
      </w:r>
      <w:r w:rsidR="0030581F" w:rsidRPr="005E3A55">
        <w:rPr>
          <w:lang w:eastAsia="pl-PL"/>
        </w:rPr>
        <w:t xml:space="preserve"> mln </w:t>
      </w:r>
      <w:r w:rsidR="007E4A45" w:rsidRPr="005E3A55">
        <w:rPr>
          <w:lang w:eastAsia="pl-PL"/>
        </w:rPr>
        <w:t>zł (o 5,3</w:t>
      </w:r>
      <w:r w:rsidR="0030581F" w:rsidRPr="005E3A55">
        <w:rPr>
          <w:lang w:eastAsia="pl-PL"/>
        </w:rPr>
        <w:t>%).</w:t>
      </w:r>
      <w:r w:rsidR="00CC5B5E" w:rsidRPr="005E3A55">
        <w:rPr>
          <w:lang w:eastAsia="pl-PL"/>
        </w:rPr>
        <w:t xml:space="preserve"> D</w:t>
      </w:r>
      <w:r w:rsidR="00072895" w:rsidRPr="005E3A55">
        <w:rPr>
          <w:lang w:eastAsia="pl-PL"/>
        </w:rPr>
        <w:t>epozyty zmniejszyły się do 970,8</w:t>
      </w:r>
      <w:r w:rsidR="0030581F" w:rsidRPr="005E3A55">
        <w:rPr>
          <w:lang w:eastAsia="pl-PL"/>
        </w:rPr>
        <w:t xml:space="preserve"> mln zł (o </w:t>
      </w:r>
      <w:r w:rsidR="00072895" w:rsidRPr="005E3A55">
        <w:rPr>
          <w:lang w:eastAsia="pl-PL"/>
        </w:rPr>
        <w:t>76,1</w:t>
      </w:r>
      <w:r w:rsidR="0030581F" w:rsidRPr="005E3A55">
        <w:rPr>
          <w:lang w:eastAsia="pl-PL"/>
        </w:rPr>
        <w:t>%). Udział dłużnych papierów wartościowych i akcji w lokatach ogółem wyniósł odpowied</w:t>
      </w:r>
      <w:r w:rsidR="00611210" w:rsidRPr="005E3A55">
        <w:rPr>
          <w:lang w:eastAsia="pl-PL"/>
        </w:rPr>
        <w:t>nio 59,2% i 17,6%, wobec odpowiednio 50,4</w:t>
      </w:r>
      <w:r w:rsidR="0030581F" w:rsidRPr="005E3A55">
        <w:rPr>
          <w:lang w:eastAsia="pl-PL"/>
        </w:rPr>
        <w:t>%</w:t>
      </w:r>
      <w:r w:rsidR="00611210" w:rsidRPr="005E3A55">
        <w:rPr>
          <w:lang w:eastAsia="pl-PL"/>
        </w:rPr>
        <w:t xml:space="preserve"> i 26,6% w 2019</w:t>
      </w:r>
      <w:r w:rsidR="0030581F" w:rsidRPr="005E3A55">
        <w:rPr>
          <w:lang w:eastAsia="pl-PL"/>
        </w:rPr>
        <w:t xml:space="preserve"> r.</w:t>
      </w:r>
      <w:r w:rsidR="0030581F" w:rsidRPr="001A3D3F">
        <w:rPr>
          <w:lang w:eastAsia="pl-PL"/>
        </w:rPr>
        <w:t xml:space="preserve"> </w:t>
      </w:r>
    </w:p>
    <w:p w:rsidR="0044280B" w:rsidRDefault="0044280B" w:rsidP="0030581F">
      <w:pPr>
        <w:jc w:val="both"/>
        <w:rPr>
          <w:lang w:eastAsia="pl-PL"/>
        </w:rPr>
      </w:pPr>
    </w:p>
    <w:p w:rsidR="00E35690" w:rsidRDefault="00E35690" w:rsidP="0030581F">
      <w:pPr>
        <w:jc w:val="both"/>
        <w:rPr>
          <w:lang w:eastAsia="pl-PL"/>
        </w:rPr>
      </w:pPr>
    </w:p>
    <w:p w:rsidR="00E35690" w:rsidRDefault="00E35690" w:rsidP="0030581F">
      <w:pPr>
        <w:jc w:val="both"/>
        <w:rPr>
          <w:lang w:eastAsia="pl-PL"/>
        </w:rPr>
      </w:pPr>
    </w:p>
    <w:p w:rsidR="00E35690" w:rsidRDefault="00E35690" w:rsidP="0030581F">
      <w:pPr>
        <w:jc w:val="both"/>
        <w:rPr>
          <w:lang w:eastAsia="pl-PL"/>
        </w:rPr>
      </w:pPr>
    </w:p>
    <w:p w:rsidR="00E35690" w:rsidRDefault="00E35690" w:rsidP="0030581F">
      <w:pPr>
        <w:jc w:val="both"/>
        <w:rPr>
          <w:lang w:eastAsia="pl-PL"/>
        </w:rPr>
      </w:pPr>
    </w:p>
    <w:p w:rsidR="00E35690" w:rsidRDefault="00E35690" w:rsidP="0030581F">
      <w:pPr>
        <w:jc w:val="both"/>
        <w:rPr>
          <w:lang w:eastAsia="pl-PL"/>
        </w:rPr>
      </w:pPr>
    </w:p>
    <w:p w:rsidR="00E35690" w:rsidRDefault="00E35690" w:rsidP="0030581F">
      <w:pPr>
        <w:jc w:val="both"/>
        <w:rPr>
          <w:lang w:eastAsia="pl-PL"/>
        </w:rPr>
      </w:pPr>
    </w:p>
    <w:p w:rsidR="0044280B" w:rsidRPr="001A3D3F" w:rsidRDefault="0044280B" w:rsidP="0044280B">
      <w:pPr>
        <w:rPr>
          <w:b/>
          <w:spacing w:val="-2"/>
          <w:sz w:val="18"/>
          <w:shd w:val="clear" w:color="auto" w:fill="FFFFFF"/>
        </w:rPr>
      </w:pPr>
      <w:r w:rsidRPr="001A3D3F">
        <w:rPr>
          <w:b/>
          <w:spacing w:val="-2"/>
          <w:sz w:val="18"/>
          <w:shd w:val="clear" w:color="auto" w:fill="FFFFFF"/>
        </w:rPr>
        <w:lastRenderedPageBreak/>
        <w:t xml:space="preserve">Tablica </w:t>
      </w:r>
      <w:r>
        <w:rPr>
          <w:b/>
          <w:spacing w:val="-2"/>
          <w:sz w:val="18"/>
          <w:shd w:val="clear" w:color="auto" w:fill="FFFFFF"/>
        </w:rPr>
        <w:t>3. Wartość lokat</w:t>
      </w:r>
      <w:r w:rsidRPr="001A3D3F">
        <w:rPr>
          <w:b/>
          <w:spacing w:val="-2"/>
          <w:sz w:val="18"/>
          <w:shd w:val="clear" w:color="auto" w:fill="FFFFFF"/>
        </w:rPr>
        <w:t xml:space="preserve">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44280B" w:rsidRPr="001A3D3F" w:rsidTr="00695EB6">
        <w:trPr>
          <w:trHeight w:val="57"/>
        </w:trPr>
        <w:tc>
          <w:tcPr>
            <w:tcW w:w="2823" w:type="dxa"/>
            <w:vMerge w:val="restart"/>
            <w:vAlign w:val="center"/>
          </w:tcPr>
          <w:p w:rsidR="0044280B" w:rsidRPr="001A3D3F" w:rsidRDefault="0044280B" w:rsidP="00695EB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44280B" w:rsidRPr="001A3D3F" w:rsidRDefault="0044280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35764B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:rsidR="0044280B" w:rsidRPr="001A3D3F" w:rsidRDefault="0035764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701" w:type="dxa"/>
            <w:vMerge w:val="restart"/>
            <w:vAlign w:val="center"/>
          </w:tcPr>
          <w:p w:rsidR="0044280B" w:rsidRPr="001A3D3F" w:rsidRDefault="0035764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2019</w:t>
            </w:r>
            <w:r w:rsidR="0044280B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4280B" w:rsidRPr="001A3D3F" w:rsidTr="00695EB6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44280B" w:rsidRPr="001A3D3F" w:rsidRDefault="0044280B" w:rsidP="00695EB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44280B" w:rsidRPr="001A3D3F" w:rsidRDefault="0044280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44280B" w:rsidRPr="001A3D3F" w:rsidRDefault="0044280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35764B" w:rsidRPr="001A3D3F" w:rsidTr="00695EB6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5764B" w:rsidRPr="001A3D3F" w:rsidRDefault="0035764B" w:rsidP="003576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Lokaty, w tym</w:t>
            </w:r>
            <w:r w:rsidRPr="001A3D3F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5764B" w:rsidRPr="001A3D3F" w:rsidRDefault="0035764B" w:rsidP="003576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281 987,4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5764B" w:rsidRPr="001A3D3F" w:rsidRDefault="009464C4" w:rsidP="003576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253 302,7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5764B" w:rsidRPr="001A3D3F" w:rsidRDefault="008C2D05" w:rsidP="003576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89,8</w:t>
            </w:r>
          </w:p>
        </w:tc>
      </w:tr>
      <w:tr w:rsidR="0035764B" w:rsidRPr="001A3D3F" w:rsidTr="00695EB6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35764B" w:rsidRPr="001A3D3F" w:rsidRDefault="0035764B" w:rsidP="003576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Akcje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35764B" w:rsidRPr="001A3D3F" w:rsidRDefault="0035764B" w:rsidP="003576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75 082,3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35764B" w:rsidRPr="001A3D3F" w:rsidRDefault="009464C4" w:rsidP="003576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44 619,4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35764B" w:rsidRPr="001A3D3F" w:rsidRDefault="008C2D05" w:rsidP="003576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59,4</w:t>
            </w:r>
          </w:p>
        </w:tc>
      </w:tr>
      <w:tr w:rsidR="0035764B" w:rsidRPr="001A3D3F" w:rsidTr="00695EB6">
        <w:trPr>
          <w:trHeight w:hRule="exact" w:val="510"/>
        </w:trPr>
        <w:tc>
          <w:tcPr>
            <w:tcW w:w="2823" w:type="dxa"/>
            <w:vAlign w:val="center"/>
          </w:tcPr>
          <w:p w:rsidR="0035764B" w:rsidRPr="001A3D3F" w:rsidRDefault="0035764B" w:rsidP="0035764B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Dłużne papiery wartościowe</w:t>
            </w:r>
          </w:p>
        </w:tc>
        <w:tc>
          <w:tcPr>
            <w:tcW w:w="1701" w:type="dxa"/>
            <w:vAlign w:val="bottom"/>
          </w:tcPr>
          <w:p w:rsidR="0035764B" w:rsidRPr="001A3D3F" w:rsidRDefault="0035764B" w:rsidP="003576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142 237,6</w:t>
            </w:r>
          </w:p>
        </w:tc>
        <w:tc>
          <w:tcPr>
            <w:tcW w:w="1701" w:type="dxa"/>
            <w:vAlign w:val="bottom"/>
          </w:tcPr>
          <w:p w:rsidR="0035764B" w:rsidRPr="001A3D3F" w:rsidRDefault="00674169" w:rsidP="003576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150 031,4</w:t>
            </w:r>
          </w:p>
        </w:tc>
        <w:tc>
          <w:tcPr>
            <w:tcW w:w="1701" w:type="dxa"/>
            <w:vAlign w:val="bottom"/>
          </w:tcPr>
          <w:p w:rsidR="0035764B" w:rsidRPr="001A3D3F" w:rsidRDefault="008C2D05" w:rsidP="003576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105,5</w:t>
            </w:r>
          </w:p>
        </w:tc>
      </w:tr>
      <w:tr w:rsidR="0035764B" w:rsidRPr="001A3D3F" w:rsidTr="00695EB6">
        <w:trPr>
          <w:trHeight w:hRule="exact" w:val="510"/>
        </w:trPr>
        <w:tc>
          <w:tcPr>
            <w:tcW w:w="2823" w:type="dxa"/>
            <w:vAlign w:val="center"/>
          </w:tcPr>
          <w:p w:rsidR="0035764B" w:rsidRPr="001A3D3F" w:rsidRDefault="0035764B" w:rsidP="003576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Wierzytelności</w:t>
            </w:r>
          </w:p>
        </w:tc>
        <w:tc>
          <w:tcPr>
            <w:tcW w:w="1701" w:type="dxa"/>
            <w:vAlign w:val="bottom"/>
          </w:tcPr>
          <w:p w:rsidR="0035764B" w:rsidRPr="001A3D3F" w:rsidRDefault="0035764B" w:rsidP="003576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18 279,3</w:t>
            </w:r>
          </w:p>
        </w:tc>
        <w:tc>
          <w:tcPr>
            <w:tcW w:w="1701" w:type="dxa"/>
            <w:vAlign w:val="bottom"/>
          </w:tcPr>
          <w:p w:rsidR="0035764B" w:rsidRPr="001A3D3F" w:rsidRDefault="00674169" w:rsidP="003576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15 142,7</w:t>
            </w:r>
          </w:p>
        </w:tc>
        <w:tc>
          <w:tcPr>
            <w:tcW w:w="1701" w:type="dxa"/>
            <w:vAlign w:val="bottom"/>
          </w:tcPr>
          <w:p w:rsidR="0035764B" w:rsidRPr="001A3D3F" w:rsidRDefault="008C2D05" w:rsidP="003576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82,8</w:t>
            </w:r>
          </w:p>
        </w:tc>
      </w:tr>
      <w:tr w:rsidR="0035764B" w:rsidRPr="001A3D3F" w:rsidTr="0044280B">
        <w:trPr>
          <w:trHeight w:hRule="exact" w:val="1201"/>
        </w:trPr>
        <w:tc>
          <w:tcPr>
            <w:tcW w:w="2823" w:type="dxa"/>
            <w:vAlign w:val="center"/>
          </w:tcPr>
          <w:p w:rsidR="0035764B" w:rsidRPr="001A3D3F" w:rsidRDefault="0035764B" w:rsidP="0035764B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Tytuły uczestnictwa emitowane przez instytucje wspólnego inwestowania mające siedzibę za granicą</w:t>
            </w:r>
          </w:p>
        </w:tc>
        <w:tc>
          <w:tcPr>
            <w:tcW w:w="1701" w:type="dxa"/>
            <w:vAlign w:val="bottom"/>
          </w:tcPr>
          <w:p w:rsidR="0035764B" w:rsidRPr="001A3D3F" w:rsidRDefault="0035764B" w:rsidP="003576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13 229,9</w:t>
            </w:r>
          </w:p>
        </w:tc>
        <w:tc>
          <w:tcPr>
            <w:tcW w:w="1701" w:type="dxa"/>
            <w:vAlign w:val="bottom"/>
          </w:tcPr>
          <w:p w:rsidR="0035764B" w:rsidRPr="001A3D3F" w:rsidRDefault="002F4064" w:rsidP="003576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15 100,4</w:t>
            </w:r>
          </w:p>
        </w:tc>
        <w:tc>
          <w:tcPr>
            <w:tcW w:w="1701" w:type="dxa"/>
            <w:vAlign w:val="bottom"/>
          </w:tcPr>
          <w:p w:rsidR="0035764B" w:rsidRPr="001A3D3F" w:rsidRDefault="008C2D05" w:rsidP="003576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114,1</w:t>
            </w:r>
          </w:p>
        </w:tc>
      </w:tr>
      <w:tr w:rsidR="0035764B" w:rsidRPr="001A3D3F" w:rsidTr="00695EB6">
        <w:trPr>
          <w:trHeight w:hRule="exact" w:val="510"/>
        </w:trPr>
        <w:tc>
          <w:tcPr>
            <w:tcW w:w="2823" w:type="dxa"/>
            <w:vAlign w:val="center"/>
          </w:tcPr>
          <w:p w:rsidR="0035764B" w:rsidRPr="001A3D3F" w:rsidRDefault="0035764B" w:rsidP="003576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Depozyty</w:t>
            </w:r>
          </w:p>
        </w:tc>
        <w:tc>
          <w:tcPr>
            <w:tcW w:w="1701" w:type="dxa"/>
            <w:vAlign w:val="bottom"/>
          </w:tcPr>
          <w:p w:rsidR="0035764B" w:rsidRPr="001A3D3F" w:rsidRDefault="0035764B" w:rsidP="003576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4 069,9</w:t>
            </w:r>
          </w:p>
        </w:tc>
        <w:tc>
          <w:tcPr>
            <w:tcW w:w="1701" w:type="dxa"/>
            <w:vAlign w:val="bottom"/>
          </w:tcPr>
          <w:p w:rsidR="0035764B" w:rsidRPr="001A3D3F" w:rsidRDefault="00155244" w:rsidP="003576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970,8</w:t>
            </w:r>
          </w:p>
        </w:tc>
        <w:tc>
          <w:tcPr>
            <w:tcW w:w="1701" w:type="dxa"/>
            <w:vAlign w:val="bottom"/>
          </w:tcPr>
          <w:p w:rsidR="0035764B" w:rsidRPr="001A3D3F" w:rsidRDefault="008C2D05" w:rsidP="0035764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248A">
              <w:rPr>
                <w:rFonts w:cs="Arial"/>
                <w:color w:val="000000"/>
                <w:sz w:val="16"/>
                <w:szCs w:val="16"/>
              </w:rPr>
              <w:t>23,9</w:t>
            </w:r>
          </w:p>
        </w:tc>
      </w:tr>
    </w:tbl>
    <w:p w:rsidR="00341C5B" w:rsidRPr="00E80EC6" w:rsidRDefault="00D644E8" w:rsidP="00E80EC6">
      <w:pPr>
        <w:rPr>
          <w:lang w:eastAsia="pl-PL"/>
        </w:rPr>
      </w:pPr>
      <w:r w:rsidRPr="00917FCE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6240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1457960</wp:posOffset>
                </wp:positionV>
                <wp:extent cx="1725295" cy="1227455"/>
                <wp:effectExtent l="0" t="0" r="0" b="0"/>
                <wp:wrapTight wrapText="bothSides">
                  <wp:wrapPolygon edited="0">
                    <wp:start x="715" y="0"/>
                    <wp:lineTo x="715" y="21120"/>
                    <wp:lineTo x="20749" y="21120"/>
                    <wp:lineTo x="20749" y="0"/>
                    <wp:lineTo x="715" y="0"/>
                  </wp:wrapPolygon>
                </wp:wrapTight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7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9F0" w:rsidRPr="00074DD8" w:rsidRDefault="0051367E" w:rsidP="009A79F0">
                            <w:pPr>
                              <w:pStyle w:val="tekstzboku"/>
                            </w:pPr>
                            <w:r>
                              <w:t>W 2020</w:t>
                            </w:r>
                            <w:r w:rsidR="009A79F0" w:rsidRPr="00EC1A16">
                              <w:t xml:space="preserve"> r. przychody z </w:t>
                            </w:r>
                            <w:r>
                              <w:t>lokat funduszy inwestycyjnych zmniejszyły się o 11,7%</w:t>
                            </w:r>
                            <w:r w:rsidR="009A79F0" w:rsidRPr="00EC1A16">
                              <w:t>.</w:t>
                            </w:r>
                          </w:p>
                          <w:p w:rsidR="009A79F0" w:rsidRPr="00D616D2" w:rsidRDefault="009A79F0" w:rsidP="009A79F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0" o:spid="_x0000_s1033" type="#_x0000_t202" style="position:absolute;margin-left:411.75pt;margin-top:114.8pt;width:135.85pt;height:96.65pt;z-index:-251530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" filled="f" stroked="f">
                <v:textbox>
                  <w:txbxContent>
                    <w:p w:rsidR="009A79F0" w:rsidRPr="00074DD8" w:rsidRDefault="0051367E" w:rsidP="009A79F0">
                      <w:pPr>
                        <w:pStyle w:val="tekstzboku"/>
                      </w:pPr>
                      <w:r>
                        <w:t>W 2020</w:t>
                      </w:r>
                      <w:r w:rsidR="009A79F0" w:rsidRPr="00EC1A16">
                        <w:t xml:space="preserve"> r. przychody z </w:t>
                      </w:r>
                      <w:r>
                        <w:t>lokat funduszy inwestycyjnych zmniejszyły się o 11,7%</w:t>
                      </w:r>
                      <w:r w:rsidR="009A79F0" w:rsidRPr="00EC1A16">
                        <w:t>.</w:t>
                      </w:r>
                    </w:p>
                    <w:p w:rsidR="009A79F0" w:rsidRPr="00D616D2" w:rsidRDefault="009A79F0" w:rsidP="009A79F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79F0" w:rsidRPr="00917FCE">
        <w:rPr>
          <w:lang w:eastAsia="pl-PL"/>
        </w:rPr>
        <w:t>Przychody z lokat</w:t>
      </w:r>
      <w:r w:rsidR="008D2F46" w:rsidRPr="00917FCE">
        <w:rPr>
          <w:lang w:eastAsia="pl-PL"/>
        </w:rPr>
        <w:t xml:space="preserve"> funduszy inwestycyjnych w 2020</w:t>
      </w:r>
      <w:r w:rsidR="009A79F0" w:rsidRPr="00917FCE">
        <w:rPr>
          <w:lang w:eastAsia="pl-PL"/>
        </w:rPr>
        <w:t> </w:t>
      </w:r>
      <w:r w:rsidR="008D2F46" w:rsidRPr="00917FCE">
        <w:rPr>
          <w:lang w:eastAsia="pl-PL"/>
        </w:rPr>
        <w:t>r. wyniosły 8 221,7</w:t>
      </w:r>
      <w:r w:rsidR="009A79F0" w:rsidRPr="00917FCE">
        <w:rPr>
          <w:lang w:eastAsia="pl-PL"/>
        </w:rPr>
        <w:t xml:space="preserve"> mln </w:t>
      </w:r>
      <w:r w:rsidR="008D2F46" w:rsidRPr="00917FCE">
        <w:rPr>
          <w:lang w:eastAsia="pl-PL"/>
        </w:rPr>
        <w:t>zł (o 11,7</w:t>
      </w:r>
      <w:r w:rsidR="009A79F0" w:rsidRPr="00917FCE">
        <w:rPr>
          <w:lang w:eastAsia="pl-PL"/>
        </w:rPr>
        <w:t>% mniej niż przed rokiem). Główną ich pozycją były przychody odsetkowe,</w:t>
      </w:r>
      <w:r w:rsidR="008D2F46" w:rsidRPr="00917FCE">
        <w:rPr>
          <w:lang w:eastAsia="pl-PL"/>
        </w:rPr>
        <w:t xml:space="preserve"> które osiągnęły wartość 4 07</w:t>
      </w:r>
      <w:r w:rsidR="007A2613" w:rsidRPr="00917FCE">
        <w:rPr>
          <w:lang w:eastAsia="pl-PL"/>
        </w:rPr>
        <w:t>2,0</w:t>
      </w:r>
      <w:r w:rsidR="009A79F0" w:rsidRPr="00917FCE">
        <w:rPr>
          <w:lang w:eastAsia="pl-PL"/>
        </w:rPr>
        <w:t xml:space="preserve"> mln </w:t>
      </w:r>
      <w:r w:rsidR="008D2F46" w:rsidRPr="00917FCE">
        <w:rPr>
          <w:lang w:eastAsia="pl-PL"/>
        </w:rPr>
        <w:t>zł i stanowiły 49,5</w:t>
      </w:r>
      <w:r w:rsidR="009A79F0" w:rsidRPr="00917FCE">
        <w:rPr>
          <w:lang w:eastAsia="pl-PL"/>
        </w:rPr>
        <w:t>% przychodów z lokat. Dywidendy i inne udziały w zyskach wynios</w:t>
      </w:r>
      <w:r w:rsidR="00207405" w:rsidRPr="00917FCE">
        <w:rPr>
          <w:lang w:eastAsia="pl-PL"/>
        </w:rPr>
        <w:t>ły 1 109,0</w:t>
      </w:r>
      <w:r w:rsidR="009A79F0" w:rsidRPr="00917FCE">
        <w:rPr>
          <w:lang w:eastAsia="pl-PL"/>
        </w:rPr>
        <w:t xml:space="preserve"> mln </w:t>
      </w:r>
      <w:r w:rsidR="00207405" w:rsidRPr="00917FCE">
        <w:rPr>
          <w:lang w:eastAsia="pl-PL"/>
        </w:rPr>
        <w:t>zł (1 544,3</w:t>
      </w:r>
      <w:r w:rsidR="009A79F0" w:rsidRPr="00917FCE">
        <w:rPr>
          <w:lang w:eastAsia="pl-PL"/>
        </w:rPr>
        <w:t xml:space="preserve"> mln zł przed rokiem). Wynagrodzenia dla towarzystw zarządzających funduszami wynio</w:t>
      </w:r>
      <w:r w:rsidR="00F55F3F" w:rsidRPr="00917FCE">
        <w:rPr>
          <w:lang w:eastAsia="pl-PL"/>
        </w:rPr>
        <w:t>sły 3 317,9</w:t>
      </w:r>
      <w:r w:rsidR="009A79F0" w:rsidRPr="00917FCE">
        <w:rPr>
          <w:lang w:eastAsia="pl-PL"/>
        </w:rPr>
        <w:t xml:space="preserve"> mln zł (</w:t>
      </w:r>
      <w:r w:rsidR="00F55F3F" w:rsidRPr="00917FCE">
        <w:rPr>
          <w:lang w:eastAsia="pl-PL"/>
        </w:rPr>
        <w:t>o 2,0</w:t>
      </w:r>
      <w:r w:rsidR="00035F24" w:rsidRPr="00917FCE">
        <w:rPr>
          <w:lang w:eastAsia="pl-PL"/>
        </w:rPr>
        <w:t>% mniej niż</w:t>
      </w:r>
      <w:r w:rsidR="009A79F0" w:rsidRPr="00917FCE">
        <w:rPr>
          <w:lang w:eastAsia="pl-PL"/>
        </w:rPr>
        <w:t xml:space="preserve"> przed rokiem). Koszty netto funduszy inwestycyjnych, po uwzględnieniu kosztów pokrywanych przez towarzystwo, wynio</w:t>
      </w:r>
      <w:r w:rsidR="00B37224" w:rsidRPr="00917FCE">
        <w:rPr>
          <w:lang w:eastAsia="pl-PL"/>
        </w:rPr>
        <w:t>sły 6 237,4</w:t>
      </w:r>
      <w:r w:rsidR="009A79F0" w:rsidRPr="00917FCE">
        <w:rPr>
          <w:lang w:eastAsia="pl-PL"/>
        </w:rPr>
        <w:t xml:space="preserve"> mln zł</w:t>
      </w:r>
      <w:r w:rsidR="00E35C57" w:rsidRPr="00917FCE">
        <w:rPr>
          <w:lang w:eastAsia="pl-PL"/>
        </w:rPr>
        <w:t xml:space="preserve"> i były wyższe o 14,9</w:t>
      </w:r>
      <w:r w:rsidR="009A79F0" w:rsidRPr="00917FCE">
        <w:rPr>
          <w:lang w:eastAsia="pl-PL"/>
        </w:rPr>
        <w:t>% niż rok wcześniej.</w:t>
      </w:r>
      <w:r w:rsidR="00A533E6" w:rsidRPr="00917FCE">
        <w:rPr>
          <w:lang w:eastAsia="pl-PL"/>
        </w:rPr>
        <w:t xml:space="preserve"> Fundusze inwestycyjne w 2020</w:t>
      </w:r>
      <w:r w:rsidR="009A79F0" w:rsidRPr="00917FCE">
        <w:rPr>
          <w:lang w:eastAsia="pl-PL"/>
        </w:rPr>
        <w:t> r. wykazały dodatni wynik z operacji w kwo</w:t>
      </w:r>
      <w:r w:rsidR="00153655" w:rsidRPr="00917FCE">
        <w:rPr>
          <w:lang w:eastAsia="pl-PL"/>
        </w:rPr>
        <w:t>ci</w:t>
      </w:r>
      <w:r w:rsidR="00A533E6" w:rsidRPr="00917FCE">
        <w:rPr>
          <w:lang w:eastAsia="pl-PL"/>
        </w:rPr>
        <w:t>e 9 968,2</w:t>
      </w:r>
      <w:r w:rsidR="009A79F0" w:rsidRPr="00917FCE">
        <w:rPr>
          <w:lang w:eastAsia="pl-PL"/>
        </w:rPr>
        <w:t xml:space="preserve"> mln </w:t>
      </w:r>
      <w:r w:rsidR="00153655" w:rsidRPr="00917FCE">
        <w:rPr>
          <w:lang w:eastAsia="pl-PL"/>
        </w:rPr>
        <w:t>zł (</w:t>
      </w:r>
      <w:r w:rsidR="00A533E6" w:rsidRPr="00917FCE">
        <w:rPr>
          <w:lang w:eastAsia="pl-PL"/>
        </w:rPr>
        <w:t>25,5% mniej niż 2019</w:t>
      </w:r>
      <w:r w:rsidR="0057571D" w:rsidRPr="00917FCE">
        <w:rPr>
          <w:lang w:eastAsia="pl-PL"/>
        </w:rPr>
        <w:t xml:space="preserve"> r.</w:t>
      </w:r>
      <w:r w:rsidR="009A79F0" w:rsidRPr="00917FCE">
        <w:rPr>
          <w:lang w:eastAsia="pl-PL"/>
        </w:rPr>
        <w:t xml:space="preserve">), w tym wynik z operacji funduszy zamkniętych </w:t>
      </w:r>
      <w:r w:rsidR="006C6CB9" w:rsidRPr="00917FCE">
        <w:rPr>
          <w:lang w:eastAsia="pl-PL"/>
        </w:rPr>
        <w:t>2 948,1</w:t>
      </w:r>
      <w:r w:rsidR="00206261" w:rsidRPr="00917FCE">
        <w:rPr>
          <w:lang w:eastAsia="pl-PL"/>
        </w:rPr>
        <w:t xml:space="preserve"> </w:t>
      </w:r>
      <w:r w:rsidR="0057571D" w:rsidRPr="00917FCE">
        <w:rPr>
          <w:lang w:eastAsia="pl-PL"/>
        </w:rPr>
        <w:t>mln zł</w:t>
      </w:r>
      <w:r w:rsidR="006C6CB9" w:rsidRPr="00917FCE">
        <w:rPr>
          <w:lang w:eastAsia="pl-PL"/>
        </w:rPr>
        <w:t xml:space="preserve"> (przed rokiem 7 185,8</w:t>
      </w:r>
      <w:r w:rsidR="00C139F6" w:rsidRPr="00917FCE">
        <w:rPr>
          <w:lang w:eastAsia="pl-PL"/>
        </w:rPr>
        <w:t xml:space="preserve"> mln zł)</w:t>
      </w:r>
      <w:r w:rsidR="009A79F0" w:rsidRPr="00917FCE">
        <w:rPr>
          <w:lang w:eastAsia="pl-PL"/>
        </w:rPr>
        <w:t xml:space="preserve">, </w:t>
      </w:r>
      <w:r w:rsidR="003F0FD6" w:rsidRPr="00917FCE">
        <w:rPr>
          <w:lang w:eastAsia="pl-PL"/>
        </w:rPr>
        <w:t xml:space="preserve">wynik z operacji </w:t>
      </w:r>
      <w:r w:rsidR="009A79F0" w:rsidRPr="00917FCE">
        <w:rPr>
          <w:lang w:eastAsia="pl-PL"/>
        </w:rPr>
        <w:t xml:space="preserve">funduszy otwartych </w:t>
      </w:r>
      <w:r w:rsidR="00762C14" w:rsidRPr="00917FCE">
        <w:rPr>
          <w:lang w:eastAsia="pl-PL"/>
        </w:rPr>
        <w:t xml:space="preserve">wyniósł </w:t>
      </w:r>
      <w:r w:rsidR="00A57106" w:rsidRPr="00917FCE">
        <w:rPr>
          <w:lang w:eastAsia="pl-PL"/>
        </w:rPr>
        <w:t>4 964,9</w:t>
      </w:r>
      <w:r w:rsidR="00F91A01" w:rsidRPr="00917FCE">
        <w:rPr>
          <w:lang w:eastAsia="pl-PL"/>
        </w:rPr>
        <w:t xml:space="preserve"> </w:t>
      </w:r>
      <w:r w:rsidR="00153655" w:rsidRPr="00917FCE">
        <w:rPr>
          <w:lang w:eastAsia="pl-PL"/>
        </w:rPr>
        <w:t>mln zł</w:t>
      </w:r>
      <w:r w:rsidR="00C139F6" w:rsidRPr="00917FCE">
        <w:rPr>
          <w:lang w:eastAsia="pl-PL"/>
        </w:rPr>
        <w:t xml:space="preserve"> (pr</w:t>
      </w:r>
      <w:r w:rsidR="00A57106" w:rsidRPr="00917FCE">
        <w:rPr>
          <w:lang w:eastAsia="pl-PL"/>
        </w:rPr>
        <w:t>zed rokiem 4 160,1</w:t>
      </w:r>
      <w:r w:rsidR="00C139F6" w:rsidRPr="00917FCE">
        <w:rPr>
          <w:lang w:eastAsia="pl-PL"/>
        </w:rPr>
        <w:t xml:space="preserve"> mln zł)</w:t>
      </w:r>
      <w:r w:rsidR="003F0FD6" w:rsidRPr="00917FCE">
        <w:rPr>
          <w:lang w:eastAsia="pl-PL"/>
        </w:rPr>
        <w:t>, a</w:t>
      </w:r>
      <w:r w:rsidR="009A79F0" w:rsidRPr="00917FCE">
        <w:rPr>
          <w:lang w:eastAsia="pl-PL"/>
        </w:rPr>
        <w:t xml:space="preserve"> specjalistycznych otwartych</w:t>
      </w:r>
      <w:r w:rsidR="004A561C" w:rsidRPr="00917FCE">
        <w:rPr>
          <w:lang w:eastAsia="pl-PL"/>
        </w:rPr>
        <w:t xml:space="preserve"> 2 055,2</w:t>
      </w:r>
      <w:r w:rsidR="009A79F0" w:rsidRPr="00917FCE">
        <w:rPr>
          <w:lang w:eastAsia="pl-PL"/>
        </w:rPr>
        <w:t xml:space="preserve"> </w:t>
      </w:r>
      <w:r w:rsidR="00C139F6" w:rsidRPr="00917FCE">
        <w:rPr>
          <w:lang w:eastAsia="pl-PL"/>
        </w:rPr>
        <w:t>mln zł (</w:t>
      </w:r>
      <w:r w:rsidR="004A561C" w:rsidRPr="00917FCE">
        <w:rPr>
          <w:lang w:eastAsia="pl-PL"/>
        </w:rPr>
        <w:t>na koniec 2019</w:t>
      </w:r>
      <w:r w:rsidR="001969D6" w:rsidRPr="00917FCE">
        <w:rPr>
          <w:lang w:eastAsia="pl-PL"/>
        </w:rPr>
        <w:t xml:space="preserve"> r. </w:t>
      </w:r>
      <w:r w:rsidR="00762C14" w:rsidRPr="00917FCE">
        <w:rPr>
          <w:lang w:eastAsia="pl-PL"/>
        </w:rPr>
        <w:t xml:space="preserve">było to </w:t>
      </w:r>
      <w:r w:rsidR="004A561C" w:rsidRPr="00917FCE">
        <w:rPr>
          <w:lang w:eastAsia="pl-PL"/>
        </w:rPr>
        <w:t>2 033,5</w:t>
      </w:r>
      <w:r w:rsidR="001969D6" w:rsidRPr="00917FCE">
        <w:rPr>
          <w:lang w:eastAsia="pl-PL"/>
        </w:rPr>
        <w:t xml:space="preserve"> mln zł</w:t>
      </w:r>
      <w:r w:rsidR="00C139F6" w:rsidRPr="00917FCE">
        <w:rPr>
          <w:lang w:eastAsia="pl-PL"/>
        </w:rPr>
        <w:t>).</w:t>
      </w:r>
    </w:p>
    <w:p w:rsidR="008C5145" w:rsidRPr="00125A1F" w:rsidRDefault="00D644E8" w:rsidP="00125A1F">
      <w:pPr>
        <w:spacing w:after="20"/>
        <w:jc w:val="both"/>
        <w:rPr>
          <w:lang w:eastAsia="pl-PL"/>
        </w:rPr>
      </w:pPr>
      <w:r>
        <w:rPr>
          <w:b/>
          <w:noProof/>
          <w:spacing w:val="-2"/>
          <w:szCs w:val="19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669290</wp:posOffset>
                </wp:positionV>
                <wp:extent cx="1725295" cy="890270"/>
                <wp:effectExtent l="0" t="0" r="0" b="5080"/>
                <wp:wrapTight wrapText="bothSides">
                  <wp:wrapPolygon edited="0">
                    <wp:start x="715" y="0"/>
                    <wp:lineTo x="715" y="21261"/>
                    <wp:lineTo x="20749" y="21261"/>
                    <wp:lineTo x="20749" y="0"/>
                    <wp:lineTo x="715" y="0"/>
                  </wp:wrapPolygon>
                </wp:wrapTight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32D" w:rsidRPr="00D616D2" w:rsidRDefault="0040232D" w:rsidP="00B1715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11.75pt;margin-top:52.7pt;width:135.85pt;height:70.1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" filled="f" stroked="f">
                <v:textbox>
                  <w:txbxContent>
                    <w:p w:rsidR="0040232D" w:rsidRPr="00D616D2" w:rsidRDefault="0040232D" w:rsidP="00B1715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C5145" w:rsidRPr="001A3D3F">
        <w:rPr>
          <w:b/>
          <w:spacing w:val="-2"/>
          <w:sz w:val="18"/>
          <w:shd w:val="clear" w:color="auto" w:fill="FFFFFF"/>
        </w:rPr>
        <w:t xml:space="preserve">Tablica </w:t>
      </w:r>
      <w:r w:rsidR="00125A1F">
        <w:rPr>
          <w:b/>
          <w:spacing w:val="-2"/>
          <w:sz w:val="18"/>
          <w:shd w:val="clear" w:color="auto" w:fill="FFFFFF"/>
        </w:rPr>
        <w:t>4. Wybrane pozycje z rachunku wyniku z operacji</w:t>
      </w:r>
      <w:r w:rsidR="008C5145" w:rsidRPr="001A3D3F">
        <w:rPr>
          <w:b/>
          <w:spacing w:val="-2"/>
          <w:sz w:val="18"/>
          <w:shd w:val="clear" w:color="auto" w:fill="FFFFFF"/>
        </w:rPr>
        <w:t xml:space="preserve">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8C5145" w:rsidRPr="001A3D3F" w:rsidTr="00DD2426">
        <w:trPr>
          <w:trHeight w:val="57"/>
        </w:trPr>
        <w:tc>
          <w:tcPr>
            <w:tcW w:w="2823" w:type="dxa"/>
            <w:vMerge w:val="restart"/>
            <w:vAlign w:val="center"/>
          </w:tcPr>
          <w:p w:rsidR="008C5145" w:rsidRPr="001A3D3F" w:rsidRDefault="008C5145" w:rsidP="00DD242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8C5145" w:rsidRPr="001A3D3F" w:rsidRDefault="008C5145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864F9F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:rsidR="008C5145" w:rsidRPr="001A3D3F" w:rsidRDefault="00864F9F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701" w:type="dxa"/>
            <w:vMerge w:val="restart"/>
            <w:vAlign w:val="center"/>
          </w:tcPr>
          <w:p w:rsidR="008C5145" w:rsidRPr="001A3D3F" w:rsidRDefault="00864F9F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2019</w:t>
            </w:r>
            <w:r w:rsidR="008C5145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8C5145" w:rsidRPr="001A3D3F" w:rsidTr="00DD2426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8C5145" w:rsidRPr="001A3D3F" w:rsidRDefault="008C5145" w:rsidP="00DD242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8C5145" w:rsidRPr="001A3D3F" w:rsidRDefault="008C5145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8C5145" w:rsidRPr="001A3D3F" w:rsidRDefault="008C5145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864F9F" w:rsidRPr="001A3D3F" w:rsidTr="00DD2426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864F9F" w:rsidRPr="001A3D3F" w:rsidRDefault="00864F9F" w:rsidP="00864F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Przychody z lokat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64F9F" w:rsidRPr="001A3D3F" w:rsidRDefault="00864F9F" w:rsidP="00864F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9 313,1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64F9F" w:rsidRPr="001A3D3F" w:rsidRDefault="00B61A77" w:rsidP="00864F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8 221,7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64F9F" w:rsidRPr="001A3D3F" w:rsidRDefault="004F2D5D" w:rsidP="00864F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88,3</w:t>
            </w:r>
          </w:p>
        </w:tc>
      </w:tr>
      <w:tr w:rsidR="00864F9F" w:rsidRPr="001A3D3F" w:rsidTr="00DD2426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864F9F" w:rsidRPr="001A3D3F" w:rsidRDefault="00864F9F" w:rsidP="00864F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Koszty funduszu, w tym: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864F9F" w:rsidRPr="001A3D3F" w:rsidRDefault="00864F9F" w:rsidP="00864F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5 454,2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864F9F" w:rsidRPr="001A3D3F" w:rsidRDefault="00B61A77" w:rsidP="00864F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6 268,0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864F9F" w:rsidRPr="001A3D3F" w:rsidRDefault="004F2D5D" w:rsidP="00864F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114,9</w:t>
            </w:r>
          </w:p>
        </w:tc>
      </w:tr>
      <w:tr w:rsidR="00864F9F" w:rsidRPr="001A3D3F" w:rsidTr="00DD2426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864F9F" w:rsidRDefault="00864F9F" w:rsidP="00864F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Wynagrodzenie dla towarzystwa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864F9F" w:rsidRDefault="00864F9F" w:rsidP="00864F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3 386,8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864F9F" w:rsidRDefault="00B61A77" w:rsidP="00864F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3 317,9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864F9F" w:rsidRDefault="004F2D5D" w:rsidP="00864F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98,0</w:t>
            </w:r>
          </w:p>
        </w:tc>
      </w:tr>
      <w:tr w:rsidR="00864F9F" w:rsidRPr="001A3D3F" w:rsidTr="00125A1F">
        <w:trPr>
          <w:trHeight w:hRule="exact" w:val="769"/>
        </w:trPr>
        <w:tc>
          <w:tcPr>
            <w:tcW w:w="2823" w:type="dxa"/>
            <w:vAlign w:val="center"/>
          </w:tcPr>
          <w:p w:rsidR="00864F9F" w:rsidRPr="001A3D3F" w:rsidRDefault="00864F9F" w:rsidP="00864F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Zrealizowany zysk/strata ze zbycia lokat</w:t>
            </w:r>
          </w:p>
        </w:tc>
        <w:tc>
          <w:tcPr>
            <w:tcW w:w="1701" w:type="dxa"/>
            <w:vAlign w:val="bottom"/>
          </w:tcPr>
          <w:p w:rsidR="00864F9F" w:rsidRPr="001A3D3F" w:rsidRDefault="00864F9F" w:rsidP="00864F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3 059,8</w:t>
            </w:r>
          </w:p>
        </w:tc>
        <w:tc>
          <w:tcPr>
            <w:tcW w:w="1701" w:type="dxa"/>
            <w:vAlign w:val="bottom"/>
          </w:tcPr>
          <w:p w:rsidR="00864F9F" w:rsidRPr="001A3D3F" w:rsidRDefault="00B61A77" w:rsidP="00864F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24 380,7</w:t>
            </w:r>
          </w:p>
        </w:tc>
        <w:tc>
          <w:tcPr>
            <w:tcW w:w="1701" w:type="dxa"/>
            <w:vAlign w:val="bottom"/>
          </w:tcPr>
          <w:p w:rsidR="00864F9F" w:rsidRPr="001A3D3F" w:rsidRDefault="004F2D5D" w:rsidP="00864F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796,8</w:t>
            </w:r>
          </w:p>
        </w:tc>
      </w:tr>
      <w:tr w:rsidR="00864F9F" w:rsidRPr="001A3D3F" w:rsidTr="00125A1F">
        <w:trPr>
          <w:trHeight w:hRule="exact" w:val="782"/>
        </w:trPr>
        <w:tc>
          <w:tcPr>
            <w:tcW w:w="2823" w:type="dxa"/>
            <w:vAlign w:val="center"/>
          </w:tcPr>
          <w:p w:rsidR="00864F9F" w:rsidRPr="001A3D3F" w:rsidRDefault="00864F9F" w:rsidP="00864F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Wzrost/spadek niezrealizowanego zysku/straty z wyceny lokat</w:t>
            </w:r>
          </w:p>
        </w:tc>
        <w:tc>
          <w:tcPr>
            <w:tcW w:w="1701" w:type="dxa"/>
            <w:vAlign w:val="bottom"/>
          </w:tcPr>
          <w:p w:rsidR="00864F9F" w:rsidRPr="001A3D3F" w:rsidRDefault="00864F9F" w:rsidP="00864F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6 435,9</w:t>
            </w:r>
          </w:p>
        </w:tc>
        <w:tc>
          <w:tcPr>
            <w:tcW w:w="1701" w:type="dxa"/>
            <w:vAlign w:val="bottom"/>
          </w:tcPr>
          <w:p w:rsidR="00864F9F" w:rsidRPr="001A3D3F" w:rsidRDefault="00B61A77" w:rsidP="00864F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-16 396,8</w:t>
            </w:r>
          </w:p>
        </w:tc>
        <w:tc>
          <w:tcPr>
            <w:tcW w:w="1701" w:type="dxa"/>
            <w:vAlign w:val="bottom"/>
          </w:tcPr>
          <w:p w:rsidR="00864F9F" w:rsidRPr="001A3D3F" w:rsidRDefault="004C7671" w:rsidP="00864F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</w:tr>
      <w:tr w:rsidR="00864F9F" w:rsidRPr="001A3D3F" w:rsidTr="00DD2426">
        <w:trPr>
          <w:trHeight w:hRule="exact" w:val="510"/>
        </w:trPr>
        <w:tc>
          <w:tcPr>
            <w:tcW w:w="2823" w:type="dxa"/>
            <w:vAlign w:val="center"/>
          </w:tcPr>
          <w:p w:rsidR="00864F9F" w:rsidRPr="001A3D3F" w:rsidRDefault="00864F9F" w:rsidP="00864F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Wynik z operacji</w:t>
            </w:r>
          </w:p>
        </w:tc>
        <w:tc>
          <w:tcPr>
            <w:tcW w:w="1701" w:type="dxa"/>
            <w:vAlign w:val="bottom"/>
          </w:tcPr>
          <w:p w:rsidR="00864F9F" w:rsidRPr="001A3D3F" w:rsidRDefault="00864F9F" w:rsidP="00864F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13 379,3</w:t>
            </w:r>
          </w:p>
        </w:tc>
        <w:tc>
          <w:tcPr>
            <w:tcW w:w="1701" w:type="dxa"/>
            <w:vAlign w:val="bottom"/>
          </w:tcPr>
          <w:p w:rsidR="00864F9F" w:rsidRPr="001A3D3F" w:rsidRDefault="00B61A77" w:rsidP="00864F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="00613D89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968,2</w:t>
            </w:r>
          </w:p>
        </w:tc>
        <w:tc>
          <w:tcPr>
            <w:tcW w:w="1701" w:type="dxa"/>
            <w:vAlign w:val="bottom"/>
          </w:tcPr>
          <w:p w:rsidR="00864F9F" w:rsidRPr="001A3D3F" w:rsidRDefault="004F2D5D" w:rsidP="00864F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74,5</w:t>
            </w:r>
          </w:p>
        </w:tc>
      </w:tr>
    </w:tbl>
    <w:p w:rsidR="00BC243A" w:rsidRDefault="00BC243A" w:rsidP="00E76D26">
      <w:pPr>
        <w:rPr>
          <w:shd w:val="clear" w:color="auto" w:fill="FFFFFF"/>
        </w:rPr>
      </w:pPr>
    </w:p>
    <w:p w:rsidR="00BC243A" w:rsidRDefault="00BC243A" w:rsidP="00BC243A">
      <w:pPr>
        <w:jc w:val="both"/>
        <w:rPr>
          <w:lang w:eastAsia="pl-PL"/>
        </w:rPr>
      </w:pPr>
      <w:r>
        <w:rPr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BC243A" w:rsidRDefault="00BC243A" w:rsidP="00BC243A">
      <w:pPr>
        <w:rPr>
          <w:lang w:eastAsia="pl-PL"/>
        </w:rPr>
      </w:pPr>
    </w:p>
    <w:p w:rsidR="00BC243A" w:rsidRPr="001A3D3F" w:rsidRDefault="00BC243A" w:rsidP="00E76D26">
      <w:pPr>
        <w:rPr>
          <w:shd w:val="clear" w:color="auto" w:fill="FFFFFF"/>
        </w:rPr>
        <w:sectPr w:rsidR="00BC243A" w:rsidRPr="001A3D3F" w:rsidSect="00EC722E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39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0470AA" w:rsidRPr="001A3D3F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F149A3" w:rsidTr="00E23337">
        <w:trPr>
          <w:trHeight w:val="1912"/>
        </w:trPr>
        <w:tc>
          <w:tcPr>
            <w:tcW w:w="4379" w:type="dxa"/>
          </w:tcPr>
          <w:p w:rsidR="000470AA" w:rsidRPr="00766E54" w:rsidRDefault="000470AA" w:rsidP="00E23337">
            <w:pPr>
              <w:spacing w:before="0" w:after="0" w:line="276" w:lineRule="auto"/>
              <w:rPr>
                <w:rFonts w:cs="Arial"/>
                <w:sz w:val="20"/>
              </w:rPr>
            </w:pPr>
            <w:r w:rsidRPr="00766E54">
              <w:rPr>
                <w:rFonts w:cs="Arial"/>
                <w:sz w:val="20"/>
              </w:rPr>
              <w:t>Opracowanie merytoryczne:</w:t>
            </w:r>
          </w:p>
          <w:p w:rsidR="000470AA" w:rsidRPr="00766E54" w:rsidRDefault="000470AA" w:rsidP="00D00796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766E54">
              <w:rPr>
                <w:rFonts w:cs="Arial"/>
                <w:b/>
                <w:sz w:val="20"/>
              </w:rPr>
              <w:t xml:space="preserve">Departament </w:t>
            </w:r>
            <w:r w:rsidR="00155873" w:rsidRPr="00766E54">
              <w:rPr>
                <w:rFonts w:cs="Arial"/>
                <w:b/>
                <w:sz w:val="20"/>
              </w:rPr>
              <w:t>Studiów Makroekonomicznych i Finansów</w:t>
            </w:r>
          </w:p>
          <w:p w:rsidR="000470AA" w:rsidRPr="00766E54" w:rsidRDefault="004A3EE5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Mirosław Błażej </w:t>
            </w:r>
          </w:p>
          <w:p w:rsidR="000470AA" w:rsidRPr="00766E54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766E54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222C1D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155873" w:rsidRPr="00766E54">
              <w:rPr>
                <w:rFonts w:ascii="Fira Sans" w:hAnsi="Fira Sans" w:cs="Arial"/>
                <w:color w:val="auto"/>
                <w:sz w:val="20"/>
                <w:lang w:val="fi-FI"/>
              </w:rPr>
              <w:t>608</w:t>
            </w:r>
            <w:r w:rsidR="00222C1D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bookmarkStart w:id="0" w:name="_GoBack"/>
            <w:bookmarkEnd w:id="0"/>
            <w:r w:rsidR="00155873" w:rsidRPr="00766E54">
              <w:rPr>
                <w:rFonts w:ascii="Fira Sans" w:hAnsi="Fira Sans" w:cs="Arial"/>
                <w:color w:val="auto"/>
                <w:sz w:val="20"/>
                <w:lang w:val="fi-FI"/>
              </w:rPr>
              <w:t>3</w:t>
            </w:r>
            <w:r w:rsidR="00D869D9" w:rsidRPr="00766E54">
              <w:rPr>
                <w:rFonts w:ascii="Fira Sans" w:hAnsi="Fira Sans" w:cs="Arial"/>
                <w:color w:val="auto"/>
                <w:sz w:val="20"/>
                <w:lang w:val="fi-FI"/>
              </w:rPr>
              <w:t>7</w:t>
            </w:r>
            <w:r w:rsidR="004A3EE5">
              <w:rPr>
                <w:rFonts w:ascii="Fira Sans" w:hAnsi="Fira Sans" w:cs="Arial"/>
                <w:color w:val="auto"/>
                <w:sz w:val="20"/>
                <w:lang w:val="fi-FI"/>
              </w:rPr>
              <w:t>73</w:t>
            </w:r>
          </w:p>
          <w:p w:rsidR="000470AA" w:rsidRPr="00766E54" w:rsidRDefault="000470AA" w:rsidP="006F16BA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="00E761AE" w:rsidRPr="001A3D3F" w:rsidRDefault="000470AA" w:rsidP="00E761A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1A3D3F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E761AE" w:rsidRPr="001A3D3F" w:rsidRDefault="000470AA" w:rsidP="00E761A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1A3D3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1A3D3F" w:rsidRDefault="00C835A2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0470AA" w:rsidRPr="001A3D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="000470AA" w:rsidRPr="001A3D3F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149A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0470AA" w:rsidRPr="002C01D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2C01D8" w:rsidRDefault="000470AA" w:rsidP="000470AA">
      <w:pPr>
        <w:rPr>
          <w:sz w:val="20"/>
          <w:lang w:val="en-US"/>
        </w:rPr>
      </w:pPr>
    </w:p>
    <w:p w:rsidR="000470AA" w:rsidRPr="002C01D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766E5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766E54" w:rsidRDefault="000470AA" w:rsidP="000470AA">
            <w:pPr>
              <w:rPr>
                <w:b/>
                <w:sz w:val="20"/>
              </w:rPr>
            </w:pPr>
            <w:r w:rsidRPr="00766E54">
              <w:rPr>
                <w:b/>
                <w:sz w:val="20"/>
              </w:rPr>
              <w:t xml:space="preserve">Wydział Współpracy z Mediami </w:t>
            </w:r>
          </w:p>
          <w:p w:rsidR="000470AA" w:rsidRPr="00766E54" w:rsidRDefault="00766E54" w:rsidP="000470AA">
            <w:pPr>
              <w:rPr>
                <w:sz w:val="20"/>
              </w:rPr>
            </w:pPr>
            <w:r w:rsidRPr="00766E54">
              <w:rPr>
                <w:sz w:val="20"/>
              </w:rPr>
              <w:t>T</w:t>
            </w:r>
            <w:r w:rsidR="000470AA" w:rsidRPr="00766E54">
              <w:rPr>
                <w:sz w:val="20"/>
              </w:rPr>
              <w:t>el:</w:t>
            </w:r>
            <w:r w:rsidR="00F149A3">
              <w:rPr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097840" w:rsidRPr="00766E54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0470AA" w:rsidRPr="00766E54">
              <w:rPr>
                <w:sz w:val="20"/>
              </w:rPr>
              <w:t xml:space="preserve">04 </w:t>
            </w:r>
          </w:p>
          <w:p w:rsidR="000470AA" w:rsidRPr="00DF042C" w:rsidRDefault="000470AA" w:rsidP="000470AA">
            <w:pPr>
              <w:rPr>
                <w:sz w:val="18"/>
                <w:lang w:val="en-US"/>
              </w:rPr>
            </w:pPr>
            <w:r w:rsidRPr="00DF042C">
              <w:rPr>
                <w:b/>
                <w:sz w:val="20"/>
                <w:lang w:val="en-US"/>
              </w:rPr>
              <w:t>e-mail:</w:t>
            </w:r>
            <w:r w:rsidR="00F149A3" w:rsidRPr="00DF042C">
              <w:rPr>
                <w:b/>
                <w:sz w:val="20"/>
                <w:lang w:val="en-US"/>
              </w:rPr>
              <w:t xml:space="preserve"> </w:t>
            </w:r>
            <w:hyperlink r:id="rId15" w:history="1">
              <w:r w:rsidRPr="00DF042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F042C" w:rsidRDefault="000470AA" w:rsidP="000470AA">
            <w:pPr>
              <w:rPr>
                <w:sz w:val="18"/>
                <w:lang w:val="en-US"/>
              </w:rPr>
            </w:pPr>
            <w:r w:rsidRPr="00766E5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766E54" w:rsidRDefault="00184264" w:rsidP="000470AA">
            <w:pPr>
              <w:rPr>
                <w:sz w:val="18"/>
              </w:rPr>
            </w:pPr>
            <w:hyperlink r:id="rId17" w:history="1">
              <w:r w:rsidR="006F16BA" w:rsidRPr="00766E54">
                <w:rPr>
                  <w:rStyle w:val="Hipercze"/>
                  <w:rFonts w:cstheme="minorBidi"/>
                  <w:color w:val="auto"/>
                  <w:sz w:val="20"/>
                </w:rPr>
                <w:t>www.stat.gov.pl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D644E8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2972435"/>
                <wp:effectExtent l="0" t="0" r="12700" b="1841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9724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32D" w:rsidRPr="00766E54" w:rsidRDefault="0040232D" w:rsidP="00F25976">
                            <w:pPr>
                              <w:rPr>
                                <w:b/>
                                <w:color w:val="001D77"/>
                              </w:rPr>
                            </w:pPr>
                            <w:r w:rsidRPr="000A408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0232D" w:rsidRPr="00222C1D" w:rsidRDefault="00184264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="0040232D" w:rsidRPr="00222C1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sygnalne. Wyniki finan</w:t>
                              </w:r>
                              <w:r w:rsidR="009E004E" w:rsidRPr="00222C1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sowe towarzystw funduszy inwestycyjnych</w:t>
                              </w:r>
                              <w:r w:rsidR="0040232D" w:rsidRPr="00222C1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.</w:t>
                              </w:r>
                            </w:hyperlink>
                          </w:p>
                          <w:p w:rsidR="0040232D" w:rsidRDefault="0040232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40232D" w:rsidRPr="000A4081" w:rsidRDefault="0040232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A408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0232D" w:rsidRPr="00766E54" w:rsidRDefault="00184264" w:rsidP="005D14B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40232D" w:rsidRPr="00766E5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:rsidR="0040232D" w:rsidRPr="000A4081" w:rsidRDefault="0040232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40232D" w:rsidRDefault="0040232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0232D" w:rsidRPr="00766E54" w:rsidRDefault="0018426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40232D" w:rsidRPr="00766E5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Fundusz Inwestycyjny</w:t>
                              </w:r>
                            </w:hyperlink>
                          </w:p>
                          <w:p w:rsidR="0040232D" w:rsidRPr="00766E54" w:rsidRDefault="0018426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40232D" w:rsidRPr="00766E5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Towarzystwo Funduszy Inwestycyjnych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.5pt;margin-top:33.5pt;width:516.5pt;height:234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" fillcolor="#f2f2f2 [3052]" strokecolor="white [3212]">
                <v:textbox>
                  <w:txbxContent>
                    <w:p w:rsidR="0040232D" w:rsidRPr="00766E54" w:rsidRDefault="0040232D" w:rsidP="00F25976">
                      <w:pPr>
                        <w:rPr>
                          <w:b/>
                          <w:color w:val="001D77"/>
                        </w:rPr>
                      </w:pPr>
                      <w:r w:rsidRPr="000A4081">
                        <w:rPr>
                          <w:b/>
                        </w:rPr>
                        <w:t>Powiązane opracowania</w:t>
                      </w:r>
                    </w:p>
                    <w:p w:rsidR="0040232D" w:rsidRPr="00222C1D" w:rsidRDefault="00184264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24" w:history="1">
                        <w:r w:rsidR="0040232D" w:rsidRPr="00222C1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sygnalne. Wyniki finan</w:t>
                        </w:r>
                        <w:r w:rsidR="009E004E" w:rsidRPr="00222C1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sowe towarzystw funduszy inwestycyjnych</w:t>
                        </w:r>
                        <w:r w:rsidR="0040232D" w:rsidRPr="00222C1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.</w:t>
                        </w:r>
                      </w:hyperlink>
                    </w:p>
                    <w:p w:rsidR="0040232D" w:rsidRDefault="0040232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40232D" w:rsidRPr="000A4081" w:rsidRDefault="0040232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A408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0232D" w:rsidRPr="00766E54" w:rsidRDefault="00184264" w:rsidP="005D14B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5" w:history="1">
                        <w:r w:rsidR="0040232D" w:rsidRPr="00766E5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:rsidR="0040232D" w:rsidRPr="000A4081" w:rsidRDefault="0040232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40232D" w:rsidRDefault="0040232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0232D" w:rsidRPr="00766E54" w:rsidRDefault="0018426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6" w:history="1">
                        <w:r w:rsidR="0040232D" w:rsidRPr="00766E5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Fundusz Inwestycyjny</w:t>
                        </w:r>
                      </w:hyperlink>
                    </w:p>
                    <w:p w:rsidR="0040232D" w:rsidRPr="00766E54" w:rsidRDefault="0018426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7" w:history="1">
                        <w:r w:rsidR="0040232D" w:rsidRPr="00766E5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Towarzystwo Funduszy Inwestycyjnych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264" w:rsidRDefault="00184264" w:rsidP="000662E2">
      <w:pPr>
        <w:spacing w:after="0" w:line="240" w:lineRule="auto"/>
      </w:pPr>
      <w:r>
        <w:separator/>
      </w:r>
    </w:p>
  </w:endnote>
  <w:endnote w:type="continuationSeparator" w:id="0">
    <w:p w:rsidR="00184264" w:rsidRDefault="0018426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0864908"/>
      <w:docPartObj>
        <w:docPartGallery w:val="Page Numbers (Bottom of Page)"/>
        <w:docPartUnique/>
      </w:docPartObj>
    </w:sdtPr>
    <w:sdtEndPr/>
    <w:sdtContent>
      <w:p w:rsidR="0040232D" w:rsidRDefault="001A7BA9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40232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805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4777727"/>
      <w:docPartObj>
        <w:docPartGallery w:val="Page Numbers (Bottom of Page)"/>
        <w:docPartUnique/>
      </w:docPartObj>
    </w:sdtPr>
    <w:sdtEndPr/>
    <w:sdtContent>
      <w:p w:rsidR="0040232D" w:rsidRDefault="001A7BA9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40232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805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32D" w:rsidRDefault="001A7BA9" w:rsidP="003B18B6">
    <w:pPr>
      <w:pStyle w:val="Stopka"/>
      <w:jc w:val="center"/>
    </w:pPr>
    <w:r>
      <w:rPr>
        <w:noProof/>
      </w:rPr>
      <w:fldChar w:fldCharType="begin"/>
    </w:r>
    <w:r w:rsidR="0040232D">
      <w:rPr>
        <w:noProof/>
      </w:rPr>
      <w:instrText>PAGE   \* MERGEFORMAT</w:instrText>
    </w:r>
    <w:r>
      <w:rPr>
        <w:noProof/>
      </w:rPr>
      <w:fldChar w:fldCharType="separate"/>
    </w:r>
    <w:r w:rsidR="003805AE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264" w:rsidRDefault="00184264" w:rsidP="000662E2">
      <w:pPr>
        <w:spacing w:after="0" w:line="240" w:lineRule="auto"/>
      </w:pPr>
      <w:r>
        <w:separator/>
      </w:r>
    </w:p>
  </w:footnote>
  <w:footnote w:type="continuationSeparator" w:id="0">
    <w:p w:rsidR="00184264" w:rsidRDefault="0018426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32D" w:rsidRDefault="00D644E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1F9BF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0232D" w:rsidRDefault="004023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32D" w:rsidRDefault="00D644E8" w:rsidP="004E177A">
    <w:pPr>
      <w:pStyle w:val="Nagwek"/>
      <w:tabs>
        <w:tab w:val="clear" w:pos="4536"/>
        <w:tab w:val="clear" w:pos="9072"/>
        <w:tab w:val="center" w:pos="4034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373380</wp:posOffset>
              </wp:positionV>
              <wp:extent cx="1871980" cy="20115530"/>
              <wp:effectExtent l="0" t="1270" r="444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D22199" id="Prostokąt 10" o:spid="_x0000_s1026" style="position:absolute;margin-left:411pt;margin-top:29.4pt;width:147.4pt;height:1583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" fillcolor="#f2f2f2" stroked="f" strokeweight="1pt"/>
          </w:pict>
        </mc:Fallback>
      </mc:AlternateContent>
    </w:r>
    <w:r w:rsidR="0040232D" w:rsidRPr="002442D5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6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0232D" w:rsidRPr="003C6C8D" w:rsidRDefault="0040232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0232D" w:rsidRPr="003C6C8D" w:rsidRDefault="0040232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4E177A">
      <w:rPr>
        <w:noProof/>
        <w:lang w:eastAsia="pl-PL"/>
      </w:rPr>
      <w:tab/>
    </w:r>
  </w:p>
  <w:p w:rsidR="0040232D" w:rsidRDefault="00D644E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232D" w:rsidRPr="00C97596" w:rsidRDefault="00731A4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</w:t>
                          </w:r>
                          <w:r w:rsidR="003561D3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2062C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7.2021</w:t>
                          </w:r>
                          <w:r w:rsidR="0040232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0232D" w:rsidRPr="00C97596" w:rsidRDefault="00731A4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</w:t>
                    </w:r>
                    <w:r w:rsidR="003561D3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2062C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7.2021</w:t>
                    </w:r>
                    <w:r w:rsidR="0040232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32D" w:rsidRDefault="0040232D">
    <w:pPr>
      <w:pStyle w:val="Nagwek"/>
    </w:pPr>
  </w:p>
  <w:p w:rsidR="0040232D" w:rsidRDefault="004023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pt;height:125.4pt;visibility:visible" o:bullet="t">
        <v:imagedata r:id="rId1" o:title=""/>
      </v:shape>
    </w:pict>
  </w:numPicBullet>
  <w:numPicBullet w:numPicBulletId="1">
    <w:pict>
      <v:shape id="_x0000_i1035" type="#_x0000_t75" style="width:123.6pt;height:125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3492533"/>
    <w:multiLevelType w:val="hybridMultilevel"/>
    <w:tmpl w:val="7CC89D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8E"/>
    <w:rsid w:val="0000709F"/>
    <w:rsid w:val="000108B8"/>
    <w:rsid w:val="00011C4E"/>
    <w:rsid w:val="00012153"/>
    <w:rsid w:val="000128E8"/>
    <w:rsid w:val="00012F09"/>
    <w:rsid w:val="000136CD"/>
    <w:rsid w:val="00013AB3"/>
    <w:rsid w:val="00013E5C"/>
    <w:rsid w:val="000152F5"/>
    <w:rsid w:val="00016955"/>
    <w:rsid w:val="0001745A"/>
    <w:rsid w:val="00017BF3"/>
    <w:rsid w:val="000200A8"/>
    <w:rsid w:val="00020F3A"/>
    <w:rsid w:val="0002237F"/>
    <w:rsid w:val="0002377E"/>
    <w:rsid w:val="0002673B"/>
    <w:rsid w:val="00027439"/>
    <w:rsid w:val="0003226B"/>
    <w:rsid w:val="0003375A"/>
    <w:rsid w:val="00034545"/>
    <w:rsid w:val="00035F24"/>
    <w:rsid w:val="00036113"/>
    <w:rsid w:val="0004374E"/>
    <w:rsid w:val="0004582E"/>
    <w:rsid w:val="000470AA"/>
    <w:rsid w:val="00047C61"/>
    <w:rsid w:val="00047E14"/>
    <w:rsid w:val="00050CB7"/>
    <w:rsid w:val="00053E26"/>
    <w:rsid w:val="00054442"/>
    <w:rsid w:val="000578A2"/>
    <w:rsid w:val="00057CA1"/>
    <w:rsid w:val="00060C89"/>
    <w:rsid w:val="00065308"/>
    <w:rsid w:val="000655DA"/>
    <w:rsid w:val="0006591D"/>
    <w:rsid w:val="000662E2"/>
    <w:rsid w:val="00066883"/>
    <w:rsid w:val="00072895"/>
    <w:rsid w:val="00074DD8"/>
    <w:rsid w:val="000806F7"/>
    <w:rsid w:val="00082C33"/>
    <w:rsid w:val="000853B8"/>
    <w:rsid w:val="0009054A"/>
    <w:rsid w:val="00091492"/>
    <w:rsid w:val="00091F15"/>
    <w:rsid w:val="00094B9D"/>
    <w:rsid w:val="00096424"/>
    <w:rsid w:val="000970C7"/>
    <w:rsid w:val="00097840"/>
    <w:rsid w:val="000A4081"/>
    <w:rsid w:val="000A51D9"/>
    <w:rsid w:val="000A6AA4"/>
    <w:rsid w:val="000B0727"/>
    <w:rsid w:val="000B09CE"/>
    <w:rsid w:val="000B1A34"/>
    <w:rsid w:val="000B2191"/>
    <w:rsid w:val="000B24D5"/>
    <w:rsid w:val="000B4242"/>
    <w:rsid w:val="000B45EF"/>
    <w:rsid w:val="000B47CF"/>
    <w:rsid w:val="000B6D09"/>
    <w:rsid w:val="000B7091"/>
    <w:rsid w:val="000B7D5D"/>
    <w:rsid w:val="000C00CA"/>
    <w:rsid w:val="000C0D18"/>
    <w:rsid w:val="000C135D"/>
    <w:rsid w:val="000C2F81"/>
    <w:rsid w:val="000C472B"/>
    <w:rsid w:val="000C6103"/>
    <w:rsid w:val="000D17AB"/>
    <w:rsid w:val="000D19E0"/>
    <w:rsid w:val="000D1D43"/>
    <w:rsid w:val="000D225C"/>
    <w:rsid w:val="000D23F0"/>
    <w:rsid w:val="000D25D6"/>
    <w:rsid w:val="000D2A5C"/>
    <w:rsid w:val="000D49DD"/>
    <w:rsid w:val="000D670C"/>
    <w:rsid w:val="000E0918"/>
    <w:rsid w:val="000E2515"/>
    <w:rsid w:val="000E3934"/>
    <w:rsid w:val="000E52D1"/>
    <w:rsid w:val="000F14E6"/>
    <w:rsid w:val="000F2A63"/>
    <w:rsid w:val="000F6DCD"/>
    <w:rsid w:val="00100CE3"/>
    <w:rsid w:val="001011C3"/>
    <w:rsid w:val="00105600"/>
    <w:rsid w:val="00106359"/>
    <w:rsid w:val="00110D87"/>
    <w:rsid w:val="00111B34"/>
    <w:rsid w:val="00112782"/>
    <w:rsid w:val="001128E4"/>
    <w:rsid w:val="00114446"/>
    <w:rsid w:val="00114DB9"/>
    <w:rsid w:val="001154E5"/>
    <w:rsid w:val="00116087"/>
    <w:rsid w:val="00116638"/>
    <w:rsid w:val="00117860"/>
    <w:rsid w:val="00120F7A"/>
    <w:rsid w:val="001222C8"/>
    <w:rsid w:val="001257D5"/>
    <w:rsid w:val="00125A1F"/>
    <w:rsid w:val="00127AAE"/>
    <w:rsid w:val="00130296"/>
    <w:rsid w:val="00130B04"/>
    <w:rsid w:val="00131D2F"/>
    <w:rsid w:val="00137DE0"/>
    <w:rsid w:val="001423B6"/>
    <w:rsid w:val="0014313E"/>
    <w:rsid w:val="001448A7"/>
    <w:rsid w:val="00145AB5"/>
    <w:rsid w:val="00146621"/>
    <w:rsid w:val="00153655"/>
    <w:rsid w:val="00155244"/>
    <w:rsid w:val="00155873"/>
    <w:rsid w:val="00155A96"/>
    <w:rsid w:val="001568E3"/>
    <w:rsid w:val="001622EB"/>
    <w:rsid w:val="00162325"/>
    <w:rsid w:val="001656C0"/>
    <w:rsid w:val="00165A8D"/>
    <w:rsid w:val="001700C7"/>
    <w:rsid w:val="00172AAF"/>
    <w:rsid w:val="00172C32"/>
    <w:rsid w:val="001765D3"/>
    <w:rsid w:val="0017728A"/>
    <w:rsid w:val="0017728B"/>
    <w:rsid w:val="00184264"/>
    <w:rsid w:val="00186C9A"/>
    <w:rsid w:val="00187706"/>
    <w:rsid w:val="00187D7A"/>
    <w:rsid w:val="00191E59"/>
    <w:rsid w:val="00194DFB"/>
    <w:rsid w:val="001951DA"/>
    <w:rsid w:val="0019592F"/>
    <w:rsid w:val="001969D6"/>
    <w:rsid w:val="001977A6"/>
    <w:rsid w:val="001A2408"/>
    <w:rsid w:val="001A3BCC"/>
    <w:rsid w:val="001A3D3F"/>
    <w:rsid w:val="001A4AE5"/>
    <w:rsid w:val="001A52EB"/>
    <w:rsid w:val="001A6F40"/>
    <w:rsid w:val="001A7BA9"/>
    <w:rsid w:val="001B39CB"/>
    <w:rsid w:val="001C0488"/>
    <w:rsid w:val="001C3269"/>
    <w:rsid w:val="001C63EF"/>
    <w:rsid w:val="001D1DB4"/>
    <w:rsid w:val="001D4ABE"/>
    <w:rsid w:val="001D6005"/>
    <w:rsid w:val="001D6723"/>
    <w:rsid w:val="001D6DAE"/>
    <w:rsid w:val="001E0053"/>
    <w:rsid w:val="001E0350"/>
    <w:rsid w:val="001F2837"/>
    <w:rsid w:val="001F304A"/>
    <w:rsid w:val="001F48C4"/>
    <w:rsid w:val="002059CC"/>
    <w:rsid w:val="00206261"/>
    <w:rsid w:val="002062A6"/>
    <w:rsid w:val="00206B56"/>
    <w:rsid w:val="00207405"/>
    <w:rsid w:val="00214A12"/>
    <w:rsid w:val="00214F2A"/>
    <w:rsid w:val="00215791"/>
    <w:rsid w:val="00216C45"/>
    <w:rsid w:val="00216D42"/>
    <w:rsid w:val="002174FF"/>
    <w:rsid w:val="0021786D"/>
    <w:rsid w:val="002229B3"/>
    <w:rsid w:val="00222C1D"/>
    <w:rsid w:val="0022316B"/>
    <w:rsid w:val="00226332"/>
    <w:rsid w:val="00226BCA"/>
    <w:rsid w:val="00230943"/>
    <w:rsid w:val="00232461"/>
    <w:rsid w:val="002346A4"/>
    <w:rsid w:val="0024127A"/>
    <w:rsid w:val="002442D5"/>
    <w:rsid w:val="00250153"/>
    <w:rsid w:val="00252D66"/>
    <w:rsid w:val="00253761"/>
    <w:rsid w:val="00256D94"/>
    <w:rsid w:val="002574F9"/>
    <w:rsid w:val="00261862"/>
    <w:rsid w:val="0026295B"/>
    <w:rsid w:val="00262B61"/>
    <w:rsid w:val="00267A43"/>
    <w:rsid w:val="002710D2"/>
    <w:rsid w:val="00271812"/>
    <w:rsid w:val="00272A86"/>
    <w:rsid w:val="00273838"/>
    <w:rsid w:val="0027397C"/>
    <w:rsid w:val="00274072"/>
    <w:rsid w:val="00276811"/>
    <w:rsid w:val="00276839"/>
    <w:rsid w:val="00281B24"/>
    <w:rsid w:val="00281BC4"/>
    <w:rsid w:val="00282699"/>
    <w:rsid w:val="00290C08"/>
    <w:rsid w:val="00291D9D"/>
    <w:rsid w:val="002926DF"/>
    <w:rsid w:val="002957D0"/>
    <w:rsid w:val="00296697"/>
    <w:rsid w:val="0029679E"/>
    <w:rsid w:val="00297345"/>
    <w:rsid w:val="002A0BC6"/>
    <w:rsid w:val="002A0E2C"/>
    <w:rsid w:val="002A266D"/>
    <w:rsid w:val="002A3CB3"/>
    <w:rsid w:val="002A6AD5"/>
    <w:rsid w:val="002B0472"/>
    <w:rsid w:val="002B0BE8"/>
    <w:rsid w:val="002B2E87"/>
    <w:rsid w:val="002B4E3B"/>
    <w:rsid w:val="002B63AC"/>
    <w:rsid w:val="002B6B12"/>
    <w:rsid w:val="002B6F2B"/>
    <w:rsid w:val="002C01D8"/>
    <w:rsid w:val="002C09C1"/>
    <w:rsid w:val="002C1B93"/>
    <w:rsid w:val="002C2F02"/>
    <w:rsid w:val="002C3C81"/>
    <w:rsid w:val="002C67CC"/>
    <w:rsid w:val="002D1C2F"/>
    <w:rsid w:val="002D5FAB"/>
    <w:rsid w:val="002D7144"/>
    <w:rsid w:val="002D7403"/>
    <w:rsid w:val="002E01AD"/>
    <w:rsid w:val="002E042C"/>
    <w:rsid w:val="002E299F"/>
    <w:rsid w:val="002E33D7"/>
    <w:rsid w:val="002E5C86"/>
    <w:rsid w:val="002E6140"/>
    <w:rsid w:val="002E6985"/>
    <w:rsid w:val="002E6ADF"/>
    <w:rsid w:val="002E71B6"/>
    <w:rsid w:val="002F00B0"/>
    <w:rsid w:val="002F0122"/>
    <w:rsid w:val="002F33E5"/>
    <w:rsid w:val="002F4064"/>
    <w:rsid w:val="002F468D"/>
    <w:rsid w:val="002F6FB4"/>
    <w:rsid w:val="002F7054"/>
    <w:rsid w:val="002F77C8"/>
    <w:rsid w:val="00300405"/>
    <w:rsid w:val="00304E49"/>
    <w:rsid w:val="00304F22"/>
    <w:rsid w:val="00304F2D"/>
    <w:rsid w:val="00305799"/>
    <w:rsid w:val="0030581F"/>
    <w:rsid w:val="00306C7C"/>
    <w:rsid w:val="00312F3C"/>
    <w:rsid w:val="003132A5"/>
    <w:rsid w:val="00315E84"/>
    <w:rsid w:val="003201F0"/>
    <w:rsid w:val="0032077B"/>
    <w:rsid w:val="00320E0F"/>
    <w:rsid w:val="00321A45"/>
    <w:rsid w:val="00322EDD"/>
    <w:rsid w:val="00330488"/>
    <w:rsid w:val="00330CD0"/>
    <w:rsid w:val="003311E7"/>
    <w:rsid w:val="00332320"/>
    <w:rsid w:val="00332C23"/>
    <w:rsid w:val="00332EAC"/>
    <w:rsid w:val="00337CC2"/>
    <w:rsid w:val="00337E65"/>
    <w:rsid w:val="003409BE"/>
    <w:rsid w:val="00341C5B"/>
    <w:rsid w:val="0034231D"/>
    <w:rsid w:val="00342EC3"/>
    <w:rsid w:val="00343BAA"/>
    <w:rsid w:val="00344A01"/>
    <w:rsid w:val="00347D72"/>
    <w:rsid w:val="00354E64"/>
    <w:rsid w:val="003561D3"/>
    <w:rsid w:val="00357611"/>
    <w:rsid w:val="0035764B"/>
    <w:rsid w:val="00360DE8"/>
    <w:rsid w:val="003616C1"/>
    <w:rsid w:val="003631A8"/>
    <w:rsid w:val="00363948"/>
    <w:rsid w:val="00364956"/>
    <w:rsid w:val="00365F40"/>
    <w:rsid w:val="00367237"/>
    <w:rsid w:val="0037077F"/>
    <w:rsid w:val="00372320"/>
    <w:rsid w:val="00372411"/>
    <w:rsid w:val="00373882"/>
    <w:rsid w:val="00373FC7"/>
    <w:rsid w:val="00374412"/>
    <w:rsid w:val="00377780"/>
    <w:rsid w:val="00377AD5"/>
    <w:rsid w:val="00377FA0"/>
    <w:rsid w:val="003805AE"/>
    <w:rsid w:val="0038064C"/>
    <w:rsid w:val="00382293"/>
    <w:rsid w:val="003832BA"/>
    <w:rsid w:val="003843DB"/>
    <w:rsid w:val="00385622"/>
    <w:rsid w:val="00385C33"/>
    <w:rsid w:val="00390566"/>
    <w:rsid w:val="00390633"/>
    <w:rsid w:val="00392024"/>
    <w:rsid w:val="00392D35"/>
    <w:rsid w:val="00393761"/>
    <w:rsid w:val="003938ED"/>
    <w:rsid w:val="003953A5"/>
    <w:rsid w:val="00397BCD"/>
    <w:rsid w:val="00397D18"/>
    <w:rsid w:val="003A0E70"/>
    <w:rsid w:val="003A1B36"/>
    <w:rsid w:val="003A5DE6"/>
    <w:rsid w:val="003B1454"/>
    <w:rsid w:val="003B18B6"/>
    <w:rsid w:val="003B2391"/>
    <w:rsid w:val="003B2EE1"/>
    <w:rsid w:val="003B42FF"/>
    <w:rsid w:val="003B509D"/>
    <w:rsid w:val="003B6605"/>
    <w:rsid w:val="003B7811"/>
    <w:rsid w:val="003C15D5"/>
    <w:rsid w:val="003C2132"/>
    <w:rsid w:val="003C364F"/>
    <w:rsid w:val="003C4624"/>
    <w:rsid w:val="003C59E0"/>
    <w:rsid w:val="003C6C8D"/>
    <w:rsid w:val="003D05ED"/>
    <w:rsid w:val="003D2027"/>
    <w:rsid w:val="003D388D"/>
    <w:rsid w:val="003D4F95"/>
    <w:rsid w:val="003D5F42"/>
    <w:rsid w:val="003D60A9"/>
    <w:rsid w:val="003E210B"/>
    <w:rsid w:val="003E24D5"/>
    <w:rsid w:val="003E53B2"/>
    <w:rsid w:val="003F0FD6"/>
    <w:rsid w:val="003F167E"/>
    <w:rsid w:val="003F1F4A"/>
    <w:rsid w:val="003F2CD5"/>
    <w:rsid w:val="003F4C97"/>
    <w:rsid w:val="003F7FE6"/>
    <w:rsid w:val="00400193"/>
    <w:rsid w:val="00400A20"/>
    <w:rsid w:val="0040232D"/>
    <w:rsid w:val="00404720"/>
    <w:rsid w:val="00406073"/>
    <w:rsid w:val="00406696"/>
    <w:rsid w:val="004113DB"/>
    <w:rsid w:val="00411F63"/>
    <w:rsid w:val="00413875"/>
    <w:rsid w:val="00415B69"/>
    <w:rsid w:val="0041685F"/>
    <w:rsid w:val="00416E70"/>
    <w:rsid w:val="00417B41"/>
    <w:rsid w:val="00420EE9"/>
    <w:rsid w:val="004212E7"/>
    <w:rsid w:val="00423574"/>
    <w:rsid w:val="0042446D"/>
    <w:rsid w:val="00426CE3"/>
    <w:rsid w:val="00427BF8"/>
    <w:rsid w:val="00427F2F"/>
    <w:rsid w:val="004302E9"/>
    <w:rsid w:val="00431C02"/>
    <w:rsid w:val="00437395"/>
    <w:rsid w:val="004410BE"/>
    <w:rsid w:val="0044280B"/>
    <w:rsid w:val="00443132"/>
    <w:rsid w:val="00445047"/>
    <w:rsid w:val="0045486D"/>
    <w:rsid w:val="0045551C"/>
    <w:rsid w:val="00460FFB"/>
    <w:rsid w:val="00463E39"/>
    <w:rsid w:val="0046454A"/>
    <w:rsid w:val="004652B1"/>
    <w:rsid w:val="004653FA"/>
    <w:rsid w:val="004657FC"/>
    <w:rsid w:val="00470626"/>
    <w:rsid w:val="00470922"/>
    <w:rsid w:val="00472FD1"/>
    <w:rsid w:val="004731FD"/>
    <w:rsid w:val="004733F6"/>
    <w:rsid w:val="00474E69"/>
    <w:rsid w:val="004752B6"/>
    <w:rsid w:val="00480390"/>
    <w:rsid w:val="00480774"/>
    <w:rsid w:val="00491E9C"/>
    <w:rsid w:val="0049370C"/>
    <w:rsid w:val="004938C3"/>
    <w:rsid w:val="004939BC"/>
    <w:rsid w:val="00493A0E"/>
    <w:rsid w:val="0049621B"/>
    <w:rsid w:val="004A04E7"/>
    <w:rsid w:val="004A155D"/>
    <w:rsid w:val="004A2572"/>
    <w:rsid w:val="004A3EE5"/>
    <w:rsid w:val="004A4566"/>
    <w:rsid w:val="004A4B0C"/>
    <w:rsid w:val="004A4F94"/>
    <w:rsid w:val="004A561C"/>
    <w:rsid w:val="004A6EFF"/>
    <w:rsid w:val="004B10CA"/>
    <w:rsid w:val="004B32CA"/>
    <w:rsid w:val="004B3C88"/>
    <w:rsid w:val="004B406B"/>
    <w:rsid w:val="004B416D"/>
    <w:rsid w:val="004B4795"/>
    <w:rsid w:val="004B7E4C"/>
    <w:rsid w:val="004C0546"/>
    <w:rsid w:val="004C1895"/>
    <w:rsid w:val="004C3833"/>
    <w:rsid w:val="004C39CD"/>
    <w:rsid w:val="004C594E"/>
    <w:rsid w:val="004C662F"/>
    <w:rsid w:val="004C66F1"/>
    <w:rsid w:val="004C6CCF"/>
    <w:rsid w:val="004C6D40"/>
    <w:rsid w:val="004C7671"/>
    <w:rsid w:val="004D2A2F"/>
    <w:rsid w:val="004D36E0"/>
    <w:rsid w:val="004D3A1D"/>
    <w:rsid w:val="004D47C8"/>
    <w:rsid w:val="004D7316"/>
    <w:rsid w:val="004E0792"/>
    <w:rsid w:val="004E177A"/>
    <w:rsid w:val="004E17F8"/>
    <w:rsid w:val="004E5469"/>
    <w:rsid w:val="004E7858"/>
    <w:rsid w:val="004E7F89"/>
    <w:rsid w:val="004F0746"/>
    <w:rsid w:val="004F0C3C"/>
    <w:rsid w:val="004F0EB5"/>
    <w:rsid w:val="004F111D"/>
    <w:rsid w:val="004F20AB"/>
    <w:rsid w:val="004F2B1A"/>
    <w:rsid w:val="004F2D5D"/>
    <w:rsid w:val="004F3D0A"/>
    <w:rsid w:val="004F450D"/>
    <w:rsid w:val="004F5B1B"/>
    <w:rsid w:val="004F63FC"/>
    <w:rsid w:val="00501638"/>
    <w:rsid w:val="00504341"/>
    <w:rsid w:val="00505A92"/>
    <w:rsid w:val="00507E20"/>
    <w:rsid w:val="00512A46"/>
    <w:rsid w:val="0051367E"/>
    <w:rsid w:val="005203F1"/>
    <w:rsid w:val="005209CB"/>
    <w:rsid w:val="00521BC3"/>
    <w:rsid w:val="005240E2"/>
    <w:rsid w:val="0052468E"/>
    <w:rsid w:val="005278FB"/>
    <w:rsid w:val="0053170A"/>
    <w:rsid w:val="0053177E"/>
    <w:rsid w:val="00533632"/>
    <w:rsid w:val="00534CC1"/>
    <w:rsid w:val="00536022"/>
    <w:rsid w:val="00540CC6"/>
    <w:rsid w:val="00541E6E"/>
    <w:rsid w:val="0054251F"/>
    <w:rsid w:val="00544A60"/>
    <w:rsid w:val="00544FC0"/>
    <w:rsid w:val="00545EB7"/>
    <w:rsid w:val="00547E8A"/>
    <w:rsid w:val="005511D2"/>
    <w:rsid w:val="005520D8"/>
    <w:rsid w:val="005544D6"/>
    <w:rsid w:val="005553A4"/>
    <w:rsid w:val="00556CF1"/>
    <w:rsid w:val="005579EB"/>
    <w:rsid w:val="00562DAA"/>
    <w:rsid w:val="00563D8D"/>
    <w:rsid w:val="00566578"/>
    <w:rsid w:val="00566F50"/>
    <w:rsid w:val="005676F2"/>
    <w:rsid w:val="00572D52"/>
    <w:rsid w:val="005738CC"/>
    <w:rsid w:val="00574EA3"/>
    <w:rsid w:val="0057571D"/>
    <w:rsid w:val="00575C1E"/>
    <w:rsid w:val="005762A7"/>
    <w:rsid w:val="0058354A"/>
    <w:rsid w:val="005916D7"/>
    <w:rsid w:val="00591F59"/>
    <w:rsid w:val="0059366D"/>
    <w:rsid w:val="005936C4"/>
    <w:rsid w:val="005941F7"/>
    <w:rsid w:val="00595233"/>
    <w:rsid w:val="005979C2"/>
    <w:rsid w:val="005A2CC2"/>
    <w:rsid w:val="005A48CE"/>
    <w:rsid w:val="005A698C"/>
    <w:rsid w:val="005A7921"/>
    <w:rsid w:val="005B2416"/>
    <w:rsid w:val="005B4388"/>
    <w:rsid w:val="005B4AD9"/>
    <w:rsid w:val="005B4C37"/>
    <w:rsid w:val="005B645C"/>
    <w:rsid w:val="005C1D02"/>
    <w:rsid w:val="005C3021"/>
    <w:rsid w:val="005C5AAE"/>
    <w:rsid w:val="005C6135"/>
    <w:rsid w:val="005C7C8C"/>
    <w:rsid w:val="005D14B0"/>
    <w:rsid w:val="005D3F15"/>
    <w:rsid w:val="005D6823"/>
    <w:rsid w:val="005E0799"/>
    <w:rsid w:val="005E307F"/>
    <w:rsid w:val="005E331F"/>
    <w:rsid w:val="005E3A55"/>
    <w:rsid w:val="005E50FA"/>
    <w:rsid w:val="005F10D5"/>
    <w:rsid w:val="005F36A3"/>
    <w:rsid w:val="005F5A80"/>
    <w:rsid w:val="005F6E56"/>
    <w:rsid w:val="006013EB"/>
    <w:rsid w:val="00602EC8"/>
    <w:rsid w:val="006044FF"/>
    <w:rsid w:val="00606467"/>
    <w:rsid w:val="00606605"/>
    <w:rsid w:val="00607CC5"/>
    <w:rsid w:val="006100E2"/>
    <w:rsid w:val="00610400"/>
    <w:rsid w:val="00611210"/>
    <w:rsid w:val="006112F2"/>
    <w:rsid w:val="00611B56"/>
    <w:rsid w:val="00613D89"/>
    <w:rsid w:val="00614534"/>
    <w:rsid w:val="00615088"/>
    <w:rsid w:val="006164E8"/>
    <w:rsid w:val="00620CBB"/>
    <w:rsid w:val="00620F2A"/>
    <w:rsid w:val="00623516"/>
    <w:rsid w:val="00632293"/>
    <w:rsid w:val="00633014"/>
    <w:rsid w:val="006337FA"/>
    <w:rsid w:val="0063437B"/>
    <w:rsid w:val="00634415"/>
    <w:rsid w:val="00636F96"/>
    <w:rsid w:val="006429F4"/>
    <w:rsid w:val="00644BCF"/>
    <w:rsid w:val="006453B1"/>
    <w:rsid w:val="00650FA9"/>
    <w:rsid w:val="00654762"/>
    <w:rsid w:val="00656E04"/>
    <w:rsid w:val="0066180C"/>
    <w:rsid w:val="00662889"/>
    <w:rsid w:val="006673CA"/>
    <w:rsid w:val="00673C26"/>
    <w:rsid w:val="00674169"/>
    <w:rsid w:val="00680ACB"/>
    <w:rsid w:val="006812AF"/>
    <w:rsid w:val="00681C09"/>
    <w:rsid w:val="0068268D"/>
    <w:rsid w:val="00682D89"/>
    <w:rsid w:val="0068327D"/>
    <w:rsid w:val="00684617"/>
    <w:rsid w:val="00687806"/>
    <w:rsid w:val="006924D2"/>
    <w:rsid w:val="00693E39"/>
    <w:rsid w:val="00693F5C"/>
    <w:rsid w:val="00694AF0"/>
    <w:rsid w:val="006966CE"/>
    <w:rsid w:val="00696765"/>
    <w:rsid w:val="006A210A"/>
    <w:rsid w:val="006A2D0A"/>
    <w:rsid w:val="006A3168"/>
    <w:rsid w:val="006A4686"/>
    <w:rsid w:val="006A6B89"/>
    <w:rsid w:val="006B0E9E"/>
    <w:rsid w:val="006B122A"/>
    <w:rsid w:val="006B48ED"/>
    <w:rsid w:val="006B5AE4"/>
    <w:rsid w:val="006B5C09"/>
    <w:rsid w:val="006C53A5"/>
    <w:rsid w:val="006C6CB9"/>
    <w:rsid w:val="006C74EF"/>
    <w:rsid w:val="006D1507"/>
    <w:rsid w:val="006D4054"/>
    <w:rsid w:val="006D4585"/>
    <w:rsid w:val="006D5384"/>
    <w:rsid w:val="006D6FBE"/>
    <w:rsid w:val="006E02EC"/>
    <w:rsid w:val="006E4E0E"/>
    <w:rsid w:val="006F13A1"/>
    <w:rsid w:val="006F16BA"/>
    <w:rsid w:val="006F4DAF"/>
    <w:rsid w:val="006F583C"/>
    <w:rsid w:val="006F7FF7"/>
    <w:rsid w:val="00700EEA"/>
    <w:rsid w:val="0070642E"/>
    <w:rsid w:val="00706C0B"/>
    <w:rsid w:val="00711637"/>
    <w:rsid w:val="0071390E"/>
    <w:rsid w:val="007211B1"/>
    <w:rsid w:val="007244A4"/>
    <w:rsid w:val="0072493E"/>
    <w:rsid w:val="00731A41"/>
    <w:rsid w:val="00731F42"/>
    <w:rsid w:val="00736C64"/>
    <w:rsid w:val="0074305F"/>
    <w:rsid w:val="00746187"/>
    <w:rsid w:val="00746760"/>
    <w:rsid w:val="00755B7D"/>
    <w:rsid w:val="007604AE"/>
    <w:rsid w:val="00761647"/>
    <w:rsid w:val="00762443"/>
    <w:rsid w:val="0076254F"/>
    <w:rsid w:val="00762C14"/>
    <w:rsid w:val="00763BC2"/>
    <w:rsid w:val="00764E2A"/>
    <w:rsid w:val="00766E54"/>
    <w:rsid w:val="007738B5"/>
    <w:rsid w:val="00774052"/>
    <w:rsid w:val="00775B09"/>
    <w:rsid w:val="0077644F"/>
    <w:rsid w:val="007773FB"/>
    <w:rsid w:val="007801F5"/>
    <w:rsid w:val="0078183C"/>
    <w:rsid w:val="007834B8"/>
    <w:rsid w:val="00783CA4"/>
    <w:rsid w:val="007842FB"/>
    <w:rsid w:val="0078532B"/>
    <w:rsid w:val="0078596A"/>
    <w:rsid w:val="00786124"/>
    <w:rsid w:val="007871FE"/>
    <w:rsid w:val="00790992"/>
    <w:rsid w:val="0079105A"/>
    <w:rsid w:val="00793C23"/>
    <w:rsid w:val="0079472D"/>
    <w:rsid w:val="0079514B"/>
    <w:rsid w:val="00795D94"/>
    <w:rsid w:val="007A0155"/>
    <w:rsid w:val="007A245B"/>
    <w:rsid w:val="007A2613"/>
    <w:rsid w:val="007A2DC1"/>
    <w:rsid w:val="007A5775"/>
    <w:rsid w:val="007A6B17"/>
    <w:rsid w:val="007B4ACB"/>
    <w:rsid w:val="007B583A"/>
    <w:rsid w:val="007B6D65"/>
    <w:rsid w:val="007C04DD"/>
    <w:rsid w:val="007C33B3"/>
    <w:rsid w:val="007C39D1"/>
    <w:rsid w:val="007C42BD"/>
    <w:rsid w:val="007C7EA9"/>
    <w:rsid w:val="007C7F88"/>
    <w:rsid w:val="007D2453"/>
    <w:rsid w:val="007D3319"/>
    <w:rsid w:val="007D335D"/>
    <w:rsid w:val="007E16E9"/>
    <w:rsid w:val="007E2C33"/>
    <w:rsid w:val="007E3314"/>
    <w:rsid w:val="007E4A45"/>
    <w:rsid w:val="007E4B03"/>
    <w:rsid w:val="007F0670"/>
    <w:rsid w:val="007F14BA"/>
    <w:rsid w:val="007F28C0"/>
    <w:rsid w:val="007F324B"/>
    <w:rsid w:val="007F5637"/>
    <w:rsid w:val="007F78ED"/>
    <w:rsid w:val="008004B6"/>
    <w:rsid w:val="00800583"/>
    <w:rsid w:val="0080410D"/>
    <w:rsid w:val="0080553C"/>
    <w:rsid w:val="008058B3"/>
    <w:rsid w:val="00805B46"/>
    <w:rsid w:val="00810D58"/>
    <w:rsid w:val="008112B2"/>
    <w:rsid w:val="008177B7"/>
    <w:rsid w:val="0082142D"/>
    <w:rsid w:val="0082212A"/>
    <w:rsid w:val="00823503"/>
    <w:rsid w:val="00825DC2"/>
    <w:rsid w:val="00826169"/>
    <w:rsid w:val="00832467"/>
    <w:rsid w:val="008337A4"/>
    <w:rsid w:val="00834AD3"/>
    <w:rsid w:val="00836F2A"/>
    <w:rsid w:val="00840030"/>
    <w:rsid w:val="008402E9"/>
    <w:rsid w:val="00840B7F"/>
    <w:rsid w:val="00841715"/>
    <w:rsid w:val="00843795"/>
    <w:rsid w:val="00845637"/>
    <w:rsid w:val="0084584A"/>
    <w:rsid w:val="00847F0F"/>
    <w:rsid w:val="00850EBF"/>
    <w:rsid w:val="00852448"/>
    <w:rsid w:val="00854E11"/>
    <w:rsid w:val="008560D4"/>
    <w:rsid w:val="00857FA7"/>
    <w:rsid w:val="00861BC1"/>
    <w:rsid w:val="00863005"/>
    <w:rsid w:val="00864F9F"/>
    <w:rsid w:val="00870B55"/>
    <w:rsid w:val="00870FC5"/>
    <w:rsid w:val="00873659"/>
    <w:rsid w:val="008759FD"/>
    <w:rsid w:val="008800FB"/>
    <w:rsid w:val="00881816"/>
    <w:rsid w:val="0088258A"/>
    <w:rsid w:val="00883EE7"/>
    <w:rsid w:val="008844A6"/>
    <w:rsid w:val="00886332"/>
    <w:rsid w:val="008921D7"/>
    <w:rsid w:val="00893D1A"/>
    <w:rsid w:val="00897778"/>
    <w:rsid w:val="008A031C"/>
    <w:rsid w:val="008A10EE"/>
    <w:rsid w:val="008A17A7"/>
    <w:rsid w:val="008A26D9"/>
    <w:rsid w:val="008A3F5A"/>
    <w:rsid w:val="008A5E2D"/>
    <w:rsid w:val="008A698E"/>
    <w:rsid w:val="008B19EB"/>
    <w:rsid w:val="008B38F9"/>
    <w:rsid w:val="008B3F6A"/>
    <w:rsid w:val="008B5489"/>
    <w:rsid w:val="008B7EFE"/>
    <w:rsid w:val="008C00A0"/>
    <w:rsid w:val="008C0841"/>
    <w:rsid w:val="008C0C29"/>
    <w:rsid w:val="008C264C"/>
    <w:rsid w:val="008C2D05"/>
    <w:rsid w:val="008C4517"/>
    <w:rsid w:val="008C5145"/>
    <w:rsid w:val="008C6BC0"/>
    <w:rsid w:val="008C6CD3"/>
    <w:rsid w:val="008D05EF"/>
    <w:rsid w:val="008D2F46"/>
    <w:rsid w:val="008D3DBD"/>
    <w:rsid w:val="008D4206"/>
    <w:rsid w:val="008D6CAD"/>
    <w:rsid w:val="008D772A"/>
    <w:rsid w:val="008E0984"/>
    <w:rsid w:val="008E31D9"/>
    <w:rsid w:val="008E5251"/>
    <w:rsid w:val="008F1A4D"/>
    <w:rsid w:val="008F248A"/>
    <w:rsid w:val="008F2E54"/>
    <w:rsid w:val="008F3638"/>
    <w:rsid w:val="008F4441"/>
    <w:rsid w:val="008F4B44"/>
    <w:rsid w:val="008F6E53"/>
    <w:rsid w:val="008F6F31"/>
    <w:rsid w:val="008F7307"/>
    <w:rsid w:val="008F74DF"/>
    <w:rsid w:val="0090267C"/>
    <w:rsid w:val="00910E68"/>
    <w:rsid w:val="009112A9"/>
    <w:rsid w:val="009127BA"/>
    <w:rsid w:val="00915034"/>
    <w:rsid w:val="00917FCE"/>
    <w:rsid w:val="009227A6"/>
    <w:rsid w:val="00922DB9"/>
    <w:rsid w:val="00923BBB"/>
    <w:rsid w:val="00927DE8"/>
    <w:rsid w:val="00933EC1"/>
    <w:rsid w:val="00934EC7"/>
    <w:rsid w:val="009429A2"/>
    <w:rsid w:val="009438D0"/>
    <w:rsid w:val="0094486C"/>
    <w:rsid w:val="009464C4"/>
    <w:rsid w:val="009511F0"/>
    <w:rsid w:val="009530DB"/>
    <w:rsid w:val="00953519"/>
    <w:rsid w:val="00953676"/>
    <w:rsid w:val="00955195"/>
    <w:rsid w:val="0095545E"/>
    <w:rsid w:val="00962027"/>
    <w:rsid w:val="00962DCB"/>
    <w:rsid w:val="009646F0"/>
    <w:rsid w:val="0096756D"/>
    <w:rsid w:val="00967C8F"/>
    <w:rsid w:val="00970442"/>
    <w:rsid w:val="009705EE"/>
    <w:rsid w:val="00970D75"/>
    <w:rsid w:val="009711F5"/>
    <w:rsid w:val="00972AFC"/>
    <w:rsid w:val="00973AFF"/>
    <w:rsid w:val="00974707"/>
    <w:rsid w:val="009751C2"/>
    <w:rsid w:val="00977927"/>
    <w:rsid w:val="009809DA"/>
    <w:rsid w:val="00981125"/>
    <w:rsid w:val="0098135C"/>
    <w:rsid w:val="0098156A"/>
    <w:rsid w:val="00982546"/>
    <w:rsid w:val="009855D4"/>
    <w:rsid w:val="00991621"/>
    <w:rsid w:val="00991BAC"/>
    <w:rsid w:val="00996239"/>
    <w:rsid w:val="0099722B"/>
    <w:rsid w:val="00997AF7"/>
    <w:rsid w:val="009A0646"/>
    <w:rsid w:val="009A1D8D"/>
    <w:rsid w:val="009A3D0F"/>
    <w:rsid w:val="009A5580"/>
    <w:rsid w:val="009A6EA0"/>
    <w:rsid w:val="009A6F97"/>
    <w:rsid w:val="009A79F0"/>
    <w:rsid w:val="009B085A"/>
    <w:rsid w:val="009B4E78"/>
    <w:rsid w:val="009C0E6F"/>
    <w:rsid w:val="009C1335"/>
    <w:rsid w:val="009C16A0"/>
    <w:rsid w:val="009C1AB2"/>
    <w:rsid w:val="009C1DB3"/>
    <w:rsid w:val="009C42BB"/>
    <w:rsid w:val="009C50B1"/>
    <w:rsid w:val="009C527D"/>
    <w:rsid w:val="009C7251"/>
    <w:rsid w:val="009D1692"/>
    <w:rsid w:val="009D23B7"/>
    <w:rsid w:val="009D5100"/>
    <w:rsid w:val="009E004E"/>
    <w:rsid w:val="009E0A81"/>
    <w:rsid w:val="009E1EFA"/>
    <w:rsid w:val="009E25C8"/>
    <w:rsid w:val="009E2E91"/>
    <w:rsid w:val="009E3614"/>
    <w:rsid w:val="009F04D5"/>
    <w:rsid w:val="009F27D6"/>
    <w:rsid w:val="009F356B"/>
    <w:rsid w:val="009F4627"/>
    <w:rsid w:val="009F59D6"/>
    <w:rsid w:val="00A03A60"/>
    <w:rsid w:val="00A12B88"/>
    <w:rsid w:val="00A139F5"/>
    <w:rsid w:val="00A13AFF"/>
    <w:rsid w:val="00A21C8A"/>
    <w:rsid w:val="00A23D59"/>
    <w:rsid w:val="00A23EC0"/>
    <w:rsid w:val="00A26C66"/>
    <w:rsid w:val="00A27A8F"/>
    <w:rsid w:val="00A3019B"/>
    <w:rsid w:val="00A3518B"/>
    <w:rsid w:val="00A35411"/>
    <w:rsid w:val="00A363E6"/>
    <w:rsid w:val="00A365F4"/>
    <w:rsid w:val="00A369C5"/>
    <w:rsid w:val="00A400EC"/>
    <w:rsid w:val="00A404D7"/>
    <w:rsid w:val="00A46817"/>
    <w:rsid w:val="00A47D80"/>
    <w:rsid w:val="00A506CE"/>
    <w:rsid w:val="00A52880"/>
    <w:rsid w:val="00A5299E"/>
    <w:rsid w:val="00A53132"/>
    <w:rsid w:val="00A533E6"/>
    <w:rsid w:val="00A5355A"/>
    <w:rsid w:val="00A53703"/>
    <w:rsid w:val="00A563F2"/>
    <w:rsid w:val="00A566E8"/>
    <w:rsid w:val="00A57106"/>
    <w:rsid w:val="00A5724A"/>
    <w:rsid w:val="00A614AB"/>
    <w:rsid w:val="00A6162C"/>
    <w:rsid w:val="00A61F64"/>
    <w:rsid w:val="00A749B7"/>
    <w:rsid w:val="00A810F9"/>
    <w:rsid w:val="00A8212F"/>
    <w:rsid w:val="00A86ECC"/>
    <w:rsid w:val="00A86FCC"/>
    <w:rsid w:val="00A90281"/>
    <w:rsid w:val="00A9552E"/>
    <w:rsid w:val="00A959CA"/>
    <w:rsid w:val="00A960C3"/>
    <w:rsid w:val="00AA0FFC"/>
    <w:rsid w:val="00AA12DB"/>
    <w:rsid w:val="00AA1B06"/>
    <w:rsid w:val="00AA2832"/>
    <w:rsid w:val="00AA5B39"/>
    <w:rsid w:val="00AA710D"/>
    <w:rsid w:val="00AB0FC7"/>
    <w:rsid w:val="00AB1747"/>
    <w:rsid w:val="00AB2BA3"/>
    <w:rsid w:val="00AB329A"/>
    <w:rsid w:val="00AB4312"/>
    <w:rsid w:val="00AB6AEB"/>
    <w:rsid w:val="00AB6D25"/>
    <w:rsid w:val="00AC023F"/>
    <w:rsid w:val="00AC309E"/>
    <w:rsid w:val="00AD444D"/>
    <w:rsid w:val="00AD506A"/>
    <w:rsid w:val="00AD5D19"/>
    <w:rsid w:val="00AD5EA8"/>
    <w:rsid w:val="00AE0B88"/>
    <w:rsid w:val="00AE1514"/>
    <w:rsid w:val="00AE2D4B"/>
    <w:rsid w:val="00AE2F97"/>
    <w:rsid w:val="00AE384F"/>
    <w:rsid w:val="00AE485C"/>
    <w:rsid w:val="00AE4F99"/>
    <w:rsid w:val="00AE53C3"/>
    <w:rsid w:val="00AE6AC5"/>
    <w:rsid w:val="00AE78D1"/>
    <w:rsid w:val="00AF1B49"/>
    <w:rsid w:val="00AF4E19"/>
    <w:rsid w:val="00AF5E24"/>
    <w:rsid w:val="00AF719A"/>
    <w:rsid w:val="00B0006D"/>
    <w:rsid w:val="00B0080E"/>
    <w:rsid w:val="00B04114"/>
    <w:rsid w:val="00B11B69"/>
    <w:rsid w:val="00B14952"/>
    <w:rsid w:val="00B17158"/>
    <w:rsid w:val="00B233BF"/>
    <w:rsid w:val="00B27C83"/>
    <w:rsid w:val="00B30A24"/>
    <w:rsid w:val="00B31E5A"/>
    <w:rsid w:val="00B349C1"/>
    <w:rsid w:val="00B37224"/>
    <w:rsid w:val="00B440FE"/>
    <w:rsid w:val="00B44C06"/>
    <w:rsid w:val="00B51472"/>
    <w:rsid w:val="00B54129"/>
    <w:rsid w:val="00B5622F"/>
    <w:rsid w:val="00B5702F"/>
    <w:rsid w:val="00B60039"/>
    <w:rsid w:val="00B61498"/>
    <w:rsid w:val="00B618C5"/>
    <w:rsid w:val="00B61A77"/>
    <w:rsid w:val="00B62159"/>
    <w:rsid w:val="00B653AB"/>
    <w:rsid w:val="00B65F9E"/>
    <w:rsid w:val="00B66B19"/>
    <w:rsid w:val="00B71CA4"/>
    <w:rsid w:val="00B7273F"/>
    <w:rsid w:val="00B80C6D"/>
    <w:rsid w:val="00B82634"/>
    <w:rsid w:val="00B83B7D"/>
    <w:rsid w:val="00B914E9"/>
    <w:rsid w:val="00B94E11"/>
    <w:rsid w:val="00B956EE"/>
    <w:rsid w:val="00B95CEF"/>
    <w:rsid w:val="00B95F8F"/>
    <w:rsid w:val="00B977DD"/>
    <w:rsid w:val="00BA2BA1"/>
    <w:rsid w:val="00BA3562"/>
    <w:rsid w:val="00BA39B6"/>
    <w:rsid w:val="00BA3E54"/>
    <w:rsid w:val="00BA66E4"/>
    <w:rsid w:val="00BA67A6"/>
    <w:rsid w:val="00BB315E"/>
    <w:rsid w:val="00BB4F09"/>
    <w:rsid w:val="00BB606C"/>
    <w:rsid w:val="00BC0E57"/>
    <w:rsid w:val="00BC1D6C"/>
    <w:rsid w:val="00BC243A"/>
    <w:rsid w:val="00BC2B8B"/>
    <w:rsid w:val="00BD097C"/>
    <w:rsid w:val="00BD20CC"/>
    <w:rsid w:val="00BD3691"/>
    <w:rsid w:val="00BD38E3"/>
    <w:rsid w:val="00BD43FD"/>
    <w:rsid w:val="00BD4E33"/>
    <w:rsid w:val="00BD601D"/>
    <w:rsid w:val="00BE3C36"/>
    <w:rsid w:val="00BE51A4"/>
    <w:rsid w:val="00BE6260"/>
    <w:rsid w:val="00BE6622"/>
    <w:rsid w:val="00BE684D"/>
    <w:rsid w:val="00BF1E1B"/>
    <w:rsid w:val="00BF32A1"/>
    <w:rsid w:val="00BF4D8E"/>
    <w:rsid w:val="00BF65C3"/>
    <w:rsid w:val="00C00BB8"/>
    <w:rsid w:val="00C00FA8"/>
    <w:rsid w:val="00C01503"/>
    <w:rsid w:val="00C02FC3"/>
    <w:rsid w:val="00C030DE"/>
    <w:rsid w:val="00C064E1"/>
    <w:rsid w:val="00C067CE"/>
    <w:rsid w:val="00C10867"/>
    <w:rsid w:val="00C11A8A"/>
    <w:rsid w:val="00C13855"/>
    <w:rsid w:val="00C139F6"/>
    <w:rsid w:val="00C1646D"/>
    <w:rsid w:val="00C22105"/>
    <w:rsid w:val="00C244B6"/>
    <w:rsid w:val="00C26439"/>
    <w:rsid w:val="00C279F2"/>
    <w:rsid w:val="00C30E4E"/>
    <w:rsid w:val="00C3118A"/>
    <w:rsid w:val="00C31691"/>
    <w:rsid w:val="00C33721"/>
    <w:rsid w:val="00C358FC"/>
    <w:rsid w:val="00C3702F"/>
    <w:rsid w:val="00C4383D"/>
    <w:rsid w:val="00C4500A"/>
    <w:rsid w:val="00C52B29"/>
    <w:rsid w:val="00C530ED"/>
    <w:rsid w:val="00C56BA9"/>
    <w:rsid w:val="00C57563"/>
    <w:rsid w:val="00C6271D"/>
    <w:rsid w:val="00C63B5E"/>
    <w:rsid w:val="00C63D61"/>
    <w:rsid w:val="00C641E0"/>
    <w:rsid w:val="00C64A37"/>
    <w:rsid w:val="00C7158E"/>
    <w:rsid w:val="00C7250B"/>
    <w:rsid w:val="00C7346B"/>
    <w:rsid w:val="00C75769"/>
    <w:rsid w:val="00C757B8"/>
    <w:rsid w:val="00C77C0E"/>
    <w:rsid w:val="00C80120"/>
    <w:rsid w:val="00C80B4B"/>
    <w:rsid w:val="00C81C3B"/>
    <w:rsid w:val="00C82D42"/>
    <w:rsid w:val="00C835A2"/>
    <w:rsid w:val="00C839CC"/>
    <w:rsid w:val="00C83ED1"/>
    <w:rsid w:val="00C8489D"/>
    <w:rsid w:val="00C84B39"/>
    <w:rsid w:val="00C84C99"/>
    <w:rsid w:val="00C8773F"/>
    <w:rsid w:val="00C87FE8"/>
    <w:rsid w:val="00C908F9"/>
    <w:rsid w:val="00C91687"/>
    <w:rsid w:val="00C921AF"/>
    <w:rsid w:val="00C924A8"/>
    <w:rsid w:val="00C92F09"/>
    <w:rsid w:val="00C93177"/>
    <w:rsid w:val="00C945FE"/>
    <w:rsid w:val="00C94C47"/>
    <w:rsid w:val="00C965E2"/>
    <w:rsid w:val="00C96B7B"/>
    <w:rsid w:val="00C96FAA"/>
    <w:rsid w:val="00C97A04"/>
    <w:rsid w:val="00CA107B"/>
    <w:rsid w:val="00CA20F9"/>
    <w:rsid w:val="00CA484D"/>
    <w:rsid w:val="00CA4FB6"/>
    <w:rsid w:val="00CB1646"/>
    <w:rsid w:val="00CB4829"/>
    <w:rsid w:val="00CB5CC0"/>
    <w:rsid w:val="00CC0890"/>
    <w:rsid w:val="00CC2821"/>
    <w:rsid w:val="00CC5B5E"/>
    <w:rsid w:val="00CC6A79"/>
    <w:rsid w:val="00CC6EF4"/>
    <w:rsid w:val="00CC739E"/>
    <w:rsid w:val="00CD1BB3"/>
    <w:rsid w:val="00CD2203"/>
    <w:rsid w:val="00CD58B7"/>
    <w:rsid w:val="00CD5C04"/>
    <w:rsid w:val="00CE05BE"/>
    <w:rsid w:val="00CE2908"/>
    <w:rsid w:val="00CE2CF8"/>
    <w:rsid w:val="00CE54BB"/>
    <w:rsid w:val="00CF07BE"/>
    <w:rsid w:val="00CF232E"/>
    <w:rsid w:val="00CF3700"/>
    <w:rsid w:val="00CF4099"/>
    <w:rsid w:val="00CF592D"/>
    <w:rsid w:val="00CF5988"/>
    <w:rsid w:val="00CF5F01"/>
    <w:rsid w:val="00CF65B2"/>
    <w:rsid w:val="00D005CA"/>
    <w:rsid w:val="00D00796"/>
    <w:rsid w:val="00D04C42"/>
    <w:rsid w:val="00D11E50"/>
    <w:rsid w:val="00D11F25"/>
    <w:rsid w:val="00D127F2"/>
    <w:rsid w:val="00D2146C"/>
    <w:rsid w:val="00D21705"/>
    <w:rsid w:val="00D220D3"/>
    <w:rsid w:val="00D22E49"/>
    <w:rsid w:val="00D233B2"/>
    <w:rsid w:val="00D25633"/>
    <w:rsid w:val="00D261A2"/>
    <w:rsid w:val="00D26638"/>
    <w:rsid w:val="00D30BF0"/>
    <w:rsid w:val="00D32D6F"/>
    <w:rsid w:val="00D33311"/>
    <w:rsid w:val="00D3367A"/>
    <w:rsid w:val="00D35AB7"/>
    <w:rsid w:val="00D37EB5"/>
    <w:rsid w:val="00D40647"/>
    <w:rsid w:val="00D40876"/>
    <w:rsid w:val="00D421EF"/>
    <w:rsid w:val="00D4232A"/>
    <w:rsid w:val="00D448F1"/>
    <w:rsid w:val="00D46BE3"/>
    <w:rsid w:val="00D500D0"/>
    <w:rsid w:val="00D530CE"/>
    <w:rsid w:val="00D5388A"/>
    <w:rsid w:val="00D604B5"/>
    <w:rsid w:val="00D61141"/>
    <w:rsid w:val="00D616D2"/>
    <w:rsid w:val="00D63014"/>
    <w:rsid w:val="00D63B5F"/>
    <w:rsid w:val="00D6434E"/>
    <w:rsid w:val="00D644E8"/>
    <w:rsid w:val="00D64523"/>
    <w:rsid w:val="00D70DD6"/>
    <w:rsid w:val="00D70EF7"/>
    <w:rsid w:val="00D749DB"/>
    <w:rsid w:val="00D755A1"/>
    <w:rsid w:val="00D76D29"/>
    <w:rsid w:val="00D8397C"/>
    <w:rsid w:val="00D86310"/>
    <w:rsid w:val="00D869D9"/>
    <w:rsid w:val="00D92DB8"/>
    <w:rsid w:val="00D947AB"/>
    <w:rsid w:val="00D94EED"/>
    <w:rsid w:val="00D96026"/>
    <w:rsid w:val="00D96040"/>
    <w:rsid w:val="00D964EF"/>
    <w:rsid w:val="00D9783D"/>
    <w:rsid w:val="00DA28ED"/>
    <w:rsid w:val="00DA2D79"/>
    <w:rsid w:val="00DA7A18"/>
    <w:rsid w:val="00DA7C1C"/>
    <w:rsid w:val="00DB147A"/>
    <w:rsid w:val="00DB1B7A"/>
    <w:rsid w:val="00DB2C4B"/>
    <w:rsid w:val="00DB3F6F"/>
    <w:rsid w:val="00DC27B5"/>
    <w:rsid w:val="00DC3686"/>
    <w:rsid w:val="00DC4AFA"/>
    <w:rsid w:val="00DC4C6D"/>
    <w:rsid w:val="00DC55D0"/>
    <w:rsid w:val="00DC6708"/>
    <w:rsid w:val="00DD1B5F"/>
    <w:rsid w:val="00DD21E3"/>
    <w:rsid w:val="00DD358A"/>
    <w:rsid w:val="00DD4058"/>
    <w:rsid w:val="00DD4C9C"/>
    <w:rsid w:val="00DD50F8"/>
    <w:rsid w:val="00DD5E33"/>
    <w:rsid w:val="00DE44C0"/>
    <w:rsid w:val="00DE5863"/>
    <w:rsid w:val="00DE5E03"/>
    <w:rsid w:val="00DF042C"/>
    <w:rsid w:val="00DF17C4"/>
    <w:rsid w:val="00DF18EB"/>
    <w:rsid w:val="00DF5C3C"/>
    <w:rsid w:val="00E01436"/>
    <w:rsid w:val="00E02F2E"/>
    <w:rsid w:val="00E042E1"/>
    <w:rsid w:val="00E045BD"/>
    <w:rsid w:val="00E05040"/>
    <w:rsid w:val="00E05E14"/>
    <w:rsid w:val="00E07E08"/>
    <w:rsid w:val="00E113FA"/>
    <w:rsid w:val="00E13DA0"/>
    <w:rsid w:val="00E17227"/>
    <w:rsid w:val="00E178CE"/>
    <w:rsid w:val="00E17B77"/>
    <w:rsid w:val="00E23337"/>
    <w:rsid w:val="00E259EA"/>
    <w:rsid w:val="00E275B3"/>
    <w:rsid w:val="00E32061"/>
    <w:rsid w:val="00E34EAA"/>
    <w:rsid w:val="00E35690"/>
    <w:rsid w:val="00E35C57"/>
    <w:rsid w:val="00E35E85"/>
    <w:rsid w:val="00E408EB"/>
    <w:rsid w:val="00E42FF9"/>
    <w:rsid w:val="00E43091"/>
    <w:rsid w:val="00E44723"/>
    <w:rsid w:val="00E448A4"/>
    <w:rsid w:val="00E44AD2"/>
    <w:rsid w:val="00E45C25"/>
    <w:rsid w:val="00E46889"/>
    <w:rsid w:val="00E4714C"/>
    <w:rsid w:val="00E51AEB"/>
    <w:rsid w:val="00E522A7"/>
    <w:rsid w:val="00E54452"/>
    <w:rsid w:val="00E5708B"/>
    <w:rsid w:val="00E6405B"/>
    <w:rsid w:val="00E64B66"/>
    <w:rsid w:val="00E659EE"/>
    <w:rsid w:val="00E664C5"/>
    <w:rsid w:val="00E671A2"/>
    <w:rsid w:val="00E70ED0"/>
    <w:rsid w:val="00E74157"/>
    <w:rsid w:val="00E7514A"/>
    <w:rsid w:val="00E761AE"/>
    <w:rsid w:val="00E76D26"/>
    <w:rsid w:val="00E803FD"/>
    <w:rsid w:val="00E80EC6"/>
    <w:rsid w:val="00E85FA7"/>
    <w:rsid w:val="00E86126"/>
    <w:rsid w:val="00E86263"/>
    <w:rsid w:val="00E9365A"/>
    <w:rsid w:val="00E956C7"/>
    <w:rsid w:val="00E96947"/>
    <w:rsid w:val="00E9792D"/>
    <w:rsid w:val="00E97B7B"/>
    <w:rsid w:val="00EA29FF"/>
    <w:rsid w:val="00EA2C2D"/>
    <w:rsid w:val="00EB016B"/>
    <w:rsid w:val="00EB074D"/>
    <w:rsid w:val="00EB1390"/>
    <w:rsid w:val="00EB2C71"/>
    <w:rsid w:val="00EB4340"/>
    <w:rsid w:val="00EB4898"/>
    <w:rsid w:val="00EB556D"/>
    <w:rsid w:val="00EB5A7D"/>
    <w:rsid w:val="00EB5E7F"/>
    <w:rsid w:val="00EB6512"/>
    <w:rsid w:val="00EC0751"/>
    <w:rsid w:val="00EC1A16"/>
    <w:rsid w:val="00EC2DC3"/>
    <w:rsid w:val="00EC59E4"/>
    <w:rsid w:val="00EC5F4C"/>
    <w:rsid w:val="00EC6EFC"/>
    <w:rsid w:val="00EC722E"/>
    <w:rsid w:val="00EC724A"/>
    <w:rsid w:val="00EC7761"/>
    <w:rsid w:val="00ED1DC2"/>
    <w:rsid w:val="00ED4DCE"/>
    <w:rsid w:val="00ED55C0"/>
    <w:rsid w:val="00ED5BA5"/>
    <w:rsid w:val="00ED682B"/>
    <w:rsid w:val="00ED68C9"/>
    <w:rsid w:val="00EE0BFE"/>
    <w:rsid w:val="00EE2256"/>
    <w:rsid w:val="00EE313A"/>
    <w:rsid w:val="00EE41D5"/>
    <w:rsid w:val="00EE457C"/>
    <w:rsid w:val="00EE5155"/>
    <w:rsid w:val="00EE57CF"/>
    <w:rsid w:val="00EE59F7"/>
    <w:rsid w:val="00EE5DDD"/>
    <w:rsid w:val="00EE6232"/>
    <w:rsid w:val="00EF0DD3"/>
    <w:rsid w:val="00EF3EDC"/>
    <w:rsid w:val="00EF4CDB"/>
    <w:rsid w:val="00EF55F2"/>
    <w:rsid w:val="00F037A4"/>
    <w:rsid w:val="00F05DA7"/>
    <w:rsid w:val="00F06B96"/>
    <w:rsid w:val="00F06DD6"/>
    <w:rsid w:val="00F077CE"/>
    <w:rsid w:val="00F078AF"/>
    <w:rsid w:val="00F122A6"/>
    <w:rsid w:val="00F149A3"/>
    <w:rsid w:val="00F17264"/>
    <w:rsid w:val="00F2062C"/>
    <w:rsid w:val="00F20E8E"/>
    <w:rsid w:val="00F2481A"/>
    <w:rsid w:val="00F25976"/>
    <w:rsid w:val="00F27C8F"/>
    <w:rsid w:val="00F30C80"/>
    <w:rsid w:val="00F32749"/>
    <w:rsid w:val="00F344AD"/>
    <w:rsid w:val="00F37172"/>
    <w:rsid w:val="00F3752A"/>
    <w:rsid w:val="00F41498"/>
    <w:rsid w:val="00F4477E"/>
    <w:rsid w:val="00F547F7"/>
    <w:rsid w:val="00F55F3F"/>
    <w:rsid w:val="00F56602"/>
    <w:rsid w:val="00F56ACC"/>
    <w:rsid w:val="00F5773F"/>
    <w:rsid w:val="00F6332F"/>
    <w:rsid w:val="00F649B0"/>
    <w:rsid w:val="00F6522C"/>
    <w:rsid w:val="00F67D8F"/>
    <w:rsid w:val="00F705B4"/>
    <w:rsid w:val="00F71033"/>
    <w:rsid w:val="00F802BE"/>
    <w:rsid w:val="00F8063B"/>
    <w:rsid w:val="00F80E93"/>
    <w:rsid w:val="00F84DD6"/>
    <w:rsid w:val="00F86024"/>
    <w:rsid w:val="00F8611A"/>
    <w:rsid w:val="00F91A01"/>
    <w:rsid w:val="00F944B8"/>
    <w:rsid w:val="00F94BE0"/>
    <w:rsid w:val="00FA36DE"/>
    <w:rsid w:val="00FA4553"/>
    <w:rsid w:val="00FA4DFE"/>
    <w:rsid w:val="00FA5128"/>
    <w:rsid w:val="00FA7078"/>
    <w:rsid w:val="00FA72C9"/>
    <w:rsid w:val="00FB1358"/>
    <w:rsid w:val="00FB208D"/>
    <w:rsid w:val="00FB34D2"/>
    <w:rsid w:val="00FB42D4"/>
    <w:rsid w:val="00FB5906"/>
    <w:rsid w:val="00FB762F"/>
    <w:rsid w:val="00FC025A"/>
    <w:rsid w:val="00FC0BD2"/>
    <w:rsid w:val="00FC2AED"/>
    <w:rsid w:val="00FC4A80"/>
    <w:rsid w:val="00FC7440"/>
    <w:rsid w:val="00FD146F"/>
    <w:rsid w:val="00FD3130"/>
    <w:rsid w:val="00FD33BE"/>
    <w:rsid w:val="00FD3C08"/>
    <w:rsid w:val="00FD44C2"/>
    <w:rsid w:val="00FD5EA7"/>
    <w:rsid w:val="00FE66C2"/>
    <w:rsid w:val="00FE710B"/>
    <w:rsid w:val="00FE748A"/>
    <w:rsid w:val="00FE77AF"/>
    <w:rsid w:val="00FF1B17"/>
    <w:rsid w:val="00FF5417"/>
    <w:rsid w:val="00FF6CBB"/>
    <w:rsid w:val="00FF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12DAD"/>
  <w15:docId w15:val="{C11C7D0C-5F4B-4184-9A7B-0DED961C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96A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AB17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F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F15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3F1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969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E2A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E2A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26" Type="http://schemas.openxmlformats.org/officeDocument/2006/relationships/hyperlink" Target="http://stat.gov.pl/metainformacje/slownik-pojec/pojecia-stosowane-w-statystyce-publicznej/1526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dm.stat.gov.pl/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stat.gov.pl" TargetMode="Externa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://stat.gov.pl/obszary-tematyczne/podmioty-gospodarcze-wyniki-finansowe/przedsiebiorstwa-finansowe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obszary-tematyczne/podmioty-gospodarcze-wyniki-finansowe/przedsiebiorstwa-finansowe/" TargetMode="Externa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metainformacje/slownik-pojec/pojecia-stosowane-w-statystyce-publicznej/1646,pojecie.html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tat.gov.pl/metainformacje/slownik-pojec/pojecia-stosowane-w-statystyce-publicznej/1526,pojecie.html" TargetMode="External"/><Relationship Id="rId27" Type="http://schemas.openxmlformats.org/officeDocument/2006/relationships/hyperlink" Target="http://stat.gov.pl/metainformacje/slownik-pojec/pojecia-stosowane-w-statystyce-publicznej/1646,pojecie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Wyniki finansowe funduszy inwestycyjnych w 2019 r.docx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2B46C5C3-D3BA-452B-95AE-060258A61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9DD8D-F826-4BA7-AD13-0F83A363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otwartych funduszy emerytalnych i powszechnych towarzystw emerytalnych w 2017 roku</vt:lpstr>
    </vt:vector>
  </TitlesOfParts>
  <Company>Główny Urząd Statystyczny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otwartych funduszy emerytalnych i powszechnych towarzystw emerytalnych w 2017 roku</dc:title>
  <dc:subject>Wyniki finansowe otwartych funduszy emerytalnych i powszechnych towarzystw emerytalnych w 2017 roku</dc:subject>
  <cp:keywords>ofe; otwarte fundusze emerytalne; powszechne towarzystwa emerytalne; wynik finansowy ofe</cp:keywords>
  <dc:description>Wyniki finansowe otwartych funduszy emerytalnych i powszechnych towarzystw emerytalnych w 2017 roku</dc:description>
  <cp:lastPrinted>2019-06-14T12:21:00Z</cp:lastPrinted>
  <dcterms:created xsi:type="dcterms:W3CDTF">2021-07-09T10:18:00Z</dcterms:created>
  <dcterms:modified xsi:type="dcterms:W3CDTF">2021-07-13T13:25:00Z</dcterms:modified>
  <cp:category>Wyniki finansowe otwartych funduszy emerytalnych i powszechnych towarzystw emerytalnych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GUS-SM07.6362.1.2020.1</vt:lpwstr>
  </property>
  <property fmtid="{D5CDD505-2E9C-101B-9397-08002B2CF9AE}" pid="4" name="UNPPisma">
    <vt:lpwstr>2020-153529</vt:lpwstr>
  </property>
  <property fmtid="{D5CDD505-2E9C-101B-9397-08002B2CF9AE}" pid="5" name="ZnakSprawy">
    <vt:lpwstr>GUS-SM07.6362.1.2020</vt:lpwstr>
  </property>
  <property fmtid="{D5CDD505-2E9C-101B-9397-08002B2CF9AE}" pid="6" name="ZnakSprawyPrzedPrzeniesieniem">
    <vt:lpwstr/>
  </property>
  <property fmtid="{D5CDD505-2E9C-101B-9397-08002B2CF9AE}" pid="7" name="Autor">
    <vt:lpwstr>Kulczycka Joanna</vt:lpwstr>
  </property>
  <property fmtid="{D5CDD505-2E9C-101B-9397-08002B2CF9AE}" pid="8" name="AutorInicjaly">
    <vt:lpwstr>JK</vt:lpwstr>
  </property>
  <property fmtid="{D5CDD505-2E9C-101B-9397-08002B2CF9AE}" pid="9" name="AutorNrTelefonu">
    <vt:lpwstr>(022) 608-3786</vt:lpwstr>
  </property>
  <property fmtid="{D5CDD505-2E9C-101B-9397-08002B2CF9AE}" pid="10" name="Stanowisko">
    <vt:lpwstr>konsultant</vt:lpwstr>
  </property>
  <property fmtid="{D5CDD505-2E9C-101B-9397-08002B2CF9AE}" pid="11" name="OpisPisma">
    <vt:lpwstr>Informacja sygnalna Wyniki finansowe funduszy inwestycyjnych w 2019 r.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2020-08-13</vt:lpwstr>
  </property>
  <property fmtid="{D5CDD505-2E9C-101B-9397-08002B2CF9AE}" pid="15" name="Wydzial">
    <vt:lpwstr>Samodzielne stanowisko pracy do spraw koniunktury konsumenckiej</vt:lpwstr>
  </property>
  <property fmtid="{D5CDD505-2E9C-101B-9397-08002B2CF9AE}" pid="16" name="KodWydzialu">
    <vt:lpwstr>SM-07</vt:lpwstr>
  </property>
  <property fmtid="{D5CDD505-2E9C-101B-9397-08002B2CF9AE}" pid="17" name="ZaakceptowanePrzez">
    <vt:lpwstr>n/d</vt:lpwstr>
  </property>
  <property fmtid="{D5CDD505-2E9C-101B-9397-08002B2CF9AE}" pid="18" name="PrzekazanieDo">
    <vt:lpwstr>Joanna Kulczycka</vt:lpwstr>
  </property>
  <property fmtid="{D5CDD505-2E9C-101B-9397-08002B2CF9AE}" pid="19" name="PrzekazanieDoStanowisko">
    <vt:lpwstr>konsultant</vt:lpwstr>
  </property>
  <property fmtid="{D5CDD505-2E9C-101B-9397-08002B2CF9AE}" pid="20" name="PrzekazanieDoKomorkaPracownika">
    <vt:lpwstr>Samodzielne stanowisko pracy do spraw koniunktury konsumenckiej(SM-07)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