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5EEC8A26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="00C1719A" w:rsidRPr="00E174EE">
        <w:rPr>
          <w:color w:val="auto"/>
          <w:szCs w:val="40"/>
          <w:shd w:val="clear" w:color="auto" w:fill="FFFFFF"/>
        </w:rPr>
        <w:t>I-</w:t>
      </w:r>
      <w:r w:rsidR="003024F4">
        <w:rPr>
          <w:color w:val="auto"/>
          <w:szCs w:val="40"/>
          <w:shd w:val="clear" w:color="auto" w:fill="FFFFFF"/>
        </w:rPr>
        <w:t>X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39472297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61D1115F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454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616B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04,0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AD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61D1115F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454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616B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04,0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3A0F99" w:rsidRPr="005A09ED">
        <w:t>okresie</w:t>
      </w:r>
      <w:r w:rsidR="003A0F99">
        <w:t xml:space="preserve"> </w:t>
      </w:r>
      <w:r w:rsidR="008616B4">
        <w:t>od stycznia do końca października</w:t>
      </w:r>
      <w:r w:rsidR="00C70DC6" w:rsidRPr="00483CB8">
        <w:t xml:space="preserve"> 2021</w:t>
      </w:r>
      <w:r w:rsidR="00B6051C" w:rsidRPr="00483CB8">
        <w:t xml:space="preserve"> roku oddano do </w:t>
      </w:r>
      <w:r w:rsidR="004466B1" w:rsidRPr="00483CB8">
        <w:t xml:space="preserve">użytkowania </w:t>
      </w:r>
      <w:r w:rsidR="00AA2A09" w:rsidRPr="00483CB8">
        <w:t>więcej</w:t>
      </w:r>
      <w:r w:rsidR="004466B1" w:rsidRPr="00483CB8">
        <w:t xml:space="preserve"> mieszkań niż </w:t>
      </w:r>
      <w:r w:rsidR="00F17D27" w:rsidRPr="00483CB8">
        <w:t>przed rokiem</w:t>
      </w:r>
      <w:r w:rsidR="00F50D81" w:rsidRPr="00483CB8">
        <w:t xml:space="preserve">. </w:t>
      </w:r>
      <w:r w:rsidR="0057374E" w:rsidRPr="00483CB8">
        <w:t>Wzrosł</w:t>
      </w:r>
      <w:r w:rsidR="00F50D81" w:rsidRPr="00483CB8">
        <w:t xml:space="preserve">a </w:t>
      </w:r>
      <w:r w:rsidR="00AA2A09" w:rsidRPr="00483CB8">
        <w:t>również</w:t>
      </w:r>
      <w:r w:rsidR="0057374E" w:rsidRPr="00483CB8">
        <w:t xml:space="preserve"> l</w:t>
      </w:r>
      <w:r w:rsidR="008B0F20" w:rsidRPr="00483CB8">
        <w:t>iczba m</w:t>
      </w:r>
      <w:r w:rsidR="00585630" w:rsidRPr="00483CB8">
        <w:t>ieszkań,</w:t>
      </w:r>
      <w:r w:rsidR="00F67582" w:rsidRPr="00483CB8">
        <w:t xml:space="preserve"> na których budowę wydano pozwo</w:t>
      </w:r>
      <w:r w:rsidR="007044CD" w:rsidRPr="00483CB8">
        <w:t xml:space="preserve">lenia lub dokonano zgłoszenia </w:t>
      </w:r>
      <w:r w:rsidR="007044CD" w:rsidRPr="009F0030">
        <w:t>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03E9DFB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1F2A2B16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D020F">
                              <w:t>indywidualni oddali do uż</w:t>
                            </w:r>
                            <w:r w:rsidR="00F71A95" w:rsidRPr="002D020F">
                              <w:t>yt</w:t>
                            </w:r>
                            <w:r w:rsidR="00256FA6" w:rsidRPr="002D020F">
                              <w:t xml:space="preserve">kowania odpowiednio </w:t>
                            </w:r>
                            <w:r w:rsidR="008616B4">
                              <w:t>59,3</w:t>
                            </w:r>
                            <w:r w:rsidR="00256FA6" w:rsidRPr="002D020F">
                              <w:t>% i </w:t>
                            </w:r>
                            <w:r w:rsidR="008616B4">
                              <w:t>38,6</w:t>
                            </w:r>
                            <w:r w:rsidRPr="002D020F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filled="f" stroked="f">
                <v:textbox>
                  <w:txbxContent>
                    <w:p w14:paraId="6327FDC5" w14:textId="1F2A2B16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D020F">
                        <w:t>indywidualni oddali do uż</w:t>
                      </w:r>
                      <w:r w:rsidR="00F71A95" w:rsidRPr="002D020F">
                        <w:t>yt</w:t>
                      </w:r>
                      <w:r w:rsidR="00256FA6" w:rsidRPr="002D020F">
                        <w:t xml:space="preserve">kowania odpowiednio </w:t>
                      </w:r>
                      <w:r w:rsidR="008616B4">
                        <w:t>59,3</w:t>
                      </w:r>
                      <w:r w:rsidR="00256FA6" w:rsidRPr="002D020F">
                        <w:t>% i </w:t>
                      </w:r>
                      <w:r w:rsidR="008616B4">
                        <w:t>38,6</w:t>
                      </w:r>
                      <w:r w:rsidRPr="002D020F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7E19396C" w:rsidR="004D107E" w:rsidRPr="002D020F" w:rsidRDefault="00CE7EAE" w:rsidP="00DD4E61">
      <w:pPr>
        <w:rPr>
          <w:shd w:val="clear" w:color="auto" w:fill="FFFFFF"/>
        </w:rPr>
      </w:pPr>
      <w:r w:rsidRPr="002D020F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2D020F">
        <w:rPr>
          <w:shd w:val="clear" w:color="auto" w:fill="FFFFFF"/>
        </w:rPr>
        <w:t>Wed</w:t>
      </w:r>
      <w:r w:rsidR="00F50D81" w:rsidRPr="002D020F">
        <w:rPr>
          <w:shd w:val="clear" w:color="auto" w:fill="FFFFFF"/>
        </w:rPr>
        <w:t xml:space="preserve">ług wstępnych danych, w okresie </w:t>
      </w:r>
      <w:r w:rsidR="008616B4">
        <w:rPr>
          <w:shd w:val="clear" w:color="auto" w:fill="FFFFFF"/>
        </w:rPr>
        <w:t>I-X</w:t>
      </w:r>
      <w:r w:rsidR="00F50D81" w:rsidRPr="002D020F">
        <w:rPr>
          <w:shd w:val="clear" w:color="auto" w:fill="FFFFFF"/>
        </w:rPr>
        <w:t xml:space="preserve"> </w:t>
      </w:r>
      <w:r w:rsidR="00C70DC6" w:rsidRPr="002D020F">
        <w:rPr>
          <w:shd w:val="clear" w:color="auto" w:fill="FFFFFF"/>
        </w:rPr>
        <w:t>2021</w:t>
      </w:r>
      <w:r w:rsidR="00A536C6" w:rsidRPr="002D020F">
        <w:rPr>
          <w:shd w:val="clear" w:color="auto" w:fill="FFFFFF"/>
        </w:rPr>
        <w:t xml:space="preserve"> r. oddano do użytkowania </w:t>
      </w:r>
      <w:r w:rsidR="008616B4">
        <w:rPr>
          <w:shd w:val="clear" w:color="auto" w:fill="FFFFFF"/>
        </w:rPr>
        <w:t>184,4</w:t>
      </w:r>
      <w:r w:rsidR="003B131A" w:rsidRPr="002D020F">
        <w:rPr>
          <w:shd w:val="clear" w:color="auto" w:fill="FFFFFF"/>
        </w:rPr>
        <w:t> </w:t>
      </w:r>
      <w:r w:rsidR="00A536C6" w:rsidRPr="002D020F">
        <w:t>tys</w:t>
      </w:r>
      <w:r w:rsidR="00BC42CE" w:rsidRPr="002D020F">
        <w:rPr>
          <w:shd w:val="clear" w:color="auto" w:fill="FFFFFF"/>
        </w:rPr>
        <w:t>. mieszkań, tj. </w:t>
      </w:r>
      <w:r w:rsidR="003912E0" w:rsidRPr="002D020F">
        <w:rPr>
          <w:shd w:val="clear" w:color="auto" w:fill="FFFFFF"/>
        </w:rPr>
        <w:t xml:space="preserve">o </w:t>
      </w:r>
      <w:r w:rsidR="008616B4">
        <w:rPr>
          <w:shd w:val="clear" w:color="auto" w:fill="FFFFFF"/>
        </w:rPr>
        <w:t>4,0%</w:t>
      </w:r>
      <w:r w:rsidR="00CC4264" w:rsidRPr="002D020F">
        <w:rPr>
          <w:shd w:val="clear" w:color="auto" w:fill="FFFFFF"/>
        </w:rPr>
        <w:t xml:space="preserve"> </w:t>
      </w:r>
      <w:r w:rsidR="00256FA6" w:rsidRPr="002D020F">
        <w:rPr>
          <w:shd w:val="clear" w:color="auto" w:fill="FFFFFF"/>
        </w:rPr>
        <w:t>więcej</w:t>
      </w:r>
      <w:r w:rsidR="00CC4264" w:rsidRPr="002D020F">
        <w:rPr>
          <w:shd w:val="clear" w:color="auto" w:fill="FFFFFF"/>
        </w:rPr>
        <w:t xml:space="preserve"> niż </w:t>
      </w:r>
      <w:r w:rsidR="00A66782" w:rsidRPr="002D020F">
        <w:rPr>
          <w:shd w:val="clear" w:color="auto" w:fill="FFFFFF"/>
        </w:rPr>
        <w:t>przed rokiem.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>Deweloperzy</w:t>
      </w:r>
      <w:r w:rsidR="00A536C6" w:rsidRPr="002D020F">
        <w:t xml:space="preserve"> </w:t>
      </w:r>
      <w:r w:rsidR="00A536C6" w:rsidRPr="002D020F">
        <w:rPr>
          <w:shd w:val="clear" w:color="auto" w:fill="FFFFFF"/>
        </w:rPr>
        <w:t xml:space="preserve">przekazali do eksploatacji </w:t>
      </w:r>
      <w:r w:rsidR="008616B4">
        <w:rPr>
          <w:shd w:val="clear" w:color="auto" w:fill="FFFFFF"/>
        </w:rPr>
        <w:t>109,4</w:t>
      </w:r>
      <w:r w:rsidR="00A66782" w:rsidRPr="002D020F">
        <w:rPr>
          <w:shd w:val="clear" w:color="auto" w:fill="FFFFFF"/>
        </w:rPr>
        <w:t> </w:t>
      </w:r>
      <w:r w:rsidR="00A536C6" w:rsidRPr="002D020F">
        <w:rPr>
          <w:shd w:val="clear" w:color="auto" w:fill="FFFFFF"/>
        </w:rPr>
        <w:t>tys. mieszkań</w:t>
      </w:r>
      <w:r w:rsidR="00C92E8E" w:rsidRPr="002D020F">
        <w:rPr>
          <w:shd w:val="clear" w:color="auto" w:fill="FFFFFF"/>
        </w:rPr>
        <w:t xml:space="preserve"> </w:t>
      </w:r>
      <w:r w:rsidR="00BC42CE" w:rsidRPr="002D020F">
        <w:rPr>
          <w:shd w:val="clear" w:color="auto" w:fill="FFFFFF"/>
        </w:rPr>
        <w:t>–</w:t>
      </w:r>
      <w:r w:rsidR="00A536C6" w:rsidRPr="002D020F">
        <w:rPr>
          <w:shd w:val="clear" w:color="auto" w:fill="FFFFFF"/>
        </w:rPr>
        <w:t xml:space="preserve"> </w:t>
      </w:r>
      <w:r w:rsidR="00C92E8E" w:rsidRPr="002D020F">
        <w:rPr>
          <w:shd w:val="clear" w:color="auto" w:fill="FFFFFF"/>
        </w:rPr>
        <w:t>o</w:t>
      </w:r>
      <w:r w:rsidR="00BC42CE" w:rsidRPr="002D020F">
        <w:rPr>
          <w:shd w:val="clear" w:color="auto" w:fill="FFFFFF"/>
        </w:rPr>
        <w:t xml:space="preserve"> </w:t>
      </w:r>
      <w:r w:rsidR="008616B4">
        <w:rPr>
          <w:shd w:val="clear" w:color="auto" w:fill="FFFFFF"/>
        </w:rPr>
        <w:t>4,4</w:t>
      </w:r>
      <w:r w:rsidR="0058557D">
        <w:rPr>
          <w:shd w:val="clear" w:color="auto" w:fill="FFFFFF"/>
        </w:rPr>
        <w:t>%</w:t>
      </w:r>
      <w:r w:rsidR="00C70DC6" w:rsidRPr="002D020F">
        <w:rPr>
          <w:shd w:val="clear" w:color="auto" w:fill="FFFFFF"/>
        </w:rPr>
        <w:t xml:space="preserve"> </w:t>
      </w:r>
      <w:r w:rsidR="00372BD4" w:rsidRPr="002D020F">
        <w:rPr>
          <w:shd w:val="clear" w:color="auto" w:fill="FFFFFF"/>
        </w:rPr>
        <w:t>mniej</w:t>
      </w:r>
      <w:r w:rsidR="00C70DC6" w:rsidRPr="002D020F">
        <w:rPr>
          <w:shd w:val="clear" w:color="auto" w:fill="FFFFFF"/>
        </w:rPr>
        <w:t xml:space="preserve"> niż w analogicznym </w:t>
      </w:r>
      <w:r w:rsidR="00A66782" w:rsidRPr="002D020F">
        <w:rPr>
          <w:shd w:val="clear" w:color="auto" w:fill="FFFFFF"/>
        </w:rPr>
        <w:t>okresie</w:t>
      </w:r>
      <w:r w:rsidR="00C70DC6" w:rsidRPr="002D020F">
        <w:rPr>
          <w:shd w:val="clear" w:color="auto" w:fill="FFFFFF"/>
        </w:rPr>
        <w:t xml:space="preserve"> 2020</w:t>
      </w:r>
      <w:r w:rsidR="00A536C6" w:rsidRPr="002D020F">
        <w:rPr>
          <w:shd w:val="clear" w:color="auto" w:fill="FFFFFF"/>
        </w:rPr>
        <w:t xml:space="preserve"> r., natomiast </w:t>
      </w:r>
      <w:r w:rsidR="00A536C6" w:rsidRPr="002D020F">
        <w:rPr>
          <w:b/>
          <w:shd w:val="clear" w:color="auto" w:fill="FFFFFF"/>
        </w:rPr>
        <w:t>inwestorzy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 xml:space="preserve">indywidualni </w:t>
      </w:r>
      <w:r w:rsidR="00A536C6" w:rsidRPr="002D020F">
        <w:rPr>
          <w:shd w:val="clear" w:color="auto" w:fill="FFFFFF"/>
        </w:rPr>
        <w:t xml:space="preserve">– </w:t>
      </w:r>
      <w:r w:rsidR="008616B4">
        <w:rPr>
          <w:shd w:val="clear" w:color="auto" w:fill="FFFFFF"/>
        </w:rPr>
        <w:t>71,2</w:t>
      </w:r>
      <w:r w:rsidR="00677AFF" w:rsidRPr="002D020F">
        <w:rPr>
          <w:shd w:val="clear" w:color="auto" w:fill="FFFFFF"/>
        </w:rPr>
        <w:t xml:space="preserve"> </w:t>
      </w:r>
      <w:r w:rsidR="00A536C6" w:rsidRPr="002D020F">
        <w:rPr>
          <w:shd w:val="clear" w:color="auto" w:fill="FFFFFF"/>
        </w:rPr>
        <w:t xml:space="preserve">tys. mieszkań, tj. </w:t>
      </w:r>
      <w:r w:rsidR="008616B4">
        <w:rPr>
          <w:shd w:val="clear" w:color="auto" w:fill="FFFFFF"/>
        </w:rPr>
        <w:t>19,3</w:t>
      </w:r>
      <w:r w:rsidR="00C92E8E" w:rsidRPr="002D020F">
        <w:rPr>
          <w:shd w:val="clear" w:color="auto" w:fill="FFFFFF"/>
        </w:rPr>
        <w:t>%</w:t>
      </w:r>
      <w:r w:rsidR="004069D7" w:rsidRPr="002D020F">
        <w:rPr>
          <w:shd w:val="clear" w:color="auto" w:fill="FFFFFF"/>
        </w:rPr>
        <w:t xml:space="preserve"> </w:t>
      </w:r>
      <w:r w:rsidR="002C74C5" w:rsidRPr="002D020F">
        <w:rPr>
          <w:shd w:val="clear" w:color="auto" w:fill="FFFFFF"/>
        </w:rPr>
        <w:t>więcej</w:t>
      </w:r>
      <w:r w:rsidR="00F83328" w:rsidRPr="002D020F">
        <w:rPr>
          <w:shd w:val="clear" w:color="auto" w:fill="FFFFFF"/>
        </w:rPr>
        <w:t xml:space="preserve">. </w:t>
      </w:r>
      <w:r w:rsidR="00C56B6F" w:rsidRPr="002D020F">
        <w:rPr>
          <w:shd w:val="clear" w:color="auto" w:fill="FFFFFF"/>
        </w:rPr>
        <w:t>W </w:t>
      </w:r>
      <w:r w:rsidR="00A536C6" w:rsidRPr="002D020F">
        <w:rPr>
          <w:shd w:val="clear" w:color="auto" w:fill="FFFFFF"/>
        </w:rPr>
        <w:t>ramach tych form b</w:t>
      </w:r>
      <w:r w:rsidR="00256FA6" w:rsidRPr="002D020F">
        <w:rPr>
          <w:shd w:val="clear" w:color="auto" w:fill="FFFFFF"/>
        </w:rPr>
        <w:t xml:space="preserve">udownictwa wybudowano łącznie </w:t>
      </w:r>
      <w:r w:rsidR="008616B4">
        <w:rPr>
          <w:shd w:val="clear" w:color="auto" w:fill="FFFFFF"/>
        </w:rPr>
        <w:t>97,9</w:t>
      </w:r>
      <w:r w:rsidR="00A536C6" w:rsidRPr="002D020F">
        <w:rPr>
          <w:shd w:val="clear" w:color="auto" w:fill="FFFFFF"/>
        </w:rPr>
        <w:t xml:space="preserve">% ogółu </w:t>
      </w:r>
      <w:r w:rsidR="00842C3C" w:rsidRPr="002D020F">
        <w:rPr>
          <w:shd w:val="clear" w:color="auto" w:fill="FFFFFF"/>
        </w:rPr>
        <w:t xml:space="preserve">nowo </w:t>
      </w:r>
      <w:r w:rsidR="00A536C6" w:rsidRPr="002D020F">
        <w:rPr>
          <w:shd w:val="clear" w:color="auto" w:fill="FFFFFF"/>
        </w:rPr>
        <w:t xml:space="preserve">oddanych </w:t>
      </w:r>
      <w:r w:rsidR="00B13293" w:rsidRPr="002D020F">
        <w:rPr>
          <w:shd w:val="clear" w:color="auto" w:fill="FFFFFF"/>
        </w:rPr>
        <w:t xml:space="preserve">mieszkań. </w:t>
      </w:r>
      <w:r w:rsidR="00A66782" w:rsidRPr="002D020F">
        <w:rPr>
          <w:shd w:val="clear" w:color="auto" w:fill="FFFFFF"/>
        </w:rPr>
        <w:t xml:space="preserve">W </w:t>
      </w:r>
      <w:r w:rsidR="00A66782" w:rsidRPr="002D020F">
        <w:rPr>
          <w:b/>
          <w:shd w:val="clear" w:color="auto" w:fill="FFFFFF"/>
        </w:rPr>
        <w:t>pozostałych</w:t>
      </w:r>
      <w:r w:rsidR="00A66782" w:rsidRPr="002D020F">
        <w:rPr>
          <w:shd w:val="clear" w:color="auto" w:fill="FFFFFF"/>
        </w:rPr>
        <w:t xml:space="preserve"> </w:t>
      </w:r>
      <w:r w:rsidR="00A66782" w:rsidRPr="002D020F">
        <w:rPr>
          <w:b/>
          <w:shd w:val="clear" w:color="auto" w:fill="FFFFFF"/>
        </w:rPr>
        <w:t>formach</w:t>
      </w:r>
      <w:r w:rsidR="00A66782" w:rsidRPr="002D020F">
        <w:rPr>
          <w:shd w:val="clear" w:color="auto" w:fill="FFFFFF"/>
        </w:rPr>
        <w:t xml:space="preserve"> budownictwa, tj.</w:t>
      </w:r>
      <w:r w:rsidR="00545EF0" w:rsidRPr="002D020F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 xml:space="preserve">spółdzielczej, komunalnej, społecznej czynszowej i zakładowej, oddano do użytkowania łącznie </w:t>
      </w:r>
      <w:r w:rsidR="00081FEB">
        <w:rPr>
          <w:shd w:val="clear" w:color="auto" w:fill="FFFFFF"/>
        </w:rPr>
        <w:t>3 828</w:t>
      </w:r>
      <w:r w:rsidR="00A66782" w:rsidRPr="002D020F">
        <w:rPr>
          <w:shd w:val="clear" w:color="auto" w:fill="FFFFFF"/>
        </w:rPr>
        <w:t xml:space="preserve"> mieszka</w:t>
      </w:r>
      <w:r w:rsidR="0017792B" w:rsidRPr="002D020F">
        <w:rPr>
          <w:shd w:val="clear" w:color="auto" w:fill="FFFFFF"/>
        </w:rPr>
        <w:t>ń</w:t>
      </w:r>
      <w:r w:rsidR="00A66782" w:rsidRPr="002D020F">
        <w:rPr>
          <w:shd w:val="clear" w:color="auto" w:fill="FFFFFF"/>
        </w:rPr>
        <w:t xml:space="preserve"> (</w:t>
      </w:r>
      <w:r w:rsidR="00081FEB">
        <w:rPr>
          <w:shd w:val="clear" w:color="auto" w:fill="FFFFFF"/>
        </w:rPr>
        <w:t>3 134</w:t>
      </w:r>
      <w:r w:rsidR="00F71A95" w:rsidRPr="002D020F">
        <w:rPr>
          <w:shd w:val="clear" w:color="auto" w:fill="FFFFFF"/>
        </w:rPr>
        <w:t xml:space="preserve"> </w:t>
      </w:r>
      <w:r w:rsidR="00A66782" w:rsidRPr="002D020F">
        <w:rPr>
          <w:shd w:val="clear" w:color="auto" w:fill="FFFFFF"/>
        </w:rPr>
        <w:t>przed rokiem).</w:t>
      </w:r>
    </w:p>
    <w:p w14:paraId="2424FC5E" w14:textId="011525B2" w:rsidR="00B453BB" w:rsidRPr="002131BE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2D020F">
        <w:rPr>
          <w:shd w:val="clear" w:color="auto" w:fill="FFFFFF"/>
        </w:rPr>
        <w:t>Powierzchnia użytkowa mieszkań od</w:t>
      </w:r>
      <w:r w:rsidR="001E12CF" w:rsidRPr="002D020F">
        <w:rPr>
          <w:shd w:val="clear" w:color="auto" w:fill="FFFFFF"/>
        </w:rPr>
        <w:t>danych</w:t>
      </w:r>
      <w:r w:rsidR="00AA0D46" w:rsidRPr="002D020F">
        <w:rPr>
          <w:shd w:val="clear" w:color="auto" w:fill="FFFFFF"/>
        </w:rPr>
        <w:t xml:space="preserve"> w</w:t>
      </w:r>
      <w:r w:rsidR="001E12CF" w:rsidRPr="002D020F">
        <w:rPr>
          <w:shd w:val="clear" w:color="auto" w:fill="FFFFFF"/>
        </w:rPr>
        <w:t xml:space="preserve"> </w:t>
      </w:r>
      <w:r w:rsidR="00F71A95" w:rsidRPr="002D020F">
        <w:rPr>
          <w:shd w:val="clear" w:color="auto" w:fill="FFFFFF"/>
        </w:rPr>
        <w:t>okresie styczeń-</w:t>
      </w:r>
      <w:r w:rsidR="00F13E75">
        <w:rPr>
          <w:shd w:val="clear" w:color="auto" w:fill="FFFFFF"/>
        </w:rPr>
        <w:t>październik</w:t>
      </w:r>
      <w:r w:rsidR="00C70DC6" w:rsidRPr="002D020F">
        <w:rPr>
          <w:shd w:val="clear" w:color="auto" w:fill="FFFFFF"/>
        </w:rPr>
        <w:t xml:space="preserve"> 2021</w:t>
      </w:r>
      <w:r w:rsidR="00256FA6" w:rsidRPr="002D020F">
        <w:rPr>
          <w:shd w:val="clear" w:color="auto" w:fill="FFFFFF"/>
        </w:rPr>
        <w:t xml:space="preserve"> r. wyniosła </w:t>
      </w:r>
      <w:r w:rsidR="00F13E75">
        <w:rPr>
          <w:shd w:val="clear" w:color="auto" w:fill="FFFFFF"/>
        </w:rPr>
        <w:t>17</w:t>
      </w:r>
      <w:r w:rsidR="00E43A55">
        <w:rPr>
          <w:shd w:val="clear" w:color="auto" w:fill="FFFFFF"/>
        </w:rPr>
        <w:t>,</w:t>
      </w:r>
      <w:r w:rsidR="00F13E75">
        <w:rPr>
          <w:shd w:val="clear" w:color="auto" w:fill="FFFFFF"/>
        </w:rPr>
        <w:t>2</w:t>
      </w:r>
      <w:r w:rsidR="00834237" w:rsidRPr="002D020F">
        <w:rPr>
          <w:shd w:val="clear" w:color="auto" w:fill="FFFFFF"/>
        </w:rPr>
        <w:t> </w:t>
      </w:r>
      <w:r w:rsidR="00F71A95" w:rsidRPr="002D020F">
        <w:rPr>
          <w:shd w:val="clear" w:color="auto" w:fill="FFFFFF"/>
        </w:rPr>
        <w:t>mln 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F32872" w:rsidRPr="002D020F">
        <w:rPr>
          <w:shd w:val="clear" w:color="auto" w:fill="FFFFFF"/>
        </w:rPr>
        <w:t>, czyli</w:t>
      </w:r>
      <w:r w:rsidR="00D5133B" w:rsidRPr="002D020F">
        <w:rPr>
          <w:shd w:val="clear" w:color="auto" w:fill="FFFFFF"/>
        </w:rPr>
        <w:t xml:space="preserve"> o </w:t>
      </w:r>
      <w:r w:rsidR="00F13E75">
        <w:rPr>
          <w:shd w:val="clear" w:color="auto" w:fill="FFFFFF"/>
        </w:rPr>
        <w:t>9,6</w:t>
      </w:r>
      <w:r w:rsidR="00C70DC6" w:rsidRPr="002D020F">
        <w:rPr>
          <w:shd w:val="clear" w:color="auto" w:fill="FFFFFF"/>
        </w:rPr>
        <w:t xml:space="preserve">% </w:t>
      </w:r>
      <w:r w:rsidR="00F71A95" w:rsidRPr="002D020F">
        <w:rPr>
          <w:shd w:val="clear" w:color="auto" w:fill="FFFFFF"/>
        </w:rPr>
        <w:t>więcej</w:t>
      </w:r>
      <w:r w:rsidRPr="002D020F">
        <w:rPr>
          <w:shd w:val="clear" w:color="auto" w:fill="FFFFFF"/>
        </w:rPr>
        <w:t xml:space="preserve"> </w:t>
      </w:r>
      <w:r w:rsidR="00C70DC6" w:rsidRPr="002D020F">
        <w:rPr>
          <w:shd w:val="clear" w:color="auto" w:fill="FFFFFF"/>
        </w:rPr>
        <w:t>niż przed rokiem</w:t>
      </w:r>
      <w:r w:rsidR="00124659" w:rsidRPr="002D020F">
        <w:rPr>
          <w:shd w:val="clear" w:color="auto" w:fill="FFFFFF"/>
        </w:rPr>
        <w:t xml:space="preserve">, a </w:t>
      </w:r>
      <w:r w:rsidRPr="002D020F">
        <w:rPr>
          <w:shd w:val="clear" w:color="auto" w:fill="FFFFFF"/>
        </w:rPr>
        <w:t>przeciętna powierzchnia u</w:t>
      </w:r>
      <w:r w:rsidR="00F32872" w:rsidRPr="002D020F">
        <w:rPr>
          <w:shd w:val="clear" w:color="auto" w:fill="FFFFFF"/>
        </w:rPr>
        <w:t>ży</w:t>
      </w:r>
      <w:r w:rsidR="00256FA6" w:rsidRPr="002D020F">
        <w:rPr>
          <w:shd w:val="clear" w:color="auto" w:fill="FFFFFF"/>
        </w:rPr>
        <w:t>tkowa 1 </w:t>
      </w:r>
      <w:r w:rsidR="001E12CF" w:rsidRPr="002D020F">
        <w:rPr>
          <w:shd w:val="clear" w:color="auto" w:fill="FFFFFF"/>
        </w:rPr>
        <w:t>mieszkania osiąg</w:t>
      </w:r>
      <w:r w:rsidR="00124659" w:rsidRPr="002D020F">
        <w:rPr>
          <w:shd w:val="clear" w:color="auto" w:fill="FFFFFF"/>
        </w:rPr>
        <w:t>n</w:t>
      </w:r>
      <w:r w:rsidR="003F5A50" w:rsidRPr="002D020F">
        <w:rPr>
          <w:shd w:val="clear" w:color="auto" w:fill="FFFFFF"/>
        </w:rPr>
        <w:t>ę</w:t>
      </w:r>
      <w:r w:rsidR="00124659" w:rsidRPr="002D020F">
        <w:rPr>
          <w:shd w:val="clear" w:color="auto" w:fill="FFFFFF"/>
        </w:rPr>
        <w:t>ła</w:t>
      </w:r>
      <w:r w:rsidR="00256FA6" w:rsidRPr="002D020F">
        <w:rPr>
          <w:shd w:val="clear" w:color="auto" w:fill="FFFFFF"/>
        </w:rPr>
        <w:t xml:space="preserve"> wartość </w:t>
      </w:r>
      <w:r w:rsidR="006B7F78" w:rsidRPr="002D020F">
        <w:rPr>
          <w:shd w:val="clear" w:color="auto" w:fill="FFFFFF"/>
        </w:rPr>
        <w:t>9</w:t>
      </w:r>
      <w:r w:rsidR="00E43A55">
        <w:rPr>
          <w:shd w:val="clear" w:color="auto" w:fill="FFFFFF"/>
        </w:rPr>
        <w:t>3</w:t>
      </w:r>
      <w:r w:rsidR="006B7F78" w:rsidRPr="002D020F">
        <w:rPr>
          <w:shd w:val="clear" w:color="auto" w:fill="FFFFFF"/>
        </w:rPr>
        <w:t>,</w:t>
      </w:r>
      <w:r w:rsidR="00F13E75">
        <w:rPr>
          <w:shd w:val="clear" w:color="auto" w:fill="FFFFFF"/>
        </w:rPr>
        <w:t>5</w:t>
      </w:r>
      <w:r w:rsidR="00F71A95" w:rsidRPr="002D020F">
        <w:rPr>
          <w:shd w:val="clear" w:color="auto" w:fill="FFFFFF"/>
        </w:rPr>
        <w:t xml:space="preserve"> 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9F059D" w:rsidRPr="002D020F">
        <w:rPr>
          <w:shd w:val="clear" w:color="auto" w:fill="FFFFFF"/>
        </w:rPr>
        <w:t>.</w:t>
      </w:r>
    </w:p>
    <w:p w14:paraId="232E4FA5" w14:textId="77777777" w:rsidR="00781779" w:rsidRPr="002131BE" w:rsidRDefault="00781779" w:rsidP="00DD4E61">
      <w:pPr>
        <w:rPr>
          <w:shd w:val="clear" w:color="auto" w:fill="FFFFFF"/>
        </w:rPr>
      </w:pPr>
    </w:p>
    <w:p w14:paraId="3235C721" w14:textId="77777777" w:rsidR="004D107E" w:rsidRPr="002131B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131B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134"/>
        <w:gridCol w:w="1134"/>
      </w:tblGrid>
      <w:tr w:rsidR="003C2145" w:rsidRPr="002131BE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2131BE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C2145" w:rsidRPr="002131BE" w14:paraId="48A0C98C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65B769CC" w:rsidR="003C2145" w:rsidRPr="002131BE" w:rsidRDefault="003C2145" w:rsidP="0092367F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5CD429C4" w:rsidR="003C2145" w:rsidRPr="002131BE" w:rsidRDefault="003C2145" w:rsidP="0092367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3C2145" w:rsidRPr="002131BE" w14:paraId="52DF23FB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48629E49" w:rsidR="003C2145" w:rsidRPr="002131BE" w:rsidRDefault="0092367F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017E6335" w:rsidR="003C2145" w:rsidRPr="002131BE" w:rsidRDefault="00F13E75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FB1CBAB" w14:textId="68B0AC70" w:rsidR="003C2145" w:rsidRPr="002131BE" w:rsidRDefault="00372BD4" w:rsidP="00F13E7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X</w:t>
            </w:r>
            <w:r w:rsidR="006B7F78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AA2A09" w:rsidRPr="002131BE" w14:paraId="50AEB81D" w14:textId="77777777" w:rsidTr="00730B95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29BC35A8" w:rsidR="00AA2A09" w:rsidRPr="002131BE" w:rsidRDefault="00D546CB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19 973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523FA933" w:rsidR="00AA2A09" w:rsidRPr="002131BE" w:rsidRDefault="00D546CB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02DB45C7" w:rsidR="00AA2A09" w:rsidRPr="002131BE" w:rsidRDefault="00690B2D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91,2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01332AF3" w14:textId="394B5EB0" w:rsidR="00AA2A09" w:rsidRPr="002131BE" w:rsidRDefault="00081FEB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184 395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3034D07" w14:textId="399B2D93" w:rsidR="00AA2A09" w:rsidRPr="002131BE" w:rsidRDefault="00081FEB" w:rsidP="00690B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104,0</w:t>
            </w:r>
          </w:p>
        </w:tc>
      </w:tr>
      <w:tr w:rsidR="00AA2A09" w:rsidRPr="002131BE" w14:paraId="519ED5A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3FEA6149" w:rsidR="00AA2A09" w:rsidRPr="002131BE" w:rsidRDefault="00D546CB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7 3</w:t>
            </w:r>
            <w:r w:rsidR="005A4920"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81" w:type="dxa"/>
            <w:vAlign w:val="center"/>
          </w:tcPr>
          <w:p w14:paraId="6194F71D" w14:textId="7EB065AA" w:rsidR="00AA2A09" w:rsidRPr="002131BE" w:rsidRDefault="00D546CB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5A49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AD907AD" w14:textId="5CC15AF7" w:rsidR="00AA2A09" w:rsidRPr="002131BE" w:rsidRDefault="00690B2D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A492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3084027" w14:textId="4DDFA9AF" w:rsidR="00AA2A09" w:rsidRPr="002131BE" w:rsidRDefault="00081FEB" w:rsidP="00CA43B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71 16</w:t>
            </w:r>
            <w:r w:rsidR="00CA43B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4E91FCDF" w14:textId="113045EF" w:rsidR="00AA2A09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119,3</w:t>
            </w:r>
          </w:p>
        </w:tc>
      </w:tr>
      <w:tr w:rsidR="003C2145" w:rsidRPr="002131BE" w14:paraId="2955D07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5770497" w14:textId="5DACC38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06" w:type="dxa"/>
            <w:vAlign w:val="center"/>
          </w:tcPr>
          <w:p w14:paraId="51F7F30A" w14:textId="12A8E2BC" w:rsidR="003C2145" w:rsidRPr="002131BE" w:rsidRDefault="00D546CB" w:rsidP="005A4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12 1</w:t>
            </w:r>
            <w:r w:rsidR="005A4920">
              <w:rPr>
                <w:rFonts w:cs="Arial"/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281" w:type="dxa"/>
            <w:vAlign w:val="center"/>
          </w:tcPr>
          <w:p w14:paraId="3033ACD6" w14:textId="49E5A8F4" w:rsidR="003C2145" w:rsidRPr="00483CB8" w:rsidRDefault="00D546C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1276" w:type="dxa"/>
            <w:vAlign w:val="center"/>
          </w:tcPr>
          <w:p w14:paraId="497A5E4A" w14:textId="649473D1" w:rsidR="003C2145" w:rsidRPr="00483CB8" w:rsidRDefault="00690B2D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vAlign w:val="center"/>
          </w:tcPr>
          <w:p w14:paraId="768020D6" w14:textId="1E90028E" w:rsidR="003C2145" w:rsidRPr="00483CB8" w:rsidRDefault="00081FEB" w:rsidP="00CA4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109 </w:t>
            </w:r>
            <w:r w:rsidR="00CA43BA">
              <w:rPr>
                <w:rFonts w:cs="Arial"/>
                <w:sz w:val="16"/>
                <w:szCs w:val="16"/>
              </w:rPr>
              <w:t>398</w:t>
            </w:r>
          </w:p>
        </w:tc>
        <w:tc>
          <w:tcPr>
            <w:tcW w:w="1134" w:type="dxa"/>
            <w:vAlign w:val="center"/>
          </w:tcPr>
          <w:p w14:paraId="2C78976C" w14:textId="03F79A06" w:rsidR="003C2145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</w:tr>
      <w:tr w:rsidR="003C2145" w:rsidRPr="002131BE" w14:paraId="01D2C631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3E462F0B" w:rsidR="003C2145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1" w:type="dxa"/>
            <w:vAlign w:val="center"/>
          </w:tcPr>
          <w:p w14:paraId="3E9872D9" w14:textId="0A8F70AF" w:rsidR="003C2145" w:rsidRPr="00483CB8" w:rsidRDefault="00D546C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50,6</w:t>
            </w:r>
          </w:p>
        </w:tc>
        <w:tc>
          <w:tcPr>
            <w:tcW w:w="1276" w:type="dxa"/>
            <w:vAlign w:val="center"/>
          </w:tcPr>
          <w:p w14:paraId="797ABC88" w14:textId="2E2C025A" w:rsidR="003C2145" w:rsidRPr="00483CB8" w:rsidRDefault="00690B2D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49,4</w:t>
            </w:r>
          </w:p>
        </w:tc>
        <w:tc>
          <w:tcPr>
            <w:tcW w:w="1134" w:type="dxa"/>
            <w:vAlign w:val="center"/>
          </w:tcPr>
          <w:p w14:paraId="749F951B" w14:textId="34F2B7E4" w:rsidR="003C2145" w:rsidRPr="00483CB8" w:rsidRDefault="00081FE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1 651</w:t>
            </w:r>
          </w:p>
        </w:tc>
        <w:tc>
          <w:tcPr>
            <w:tcW w:w="1134" w:type="dxa"/>
            <w:vAlign w:val="center"/>
          </w:tcPr>
          <w:p w14:paraId="292815A3" w14:textId="4CDC947F" w:rsidR="003C2145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136,3</w:t>
            </w:r>
          </w:p>
        </w:tc>
      </w:tr>
      <w:tr w:rsidR="003C2145" w:rsidRPr="002131BE" w14:paraId="460E7D98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2131BE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258794DC" w:rsidR="003C2145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81" w:type="dxa"/>
            <w:vAlign w:val="center"/>
          </w:tcPr>
          <w:p w14:paraId="3D632F3A" w14:textId="3BE2AD76" w:rsidR="003C2145" w:rsidRPr="00483CB8" w:rsidRDefault="00D546C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291,7</w:t>
            </w:r>
          </w:p>
        </w:tc>
        <w:tc>
          <w:tcPr>
            <w:tcW w:w="1276" w:type="dxa"/>
            <w:vAlign w:val="center"/>
          </w:tcPr>
          <w:p w14:paraId="211799A4" w14:textId="6962FFF9" w:rsidR="003C2145" w:rsidRPr="00483CB8" w:rsidRDefault="00690B2D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16DECB1" w14:textId="5E857B05" w:rsidR="003C2145" w:rsidRPr="00483CB8" w:rsidRDefault="00081FE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1670</w:t>
            </w:r>
          </w:p>
        </w:tc>
        <w:tc>
          <w:tcPr>
            <w:tcW w:w="1134" w:type="dxa"/>
            <w:vAlign w:val="center"/>
          </w:tcPr>
          <w:p w14:paraId="111DFA0D" w14:textId="4539AE71" w:rsidR="003C2145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151,3</w:t>
            </w:r>
          </w:p>
        </w:tc>
      </w:tr>
      <w:tr w:rsidR="00AA2A09" w:rsidRPr="002131BE" w14:paraId="036B05F2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5D6689EC" w:rsidR="00AA2A09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81" w:type="dxa"/>
            <w:vAlign w:val="center"/>
          </w:tcPr>
          <w:p w14:paraId="65DCFB32" w14:textId="02255114" w:rsidR="00AA2A09" w:rsidRPr="00483CB8" w:rsidRDefault="00D546C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80,0</w:t>
            </w:r>
          </w:p>
        </w:tc>
        <w:tc>
          <w:tcPr>
            <w:tcW w:w="1276" w:type="dxa"/>
            <w:vAlign w:val="center"/>
          </w:tcPr>
          <w:p w14:paraId="5B73817B" w14:textId="2EC5F930" w:rsidR="00AA2A09" w:rsidRPr="00483CB8" w:rsidRDefault="00690B2D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–krotnie więcej</w:t>
            </w:r>
          </w:p>
        </w:tc>
        <w:tc>
          <w:tcPr>
            <w:tcW w:w="1134" w:type="dxa"/>
          </w:tcPr>
          <w:p w14:paraId="793B4058" w14:textId="41CD5CD0" w:rsidR="00CA01C4" w:rsidRPr="00CA43BA" w:rsidRDefault="00081FEB" w:rsidP="00CA43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A43BA">
              <w:rPr>
                <w:rFonts w:cs="Arial"/>
                <w:sz w:val="16"/>
                <w:szCs w:val="16"/>
              </w:rPr>
              <w:t>1 132</w:t>
            </w:r>
          </w:p>
        </w:tc>
        <w:tc>
          <w:tcPr>
            <w:tcW w:w="1134" w:type="dxa"/>
            <w:vAlign w:val="center"/>
          </w:tcPr>
          <w:p w14:paraId="7120690D" w14:textId="50E60AE1" w:rsidR="00AA2A09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126,9</w:t>
            </w:r>
          </w:p>
        </w:tc>
      </w:tr>
      <w:tr w:rsidR="00AA2A09" w:rsidRPr="002131BE" w14:paraId="3600C954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41C5FFF2" w:rsidR="00AA2A09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81" w:type="dxa"/>
            <w:vAlign w:val="center"/>
          </w:tcPr>
          <w:p w14:paraId="3D081475" w14:textId="65211A22" w:rsidR="00AA2A09" w:rsidRPr="00392105" w:rsidRDefault="00730B95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2105">
              <w:rPr>
                <w:rFonts w:cs="Arial"/>
                <w:sz w:val="16"/>
                <w:szCs w:val="16"/>
              </w:rPr>
              <w:t>ponad 10 –krotnie mniej</w:t>
            </w:r>
          </w:p>
        </w:tc>
        <w:tc>
          <w:tcPr>
            <w:tcW w:w="1276" w:type="dxa"/>
            <w:vAlign w:val="center"/>
          </w:tcPr>
          <w:p w14:paraId="7A0599D4" w14:textId="6170FF14" w:rsidR="00AA2A09" w:rsidRPr="00392105" w:rsidRDefault="00730B95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2105">
              <w:rPr>
                <w:rFonts w:cs="Arial"/>
                <w:sz w:val="16"/>
                <w:szCs w:val="16"/>
              </w:rPr>
              <w:t>ponad 7 –krotnie mniej</w:t>
            </w:r>
          </w:p>
        </w:tc>
        <w:tc>
          <w:tcPr>
            <w:tcW w:w="1134" w:type="dxa"/>
          </w:tcPr>
          <w:p w14:paraId="43EB453D" w14:textId="7E6E63E9" w:rsidR="00AA2A09" w:rsidRPr="002131BE" w:rsidRDefault="00081FEB" w:rsidP="00690B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134" w:type="dxa"/>
            <w:vAlign w:val="center"/>
          </w:tcPr>
          <w:p w14:paraId="33CC0C4E" w14:textId="243C2DCF" w:rsidR="00AA2A09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85,3</w:t>
            </w:r>
          </w:p>
        </w:tc>
      </w:tr>
      <w:tr w:rsidR="00AA2A09" w:rsidRPr="003C2145" w14:paraId="5484B67C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63F8BF41" w:rsidR="00AA2A09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75574469" w14:textId="6C4C1143" w:rsidR="00AA2A09" w:rsidRPr="002131BE" w:rsidRDefault="00D546C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2FE86F60" w14:textId="3D3F1620" w:rsidR="00AA2A09" w:rsidRPr="002131BE" w:rsidRDefault="00D546CB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30579D7" w14:textId="6BFBE55E" w:rsidR="00AA2A09" w:rsidRPr="002131BE" w:rsidRDefault="00081FEB" w:rsidP="00690B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  <w:vAlign w:val="center"/>
          </w:tcPr>
          <w:p w14:paraId="041FD6EB" w14:textId="33B63066" w:rsidR="00E00AB3" w:rsidRPr="002131BE" w:rsidRDefault="00081FEB" w:rsidP="00690B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316,7</w:t>
            </w:r>
          </w:p>
        </w:tc>
      </w:tr>
      <w:bookmarkEnd w:id="1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EB4C875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44739052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="00DE0022" w:rsidRPr="002131BE">
                              <w:t xml:space="preserve"> </w:t>
                            </w:r>
                            <w:r w:rsidR="00DE0022" w:rsidRPr="002131BE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="00AE13B0" w:rsidRPr="002131BE">
                              <w:t xml:space="preserve"> </w:t>
                            </w:r>
                            <w:r w:rsidR="00904A02" w:rsidRPr="002131BE">
                              <w:t>okresie I-</w:t>
                            </w:r>
                            <w:r w:rsidR="0060167D">
                              <w:t>X</w:t>
                            </w:r>
                            <w:r w:rsidRPr="002131BE">
                              <w:t xml:space="preserve"> </w:t>
                            </w:r>
                            <w:r w:rsidR="00AE13B0" w:rsidRPr="002131BE">
                              <w:t>2021</w:t>
                            </w:r>
                            <w:r w:rsidR="00754ABB" w:rsidRPr="002131BE">
                              <w:t xml:space="preserve"> r. o </w:t>
                            </w:r>
                            <w:r w:rsidR="0023107E">
                              <w:t>29,2</w:t>
                            </w:r>
                            <w:r w:rsidRPr="002131BE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filled="f" stroked="f" strokeweight=".5pt">
                <v:textbox>
                  <w:txbxContent>
                    <w:p w14:paraId="3ADE06C3" w14:textId="44739052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="00DE0022" w:rsidRPr="002131BE">
                        <w:t xml:space="preserve"> </w:t>
                      </w:r>
                      <w:r w:rsidR="00DE0022" w:rsidRPr="002131BE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="00AE13B0" w:rsidRPr="002131BE">
                        <w:t xml:space="preserve"> </w:t>
                      </w:r>
                      <w:r w:rsidR="00904A02" w:rsidRPr="002131BE">
                        <w:t>okresie I-</w:t>
                      </w:r>
                      <w:r w:rsidR="0060167D">
                        <w:t>X</w:t>
                      </w:r>
                      <w:r w:rsidRPr="002131BE">
                        <w:t xml:space="preserve"> </w:t>
                      </w:r>
                      <w:r w:rsidR="00AE13B0" w:rsidRPr="002131BE">
                        <w:t>2021</w:t>
                      </w:r>
                      <w:r w:rsidR="00754ABB" w:rsidRPr="002131BE">
                        <w:t xml:space="preserve"> r. o </w:t>
                      </w:r>
                      <w:r w:rsidR="0023107E">
                        <w:t>29,2</w:t>
                      </w:r>
                      <w:r w:rsidRPr="002131BE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2216A8A4" w:rsidR="00DE0022" w:rsidRPr="002D020F" w:rsidRDefault="004A1699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Od </w:t>
      </w:r>
      <w:r w:rsidR="00F208E5" w:rsidRPr="002D020F">
        <w:rPr>
          <w:shd w:val="clear" w:color="auto" w:fill="FFFFFF"/>
        </w:rPr>
        <w:t>początku roku</w:t>
      </w:r>
      <w:r w:rsidRPr="002D020F">
        <w:rPr>
          <w:shd w:val="clear" w:color="auto" w:fill="FFFFFF"/>
        </w:rPr>
        <w:t xml:space="preserve"> do końca </w:t>
      </w:r>
      <w:r w:rsidR="00AC51C2">
        <w:rPr>
          <w:shd w:val="clear" w:color="auto" w:fill="FFFFFF"/>
        </w:rPr>
        <w:t>października</w:t>
      </w:r>
      <w:r w:rsidRPr="002D020F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202</w:t>
      </w:r>
      <w:r w:rsidR="003153BB" w:rsidRPr="002D020F">
        <w:rPr>
          <w:shd w:val="clear" w:color="auto" w:fill="FFFFFF"/>
        </w:rPr>
        <w:t>1</w:t>
      </w:r>
      <w:r w:rsidR="00DE0022" w:rsidRPr="002D020F">
        <w:rPr>
          <w:shd w:val="clear" w:color="auto" w:fill="FFFFFF"/>
        </w:rPr>
        <w:t xml:space="preserve"> r. wydano pozwolenia lub dokonano zgłoszenia budowy </w:t>
      </w:r>
      <w:r w:rsidR="00AC51C2">
        <w:rPr>
          <w:shd w:val="clear" w:color="auto" w:fill="FFFFFF"/>
        </w:rPr>
        <w:t>283,4</w:t>
      </w:r>
      <w:r w:rsidRPr="002D020F">
        <w:rPr>
          <w:shd w:val="clear" w:color="auto" w:fill="FFFFFF"/>
        </w:rPr>
        <w:t> </w:t>
      </w:r>
      <w:r w:rsidR="00D5133B" w:rsidRPr="002D020F">
        <w:rPr>
          <w:shd w:val="clear" w:color="auto" w:fill="FFFFFF"/>
        </w:rPr>
        <w:t>tys. mieszkań, tj. </w:t>
      </w:r>
      <w:r w:rsidR="00A267D3" w:rsidRPr="002D020F">
        <w:rPr>
          <w:shd w:val="clear" w:color="auto" w:fill="FFFFFF"/>
        </w:rPr>
        <w:t xml:space="preserve">o </w:t>
      </w:r>
      <w:r w:rsidR="00AC51C2">
        <w:rPr>
          <w:shd w:val="clear" w:color="auto" w:fill="FFFFFF"/>
        </w:rPr>
        <w:t>29,2</w:t>
      </w:r>
      <w:r w:rsidR="00DE0022" w:rsidRPr="002D020F">
        <w:rPr>
          <w:shd w:val="clear" w:color="auto" w:fill="FFFFFF"/>
        </w:rPr>
        <w:t xml:space="preserve">% więcej niż w </w:t>
      </w:r>
      <w:r w:rsidR="00E51068" w:rsidRPr="002D020F">
        <w:rPr>
          <w:shd w:val="clear" w:color="auto" w:fill="FFFFFF"/>
        </w:rPr>
        <w:t xml:space="preserve">analogicznym </w:t>
      </w:r>
      <w:r w:rsidR="00F71A95" w:rsidRPr="002D020F">
        <w:rPr>
          <w:shd w:val="clear" w:color="auto" w:fill="FFFFFF"/>
        </w:rPr>
        <w:t>okresie</w:t>
      </w:r>
      <w:r w:rsidR="00E51068" w:rsidRPr="002D020F">
        <w:rPr>
          <w:shd w:val="clear" w:color="auto" w:fill="FFFFFF"/>
        </w:rPr>
        <w:t xml:space="preserve"> 2020</w:t>
      </w:r>
      <w:r w:rsidR="00077F39" w:rsidRPr="002D020F">
        <w:rPr>
          <w:shd w:val="clear" w:color="auto" w:fill="FFFFFF"/>
        </w:rPr>
        <w:t xml:space="preserve"> r</w:t>
      </w:r>
      <w:r w:rsidR="00E060D0" w:rsidRPr="002D020F">
        <w:rPr>
          <w:shd w:val="clear" w:color="auto" w:fill="FFFFFF"/>
        </w:rPr>
        <w:t>oku</w:t>
      </w:r>
      <w:r w:rsidR="00DE0022" w:rsidRPr="002D020F">
        <w:rPr>
          <w:shd w:val="clear" w:color="auto" w:fill="FFFFFF"/>
        </w:rPr>
        <w:t xml:space="preserve">. Pozwolenia na budowę największej liczby mieszkań otrzymali </w:t>
      </w:r>
      <w:r w:rsidR="00DE0022" w:rsidRPr="002D020F">
        <w:rPr>
          <w:b/>
          <w:shd w:val="clear" w:color="auto" w:fill="FFFFFF"/>
        </w:rPr>
        <w:t xml:space="preserve">deweloperzy </w:t>
      </w:r>
      <w:r w:rsidR="000B725C" w:rsidRPr="002D020F">
        <w:rPr>
          <w:shd w:val="clear" w:color="auto" w:fill="FFFFFF"/>
        </w:rPr>
        <w:t>(</w:t>
      </w:r>
      <w:r w:rsidR="00AC51C2">
        <w:rPr>
          <w:shd w:val="clear" w:color="auto" w:fill="FFFFFF"/>
        </w:rPr>
        <w:t>174,4</w:t>
      </w:r>
      <w:r w:rsidR="00DE0022" w:rsidRPr="002D020F">
        <w:rPr>
          <w:color w:val="000000" w:themeColor="text1"/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tys</w:t>
      </w:r>
      <w:r w:rsidR="00E970A9" w:rsidRPr="002D020F">
        <w:rPr>
          <w:shd w:val="clear" w:color="auto" w:fill="FFFFFF"/>
        </w:rPr>
        <w:t>., wzrost o</w:t>
      </w:r>
      <w:r w:rsidR="00AC51C2">
        <w:rPr>
          <w:shd w:val="clear" w:color="auto" w:fill="FFFFFF"/>
        </w:rPr>
        <w:t> </w:t>
      </w:r>
      <w:r w:rsidR="00D91F82">
        <w:rPr>
          <w:shd w:val="clear" w:color="auto" w:fill="FFFFFF"/>
        </w:rPr>
        <w:t>3</w:t>
      </w:r>
      <w:r w:rsidR="00AC51C2">
        <w:rPr>
          <w:shd w:val="clear" w:color="auto" w:fill="FFFFFF"/>
        </w:rPr>
        <w:t>1,5</w:t>
      </w:r>
      <w:r w:rsidR="00DE0022" w:rsidRPr="002D020F">
        <w:rPr>
          <w:shd w:val="clear" w:color="auto" w:fill="FFFFFF"/>
        </w:rPr>
        <w:t>% r/r) oraz inwestorzy</w:t>
      </w:r>
      <w:r w:rsidR="00DE0022" w:rsidRPr="002D020F">
        <w:rPr>
          <w:b/>
          <w:shd w:val="clear" w:color="auto" w:fill="FFFFFF"/>
        </w:rPr>
        <w:t xml:space="preserve"> indywidualni </w:t>
      </w:r>
      <w:r w:rsidR="00A267D3" w:rsidRPr="002D020F">
        <w:rPr>
          <w:shd w:val="clear" w:color="auto" w:fill="FFFFFF"/>
        </w:rPr>
        <w:t>(</w:t>
      </w:r>
      <w:r w:rsidR="00AC51C2">
        <w:rPr>
          <w:shd w:val="clear" w:color="auto" w:fill="FFFFFF"/>
        </w:rPr>
        <w:t>10</w:t>
      </w:r>
      <w:r w:rsidR="00CA43BA">
        <w:rPr>
          <w:shd w:val="clear" w:color="auto" w:fill="FFFFFF"/>
        </w:rPr>
        <w:t>5</w:t>
      </w:r>
      <w:r w:rsidR="00AC51C2">
        <w:rPr>
          <w:shd w:val="clear" w:color="auto" w:fill="FFFFFF"/>
        </w:rPr>
        <w:t>,7</w:t>
      </w:r>
      <w:r w:rsidR="00D91F82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 xml:space="preserve">tys., wzrost o </w:t>
      </w:r>
      <w:r w:rsidR="00AC51C2">
        <w:rPr>
          <w:shd w:val="clear" w:color="auto" w:fill="FFFFFF"/>
        </w:rPr>
        <w:t>25,6</w:t>
      </w:r>
      <w:r w:rsidR="00DE0022" w:rsidRPr="002D020F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B725C" w:rsidRPr="002D020F">
        <w:rPr>
          <w:shd w:val="clear" w:color="auto" w:fill="FFFFFF"/>
        </w:rPr>
        <w:t>98,</w:t>
      </w:r>
      <w:r w:rsidR="00E060D0" w:rsidRPr="002D020F">
        <w:rPr>
          <w:shd w:val="clear" w:color="auto" w:fill="FFFFFF"/>
        </w:rPr>
        <w:t>9</w:t>
      </w:r>
      <w:r w:rsidR="00DE0022" w:rsidRPr="002D020F">
        <w:rPr>
          <w:shd w:val="clear" w:color="auto" w:fill="FFFFFF"/>
        </w:rPr>
        <w:t>% ogółu mieszkań.</w:t>
      </w:r>
      <w:r w:rsidR="00DE0022" w:rsidRPr="002D020F">
        <w:rPr>
          <w:b/>
          <w:shd w:val="clear" w:color="auto" w:fill="FFFFFF"/>
        </w:rPr>
        <w:t xml:space="preserve"> </w:t>
      </w:r>
      <w:r w:rsidR="0034659B" w:rsidRPr="002D020F">
        <w:rPr>
          <w:shd w:val="clear" w:color="auto" w:fill="FFFFFF"/>
        </w:rPr>
        <w:t xml:space="preserve">W </w:t>
      </w:r>
      <w:r w:rsidR="00041327" w:rsidRPr="002D020F">
        <w:rPr>
          <w:b/>
          <w:shd w:val="clear" w:color="auto" w:fill="FFFFFF"/>
        </w:rPr>
        <w:t>pozostałych formach</w:t>
      </w:r>
      <w:r w:rsidR="00041327" w:rsidRPr="002D020F">
        <w:rPr>
          <w:shd w:val="clear" w:color="auto" w:fill="FFFFFF"/>
        </w:rPr>
        <w:t xml:space="preserve"> budownictwa </w:t>
      </w:r>
      <w:r w:rsidR="0034659B" w:rsidRPr="002D020F">
        <w:rPr>
          <w:shd w:val="clear" w:color="auto" w:fill="FFFFFF"/>
        </w:rPr>
        <w:t xml:space="preserve">odnotowano </w:t>
      </w:r>
      <w:r w:rsidR="00AC51C2">
        <w:rPr>
          <w:shd w:val="clear" w:color="auto" w:fill="FFFFFF"/>
        </w:rPr>
        <w:t>3 247</w:t>
      </w:r>
      <w:r w:rsidR="0034659B" w:rsidRPr="002D020F">
        <w:rPr>
          <w:shd w:val="clear" w:color="auto" w:fill="FFFFFF"/>
        </w:rPr>
        <w:t xml:space="preserve"> </w:t>
      </w:r>
      <w:r w:rsidR="00041327" w:rsidRPr="002D020F">
        <w:rPr>
          <w:color w:val="000000" w:themeColor="text1"/>
          <w:shd w:val="clear" w:color="auto" w:fill="FFFFFF"/>
        </w:rPr>
        <w:t>mieszka</w:t>
      </w:r>
      <w:r w:rsidR="0060167D">
        <w:rPr>
          <w:color w:val="000000" w:themeColor="text1"/>
          <w:shd w:val="clear" w:color="auto" w:fill="FFFFFF"/>
        </w:rPr>
        <w:t>ń</w:t>
      </w:r>
      <w:r w:rsidR="002F5AA1" w:rsidRPr="002D020F">
        <w:rPr>
          <w:color w:val="000000" w:themeColor="text1"/>
          <w:shd w:val="clear" w:color="auto" w:fill="FFFFFF"/>
        </w:rPr>
        <w:t>,</w:t>
      </w:r>
      <w:r w:rsidR="00041327" w:rsidRPr="002D020F">
        <w:rPr>
          <w:color w:val="000000" w:themeColor="text1"/>
          <w:shd w:val="clear" w:color="auto" w:fill="FFFFFF"/>
        </w:rPr>
        <w:t xml:space="preserve"> </w:t>
      </w:r>
      <w:r w:rsidR="00041327" w:rsidRPr="002D020F">
        <w:rPr>
          <w:shd w:val="clear" w:color="auto" w:fill="FFFFFF"/>
        </w:rPr>
        <w:t>na </w:t>
      </w:r>
      <w:r w:rsidR="00DE0022" w:rsidRPr="002D020F">
        <w:rPr>
          <w:shd w:val="clear" w:color="auto" w:fill="FFFFFF"/>
        </w:rPr>
        <w:t>których budowę wydano pozwolenia lub dokonano zgłoszenia z projektem budowlanym (</w:t>
      </w:r>
      <w:r w:rsidR="00AC51C2">
        <w:rPr>
          <w:shd w:val="clear" w:color="auto" w:fill="FFFFFF"/>
        </w:rPr>
        <w:t>2 544</w:t>
      </w:r>
      <w:r w:rsidR="0043558C" w:rsidRPr="002D020F">
        <w:rPr>
          <w:shd w:val="clear" w:color="auto" w:fill="FFFFFF"/>
        </w:rPr>
        <w:t> </w:t>
      </w:r>
      <w:r w:rsidR="00516A51" w:rsidRPr="002D020F">
        <w:rPr>
          <w:shd w:val="clear" w:color="auto" w:fill="FFFFFF"/>
        </w:rPr>
        <w:t>mieszka</w:t>
      </w:r>
      <w:r w:rsidR="00392105">
        <w:rPr>
          <w:shd w:val="clear" w:color="auto" w:fill="FFFFFF"/>
        </w:rPr>
        <w:t xml:space="preserve">nia </w:t>
      </w:r>
      <w:r w:rsidR="0034659B" w:rsidRPr="002D020F">
        <w:rPr>
          <w:shd w:val="clear" w:color="auto" w:fill="FFFFFF"/>
        </w:rPr>
        <w:t>w roku ubiegłym</w:t>
      </w:r>
      <w:r w:rsidR="00041327" w:rsidRPr="002D020F">
        <w:rPr>
          <w:shd w:val="clear" w:color="auto" w:fill="FFFFFF"/>
        </w:rPr>
        <w:t>).</w:t>
      </w:r>
      <w:r w:rsidR="00712FCA" w:rsidRPr="002D020F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275"/>
        <w:gridCol w:w="1134"/>
        <w:gridCol w:w="1276"/>
      </w:tblGrid>
      <w:tr w:rsidR="004075A5" w:rsidRPr="004075A5" w14:paraId="43B0C677" w14:textId="77777777" w:rsidTr="009A6D0C">
        <w:trPr>
          <w:trHeight w:val="57"/>
        </w:trPr>
        <w:tc>
          <w:tcPr>
            <w:tcW w:w="1985" w:type="dxa"/>
            <w:vMerge w:val="restart"/>
            <w:vAlign w:val="center"/>
          </w:tcPr>
          <w:p w14:paraId="2D840C91" w14:textId="36B1E214" w:rsidR="004075A5" w:rsidRPr="004075A5" w:rsidRDefault="004075A5" w:rsidP="0028771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95" w:type="dxa"/>
            <w:gridSpan w:val="5"/>
            <w:vAlign w:val="center"/>
          </w:tcPr>
          <w:p w14:paraId="3DE2DFCE" w14:textId="752E028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9A6D0C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3E1870D6" w:rsidR="004075A5" w:rsidRPr="004075A5" w:rsidRDefault="00D91F82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1F62D70E" w:rsidR="004075A5" w:rsidRPr="004075A5" w:rsidRDefault="004075A5" w:rsidP="00D91F8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4075A5" w:rsidRPr="004075A5" w14:paraId="2C0F9CC8" w14:textId="77777777" w:rsidTr="00B53AEF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C4C120B" w14:textId="4AAD8F4B" w:rsidR="004075A5" w:rsidRPr="004075A5" w:rsidRDefault="00D91F82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4D5D09D6" w14:textId="08094C56" w:rsidR="004075A5" w:rsidRPr="004075A5" w:rsidRDefault="00081A73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AC51C2">
              <w:rPr>
                <w:color w:val="000000" w:themeColor="text1"/>
                <w:sz w:val="16"/>
                <w:szCs w:val="16"/>
              </w:rPr>
              <w:t>X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67C22DC5" w:rsidR="004075A5" w:rsidRPr="004075A5" w:rsidRDefault="004075A5" w:rsidP="00D91F8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X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B53AEF">
        <w:trPr>
          <w:trHeight w:val="57"/>
        </w:trPr>
        <w:tc>
          <w:tcPr>
            <w:tcW w:w="1985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2B381F" w14:textId="58CE005F" w:rsidR="004075A5" w:rsidRPr="004075A5" w:rsidRDefault="00D546C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28 728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14DE4A" w14:textId="38409AEC" w:rsidR="004075A5" w:rsidRPr="004075A5" w:rsidRDefault="00D546C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106,6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9A0C5B4" w14:textId="60B34A58" w:rsidR="004075A5" w:rsidRPr="004075A5" w:rsidRDefault="00690B2D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105,4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2F8A763C" w:rsidR="004075A5" w:rsidRPr="002131BE" w:rsidRDefault="00813089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283 394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0BD5B09F" w:rsidR="004075A5" w:rsidRPr="002131BE" w:rsidRDefault="00813089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129,2</w:t>
            </w:r>
          </w:p>
        </w:tc>
      </w:tr>
      <w:tr w:rsidR="004075A5" w:rsidRPr="004075A5" w14:paraId="5C8626E2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502CE75A" w14:textId="71F11B98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11 364</w:t>
            </w:r>
          </w:p>
        </w:tc>
        <w:tc>
          <w:tcPr>
            <w:tcW w:w="1276" w:type="dxa"/>
            <w:vAlign w:val="center"/>
          </w:tcPr>
          <w:p w14:paraId="65B4370B" w14:textId="21842CA6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125,1</w:t>
            </w:r>
          </w:p>
        </w:tc>
        <w:tc>
          <w:tcPr>
            <w:tcW w:w="1275" w:type="dxa"/>
            <w:vAlign w:val="center"/>
          </w:tcPr>
          <w:p w14:paraId="4DB0888C" w14:textId="5937F339" w:rsidR="004075A5" w:rsidRPr="004075A5" w:rsidRDefault="00690B2D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1134" w:type="dxa"/>
            <w:vAlign w:val="center"/>
          </w:tcPr>
          <w:p w14:paraId="08733DC0" w14:textId="6DE6AC58" w:rsidR="004075A5" w:rsidRPr="002131BE" w:rsidRDefault="0081308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105 715</w:t>
            </w:r>
          </w:p>
        </w:tc>
        <w:tc>
          <w:tcPr>
            <w:tcW w:w="1276" w:type="dxa"/>
            <w:vAlign w:val="center"/>
          </w:tcPr>
          <w:p w14:paraId="4814AEE3" w14:textId="1FE58E05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125,6</w:t>
            </w:r>
          </w:p>
        </w:tc>
      </w:tr>
      <w:tr w:rsidR="004075A5" w:rsidRPr="004075A5" w14:paraId="1BA9D8A1" w14:textId="77777777" w:rsidTr="00B53AEF">
        <w:trPr>
          <w:trHeight w:val="381"/>
        </w:trPr>
        <w:tc>
          <w:tcPr>
            <w:tcW w:w="1985" w:type="dxa"/>
            <w:vAlign w:val="center"/>
          </w:tcPr>
          <w:p w14:paraId="218EA5F0" w14:textId="5C3AFA9A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880A8FF" w14:textId="49BC8350" w:rsidR="004075A5" w:rsidRPr="004075A5" w:rsidRDefault="00D546CB" w:rsidP="001C7B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16 898</w:t>
            </w:r>
          </w:p>
        </w:tc>
        <w:tc>
          <w:tcPr>
            <w:tcW w:w="1276" w:type="dxa"/>
            <w:vAlign w:val="center"/>
          </w:tcPr>
          <w:p w14:paraId="7AE04368" w14:textId="66B198C5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1275" w:type="dxa"/>
            <w:vAlign w:val="center"/>
          </w:tcPr>
          <w:p w14:paraId="0886E7E4" w14:textId="527AC911" w:rsidR="004075A5" w:rsidRPr="004075A5" w:rsidRDefault="00690B2D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110,4</w:t>
            </w:r>
          </w:p>
        </w:tc>
        <w:tc>
          <w:tcPr>
            <w:tcW w:w="1134" w:type="dxa"/>
            <w:vAlign w:val="center"/>
          </w:tcPr>
          <w:p w14:paraId="3A7ADA17" w14:textId="456E8FEC" w:rsidR="004075A5" w:rsidRPr="002131BE" w:rsidRDefault="0081308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174 432</w:t>
            </w:r>
          </w:p>
        </w:tc>
        <w:tc>
          <w:tcPr>
            <w:tcW w:w="1276" w:type="dxa"/>
            <w:vAlign w:val="center"/>
          </w:tcPr>
          <w:p w14:paraId="160D6A0B" w14:textId="44860984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131,5</w:t>
            </w:r>
          </w:p>
        </w:tc>
      </w:tr>
      <w:tr w:rsidR="004075A5" w:rsidRPr="004075A5" w14:paraId="02C5DA42" w14:textId="77777777" w:rsidTr="00B53AEF">
        <w:trPr>
          <w:trHeight w:val="254"/>
        </w:trPr>
        <w:tc>
          <w:tcPr>
            <w:tcW w:w="1985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330D7C09" w14:textId="60067FE2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75C2543" w14:textId="2AF8C1B8" w:rsidR="004075A5" w:rsidRPr="00FC191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150E3377" w14:textId="242C7B4C" w:rsidR="004075A5" w:rsidRPr="00FC1915" w:rsidRDefault="00D546CB" w:rsidP="009A6D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CD91194" w14:textId="3D943690" w:rsidR="004075A5" w:rsidRPr="00FC1915" w:rsidRDefault="00813089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726</w:t>
            </w:r>
          </w:p>
        </w:tc>
        <w:tc>
          <w:tcPr>
            <w:tcW w:w="1276" w:type="dxa"/>
            <w:vAlign w:val="center"/>
          </w:tcPr>
          <w:p w14:paraId="0E844132" w14:textId="6527F387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62,0</w:t>
            </w:r>
          </w:p>
        </w:tc>
      </w:tr>
      <w:tr w:rsidR="004075A5" w:rsidRPr="004075A5" w14:paraId="7D7C615E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B52C733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vAlign w:val="center"/>
          </w:tcPr>
          <w:p w14:paraId="31B0FCB2" w14:textId="7464E98C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vAlign w:val="center"/>
          </w:tcPr>
          <w:p w14:paraId="6DDB0B4F" w14:textId="463EADCF" w:rsidR="004075A5" w:rsidRPr="00483CB8" w:rsidRDefault="00D546CB" w:rsidP="00483C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125,9</w:t>
            </w:r>
          </w:p>
        </w:tc>
        <w:tc>
          <w:tcPr>
            <w:tcW w:w="1275" w:type="dxa"/>
            <w:vAlign w:val="center"/>
          </w:tcPr>
          <w:p w14:paraId="074DBCF4" w14:textId="4B807894" w:rsidR="004075A5" w:rsidRPr="004075A5" w:rsidRDefault="00690B2D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1134" w:type="dxa"/>
            <w:vAlign w:val="center"/>
          </w:tcPr>
          <w:p w14:paraId="4C569BCE" w14:textId="79FE0661" w:rsidR="004075A5" w:rsidRPr="002131BE" w:rsidRDefault="00813089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1276" w:type="dxa"/>
            <w:vAlign w:val="center"/>
          </w:tcPr>
          <w:p w14:paraId="31A40C66" w14:textId="48B6756F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126,0</w:t>
            </w:r>
          </w:p>
        </w:tc>
      </w:tr>
      <w:tr w:rsidR="004075A5" w:rsidRPr="004075A5" w14:paraId="29AF1D91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27B05BD2" w14:textId="5BDA4CF8" w:rsidR="004075A5" w:rsidRPr="004075A5" w:rsidRDefault="004075A5" w:rsidP="004A62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33BF46C1" w14:textId="5E60A801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</w:tcPr>
          <w:p w14:paraId="4C0A2E2F" w14:textId="6D9EBBC8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202,6</w:t>
            </w:r>
          </w:p>
        </w:tc>
        <w:tc>
          <w:tcPr>
            <w:tcW w:w="1275" w:type="dxa"/>
            <w:vAlign w:val="center"/>
          </w:tcPr>
          <w:p w14:paraId="3D9A9345" w14:textId="1A9E92B8" w:rsidR="004075A5" w:rsidRPr="004075A5" w:rsidRDefault="00690B2D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vAlign w:val="center"/>
          </w:tcPr>
          <w:p w14:paraId="6E10A1DE" w14:textId="3F3C0691" w:rsidR="004075A5" w:rsidRPr="002131BE" w:rsidRDefault="00813089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A43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520</w:t>
            </w:r>
          </w:p>
        </w:tc>
        <w:tc>
          <w:tcPr>
            <w:tcW w:w="1276" w:type="dxa"/>
            <w:vAlign w:val="center"/>
          </w:tcPr>
          <w:p w14:paraId="0F1EBFC2" w14:textId="1AC3F2AD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219,3</w:t>
            </w:r>
          </w:p>
        </w:tc>
      </w:tr>
      <w:tr w:rsidR="004075A5" w:rsidRPr="004075A5" w14:paraId="4FA3291C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3E0DFDF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vAlign w:val="center"/>
          </w:tcPr>
          <w:p w14:paraId="39D4F912" w14:textId="3D1A09DA" w:rsidR="004075A5" w:rsidRPr="004075A5" w:rsidRDefault="00D546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vAlign w:val="center"/>
          </w:tcPr>
          <w:p w14:paraId="3A64098C" w14:textId="6B290376" w:rsidR="004075A5" w:rsidRPr="004075A5" w:rsidRDefault="00690B2D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ACF09D1" w14:textId="61728EC0" w:rsidR="004075A5" w:rsidRPr="004075A5" w:rsidRDefault="00690B2D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1134" w:type="dxa"/>
            <w:vAlign w:val="center"/>
          </w:tcPr>
          <w:p w14:paraId="63B8551D" w14:textId="563008FD" w:rsidR="004075A5" w:rsidRPr="002131BE" w:rsidRDefault="00813089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276" w:type="dxa"/>
            <w:vAlign w:val="center"/>
          </w:tcPr>
          <w:p w14:paraId="31A63099" w14:textId="4DAC2108" w:rsidR="004075A5" w:rsidRPr="002131BE" w:rsidRDefault="00813089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73,5- krotnie więcej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11EB8205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691D7C">
        <w:rPr>
          <w:noProof/>
          <w:lang w:eastAsia="pl-PL"/>
        </w:rPr>
        <w:t>okresie styczeń-październik</w:t>
      </w:r>
      <w:r w:rsidR="000D1A1B">
        <w:rPr>
          <w:noProof/>
          <w:lang w:eastAsia="pl-PL"/>
        </w:rPr>
        <w:t xml:space="preserve"> </w:t>
      </w:r>
      <w:r w:rsidR="000D1A1B" w:rsidRPr="002D020F">
        <w:rPr>
          <w:noProof/>
          <w:lang w:eastAsia="pl-PL"/>
        </w:rPr>
        <w:t>2021</w:t>
      </w:r>
      <w:r w:rsidRPr="002D020F">
        <w:rPr>
          <w:noProof/>
          <w:lang w:eastAsia="pl-PL"/>
        </w:rPr>
        <w:t xml:space="preserve"> r. rozpoczęto budowę </w:t>
      </w:r>
      <w:r w:rsidR="00691D7C">
        <w:rPr>
          <w:noProof/>
          <w:lang w:eastAsia="pl-PL"/>
        </w:rPr>
        <w:t>239,0</w:t>
      </w:r>
      <w:r w:rsidRPr="002D020F">
        <w:rPr>
          <w:shd w:val="clear" w:color="auto" w:fill="FFFFFF"/>
        </w:rPr>
        <w:t xml:space="preserve"> tys. </w:t>
      </w:r>
      <w:r w:rsidRPr="00FC1915">
        <w:rPr>
          <w:shd w:val="clear" w:color="auto" w:fill="FFFFFF"/>
        </w:rPr>
        <w:t xml:space="preserve">mieszkań, tj. o </w:t>
      </w:r>
      <w:r w:rsidR="00691D7C">
        <w:rPr>
          <w:shd w:val="clear" w:color="auto" w:fill="FFFFFF"/>
        </w:rPr>
        <w:t>27,8</w:t>
      </w:r>
      <w:r w:rsidRPr="00FC1915">
        <w:rPr>
          <w:shd w:val="clear" w:color="auto" w:fill="FFFFFF"/>
        </w:rPr>
        <w:t xml:space="preserve">% </w:t>
      </w:r>
      <w:r w:rsidR="000607D3" w:rsidRPr="00FC1915">
        <w:rPr>
          <w:shd w:val="clear" w:color="auto" w:fill="FFFFFF"/>
        </w:rPr>
        <w:t>więcej</w:t>
      </w:r>
      <w:r w:rsidRPr="00FC1915">
        <w:rPr>
          <w:shd w:val="clear" w:color="auto" w:fill="FFFFFF"/>
        </w:rPr>
        <w:t xml:space="preserve"> niż</w:t>
      </w:r>
      <w:r w:rsidR="00077F39" w:rsidRPr="00FC1915">
        <w:rPr>
          <w:shd w:val="clear" w:color="auto" w:fill="FFFFFF"/>
        </w:rPr>
        <w:t xml:space="preserve"> przed rokiem</w:t>
      </w:r>
      <w:r w:rsidRPr="00FC1915">
        <w:rPr>
          <w:shd w:val="clear" w:color="auto" w:fill="FFFFFF"/>
        </w:rPr>
        <w:t xml:space="preserve">. </w:t>
      </w:r>
      <w:r w:rsidRPr="00FC1915">
        <w:rPr>
          <w:b/>
          <w:shd w:val="clear" w:color="auto" w:fill="FFFFFF"/>
        </w:rPr>
        <w:t>Deweloperzy</w:t>
      </w:r>
      <w:r w:rsidR="000177EE" w:rsidRPr="00FC1915">
        <w:rPr>
          <w:shd w:val="clear" w:color="auto" w:fill="FFFFFF"/>
        </w:rPr>
        <w:t xml:space="preserve"> rozpoczęli budowę </w:t>
      </w:r>
      <w:r w:rsidR="00691D7C">
        <w:rPr>
          <w:shd w:val="clear" w:color="auto" w:fill="FFFFFF"/>
        </w:rPr>
        <w:t>140,9</w:t>
      </w:r>
      <w:r w:rsidRPr="00FC1915">
        <w:rPr>
          <w:shd w:val="clear" w:color="auto" w:fill="FFFFFF"/>
        </w:rPr>
        <w:t xml:space="preserve"> tys.</w:t>
      </w:r>
      <w:r w:rsidRPr="00FC1915">
        <w:rPr>
          <w:color w:val="FF0000"/>
          <w:shd w:val="clear" w:color="auto" w:fill="FFFFFF"/>
        </w:rPr>
        <w:t xml:space="preserve"> </w:t>
      </w:r>
      <w:r w:rsidRPr="00FC1915">
        <w:rPr>
          <w:shd w:val="clear" w:color="auto" w:fill="FFFFFF"/>
        </w:rPr>
        <w:t>mieszkań (</w:t>
      </w:r>
      <w:r w:rsidR="000607D3" w:rsidRPr="00FC1915">
        <w:t>o</w:t>
      </w:r>
      <w:r w:rsidR="00FC1915" w:rsidRPr="00FC1915">
        <w:t xml:space="preserve"> </w:t>
      </w:r>
      <w:r w:rsidR="00691D7C">
        <w:t>33,8</w:t>
      </w:r>
      <w:r w:rsidR="000D1A1B" w:rsidRPr="00FC1915">
        <w:t>%</w:t>
      </w:r>
      <w:r w:rsidRPr="00FC1915">
        <w:rPr>
          <w:shd w:val="clear" w:color="auto" w:fill="FFFFFF"/>
        </w:rPr>
        <w:t xml:space="preserve"> </w:t>
      </w:r>
      <w:r w:rsidR="006469F7" w:rsidRPr="00FC1915">
        <w:rPr>
          <w:shd w:val="clear" w:color="auto" w:fill="FFFFFF"/>
        </w:rPr>
        <w:t>więcej</w:t>
      </w:r>
      <w:r w:rsidR="00D5133B" w:rsidRPr="00FC1915">
        <w:rPr>
          <w:shd w:val="clear" w:color="auto" w:fill="FFFFFF"/>
        </w:rPr>
        <w:t>),</w:t>
      </w:r>
      <w:r w:rsidRPr="00FC1915">
        <w:rPr>
          <w:shd w:val="clear" w:color="auto" w:fill="FFFFFF"/>
        </w:rPr>
        <w:t xml:space="preserve"> a inwestorzy</w:t>
      </w:r>
      <w:r w:rsidRPr="002D020F">
        <w:rPr>
          <w:b/>
          <w:shd w:val="clear" w:color="auto" w:fill="FFFFFF"/>
        </w:rPr>
        <w:t xml:space="preserve"> indywidualni</w:t>
      </w:r>
      <w:r w:rsidR="002C0949" w:rsidRPr="002D020F">
        <w:rPr>
          <w:shd w:val="clear" w:color="auto" w:fill="FFFFFF"/>
        </w:rPr>
        <w:t xml:space="preserve"> </w:t>
      </w:r>
      <w:r w:rsidR="00691D7C">
        <w:rPr>
          <w:shd w:val="clear" w:color="auto" w:fill="FFFFFF"/>
        </w:rPr>
        <w:t>93,9</w:t>
      </w:r>
      <w:r w:rsidR="000607D3" w:rsidRPr="002D020F">
        <w:rPr>
          <w:shd w:val="clear" w:color="auto" w:fill="FFFFFF"/>
        </w:rPr>
        <w:t xml:space="preserve"> </w:t>
      </w:r>
      <w:r w:rsidR="00CF3BF8" w:rsidRPr="002D020F">
        <w:rPr>
          <w:shd w:val="clear" w:color="auto" w:fill="FFFFFF"/>
        </w:rPr>
        <w:t>tys.</w:t>
      </w:r>
      <w:r w:rsidR="00077F39" w:rsidRPr="002D020F">
        <w:rPr>
          <w:shd w:val="clear" w:color="auto" w:fill="FFFFFF"/>
        </w:rPr>
        <w:t xml:space="preserve"> </w:t>
      </w:r>
      <w:r w:rsidR="000D1A1B" w:rsidRPr="002D020F">
        <w:rPr>
          <w:shd w:val="clear" w:color="auto" w:fill="FFFFFF"/>
        </w:rPr>
        <w:t>(</w:t>
      </w:r>
      <w:r w:rsidR="00620E6D" w:rsidRPr="002D020F">
        <w:rPr>
          <w:shd w:val="clear" w:color="auto" w:fill="FFFFFF"/>
        </w:rPr>
        <w:t xml:space="preserve">o </w:t>
      </w:r>
      <w:r w:rsidR="00691D7C">
        <w:rPr>
          <w:shd w:val="clear" w:color="auto" w:fill="FFFFFF"/>
        </w:rPr>
        <w:t>19,4</w:t>
      </w:r>
      <w:r w:rsidR="000D1A1B" w:rsidRPr="002D020F">
        <w:rPr>
          <w:shd w:val="clear" w:color="auto" w:fill="FFFFFF"/>
        </w:rPr>
        <w:t xml:space="preserve">% </w:t>
      </w:r>
      <w:r w:rsidR="005E6D78" w:rsidRPr="002D020F">
        <w:rPr>
          <w:shd w:val="clear" w:color="auto" w:fill="FFFFFF"/>
        </w:rPr>
        <w:t>więcej</w:t>
      </w:r>
      <w:r w:rsidR="000D1A1B" w:rsidRPr="002D020F">
        <w:rPr>
          <w:shd w:val="clear" w:color="auto" w:fill="FFFFFF"/>
        </w:rPr>
        <w:t>).</w:t>
      </w:r>
      <w:r w:rsidRPr="002D020F">
        <w:rPr>
          <w:color w:val="FF0000"/>
          <w:shd w:val="clear" w:color="auto" w:fill="FFFFFF"/>
        </w:rPr>
        <w:t xml:space="preserve"> </w:t>
      </w:r>
      <w:r w:rsidR="000D1A1B" w:rsidRPr="002D020F">
        <w:rPr>
          <w:shd w:val="clear" w:color="auto" w:fill="FFFFFF"/>
        </w:rPr>
        <w:t>Ł</w:t>
      </w:r>
      <w:r w:rsidRPr="002D020F">
        <w:rPr>
          <w:shd w:val="clear" w:color="auto" w:fill="FFFFFF"/>
        </w:rPr>
        <w:t xml:space="preserve">ącznie </w:t>
      </w:r>
      <w:r w:rsidR="00A226AC" w:rsidRPr="002D020F">
        <w:rPr>
          <w:shd w:val="clear" w:color="auto" w:fill="FFFFFF"/>
        </w:rPr>
        <w:t xml:space="preserve">udział tych form budownictwa wyniósł </w:t>
      </w:r>
      <w:r w:rsidR="00980DDF" w:rsidRPr="002D020F">
        <w:rPr>
          <w:shd w:val="clear" w:color="auto" w:fill="FFFFFF"/>
        </w:rPr>
        <w:t>98,</w:t>
      </w:r>
      <w:r w:rsidR="00691D7C">
        <w:rPr>
          <w:shd w:val="clear" w:color="auto" w:fill="FFFFFF"/>
        </w:rPr>
        <w:t>3</w:t>
      </w:r>
      <w:r w:rsidRPr="002D020F">
        <w:rPr>
          <w:shd w:val="clear" w:color="auto" w:fill="FFFFFF"/>
        </w:rPr>
        <w:t xml:space="preserve">% ogólnej liczby mieszkań. </w:t>
      </w:r>
      <w:r w:rsidR="00712FCA" w:rsidRPr="002D020F">
        <w:rPr>
          <w:shd w:val="clear" w:color="auto" w:fill="FFFFFF"/>
        </w:rPr>
        <w:t xml:space="preserve">W </w:t>
      </w:r>
      <w:r w:rsidR="00BB7C7E" w:rsidRPr="002D020F">
        <w:rPr>
          <w:b/>
          <w:shd w:val="clear" w:color="auto" w:fill="FFFFFF"/>
        </w:rPr>
        <w:t>pozostałych formach</w:t>
      </w:r>
      <w:r w:rsidR="00BB7C7E" w:rsidRPr="002D020F">
        <w:rPr>
          <w:shd w:val="clear" w:color="auto" w:fill="FFFFFF"/>
        </w:rPr>
        <w:t xml:space="preserve"> budownictwa </w:t>
      </w:r>
      <w:r w:rsidRPr="002D020F">
        <w:rPr>
          <w:shd w:val="clear" w:color="auto" w:fill="FFFFFF"/>
        </w:rPr>
        <w:t>rozpoczęto</w:t>
      </w:r>
      <w:r w:rsidR="00712FCA" w:rsidRPr="002D020F">
        <w:rPr>
          <w:shd w:val="clear" w:color="auto" w:fill="FFFFFF"/>
        </w:rPr>
        <w:t xml:space="preserve"> budowę </w:t>
      </w:r>
      <w:r w:rsidR="00691D7C">
        <w:rPr>
          <w:shd w:val="clear" w:color="auto" w:fill="FFFFFF"/>
        </w:rPr>
        <w:t>4 153</w:t>
      </w:r>
      <w:r w:rsidR="0008382C" w:rsidRPr="002D020F">
        <w:rPr>
          <w:shd w:val="clear" w:color="auto" w:fill="FFFFFF"/>
        </w:rPr>
        <w:t> </w:t>
      </w:r>
      <w:r w:rsidR="00712FCA" w:rsidRPr="002D020F">
        <w:rPr>
          <w:shd w:val="clear" w:color="auto" w:fill="FFFFFF"/>
        </w:rPr>
        <w:t>mieszkań (</w:t>
      </w:r>
      <w:r w:rsidR="00B4745B" w:rsidRPr="002D020F">
        <w:rPr>
          <w:shd w:val="clear" w:color="auto" w:fill="FFFFFF"/>
        </w:rPr>
        <w:t xml:space="preserve">wobec </w:t>
      </w:r>
      <w:r w:rsidR="00691D7C">
        <w:rPr>
          <w:shd w:val="clear" w:color="auto" w:fill="FFFFFF"/>
        </w:rPr>
        <w:t>2 950</w:t>
      </w:r>
      <w:r w:rsidR="00BB7C7E" w:rsidRPr="002D020F">
        <w:rPr>
          <w:shd w:val="clear" w:color="auto" w:fill="FFFFFF"/>
        </w:rPr>
        <w:t xml:space="preserve"> w roku </w:t>
      </w:r>
      <w:r w:rsidR="007E3255" w:rsidRPr="002D020F">
        <w:rPr>
          <w:shd w:val="clear" w:color="auto" w:fill="FFFFFF"/>
        </w:rPr>
        <w:t>poprzednim</w:t>
      </w:r>
      <w:r w:rsidR="00BB7C7E" w:rsidRPr="002D020F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276"/>
        <w:gridCol w:w="1134"/>
        <w:gridCol w:w="1134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39E6B049" w:rsidR="00394560" w:rsidRPr="004075A5" w:rsidRDefault="00B71EB1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436998FF" w14:textId="103B7390" w:rsidR="00394560" w:rsidRPr="004075A5" w:rsidRDefault="00394560" w:rsidP="00691D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394560" w:rsidRPr="004075A5" w14:paraId="36D0FAFD" w14:textId="77777777" w:rsidTr="00730B9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784F9C8D" w14:textId="7C4D3B3E" w:rsidR="00394560" w:rsidRPr="00FB433B" w:rsidRDefault="00B71EB1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2135CF00" w14:textId="7A071212" w:rsidR="00394560" w:rsidRPr="00FB433B" w:rsidRDefault="006B7F78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91D7C">
              <w:rPr>
                <w:color w:val="000000" w:themeColor="text1"/>
                <w:sz w:val="16"/>
                <w:szCs w:val="16"/>
              </w:rPr>
              <w:t>X</w:t>
            </w:r>
            <w:r w:rsidR="00787166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12D6002A" w14:textId="6205B69C" w:rsidR="00394560" w:rsidRPr="00FB433B" w:rsidRDefault="00394560" w:rsidP="00691D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X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730B95">
        <w:trPr>
          <w:trHeight w:val="26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5982E913" w:rsidR="00394560" w:rsidRPr="00FB433B" w:rsidRDefault="00D546CB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22 533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F516B22" w14:textId="2A09B8C1" w:rsidR="00394560" w:rsidRPr="00FB433B" w:rsidRDefault="00690B2D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187D9BD" w14:textId="1E00A48B" w:rsidR="00394560" w:rsidRPr="00FB433B" w:rsidRDefault="00690B2D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72601403" w:rsidR="00394560" w:rsidRPr="00FB433B" w:rsidRDefault="00AE56F3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238 952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2D320E1" w14:textId="01C704C7" w:rsidR="00394560" w:rsidRPr="00FB433B" w:rsidRDefault="00AE56F3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127,8</w:t>
            </w:r>
          </w:p>
        </w:tc>
      </w:tr>
      <w:tr w:rsidR="00394560" w:rsidRPr="004075A5" w14:paraId="71525705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58830E" w14:textId="5BEAD8EF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0E346F46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9 324</w:t>
            </w:r>
          </w:p>
        </w:tc>
        <w:tc>
          <w:tcPr>
            <w:tcW w:w="1275" w:type="dxa"/>
            <w:vAlign w:val="center"/>
          </w:tcPr>
          <w:p w14:paraId="1CA3308E" w14:textId="52018C58" w:rsidR="00394560" w:rsidRPr="00FB433B" w:rsidRDefault="00690B2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118,5</w:t>
            </w:r>
          </w:p>
        </w:tc>
        <w:tc>
          <w:tcPr>
            <w:tcW w:w="1276" w:type="dxa"/>
            <w:vAlign w:val="center"/>
          </w:tcPr>
          <w:p w14:paraId="3B8A7E52" w14:textId="19B52B56" w:rsidR="00394560" w:rsidRPr="00FB433B" w:rsidRDefault="00690B2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1134" w:type="dxa"/>
            <w:vAlign w:val="center"/>
          </w:tcPr>
          <w:p w14:paraId="4B1CD53F" w14:textId="6AECB724" w:rsidR="00394560" w:rsidRPr="00FB433B" w:rsidRDefault="00AE56F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93 920</w:t>
            </w:r>
          </w:p>
        </w:tc>
        <w:tc>
          <w:tcPr>
            <w:tcW w:w="1134" w:type="dxa"/>
            <w:vAlign w:val="center"/>
          </w:tcPr>
          <w:p w14:paraId="2C2DBA57" w14:textId="4B0EF413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119,4</w:t>
            </w:r>
          </w:p>
        </w:tc>
      </w:tr>
      <w:tr w:rsidR="00394560" w:rsidRPr="004075A5" w14:paraId="0EB6965A" w14:textId="77777777" w:rsidTr="00730B95">
        <w:trPr>
          <w:trHeight w:val="381"/>
        </w:trPr>
        <w:tc>
          <w:tcPr>
            <w:tcW w:w="2049" w:type="dxa"/>
            <w:vAlign w:val="center"/>
          </w:tcPr>
          <w:p w14:paraId="7EE15C97" w14:textId="47D60D3A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12" w:type="dxa"/>
            <w:vAlign w:val="center"/>
          </w:tcPr>
          <w:p w14:paraId="26A9FDC6" w14:textId="0C9D7D17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12 851</w:t>
            </w:r>
          </w:p>
        </w:tc>
        <w:tc>
          <w:tcPr>
            <w:tcW w:w="1275" w:type="dxa"/>
            <w:vAlign w:val="center"/>
          </w:tcPr>
          <w:p w14:paraId="62796494" w14:textId="4CAA51B7" w:rsidR="00394560" w:rsidRPr="00FB433B" w:rsidRDefault="00690B2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1276" w:type="dxa"/>
            <w:vAlign w:val="center"/>
          </w:tcPr>
          <w:p w14:paraId="66145ED3" w14:textId="564C369E" w:rsidR="00394560" w:rsidRPr="00FB433B" w:rsidRDefault="00690B2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1134" w:type="dxa"/>
            <w:vAlign w:val="center"/>
          </w:tcPr>
          <w:p w14:paraId="3686B56C" w14:textId="163ACA41" w:rsidR="00394560" w:rsidRPr="00FB433B" w:rsidRDefault="00AE56F3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140 879</w:t>
            </w:r>
          </w:p>
        </w:tc>
        <w:tc>
          <w:tcPr>
            <w:tcW w:w="1134" w:type="dxa"/>
            <w:vAlign w:val="center"/>
          </w:tcPr>
          <w:p w14:paraId="68EAB1DF" w14:textId="17B65612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133,8</w:t>
            </w:r>
          </w:p>
        </w:tc>
      </w:tr>
      <w:tr w:rsidR="00394560" w:rsidRPr="004075A5" w14:paraId="32A2A885" w14:textId="77777777" w:rsidTr="00730B95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14:paraId="1E745AB1" w14:textId="10D498BA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70C7EAA6" w14:textId="1B12096F" w:rsidR="00394560" w:rsidRPr="00FB433B" w:rsidRDefault="00690B2D" w:rsidP="00690B2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9 -krotnie więcej</w:t>
            </w:r>
          </w:p>
        </w:tc>
        <w:tc>
          <w:tcPr>
            <w:tcW w:w="1276" w:type="dxa"/>
            <w:vAlign w:val="center"/>
          </w:tcPr>
          <w:p w14:paraId="4081E4E8" w14:textId="779B835B" w:rsidR="00394560" w:rsidRPr="00392105" w:rsidRDefault="00730B95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2105">
              <w:rPr>
                <w:rFonts w:cs="Arial"/>
                <w:sz w:val="16"/>
                <w:szCs w:val="16"/>
              </w:rPr>
              <w:t>ponad 7 –krotnie mniej</w:t>
            </w:r>
          </w:p>
        </w:tc>
        <w:tc>
          <w:tcPr>
            <w:tcW w:w="1134" w:type="dxa"/>
            <w:vAlign w:val="center"/>
          </w:tcPr>
          <w:p w14:paraId="523762D6" w14:textId="686DE1EC" w:rsidR="00394560" w:rsidRPr="00FB433B" w:rsidRDefault="00AE56F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902</w:t>
            </w:r>
          </w:p>
        </w:tc>
        <w:tc>
          <w:tcPr>
            <w:tcW w:w="1134" w:type="dxa"/>
            <w:vAlign w:val="center"/>
          </w:tcPr>
          <w:p w14:paraId="31D77B51" w14:textId="28780107" w:rsidR="00394560" w:rsidRPr="00FB433B" w:rsidRDefault="00AE56F3" w:rsidP="005A492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</w:t>
            </w:r>
            <w:r w:rsidR="005A4920">
              <w:rPr>
                <w:rFonts w:cs="Arial"/>
                <w:sz w:val="16"/>
                <w:szCs w:val="16"/>
              </w:rPr>
              <w:t>9</w:t>
            </w:r>
          </w:p>
        </w:tc>
      </w:tr>
      <w:tr w:rsidR="00394560" w:rsidRPr="004075A5" w14:paraId="0DC89A9A" w14:textId="77777777" w:rsidTr="00730B95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394560" w:rsidRPr="004075A5" w:rsidRDefault="00394560" w:rsidP="00235E4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46F3C1FB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76413105" w14:textId="7C38E503" w:rsidR="00394560" w:rsidRPr="00FB433B" w:rsidRDefault="00D546CB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3E0291D1" w14:textId="2DB6A0B2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3A0C24A" w14:textId="5A81116B" w:rsidR="00394560" w:rsidRPr="00FB433B" w:rsidRDefault="00AE56F3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1 555</w:t>
            </w:r>
          </w:p>
        </w:tc>
        <w:tc>
          <w:tcPr>
            <w:tcW w:w="1134" w:type="dxa"/>
            <w:vAlign w:val="center"/>
          </w:tcPr>
          <w:p w14:paraId="42DF5B91" w14:textId="22C3AD56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110,0</w:t>
            </w:r>
          </w:p>
        </w:tc>
      </w:tr>
      <w:tr w:rsidR="00394560" w:rsidRPr="004075A5" w14:paraId="64EBE850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10658CAF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5" w:type="dxa"/>
            <w:vAlign w:val="center"/>
          </w:tcPr>
          <w:p w14:paraId="6005F79C" w14:textId="77777777" w:rsidR="00711E71" w:rsidRPr="00FE1582" w:rsidRDefault="005A492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E1582">
              <w:rPr>
                <w:rFonts w:cs="Arial"/>
                <w:sz w:val="16"/>
                <w:szCs w:val="16"/>
              </w:rPr>
              <w:t>p</w:t>
            </w:r>
            <w:r w:rsidR="00711E71" w:rsidRPr="00FE1582">
              <w:rPr>
                <w:rFonts w:cs="Arial"/>
                <w:sz w:val="16"/>
                <w:szCs w:val="16"/>
              </w:rPr>
              <w:t>onad 6-</w:t>
            </w:r>
          </w:p>
          <w:p w14:paraId="18A7CC8E" w14:textId="5FF8FDFA" w:rsidR="00394560" w:rsidRPr="00FE1582" w:rsidRDefault="00711E71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E1582">
              <w:rPr>
                <w:rFonts w:cs="Arial"/>
                <w:sz w:val="16"/>
                <w:szCs w:val="16"/>
              </w:rPr>
              <w:t>krot</w:t>
            </w:r>
            <w:r w:rsidR="00690B2D" w:rsidRPr="00FE1582">
              <w:rPr>
                <w:rFonts w:cs="Arial"/>
                <w:sz w:val="16"/>
                <w:szCs w:val="16"/>
              </w:rPr>
              <w:t>nie więcej</w:t>
            </w:r>
          </w:p>
        </w:tc>
        <w:tc>
          <w:tcPr>
            <w:tcW w:w="1276" w:type="dxa"/>
            <w:vAlign w:val="center"/>
          </w:tcPr>
          <w:p w14:paraId="785F2C57" w14:textId="32E88908" w:rsidR="00394560" w:rsidRPr="00FB433B" w:rsidRDefault="00690B2D" w:rsidP="006357C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161,3</w:t>
            </w:r>
          </w:p>
        </w:tc>
        <w:tc>
          <w:tcPr>
            <w:tcW w:w="1134" w:type="dxa"/>
            <w:vAlign w:val="center"/>
          </w:tcPr>
          <w:p w14:paraId="7634EDC1" w14:textId="24862B49" w:rsidR="00394560" w:rsidRPr="00FB433B" w:rsidRDefault="00AE56F3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  <w:tc>
          <w:tcPr>
            <w:tcW w:w="1134" w:type="dxa"/>
            <w:vAlign w:val="center"/>
          </w:tcPr>
          <w:p w14:paraId="6791F188" w14:textId="47DD87EB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239,4</w:t>
            </w:r>
          </w:p>
        </w:tc>
      </w:tr>
      <w:tr w:rsidR="00394560" w:rsidRPr="004075A5" w14:paraId="18C82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09891BDA" w:rsidR="00394560" w:rsidRPr="00FB433B" w:rsidRDefault="00D546CB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229</w:t>
            </w:r>
          </w:p>
        </w:tc>
        <w:tc>
          <w:tcPr>
            <w:tcW w:w="1275" w:type="dxa"/>
            <w:vAlign w:val="center"/>
          </w:tcPr>
          <w:p w14:paraId="06BC739E" w14:textId="182343C0" w:rsidR="00394560" w:rsidRPr="00FB433B" w:rsidRDefault="00690B2D" w:rsidP="00A014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394,8</w:t>
            </w:r>
          </w:p>
        </w:tc>
        <w:tc>
          <w:tcPr>
            <w:tcW w:w="1276" w:type="dxa"/>
            <w:vAlign w:val="center"/>
          </w:tcPr>
          <w:p w14:paraId="06AC3511" w14:textId="1DDDCAA1" w:rsidR="00394560" w:rsidRPr="00FB433B" w:rsidRDefault="00690B2D" w:rsidP="00F50D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  <w:tc>
          <w:tcPr>
            <w:tcW w:w="1134" w:type="dxa"/>
            <w:vAlign w:val="center"/>
          </w:tcPr>
          <w:p w14:paraId="177C774A" w14:textId="4A375B32" w:rsidR="00394560" w:rsidRPr="00FB433B" w:rsidRDefault="00AE56F3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</w:t>
            </w:r>
          </w:p>
        </w:tc>
        <w:tc>
          <w:tcPr>
            <w:tcW w:w="1134" w:type="dxa"/>
            <w:vAlign w:val="center"/>
          </w:tcPr>
          <w:p w14:paraId="1CF90882" w14:textId="18B42DBF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144,9</w:t>
            </w:r>
          </w:p>
        </w:tc>
      </w:tr>
      <w:tr w:rsidR="00394560" w:rsidRPr="004075A5" w14:paraId="436956AA" w14:textId="77777777" w:rsidTr="00730B95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6BFE1F6F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08AD084F" w14:textId="47F2F96F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7124753F" w14:textId="4F57F403" w:rsidR="00394560" w:rsidRPr="00FB433B" w:rsidRDefault="00D546C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EB2D4B8" w14:textId="48B27889" w:rsidR="00394560" w:rsidRPr="00FB433B" w:rsidRDefault="00AE56F3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  <w:vAlign w:val="center"/>
          </w:tcPr>
          <w:p w14:paraId="4D9760CC" w14:textId="534BB707" w:rsidR="00394560" w:rsidRPr="00FB433B" w:rsidRDefault="00AE56F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198,9</w:t>
            </w:r>
          </w:p>
        </w:tc>
      </w:tr>
    </w:tbl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0EBAA798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D546CB">
        <w:rPr>
          <w:shd w:val="clear" w:color="auto" w:fill="FFFFFF"/>
        </w:rPr>
        <w:t>października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D546CB">
        <w:rPr>
          <w:shd w:val="clear" w:color="auto" w:fill="FFFFFF"/>
        </w:rPr>
        <w:t>883,1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</w:t>
      </w:r>
      <w:r w:rsidR="00D546CB">
        <w:rPr>
          <w:shd w:val="clear" w:color="auto" w:fill="FFFFFF"/>
        </w:rPr>
        <w:t>5,7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7A1A6330" w14:textId="7D4BE1F0" w:rsidR="006054F7" w:rsidRDefault="001F24F7" w:rsidP="00C826DE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F9DD8F7">
                <wp:simplePos x="0" y="0"/>
                <wp:positionH relativeFrom="page">
                  <wp:posOffset>5630159</wp:posOffset>
                </wp:positionH>
                <wp:positionV relativeFrom="paragraph">
                  <wp:posOffset>236220</wp:posOffset>
                </wp:positionV>
                <wp:extent cx="187452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6CF80C7F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7C0FCE" w:rsidRPr="00FE1582">
                              <w:t>październiku</w:t>
                            </w:r>
                            <w:r w:rsidR="002B6B8F" w:rsidRPr="00FE1582">
                              <w:t>, w porównaniu do</w:t>
                            </w:r>
                            <w:r w:rsidR="008E174F" w:rsidRPr="00FE1582">
                              <w:t> </w:t>
                            </w:r>
                            <w:r w:rsidR="00131457" w:rsidRPr="00FE1582">
                              <w:t>września</w:t>
                            </w:r>
                            <w:r w:rsidR="005E0CDE" w:rsidRPr="00FE1582">
                              <w:t xml:space="preserve"> </w:t>
                            </w:r>
                            <w:r w:rsidR="00BB7C7E" w:rsidRPr="00FE1582">
                              <w:t>2021</w:t>
                            </w:r>
                            <w:r w:rsidR="002B6B8F" w:rsidRPr="00FE1582">
                              <w:t xml:space="preserve"> roku, </w:t>
                            </w:r>
                            <w:r w:rsidR="00131457" w:rsidRPr="00FE1582">
                              <w:t>spadła</w:t>
                            </w:r>
                            <w:r w:rsidR="002B6B8F" w:rsidRPr="00FE1582">
                              <w:t xml:space="preserve"> liczba mies</w:t>
                            </w:r>
                            <w:r w:rsidR="00122D1B" w:rsidRPr="00FE1582">
                              <w:t>zkań oddanych do</w:t>
                            </w:r>
                            <w:r w:rsidR="008E174F" w:rsidRPr="00FE1582">
                              <w:t> </w:t>
                            </w:r>
                            <w:r w:rsidR="00122D1B" w:rsidRPr="00FE1582">
                              <w:t xml:space="preserve">użytkowania </w:t>
                            </w:r>
                            <w:r w:rsidR="00233340" w:rsidRPr="00FE1582">
                              <w:t>(o </w:t>
                            </w:r>
                            <w:r w:rsidR="00131457" w:rsidRPr="00FE1582">
                              <w:t>8,8</w:t>
                            </w:r>
                            <w:r w:rsidR="00DD3EB3" w:rsidRPr="00FE1582">
                              <w:t>%)</w:t>
                            </w:r>
                            <w:r w:rsidR="00F93565" w:rsidRPr="00FE1582">
                              <w:t xml:space="preserve">, </w:t>
                            </w:r>
                            <w:r w:rsidR="00131457" w:rsidRPr="00FE1582">
                              <w:t xml:space="preserve">wzrosła natomiast </w:t>
                            </w:r>
                            <w:r w:rsidR="00ED53A5" w:rsidRPr="00FE1582">
                              <w:t>liczba mieszkań</w:t>
                            </w:r>
                            <w:r w:rsidR="007C0FCE" w:rsidRPr="00FE1582">
                              <w:t>,</w:t>
                            </w:r>
                            <w:r w:rsidR="00ED53A5" w:rsidRPr="00FE1582">
                              <w:t xml:space="preserve"> </w:t>
                            </w:r>
                            <w:r w:rsidR="00F93565" w:rsidRPr="00FE1582">
                              <w:t>na których budowę wydano pozwolenia lub dokonano zgłoszenia z projektem budowlanym (</w:t>
                            </w:r>
                            <w:r w:rsidR="00131457" w:rsidRPr="00FE1582">
                              <w:t>o 5,4</w:t>
                            </w:r>
                            <w:r w:rsidR="00F93565" w:rsidRPr="00FE1582">
                              <w:t>%)</w:t>
                            </w:r>
                            <w:r w:rsidR="00DD3EB3" w:rsidRPr="00FE1582">
                              <w:t xml:space="preserve"> </w:t>
                            </w:r>
                            <w:r w:rsidR="00131457" w:rsidRPr="00FE1582">
                              <w:t>oraz</w:t>
                            </w:r>
                            <w:r w:rsidR="00F93565" w:rsidRPr="00FE1582">
                              <w:t> </w:t>
                            </w:r>
                            <w:r w:rsidR="00FB6E52" w:rsidRPr="00FE1582">
                              <w:t>liczba</w:t>
                            </w:r>
                            <w:r w:rsidR="00FB6E52" w:rsidRPr="00FB6E52">
                              <w:t xml:space="preserve">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</w:t>
                            </w:r>
                            <w:r w:rsidR="00DD3EB3">
                              <w:t> </w:t>
                            </w:r>
                            <w:r w:rsidR="00131457">
                              <w:t>2,6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43.3pt;margin-top:18.6pt;width:147.6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" filled="f" stroked="f">
                <v:textbox>
                  <w:txbxContent>
                    <w:p w14:paraId="5AC87C99" w14:textId="6CF80C7F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7C0FCE" w:rsidRPr="00FE1582">
                        <w:t>październiku</w:t>
                      </w:r>
                      <w:r w:rsidR="002B6B8F" w:rsidRPr="00FE1582">
                        <w:t>, w porównaniu do</w:t>
                      </w:r>
                      <w:r w:rsidR="008E174F" w:rsidRPr="00FE1582">
                        <w:t> </w:t>
                      </w:r>
                      <w:r w:rsidR="00131457" w:rsidRPr="00FE1582">
                        <w:t>września</w:t>
                      </w:r>
                      <w:r w:rsidR="005E0CDE" w:rsidRPr="00FE1582">
                        <w:t xml:space="preserve"> </w:t>
                      </w:r>
                      <w:r w:rsidR="00BB7C7E" w:rsidRPr="00FE1582">
                        <w:t>2021</w:t>
                      </w:r>
                      <w:r w:rsidR="002B6B8F" w:rsidRPr="00FE1582">
                        <w:t xml:space="preserve"> roku, </w:t>
                      </w:r>
                      <w:r w:rsidR="00131457" w:rsidRPr="00FE1582">
                        <w:t>spadła</w:t>
                      </w:r>
                      <w:r w:rsidR="002B6B8F" w:rsidRPr="00FE1582">
                        <w:t xml:space="preserve"> liczba mies</w:t>
                      </w:r>
                      <w:r w:rsidR="00122D1B" w:rsidRPr="00FE1582">
                        <w:t>zkań oddanych do</w:t>
                      </w:r>
                      <w:r w:rsidR="008E174F" w:rsidRPr="00FE1582">
                        <w:t> </w:t>
                      </w:r>
                      <w:r w:rsidR="00122D1B" w:rsidRPr="00FE1582">
                        <w:t xml:space="preserve">użytkowania </w:t>
                      </w:r>
                      <w:r w:rsidR="00233340" w:rsidRPr="00FE1582">
                        <w:t>(o </w:t>
                      </w:r>
                      <w:r w:rsidR="00131457" w:rsidRPr="00FE1582">
                        <w:t>8,8</w:t>
                      </w:r>
                      <w:r w:rsidR="00DD3EB3" w:rsidRPr="00FE1582">
                        <w:t>%)</w:t>
                      </w:r>
                      <w:r w:rsidR="00F93565" w:rsidRPr="00FE1582">
                        <w:t xml:space="preserve">, </w:t>
                      </w:r>
                      <w:r w:rsidR="00131457" w:rsidRPr="00FE1582">
                        <w:t xml:space="preserve">wzrosła natomiast </w:t>
                      </w:r>
                      <w:r w:rsidR="00ED53A5" w:rsidRPr="00FE1582">
                        <w:t>liczba mieszkań</w:t>
                      </w:r>
                      <w:r w:rsidR="007C0FCE" w:rsidRPr="00FE1582">
                        <w:t>,</w:t>
                      </w:r>
                      <w:r w:rsidR="00ED53A5" w:rsidRPr="00FE1582">
                        <w:t xml:space="preserve"> </w:t>
                      </w:r>
                      <w:r w:rsidR="00F93565" w:rsidRPr="00FE1582">
                        <w:t>na których budowę wydano pozwolenia lub dokonano zgłoszenia z projektem budowlanym (</w:t>
                      </w:r>
                      <w:r w:rsidR="00131457" w:rsidRPr="00FE1582">
                        <w:t>o 5,4</w:t>
                      </w:r>
                      <w:r w:rsidR="00F93565" w:rsidRPr="00FE1582">
                        <w:t>%)</w:t>
                      </w:r>
                      <w:r w:rsidR="00DD3EB3" w:rsidRPr="00FE1582">
                        <w:t xml:space="preserve"> </w:t>
                      </w:r>
                      <w:r w:rsidR="00131457" w:rsidRPr="00FE1582">
                        <w:t>oraz</w:t>
                      </w:r>
                      <w:r w:rsidR="00F93565" w:rsidRPr="00FE1582">
                        <w:t> </w:t>
                      </w:r>
                      <w:r w:rsidR="00FB6E52" w:rsidRPr="00FE1582">
                        <w:t>liczba</w:t>
                      </w:r>
                      <w:r w:rsidR="00FB6E52" w:rsidRPr="00FB6E52">
                        <w:t xml:space="preserve"> mieszkań</w:t>
                      </w:r>
                      <w:r w:rsidR="00FB6E52">
                        <w:t>, któr</w:t>
                      </w:r>
                      <w:r w:rsidR="005E6D78">
                        <w:t>ych budowę rozpoczęto (o</w:t>
                      </w:r>
                      <w:r w:rsidR="00DD3EB3">
                        <w:t> </w:t>
                      </w:r>
                      <w:r w:rsidR="00131457">
                        <w:t>2,6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</w:p>
    <w:p w14:paraId="0576CFB2" w14:textId="4D293843" w:rsidR="00361223" w:rsidRPr="002131BE" w:rsidRDefault="00131457" w:rsidP="00C826DE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41604518" wp14:editId="52EE7706">
            <wp:extent cx="4882101" cy="222636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B32809" w14:textId="7D68BB56" w:rsidR="00781B49" w:rsidRDefault="004D31BA" w:rsidP="00781B49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>W okresie I-</w:t>
      </w:r>
      <w:r w:rsidR="00725685">
        <w:rPr>
          <w:color w:val="000000" w:themeColor="text1"/>
          <w:szCs w:val="19"/>
          <w:shd w:val="clear" w:color="auto" w:fill="FFFFFF"/>
        </w:rPr>
        <w:t>X</w:t>
      </w:r>
      <w:r w:rsidR="007E3255">
        <w:rPr>
          <w:color w:val="000000" w:themeColor="text1"/>
          <w:szCs w:val="19"/>
          <w:shd w:val="clear" w:color="auto" w:fill="FFFFFF"/>
        </w:rPr>
        <w:t xml:space="preserve"> 2021 r.</w:t>
      </w:r>
      <w:r w:rsidR="00781B49"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="00781B49"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="00781B49"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="00781B49"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>
        <w:rPr>
          <w:szCs w:val="19"/>
          <w:shd w:val="clear" w:color="auto" w:fill="FFFFFF"/>
        </w:rPr>
        <w:t>33,6</w:t>
      </w:r>
      <w:r w:rsidR="00B44D67" w:rsidRPr="002131BE">
        <w:rPr>
          <w:szCs w:val="19"/>
          <w:shd w:val="clear" w:color="auto" w:fill="FFFFFF"/>
        </w:rPr>
        <w:t xml:space="preserve"> tys.</w:t>
      </w:r>
      <w:r w:rsidR="00F21E21" w:rsidRPr="002131BE">
        <w:rPr>
          <w:szCs w:val="19"/>
          <w:shd w:val="clear" w:color="auto" w:fill="FFFFFF"/>
        </w:rPr>
        <w:t>,</w:t>
      </w:r>
      <w:r w:rsidR="00B44D67" w:rsidRPr="002131BE">
        <w:rPr>
          <w:szCs w:val="19"/>
          <w:shd w:val="clear" w:color="auto" w:fill="FFFFFF"/>
        </w:rPr>
        <w:t xml:space="preserve"> </w:t>
      </w:r>
      <w:r w:rsidR="00B67C91">
        <w:rPr>
          <w:szCs w:val="19"/>
          <w:shd w:val="clear" w:color="auto" w:fill="FFFFFF"/>
        </w:rPr>
        <w:t>44,3</w:t>
      </w:r>
      <w:r w:rsidR="00781B49" w:rsidRPr="002131BE">
        <w:rPr>
          <w:szCs w:val="19"/>
          <w:shd w:val="clear" w:color="auto" w:fill="FFFFFF"/>
        </w:rPr>
        <w:t> tys</w:t>
      </w:r>
      <w:r w:rsidR="00B44D67" w:rsidRPr="002131BE">
        <w:rPr>
          <w:szCs w:val="19"/>
          <w:shd w:val="clear" w:color="auto" w:fill="FFFFFF"/>
        </w:rPr>
        <w:t>.</w:t>
      </w:r>
      <w:r w:rsidR="00F21E21" w:rsidRPr="002131BE">
        <w:rPr>
          <w:szCs w:val="19"/>
          <w:shd w:val="clear" w:color="auto" w:fill="FFFFFF"/>
        </w:rPr>
        <w:t xml:space="preserve"> i </w:t>
      </w:r>
      <w:r w:rsidR="00B67C91">
        <w:rPr>
          <w:szCs w:val="19"/>
          <w:shd w:val="clear" w:color="auto" w:fill="FFFFFF"/>
        </w:rPr>
        <w:t>51,5</w:t>
      </w:r>
      <w:r w:rsidR="00F21E21" w:rsidRPr="002131BE">
        <w:rPr>
          <w:szCs w:val="19"/>
          <w:shd w:val="clear" w:color="auto" w:fill="FFFFFF"/>
        </w:rPr>
        <w:t xml:space="preserve"> tys</w:t>
      </w:r>
      <w:r w:rsidR="00B44D67" w:rsidRPr="002131BE">
        <w:rPr>
          <w:szCs w:val="19"/>
          <w:shd w:val="clear" w:color="auto" w:fill="FFFFFF"/>
        </w:rPr>
        <w:t>. mieszkań</w:t>
      </w:r>
      <w:r w:rsidR="005E6D78" w:rsidRPr="002131BE">
        <w:rPr>
          <w:szCs w:val="19"/>
          <w:shd w:val="clear" w:color="auto" w:fill="FFFFFF"/>
        </w:rPr>
        <w:t xml:space="preserve">). Wysokie wartości </w:t>
      </w:r>
      <w:r w:rsidR="00FD5CE3" w:rsidRPr="002131BE">
        <w:rPr>
          <w:szCs w:val="19"/>
          <w:shd w:val="clear" w:color="auto" w:fill="FFFFFF"/>
        </w:rPr>
        <w:t>zanotowano również w</w:t>
      </w:r>
      <w:r w:rsidR="00A20911" w:rsidRPr="002131BE">
        <w:rPr>
          <w:szCs w:val="19"/>
          <w:shd w:val="clear" w:color="auto" w:fill="FFFFFF"/>
        </w:rPr>
        <w:t> </w:t>
      </w:r>
      <w:r w:rsidR="00FD5CE3" w:rsidRPr="002131BE">
        <w:rPr>
          <w:szCs w:val="19"/>
          <w:shd w:val="clear" w:color="auto" w:fill="FFFFFF"/>
        </w:rPr>
        <w:t xml:space="preserve">województwie </w:t>
      </w:r>
      <w:r w:rsidR="00725685" w:rsidRPr="002131BE">
        <w:rPr>
          <w:szCs w:val="19"/>
          <w:shd w:val="clear" w:color="auto" w:fill="FFFFFF"/>
        </w:rPr>
        <w:t>wielkopolskim (</w:t>
      </w:r>
      <w:r w:rsidR="0093404B">
        <w:rPr>
          <w:szCs w:val="19"/>
          <w:shd w:val="clear" w:color="auto" w:fill="FFFFFF"/>
        </w:rPr>
        <w:t>22,2</w:t>
      </w:r>
      <w:r w:rsidR="00725685" w:rsidRPr="002131BE">
        <w:rPr>
          <w:szCs w:val="19"/>
          <w:shd w:val="clear" w:color="auto" w:fill="FFFFFF"/>
        </w:rPr>
        <w:t xml:space="preserve"> tys., </w:t>
      </w:r>
      <w:r w:rsidR="00725685">
        <w:rPr>
          <w:szCs w:val="19"/>
          <w:shd w:val="clear" w:color="auto" w:fill="FFFFFF"/>
        </w:rPr>
        <w:t>2</w:t>
      </w:r>
      <w:r w:rsidR="0093404B">
        <w:rPr>
          <w:szCs w:val="19"/>
          <w:shd w:val="clear" w:color="auto" w:fill="FFFFFF"/>
        </w:rPr>
        <w:t>5,9</w:t>
      </w:r>
      <w:r w:rsidR="00725685" w:rsidRPr="002131BE">
        <w:rPr>
          <w:szCs w:val="19"/>
          <w:shd w:val="clear" w:color="auto" w:fill="FFFFFF"/>
        </w:rPr>
        <w:t xml:space="preserve"> tys. </w:t>
      </w:r>
      <w:r w:rsidR="00725685" w:rsidRPr="00673392">
        <w:rPr>
          <w:szCs w:val="19"/>
          <w:shd w:val="clear" w:color="auto" w:fill="FFFFFF"/>
        </w:rPr>
        <w:t>i </w:t>
      </w:r>
      <w:r w:rsidR="00725685">
        <w:rPr>
          <w:szCs w:val="19"/>
          <w:shd w:val="clear" w:color="auto" w:fill="FFFFFF"/>
        </w:rPr>
        <w:t>2</w:t>
      </w:r>
      <w:r w:rsidR="0093404B">
        <w:rPr>
          <w:szCs w:val="19"/>
          <w:shd w:val="clear" w:color="auto" w:fill="FFFFFF"/>
        </w:rPr>
        <w:t>9,7</w:t>
      </w:r>
      <w:r w:rsidR="00725685">
        <w:rPr>
          <w:szCs w:val="19"/>
          <w:shd w:val="clear" w:color="auto" w:fill="FFFFFF"/>
        </w:rPr>
        <w:t> </w:t>
      </w:r>
      <w:r w:rsidR="00725685" w:rsidRPr="002131BE">
        <w:rPr>
          <w:szCs w:val="19"/>
          <w:shd w:val="clear" w:color="auto" w:fill="FFFFFF"/>
        </w:rPr>
        <w:t>tys.)</w:t>
      </w:r>
      <w:r w:rsidR="00FC1915">
        <w:rPr>
          <w:szCs w:val="19"/>
          <w:shd w:val="clear" w:color="auto" w:fill="FFFFFF"/>
        </w:rPr>
        <w:t xml:space="preserve"> oraz</w:t>
      </w:r>
      <w:r w:rsidR="00725685" w:rsidRPr="00725685">
        <w:rPr>
          <w:szCs w:val="19"/>
          <w:shd w:val="clear" w:color="auto" w:fill="FFFFFF"/>
        </w:rPr>
        <w:t xml:space="preserve"> </w:t>
      </w:r>
      <w:r w:rsidR="00725685" w:rsidRPr="002131BE">
        <w:rPr>
          <w:szCs w:val="19"/>
          <w:shd w:val="clear" w:color="auto" w:fill="FFFFFF"/>
        </w:rPr>
        <w:t>dolnośląskim (</w:t>
      </w:r>
      <w:r w:rsidR="0093404B">
        <w:rPr>
          <w:szCs w:val="19"/>
          <w:shd w:val="clear" w:color="auto" w:fill="FFFFFF"/>
        </w:rPr>
        <w:t>20,5</w:t>
      </w:r>
      <w:r w:rsidR="00725685" w:rsidRPr="002131BE">
        <w:rPr>
          <w:szCs w:val="19"/>
          <w:shd w:val="clear" w:color="auto" w:fill="FFFFFF"/>
        </w:rPr>
        <w:t> tys</w:t>
      </w:r>
      <w:r w:rsidR="00725685">
        <w:rPr>
          <w:szCs w:val="19"/>
          <w:shd w:val="clear" w:color="auto" w:fill="FFFFFF"/>
        </w:rPr>
        <w:t>.</w:t>
      </w:r>
      <w:r w:rsidR="00725685" w:rsidRPr="002131BE">
        <w:rPr>
          <w:szCs w:val="19"/>
          <w:shd w:val="clear" w:color="auto" w:fill="FFFFFF"/>
        </w:rPr>
        <w:t xml:space="preserve">, </w:t>
      </w:r>
      <w:r w:rsidR="0093404B">
        <w:rPr>
          <w:szCs w:val="19"/>
          <w:shd w:val="clear" w:color="auto" w:fill="FFFFFF"/>
        </w:rPr>
        <w:t>20,6</w:t>
      </w:r>
      <w:r w:rsidR="00725685" w:rsidRPr="002131BE">
        <w:rPr>
          <w:szCs w:val="19"/>
          <w:shd w:val="clear" w:color="auto" w:fill="FFFFFF"/>
        </w:rPr>
        <w:t> tys. i </w:t>
      </w:r>
      <w:r w:rsidR="0093404B">
        <w:rPr>
          <w:szCs w:val="19"/>
          <w:shd w:val="clear" w:color="auto" w:fill="FFFFFF"/>
        </w:rPr>
        <w:t>24,2</w:t>
      </w:r>
      <w:r w:rsidR="00725685">
        <w:rPr>
          <w:szCs w:val="19"/>
          <w:shd w:val="clear" w:color="auto" w:fill="FFFFFF"/>
        </w:rPr>
        <w:t xml:space="preserve"> tys.)</w:t>
      </w:r>
      <w:r w:rsidR="0059436D">
        <w:rPr>
          <w:szCs w:val="19"/>
          <w:shd w:val="clear" w:color="auto" w:fill="FFFFFF"/>
        </w:rPr>
        <w:t>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61BF011B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4D31BA">
        <w:rPr>
          <w:b/>
          <w:sz w:val="18"/>
          <w:szCs w:val="18"/>
        </w:rPr>
        <w:t>październik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9236BCC" w14:textId="114F2DE6" w:rsidR="00487654" w:rsidRPr="008F7EF3" w:rsidRDefault="00725685" w:rsidP="008F7EF3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B5E8A15" wp14:editId="34EF72CC">
            <wp:extent cx="5122545" cy="300736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9D81B2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46855F3B" w14:textId="77777777" w:rsidR="005612C2" w:rsidRDefault="005612C2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5640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56406C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56406C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56406C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56406C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BF02DF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BF02DF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4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BF02DF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BF02DF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6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7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BF02DF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A1958" w14:textId="77777777" w:rsidR="0056406C" w:rsidRDefault="0056406C" w:rsidP="000662E2">
      <w:pPr>
        <w:spacing w:after="0" w:line="240" w:lineRule="auto"/>
      </w:pPr>
      <w:r>
        <w:separator/>
      </w:r>
    </w:p>
  </w:endnote>
  <w:endnote w:type="continuationSeparator" w:id="0">
    <w:p w14:paraId="074AD6BD" w14:textId="77777777" w:rsidR="0056406C" w:rsidRDefault="005640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F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F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165B4" w14:textId="77777777" w:rsidR="0056406C" w:rsidRDefault="0056406C" w:rsidP="000662E2">
      <w:pPr>
        <w:spacing w:after="0" w:line="240" w:lineRule="auto"/>
      </w:pPr>
      <w:r>
        <w:separator/>
      </w:r>
    </w:p>
  </w:footnote>
  <w:footnote w:type="continuationSeparator" w:id="0">
    <w:p w14:paraId="51AE26EF" w14:textId="77777777" w:rsidR="0056406C" w:rsidRDefault="0056406C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020B8ECB" w:rsidR="004862B6" w:rsidRDefault="00D6286B" w:rsidP="009A5C9A">
    <w:pPr>
      <w:pStyle w:val="Nagwek"/>
      <w:tabs>
        <w:tab w:val="clear" w:pos="4536"/>
        <w:tab w:val="clear" w:pos="9072"/>
        <w:tab w:val="left" w:pos="671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8ECD2D7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042B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042B4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08ECD2D7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042B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042B4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9A5C9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75pt;height:130.5pt;visibility:visible;mso-wrap-style:square" o:bullet="t">
        <v:imagedata r:id="rId1" o:title=""/>
      </v:shape>
    </w:pict>
  </w:numPicBullet>
  <w:numPicBullet w:numPicBulletId="1">
    <w:pict>
      <v:shape id="_x0000_i1030" type="#_x0000_t75" style="width:123.75pt;height:130.5pt;visibility:visible;mso-wrap-style:square" o:bullet="t">
        <v:imagedata r:id="rId2" o:title=""/>
      </v:shape>
    </w:pict>
  </w:numPicBullet>
  <w:numPicBullet w:numPicBulletId="2">
    <w:pict>
      <v:shape id="_x0000_i1031" type="#_x0000_t75" style="width:36pt;height:3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27A09"/>
    <w:rsid w:val="0003236F"/>
    <w:rsid w:val="000325B5"/>
    <w:rsid w:val="00033D0D"/>
    <w:rsid w:val="0003435E"/>
    <w:rsid w:val="000344B1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46B0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E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564"/>
    <w:rsid w:val="000B0727"/>
    <w:rsid w:val="000B0B1C"/>
    <w:rsid w:val="000B1D63"/>
    <w:rsid w:val="000B256C"/>
    <w:rsid w:val="000B318F"/>
    <w:rsid w:val="000B4ACF"/>
    <w:rsid w:val="000B4D55"/>
    <w:rsid w:val="000B4DA2"/>
    <w:rsid w:val="000B4E03"/>
    <w:rsid w:val="000B4F0D"/>
    <w:rsid w:val="000B725C"/>
    <w:rsid w:val="000C0137"/>
    <w:rsid w:val="000C09C3"/>
    <w:rsid w:val="000C0B2E"/>
    <w:rsid w:val="000C120F"/>
    <w:rsid w:val="000C135D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721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034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EBB"/>
    <w:rsid w:val="001310B7"/>
    <w:rsid w:val="0013145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0D2D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483F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5415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5D8B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2B4"/>
    <w:rsid w:val="00204447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07E"/>
    <w:rsid w:val="00231E64"/>
    <w:rsid w:val="00232C85"/>
    <w:rsid w:val="00233340"/>
    <w:rsid w:val="0023461B"/>
    <w:rsid w:val="00234D8A"/>
    <w:rsid w:val="00237327"/>
    <w:rsid w:val="00237526"/>
    <w:rsid w:val="00237FB7"/>
    <w:rsid w:val="00240ECE"/>
    <w:rsid w:val="0024117D"/>
    <w:rsid w:val="00242271"/>
    <w:rsid w:val="002452B8"/>
    <w:rsid w:val="002452EA"/>
    <w:rsid w:val="002454B5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2FB"/>
    <w:rsid w:val="00276811"/>
    <w:rsid w:val="00276A2F"/>
    <w:rsid w:val="00277F85"/>
    <w:rsid w:val="0028004D"/>
    <w:rsid w:val="00280CE6"/>
    <w:rsid w:val="00280E4B"/>
    <w:rsid w:val="00282699"/>
    <w:rsid w:val="00283009"/>
    <w:rsid w:val="00287714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20F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24F4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1EF8"/>
    <w:rsid w:val="00352354"/>
    <w:rsid w:val="003523EB"/>
    <w:rsid w:val="003531A5"/>
    <w:rsid w:val="00353289"/>
    <w:rsid w:val="0035427F"/>
    <w:rsid w:val="003549B8"/>
    <w:rsid w:val="00355643"/>
    <w:rsid w:val="00355AF4"/>
    <w:rsid w:val="00355C8D"/>
    <w:rsid w:val="0035605D"/>
    <w:rsid w:val="00357611"/>
    <w:rsid w:val="00357F43"/>
    <w:rsid w:val="003600A5"/>
    <w:rsid w:val="00360C3A"/>
    <w:rsid w:val="00361223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2105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9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6DC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68C3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3CB8"/>
    <w:rsid w:val="00484901"/>
    <w:rsid w:val="00484E17"/>
    <w:rsid w:val="0048532E"/>
    <w:rsid w:val="0048551B"/>
    <w:rsid w:val="00486128"/>
    <w:rsid w:val="004861EE"/>
    <w:rsid w:val="004862B6"/>
    <w:rsid w:val="00486543"/>
    <w:rsid w:val="00486707"/>
    <w:rsid w:val="00487654"/>
    <w:rsid w:val="00493627"/>
    <w:rsid w:val="004937A5"/>
    <w:rsid w:val="00493B1C"/>
    <w:rsid w:val="00493F45"/>
    <w:rsid w:val="004949CA"/>
    <w:rsid w:val="0049621B"/>
    <w:rsid w:val="004963DE"/>
    <w:rsid w:val="00497243"/>
    <w:rsid w:val="00497802"/>
    <w:rsid w:val="00497CE2"/>
    <w:rsid w:val="004A0494"/>
    <w:rsid w:val="004A07C1"/>
    <w:rsid w:val="004A1699"/>
    <w:rsid w:val="004A284F"/>
    <w:rsid w:val="004A39AB"/>
    <w:rsid w:val="004A3BC8"/>
    <w:rsid w:val="004A3DC7"/>
    <w:rsid w:val="004A3DEB"/>
    <w:rsid w:val="004A4580"/>
    <w:rsid w:val="004A4641"/>
    <w:rsid w:val="004A5B1F"/>
    <w:rsid w:val="004A6296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1BA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0F8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373B3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141"/>
    <w:rsid w:val="005612C2"/>
    <w:rsid w:val="00561AEB"/>
    <w:rsid w:val="00561CC0"/>
    <w:rsid w:val="00562EC2"/>
    <w:rsid w:val="0056406C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87E"/>
    <w:rsid w:val="00577BDE"/>
    <w:rsid w:val="00581240"/>
    <w:rsid w:val="00581324"/>
    <w:rsid w:val="00582ED4"/>
    <w:rsid w:val="00583CAB"/>
    <w:rsid w:val="0058557D"/>
    <w:rsid w:val="00585630"/>
    <w:rsid w:val="0058583A"/>
    <w:rsid w:val="00585D7F"/>
    <w:rsid w:val="005861A1"/>
    <w:rsid w:val="00590BB1"/>
    <w:rsid w:val="005916D7"/>
    <w:rsid w:val="00591FDF"/>
    <w:rsid w:val="005921E2"/>
    <w:rsid w:val="00593101"/>
    <w:rsid w:val="00593FB5"/>
    <w:rsid w:val="0059436D"/>
    <w:rsid w:val="005943D2"/>
    <w:rsid w:val="00594802"/>
    <w:rsid w:val="00594A2A"/>
    <w:rsid w:val="00595F5A"/>
    <w:rsid w:val="00597131"/>
    <w:rsid w:val="00597DE4"/>
    <w:rsid w:val="005A05E2"/>
    <w:rsid w:val="005A09ED"/>
    <w:rsid w:val="005A30AB"/>
    <w:rsid w:val="005A37DA"/>
    <w:rsid w:val="005A45B5"/>
    <w:rsid w:val="005A4920"/>
    <w:rsid w:val="005A526E"/>
    <w:rsid w:val="005A698C"/>
    <w:rsid w:val="005A6C12"/>
    <w:rsid w:val="005A6CDF"/>
    <w:rsid w:val="005B0177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167D"/>
    <w:rsid w:val="00602DC5"/>
    <w:rsid w:val="00603187"/>
    <w:rsid w:val="006044FF"/>
    <w:rsid w:val="00604C78"/>
    <w:rsid w:val="006051FC"/>
    <w:rsid w:val="006054F7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B2D"/>
    <w:rsid w:val="00690C38"/>
    <w:rsid w:val="00691D7C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B7F78"/>
    <w:rsid w:val="006C33EC"/>
    <w:rsid w:val="006C4AF3"/>
    <w:rsid w:val="006C4BEC"/>
    <w:rsid w:val="006C4D4E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1E71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25685"/>
    <w:rsid w:val="00730B95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431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A75C3"/>
    <w:rsid w:val="007B049D"/>
    <w:rsid w:val="007B0E35"/>
    <w:rsid w:val="007B2673"/>
    <w:rsid w:val="007B2E46"/>
    <w:rsid w:val="007B36F4"/>
    <w:rsid w:val="007B3DB7"/>
    <w:rsid w:val="007B3EA4"/>
    <w:rsid w:val="007B4F73"/>
    <w:rsid w:val="007B60E5"/>
    <w:rsid w:val="007B78D0"/>
    <w:rsid w:val="007C043F"/>
    <w:rsid w:val="007C0F10"/>
    <w:rsid w:val="007C0FCE"/>
    <w:rsid w:val="007C13B9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1AB"/>
    <w:rsid w:val="0080468E"/>
    <w:rsid w:val="008048B0"/>
    <w:rsid w:val="00804C67"/>
    <w:rsid w:val="0080553C"/>
    <w:rsid w:val="00805B46"/>
    <w:rsid w:val="00810E8D"/>
    <w:rsid w:val="00811ECD"/>
    <w:rsid w:val="00812940"/>
    <w:rsid w:val="00813089"/>
    <w:rsid w:val="00813751"/>
    <w:rsid w:val="00813EEE"/>
    <w:rsid w:val="00815FE6"/>
    <w:rsid w:val="00816DE1"/>
    <w:rsid w:val="00820114"/>
    <w:rsid w:val="00820A18"/>
    <w:rsid w:val="00820A63"/>
    <w:rsid w:val="008211DF"/>
    <w:rsid w:val="00822D01"/>
    <w:rsid w:val="00823076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AA"/>
    <w:rsid w:val="0085567B"/>
    <w:rsid w:val="008569A1"/>
    <w:rsid w:val="00857C1C"/>
    <w:rsid w:val="00857E64"/>
    <w:rsid w:val="00857F61"/>
    <w:rsid w:val="00860C28"/>
    <w:rsid w:val="00860F7B"/>
    <w:rsid w:val="008616B4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67C38"/>
    <w:rsid w:val="00870421"/>
    <w:rsid w:val="008735A8"/>
    <w:rsid w:val="008739BA"/>
    <w:rsid w:val="00874676"/>
    <w:rsid w:val="008779EF"/>
    <w:rsid w:val="008803B8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74F"/>
    <w:rsid w:val="008E3818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8F7EF3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482A"/>
    <w:rsid w:val="00915A5C"/>
    <w:rsid w:val="00920799"/>
    <w:rsid w:val="00921169"/>
    <w:rsid w:val="009218D1"/>
    <w:rsid w:val="00921A87"/>
    <w:rsid w:val="00921C3F"/>
    <w:rsid w:val="00921FFF"/>
    <w:rsid w:val="009227A6"/>
    <w:rsid w:val="0092367F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404B"/>
    <w:rsid w:val="00937BDA"/>
    <w:rsid w:val="00940B16"/>
    <w:rsid w:val="00940BAF"/>
    <w:rsid w:val="0094154A"/>
    <w:rsid w:val="009426B4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67F92"/>
    <w:rsid w:val="009705EE"/>
    <w:rsid w:val="009719B2"/>
    <w:rsid w:val="00971E0C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6EE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C9A"/>
    <w:rsid w:val="009A5D17"/>
    <w:rsid w:val="009A67D4"/>
    <w:rsid w:val="009A6B72"/>
    <w:rsid w:val="009A6D0C"/>
    <w:rsid w:val="009A6D10"/>
    <w:rsid w:val="009A6EA0"/>
    <w:rsid w:val="009A762B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241D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513F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1B4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74F21"/>
    <w:rsid w:val="00A7630C"/>
    <w:rsid w:val="00A8065E"/>
    <w:rsid w:val="00A80EF8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504A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1C2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56F3"/>
    <w:rsid w:val="00AE6D6D"/>
    <w:rsid w:val="00AF1536"/>
    <w:rsid w:val="00AF19C9"/>
    <w:rsid w:val="00AF255D"/>
    <w:rsid w:val="00AF26D6"/>
    <w:rsid w:val="00AF288A"/>
    <w:rsid w:val="00AF46FC"/>
    <w:rsid w:val="00AF5110"/>
    <w:rsid w:val="00AF6719"/>
    <w:rsid w:val="00AF7709"/>
    <w:rsid w:val="00B01D54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3AEF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67C91"/>
    <w:rsid w:val="00B70D87"/>
    <w:rsid w:val="00B7105D"/>
    <w:rsid w:val="00B71D19"/>
    <w:rsid w:val="00B71EB1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5CBC"/>
    <w:rsid w:val="00BA661E"/>
    <w:rsid w:val="00BB0DB0"/>
    <w:rsid w:val="00BB2FDB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264A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02DF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397F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152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83B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8F0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3C71"/>
    <w:rsid w:val="00CA4296"/>
    <w:rsid w:val="00CA43BA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14E3"/>
    <w:rsid w:val="00D420C8"/>
    <w:rsid w:val="00D4256C"/>
    <w:rsid w:val="00D45A80"/>
    <w:rsid w:val="00D463B3"/>
    <w:rsid w:val="00D467D8"/>
    <w:rsid w:val="00D4721D"/>
    <w:rsid w:val="00D504E4"/>
    <w:rsid w:val="00D5133B"/>
    <w:rsid w:val="00D546C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1940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15D5"/>
    <w:rsid w:val="00D91F82"/>
    <w:rsid w:val="00D934F6"/>
    <w:rsid w:val="00D94EED"/>
    <w:rsid w:val="00D95100"/>
    <w:rsid w:val="00D9571A"/>
    <w:rsid w:val="00D96026"/>
    <w:rsid w:val="00D96DDF"/>
    <w:rsid w:val="00DA0CAE"/>
    <w:rsid w:val="00DA0F32"/>
    <w:rsid w:val="00DA13B7"/>
    <w:rsid w:val="00DA20E3"/>
    <w:rsid w:val="00DA20FA"/>
    <w:rsid w:val="00DA2966"/>
    <w:rsid w:val="00DA355C"/>
    <w:rsid w:val="00DA4AC5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75E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3EB3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060D0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A55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6B07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3A5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0E24"/>
    <w:rsid w:val="00F01E89"/>
    <w:rsid w:val="00F037A4"/>
    <w:rsid w:val="00F04030"/>
    <w:rsid w:val="00F07831"/>
    <w:rsid w:val="00F10DCD"/>
    <w:rsid w:val="00F113BA"/>
    <w:rsid w:val="00F11509"/>
    <w:rsid w:val="00F137F7"/>
    <w:rsid w:val="00F13E75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2EBE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565"/>
    <w:rsid w:val="00F9379A"/>
    <w:rsid w:val="00F94989"/>
    <w:rsid w:val="00F95943"/>
    <w:rsid w:val="00F9616E"/>
    <w:rsid w:val="00F968FA"/>
    <w:rsid w:val="00F9795E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915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4472"/>
    <w:rsid w:val="00FD507D"/>
    <w:rsid w:val="00FD58AC"/>
    <w:rsid w:val="00FD5C59"/>
    <w:rsid w:val="00FD5CE3"/>
    <w:rsid w:val="00FD5EA7"/>
    <w:rsid w:val="00FD5F18"/>
    <w:rsid w:val="00FD633E"/>
    <w:rsid w:val="00FD7636"/>
    <w:rsid w:val="00FE1582"/>
    <w:rsid w:val="00FE19FF"/>
    <w:rsid w:val="00FE1B93"/>
    <w:rsid w:val="00FE6C86"/>
    <w:rsid w:val="00FE6CB4"/>
    <w:rsid w:val="00FF12A4"/>
    <w:rsid w:val="00FF19A5"/>
    <w:rsid w:val="00FF1D6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7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stat.gov.pl/obszary-tematyczne/przemysl-budownictwo-srodki-trwale/budownictwo/publikacja,13.html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10%20pa&#378;dziernik\Informacja%20sygnalna%20Budownictwo%20mieszkaniowe_wykres_092021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09wrzesie&#324;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418863224823224E-2"/>
          <c:y val="6.2537112980672063E-2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Arkusz1!$B$4:$BG$4</c:f>
              <c:numCache>
                <c:formatCode>General</c:formatCode>
                <c:ptCount val="58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 formatCode="#,##0">
                  <c:v>18861</c:v>
                </c:pt>
                <c:pt idx="56">
                  <c:v>21905</c:v>
                </c:pt>
                <c:pt idx="57">
                  <c:v>19973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Arkusz1!$B$16:$BG$16</c:f>
              <c:numCache>
                <c:formatCode>General</c:formatCode>
                <c:ptCount val="58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  <c:pt idx="56">
                  <c:v>27264</c:v>
                </c:pt>
                <c:pt idx="57">
                  <c:v>28728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Arkusz1!$B$10:$BG$10</c:f>
              <c:numCache>
                <c:formatCode>General</c:formatCode>
                <c:ptCount val="58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178448"/>
        <c:axId val="445178992"/>
      </c:lineChart>
      <c:catAx>
        <c:axId val="44517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178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445178992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4517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718706727736032E-2"/>
          <c:y val="0.75700329244355014"/>
          <c:w val="0.82149233492015372"/>
          <c:h val="0.17873162317916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3767</c:v>
                </c:pt>
                <c:pt idx="1">
                  <c:v>5405</c:v>
                </c:pt>
                <c:pt idx="2">
                  <c:v>5582</c:v>
                </c:pt>
                <c:pt idx="3">
                  <c:v>7106</c:v>
                </c:pt>
                <c:pt idx="4">
                  <c:v>7423</c:v>
                </c:pt>
                <c:pt idx="5">
                  <c:v>12086</c:v>
                </c:pt>
                <c:pt idx="6">
                  <c:v>11093</c:v>
                </c:pt>
                <c:pt idx="7">
                  <c:v>9413</c:v>
                </c:pt>
                <c:pt idx="8">
                  <c:v>10184</c:v>
                </c:pt>
                <c:pt idx="9">
                  <c:v>15050</c:v>
                </c:pt>
                <c:pt idx="10">
                  <c:v>19630</c:v>
                </c:pt>
                <c:pt idx="11">
                  <c:v>20347</c:v>
                </c:pt>
                <c:pt idx="12">
                  <c:v>21088</c:v>
                </c:pt>
                <c:pt idx="13">
                  <c:v>20556</c:v>
                </c:pt>
                <c:pt idx="14">
                  <c:v>25900</c:v>
                </c:pt>
                <c:pt idx="15">
                  <c:v>44322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4286</c:v>
                </c:pt>
                <c:pt idx="1">
                  <c:v>5398</c:v>
                </c:pt>
                <c:pt idx="2">
                  <c:v>6558</c:v>
                </c:pt>
                <c:pt idx="3">
                  <c:v>9134</c:v>
                </c:pt>
                <c:pt idx="4">
                  <c:v>8327</c:v>
                </c:pt>
                <c:pt idx="5">
                  <c:v>13640</c:v>
                </c:pt>
                <c:pt idx="6">
                  <c:v>13601</c:v>
                </c:pt>
                <c:pt idx="7">
                  <c:v>10390</c:v>
                </c:pt>
                <c:pt idx="8">
                  <c:v>11621</c:v>
                </c:pt>
                <c:pt idx="9">
                  <c:v>18963</c:v>
                </c:pt>
                <c:pt idx="10">
                  <c:v>24752</c:v>
                </c:pt>
                <c:pt idx="11">
                  <c:v>26547</c:v>
                </c:pt>
                <c:pt idx="12">
                  <c:v>24818</c:v>
                </c:pt>
                <c:pt idx="13">
                  <c:v>24222</c:v>
                </c:pt>
                <c:pt idx="14">
                  <c:v>29677</c:v>
                </c:pt>
                <c:pt idx="15">
                  <c:v>51460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2613</c:v>
                </c:pt>
                <c:pt idx="1">
                  <c:v>3629</c:v>
                </c:pt>
                <c:pt idx="2">
                  <c:v>3855</c:v>
                </c:pt>
                <c:pt idx="3">
                  <c:v>4533</c:v>
                </c:pt>
                <c:pt idx="4">
                  <c:v>6147</c:v>
                </c:pt>
                <c:pt idx="5">
                  <c:v>7265</c:v>
                </c:pt>
                <c:pt idx="6">
                  <c:v>7783</c:v>
                </c:pt>
                <c:pt idx="7">
                  <c:v>7936</c:v>
                </c:pt>
                <c:pt idx="8">
                  <c:v>8345</c:v>
                </c:pt>
                <c:pt idx="9">
                  <c:v>10151</c:v>
                </c:pt>
                <c:pt idx="10">
                  <c:v>13613</c:v>
                </c:pt>
                <c:pt idx="11">
                  <c:v>15497</c:v>
                </c:pt>
                <c:pt idx="12">
                  <c:v>16752</c:v>
                </c:pt>
                <c:pt idx="13">
                  <c:v>20494</c:v>
                </c:pt>
                <c:pt idx="14">
                  <c:v>22228</c:v>
                </c:pt>
                <c:pt idx="15">
                  <c:v>33554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179536"/>
        <c:axId val="445189328"/>
      </c:barChart>
      <c:catAx>
        <c:axId val="445179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45189328"/>
        <c:crosses val="autoZero"/>
        <c:auto val="1"/>
        <c:lblAlgn val="ctr"/>
        <c:lblOffset val="100"/>
        <c:noMultiLvlLbl val="0"/>
      </c:catAx>
      <c:valAx>
        <c:axId val="445189328"/>
        <c:scaling>
          <c:orientation val="minMax"/>
          <c:max val="5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4517953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3253617791019352"/>
          <c:w val="0.83688211129506873"/>
          <c:h val="0.13181461481166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STAT\POWESKAA</Osoba>
    <NazwaPliku xmlns="8C029B3F-2CC4-4A59-AF0D-A90575FA3373">budownictwo_mieszkaniowe_w_okresie_i-x_2021_r.docx.docx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DB8C-D2D5-4E5D-925E-7BC0852C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0470BF-4AFB-4271-8AFC-FC30F936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dc:creator>GUS</dc:creator>
  <cp:keywords>mieszkania oddane do użytkowania; mieszkania w budowie; mieszkania rozpoczęte; pozwolenie na budowę; powierzchnia użytkowa</cp:keywords>
  <cp:lastModifiedBy>Putkowska Beata</cp:lastModifiedBy>
  <cp:revision>3</cp:revision>
  <cp:lastPrinted>2021-08-18T06:04:00Z</cp:lastPrinted>
  <dcterms:created xsi:type="dcterms:W3CDTF">2021-11-18T11:26:00Z</dcterms:created>
  <dcterms:modified xsi:type="dcterms:W3CDTF">2021-11-23T06:11:00Z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