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55F47" w:rsidR="0098135C" w:rsidP="003F6AB8" w:rsidRDefault="00557D75" w14:paraId="204B7DE9" w14:textId="4D318F45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r>
        <w:rPr>
          <w:color w:val="auto"/>
          <w:szCs w:val="40"/>
        </w:rPr>
        <w:t>Budownictwo mieszkaniowe</w:t>
      </w:r>
      <w:r w:rsidRPr="00B678B9" w:rsidR="006F5529">
        <w:rPr>
          <w:rStyle w:val="Odwoanieprzypisudolnego"/>
        </w:rPr>
        <w:footnoteReference w:id="1"/>
      </w:r>
      <w:r w:rsidRPr="00DA0F32" w:rsidR="007B0E35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>okresie I-II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Pr="00194201" w:rsidR="00754F6C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:rsidRPr="00B70D87" w:rsidR="00393761" w:rsidP="00074DD8" w:rsidRDefault="005F302D" w14:paraId="0B2A05A0" w14:textId="77777777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editId="0AD5BC78" wp14:anchorId="4E58E3FE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66B1" w:rsidR="004862B6" w:rsidP="00074DD8" w:rsidRDefault="004862B6" w14:paraId="5E77CB39" w14:textId="7777777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E58E3FE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4862B6" w:rsidP="00074DD8" w:rsidRDefault="004862B6" w14:paraId="5E77CB39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P="00F113BA" w:rsidRDefault="005F302D" w14:paraId="66268485" w14:textId="117AD735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5F0488E" wp14:anchorId="0DE3ADBC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044CD" w:rsidR="004862B6" w:rsidP="00633014" w:rsidRDefault="005F302D" w14:paraId="32057403" w14:textId="55676C7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61F7BCA6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34699" cy="3174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044CD" w:rsidR="004862B6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F50D8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99,4</w:t>
                            </w:r>
                          </w:p>
                          <w:p w:rsidRPr="007044CD" w:rsidR="007044CD" w:rsidP="007044CD" w:rsidRDefault="007044CD" w14:paraId="00E42E49" w14:textId="77777777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:rsidRPr="007044CD" w:rsidR="004862B6" w:rsidP="007044CD" w:rsidRDefault="004862B6" w14:paraId="164074AE" w14:textId="288B3E5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w14:anchorId="0DE3ADBC">
                <v:textbox>
                  <w:txbxContent>
                    <w:p w:rsidRPr="007044CD" w:rsidR="004862B6" w:rsidP="00633014" w:rsidRDefault="005F302D" w14:paraId="32057403" w14:textId="55676C7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61F7BCA6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34699" cy="3174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044CD"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F50D8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99,4</w:t>
                      </w:r>
                    </w:p>
                    <w:p w:rsidRPr="007044CD" w:rsidR="007044CD" w:rsidP="007044CD" w:rsidRDefault="007044CD" w14:paraId="00E42E49" w14:textId="77777777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:rsidRPr="007044CD" w:rsidR="004862B6" w:rsidP="007044CD" w:rsidRDefault="004862B6" w14:paraId="164074AE" w14:textId="288B3E5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 w:rsidR="00B121A3">
        <w:t xml:space="preserve">W </w:t>
      </w:r>
      <w:r w:rsidR="00A66782">
        <w:t>okresie dwóch pierwszych miesięcy</w:t>
      </w:r>
      <w:r w:rsidR="00C70DC6">
        <w:t xml:space="preserve"> 2021</w:t>
      </w:r>
      <w:r w:rsidR="00A536C6">
        <w:t xml:space="preserve"> roku oddano do </w:t>
      </w:r>
      <w:r w:rsidRPr="00C11F28" w:rsidR="004466B1">
        <w:t xml:space="preserve">użytkowania </w:t>
      </w:r>
      <w:r w:rsidR="00C70DC6">
        <w:t>mniej</w:t>
      </w:r>
      <w:r w:rsidRPr="00C11F28" w:rsidR="004466B1">
        <w:t xml:space="preserve"> mieszkań niż </w:t>
      </w:r>
      <w:r w:rsidRPr="00C11F28" w:rsidR="00F17D27">
        <w:t>przed rokiem</w:t>
      </w:r>
      <w:r w:rsidRPr="00D5133B" w:rsidR="004466B1">
        <w:t xml:space="preserve">. </w:t>
      </w:r>
      <w:r w:rsidR="00F50D81">
        <w:t xml:space="preserve">Spadła również </w:t>
      </w:r>
      <w:r w:rsidRPr="00F50D81" w:rsidR="00F50D81">
        <w:t>liczba mieszkań, których budowę rozpoczęto.</w:t>
      </w:r>
      <w:r w:rsidR="00F50D81">
        <w:t xml:space="preserve"> </w:t>
      </w:r>
      <w:r w:rsidRPr="00D5133B" w:rsidR="0057374E">
        <w:t>Wzrosł</w:t>
      </w:r>
      <w:r w:rsidR="00F50D81">
        <w:t xml:space="preserve">a </w:t>
      </w:r>
      <w:r w:rsidRPr="00D5133B" w:rsidR="00361864">
        <w:t>na</w:t>
      </w:r>
      <w:r w:rsidRPr="00D5133B" w:rsidR="0057374E">
        <w:t>tomiast l</w:t>
      </w:r>
      <w:r w:rsidRPr="00D5133B" w:rsidR="008B0F20">
        <w:t>iczba</w:t>
      </w:r>
      <w:r w:rsidRPr="00C11F28" w:rsidR="008B0F20">
        <w:t xml:space="preserve"> m</w:t>
      </w:r>
      <w:r w:rsidRPr="00C11F28" w:rsidR="00585630">
        <w:t>ieszkań,</w:t>
      </w:r>
      <w:r w:rsidRPr="00F67582" w:rsidR="00F67582">
        <w:t xml:space="preserve"> na których budowę wydano pozwo</w:t>
      </w:r>
      <w:r w:rsidR="007044CD">
        <w:t>lenia lub dokonano zgłoszenia z </w:t>
      </w:r>
      <w:r w:rsidRPr="00F67582" w:rsidR="00F67582">
        <w:t>projektem budowlanym</w:t>
      </w:r>
      <w:r w:rsidR="00F50D81">
        <w:t>.</w:t>
      </w:r>
    </w:p>
    <w:p w:rsidRPr="009A6B72" w:rsidR="0075636C" w:rsidP="0075636C" w:rsidRDefault="0075636C" w14:paraId="6EB6C166" w14:textId="5A351ED3">
      <w:pPr>
        <w:pStyle w:val="Nagwek1"/>
      </w:pPr>
    </w:p>
    <w:p w:rsidR="00007AEB" w:rsidP="00F113BA" w:rsidRDefault="00007AEB" w14:paraId="04322E55" w14:textId="4C4B4EA2">
      <w:pPr>
        <w:rPr>
          <w:rFonts w:ascii="Fira Sans SemiBold" w:hAnsi="Fira Sans SemiBold"/>
          <w:color w:val="001D77"/>
          <w:szCs w:val="19"/>
        </w:rPr>
      </w:pPr>
      <w:bookmarkStart w:name="_GoBack" w:id="0"/>
      <w:bookmarkEnd w:id="0"/>
    </w:p>
    <w:p w:rsidRPr="006819F3" w:rsidR="00C6552F" w:rsidP="00F113BA" w:rsidRDefault="00516A51" w14:paraId="74265326" w14:textId="00147652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hAnsi="Fira Sans SemiBold" w:eastAsia="Times New Roman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editId="203E9DFB" wp14:anchorId="70F4854A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16A51" w:rsidR="00B453BB" w:rsidP="00B453BB" w:rsidRDefault="00B13293" w14:paraId="6327FDC5" w14:textId="79C57C81">
                            <w:pPr>
                              <w:pStyle w:val="tekstzboku"/>
                            </w:pPr>
                            <w:r w:rsidRPr="00516A51">
                              <w:t>Deweloperzy i inwestorzy indywidualni oddali do uż</w:t>
                            </w:r>
                            <w:r w:rsidR="00F71A95">
                              <w:t>ytkowania odpowiednio 58,0% i 40,5</w:t>
                            </w:r>
                            <w:r w:rsidRPr="00516A51">
                              <w:t>% ogólnej liczby mieszkań</w:t>
                            </w:r>
                          </w:p>
                          <w:p w:rsidRPr="0023461B" w:rsidR="004D107E" w:rsidP="0023461B" w:rsidRDefault="004D107E" w14:paraId="1DB05ABD" w14:textId="333A6B0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9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w14:anchorId="70F4854A">
                <v:textbox>
                  <w:txbxContent>
                    <w:p w:rsidRPr="00516A51" w:rsidR="00B453BB" w:rsidP="00B453BB" w:rsidRDefault="00B13293" w14:paraId="6327FDC5" w14:textId="79C57C81">
                      <w:pPr>
                        <w:pStyle w:val="tekstzboku"/>
                      </w:pPr>
                      <w:r w:rsidRPr="00516A51">
                        <w:t>Deweloperzy i inwestorzy indywidualni oddali do uż</w:t>
                      </w:r>
                      <w:r w:rsidR="00F71A95">
                        <w:t>ytkowania odpowiednio 58,0% i 40,5</w:t>
                      </w:r>
                      <w:r w:rsidRPr="00516A51">
                        <w:t>% ogólnej liczby mieszkań</w:t>
                      </w:r>
                    </w:p>
                    <w:p w:rsidRPr="0023461B" w:rsidR="004D107E" w:rsidP="0023461B" w:rsidRDefault="004D107E" w14:paraId="1DB05ABD" w14:textId="333A6B0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819F3" w:rsidR="004D06AC">
        <w:rPr>
          <w:rFonts w:ascii="Fira Sans SemiBold" w:hAnsi="Fira Sans SemiBold"/>
          <w:color w:val="001D77"/>
          <w:szCs w:val="19"/>
        </w:rPr>
        <w:t>Mieszkania oddane do użytkowania</w:t>
      </w:r>
    </w:p>
    <w:p w:rsidRPr="00B13293" w:rsidR="004D107E" w:rsidP="00DD4E61" w:rsidRDefault="00CE7EAE" w14:paraId="7D50C4A0" w14:textId="2BEE249B">
      <w:pPr>
        <w:rPr>
          <w:shd w:val="clear" w:color="auto" w:fill="FFFFFF"/>
        </w:rPr>
      </w:pPr>
      <w:r w:rsidRPr="00FD0C29">
        <w:rPr>
          <w:rFonts w:ascii="Fira Sans SemiBold" w:hAnsi="Fira Sans SemiBold" w:eastAsia="Times New Roman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editId="674BF050" wp14:anchorId="63BCDE3C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616D2" w:rsidR="004D107E" w:rsidP="004D107E" w:rsidRDefault="004D107E" w14:paraId="60EB9006" w14:textId="7777777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9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w14:anchorId="63BCDE3C">
                <v:textbox>
                  <w:txbxContent>
                    <w:p w:rsidRPr="00D616D2" w:rsidR="004D107E" w:rsidP="004D107E" w:rsidRDefault="004D107E" w14:paraId="60EB9006" w14:textId="77777777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FD0C29" w:rsidR="00A536C6">
        <w:rPr>
          <w:shd w:val="clear" w:color="auto" w:fill="FFFFFF"/>
        </w:rPr>
        <w:t>Wed</w:t>
      </w:r>
      <w:r w:rsidR="00F50D81">
        <w:rPr>
          <w:shd w:val="clear" w:color="auto" w:fill="FFFFFF"/>
        </w:rPr>
        <w:t xml:space="preserve">ług wstępnych danych, w okresie styczeń-luty </w:t>
      </w:r>
      <w:r w:rsidR="00C70DC6">
        <w:rPr>
          <w:shd w:val="clear" w:color="auto" w:fill="FFFFFF"/>
        </w:rPr>
        <w:t>2021</w:t>
      </w:r>
      <w:r w:rsidRPr="00FD0C29" w:rsidR="00A536C6">
        <w:rPr>
          <w:shd w:val="clear" w:color="auto" w:fill="FFFFFF"/>
        </w:rPr>
        <w:t xml:space="preserve"> r. oddano do użytkowania </w:t>
      </w:r>
      <w:r w:rsidR="00A66782">
        <w:rPr>
          <w:shd w:val="clear" w:color="auto" w:fill="FFFFFF"/>
        </w:rPr>
        <w:t>33,9</w:t>
      </w:r>
      <w:r w:rsidRPr="00FD0C29" w:rsidR="00A536C6">
        <w:t> tys</w:t>
      </w:r>
      <w:r w:rsidR="00BC42CE">
        <w:rPr>
          <w:shd w:val="clear" w:color="auto" w:fill="FFFFFF"/>
        </w:rPr>
        <w:t>. mieszkań, tj. </w:t>
      </w:r>
      <w:r w:rsidRPr="00FD0C29" w:rsidR="003912E0">
        <w:rPr>
          <w:shd w:val="clear" w:color="auto" w:fill="FFFFFF"/>
        </w:rPr>
        <w:t xml:space="preserve">o </w:t>
      </w:r>
      <w:r w:rsidR="00A66782">
        <w:rPr>
          <w:shd w:val="clear" w:color="auto" w:fill="FFFFFF"/>
        </w:rPr>
        <w:t>0,6</w:t>
      </w:r>
      <w:r w:rsidR="00CC4264">
        <w:rPr>
          <w:shd w:val="clear" w:color="auto" w:fill="FFFFFF"/>
        </w:rPr>
        <w:t xml:space="preserve">% mniej niż </w:t>
      </w:r>
      <w:r w:rsidR="00A66782">
        <w:rPr>
          <w:shd w:val="clear" w:color="auto" w:fill="FFFFFF"/>
        </w:rPr>
        <w:t>przed rokiem.</w:t>
      </w:r>
      <w:r w:rsidRPr="00FD0C29" w:rsidR="00A536C6">
        <w:rPr>
          <w:shd w:val="clear" w:color="auto" w:fill="FFFFFF"/>
        </w:rPr>
        <w:t xml:space="preserve"> </w:t>
      </w:r>
      <w:r w:rsidRPr="00FD0C29" w:rsidR="00A536C6">
        <w:rPr>
          <w:b/>
          <w:shd w:val="clear" w:color="auto" w:fill="FFFFFF"/>
        </w:rPr>
        <w:t>Deweloperzy</w:t>
      </w:r>
      <w:r w:rsidRPr="00FD0C29" w:rsidR="00A536C6">
        <w:t xml:space="preserve"> </w:t>
      </w:r>
      <w:r w:rsidRPr="00FD0C29" w:rsidR="00A536C6">
        <w:rPr>
          <w:shd w:val="clear" w:color="auto" w:fill="FFFFFF"/>
        </w:rPr>
        <w:t xml:space="preserve">przekazali do eksploatacji </w:t>
      </w:r>
      <w:r w:rsidR="00A66782">
        <w:rPr>
          <w:shd w:val="clear" w:color="auto" w:fill="FFFFFF"/>
        </w:rPr>
        <w:t>19,6 </w:t>
      </w:r>
      <w:r w:rsidRPr="00FD0C29" w:rsidR="00A536C6">
        <w:rPr>
          <w:shd w:val="clear" w:color="auto" w:fill="FFFFFF"/>
        </w:rPr>
        <w:t xml:space="preserve">tys. </w:t>
      </w:r>
      <w:r w:rsidRPr="00FD0C29" w:rsidR="00A536C6">
        <w:rPr>
          <w:color w:val="000000" w:themeColor="text1"/>
          <w:shd w:val="clear" w:color="auto" w:fill="FFFFFF"/>
        </w:rPr>
        <w:t>mieszkań</w:t>
      </w:r>
      <w:r w:rsidRPr="00FD0C29" w:rsidR="00C92E8E">
        <w:rPr>
          <w:color w:val="000000" w:themeColor="text1"/>
          <w:shd w:val="clear" w:color="auto" w:fill="FFFFFF"/>
        </w:rPr>
        <w:t xml:space="preserve"> </w:t>
      </w:r>
      <w:r w:rsidR="00BC42CE">
        <w:rPr>
          <w:color w:val="000000" w:themeColor="text1"/>
          <w:shd w:val="clear" w:color="auto" w:fill="FFFFFF"/>
        </w:rPr>
        <w:t>–</w:t>
      </w:r>
      <w:r w:rsidRPr="00FD0C29" w:rsidR="00A536C6">
        <w:rPr>
          <w:color w:val="000000" w:themeColor="text1"/>
          <w:shd w:val="clear" w:color="auto" w:fill="FFFFFF"/>
        </w:rPr>
        <w:t xml:space="preserve"> </w:t>
      </w:r>
      <w:r w:rsidRPr="00FD0C29" w:rsidR="00C92E8E">
        <w:rPr>
          <w:color w:val="000000" w:themeColor="text1"/>
          <w:shd w:val="clear" w:color="auto" w:fill="FFFFFF"/>
        </w:rPr>
        <w:t>o</w:t>
      </w:r>
      <w:r w:rsidR="00BC42CE">
        <w:rPr>
          <w:color w:val="000000" w:themeColor="text1"/>
          <w:shd w:val="clear" w:color="auto" w:fill="FFFFFF"/>
        </w:rPr>
        <w:t xml:space="preserve"> </w:t>
      </w:r>
      <w:r w:rsidR="00A66782">
        <w:rPr>
          <w:color w:val="000000" w:themeColor="text1"/>
          <w:shd w:val="clear" w:color="auto" w:fill="FFFFFF"/>
        </w:rPr>
        <w:t>4,5</w:t>
      </w:r>
      <w:r w:rsidR="00C70DC6">
        <w:rPr>
          <w:shd w:val="clear" w:color="auto" w:fill="FFFFFF"/>
        </w:rPr>
        <w:t xml:space="preserve">% mniej niż w analogicznym </w:t>
      </w:r>
      <w:r w:rsidR="00A66782">
        <w:rPr>
          <w:shd w:val="clear" w:color="auto" w:fill="FFFFFF"/>
        </w:rPr>
        <w:t>okresie</w:t>
      </w:r>
      <w:r w:rsidR="00C70DC6">
        <w:rPr>
          <w:shd w:val="clear" w:color="auto" w:fill="FFFFFF"/>
        </w:rPr>
        <w:t xml:space="preserve"> 2020</w:t>
      </w:r>
      <w:r w:rsidRPr="00FD0C29" w:rsidR="00A536C6">
        <w:rPr>
          <w:shd w:val="clear" w:color="auto" w:fill="FFFFFF"/>
        </w:rPr>
        <w:t xml:space="preserve"> r., natomiast </w:t>
      </w:r>
      <w:r w:rsidRPr="00FD0C29" w:rsidR="00A536C6">
        <w:rPr>
          <w:b/>
          <w:shd w:val="clear" w:color="auto" w:fill="FFFFFF"/>
        </w:rPr>
        <w:t>inwestorzy</w:t>
      </w:r>
      <w:r w:rsidRPr="00FD0C29" w:rsidR="00A536C6">
        <w:rPr>
          <w:shd w:val="clear" w:color="auto" w:fill="FFFFFF"/>
        </w:rPr>
        <w:t xml:space="preserve"> </w:t>
      </w:r>
      <w:r w:rsidRPr="00FD0C29" w:rsidR="00A536C6">
        <w:rPr>
          <w:b/>
          <w:shd w:val="clear" w:color="auto" w:fill="FFFFFF"/>
        </w:rPr>
        <w:t xml:space="preserve">indywidualni </w:t>
      </w:r>
      <w:r w:rsidRPr="00FD0C29" w:rsidR="00A536C6">
        <w:rPr>
          <w:shd w:val="clear" w:color="auto" w:fill="FFFFFF"/>
        </w:rPr>
        <w:t xml:space="preserve">– </w:t>
      </w:r>
      <w:r w:rsidR="00A66782">
        <w:rPr>
          <w:shd w:val="clear" w:color="auto" w:fill="FFFFFF"/>
        </w:rPr>
        <w:t>13</w:t>
      </w:r>
      <w:r w:rsidR="00C70DC6">
        <w:rPr>
          <w:shd w:val="clear" w:color="auto" w:fill="FFFFFF"/>
        </w:rPr>
        <w:t>,7</w:t>
      </w:r>
      <w:r w:rsidRPr="00FD0C29" w:rsidR="00677AFF">
        <w:rPr>
          <w:shd w:val="clear" w:color="auto" w:fill="FFFFFF"/>
        </w:rPr>
        <w:t xml:space="preserve"> </w:t>
      </w:r>
      <w:r w:rsidRPr="00FD0C29" w:rsidR="00A536C6">
        <w:rPr>
          <w:shd w:val="clear" w:color="auto" w:fill="FFFFFF"/>
        </w:rPr>
        <w:t xml:space="preserve">tys. mieszkań, tj. o </w:t>
      </w:r>
      <w:r w:rsidR="00A66782">
        <w:rPr>
          <w:shd w:val="clear" w:color="auto" w:fill="FFFFFF"/>
        </w:rPr>
        <w:t>7,1</w:t>
      </w:r>
      <w:r w:rsidRPr="00FD0C29" w:rsidR="00C92E8E">
        <w:rPr>
          <w:color w:val="000000" w:themeColor="text1"/>
          <w:shd w:val="clear" w:color="auto" w:fill="FFFFFF"/>
        </w:rPr>
        <w:t>%</w:t>
      </w:r>
      <w:r w:rsidRPr="00FD0C29" w:rsidR="00C92E8E">
        <w:rPr>
          <w:color w:val="FF0000"/>
          <w:shd w:val="clear" w:color="auto" w:fill="FFFFFF"/>
        </w:rPr>
        <w:t xml:space="preserve"> </w:t>
      </w:r>
      <w:r w:rsidRPr="00FD0C29" w:rsidR="002C74C5">
        <w:rPr>
          <w:shd w:val="clear" w:color="auto" w:fill="FFFFFF"/>
        </w:rPr>
        <w:t>więcej</w:t>
      </w:r>
      <w:r w:rsidRPr="00FD0C29" w:rsidR="00F83328">
        <w:rPr>
          <w:shd w:val="clear" w:color="auto" w:fill="FFFFFF"/>
        </w:rPr>
        <w:t xml:space="preserve">. </w:t>
      </w:r>
      <w:r w:rsidR="00C56B6F">
        <w:rPr>
          <w:shd w:val="clear" w:color="auto" w:fill="FFFFFF"/>
        </w:rPr>
        <w:t>W </w:t>
      </w:r>
      <w:r w:rsidRPr="00FD0C29" w:rsidR="00A536C6">
        <w:rPr>
          <w:shd w:val="clear" w:color="auto" w:fill="FFFFFF"/>
        </w:rPr>
        <w:t>ramach tych form budownictwa wybudowano łącznie 98,</w:t>
      </w:r>
      <w:r w:rsidR="00C70DC6">
        <w:rPr>
          <w:shd w:val="clear" w:color="auto" w:fill="FFFFFF"/>
        </w:rPr>
        <w:t>5</w:t>
      </w:r>
      <w:r w:rsidRPr="00FD0C29" w:rsidR="00A536C6">
        <w:rPr>
          <w:shd w:val="clear" w:color="auto" w:fill="FFFFFF"/>
        </w:rPr>
        <w:t xml:space="preserve">% ogółu </w:t>
      </w:r>
      <w:r w:rsidRPr="00B13293" w:rsidR="00842C3C">
        <w:rPr>
          <w:shd w:val="clear" w:color="auto" w:fill="FFFFFF"/>
        </w:rPr>
        <w:t xml:space="preserve">nowo </w:t>
      </w:r>
      <w:r w:rsidRPr="00FD0C29" w:rsidR="00A536C6">
        <w:rPr>
          <w:shd w:val="clear" w:color="auto" w:fill="FFFFFF"/>
        </w:rPr>
        <w:t xml:space="preserve">oddanych </w:t>
      </w:r>
      <w:r w:rsidR="00B13293">
        <w:rPr>
          <w:shd w:val="clear" w:color="auto" w:fill="FFFFFF"/>
        </w:rPr>
        <w:t xml:space="preserve">mieszkań. </w:t>
      </w:r>
      <w:r w:rsidRPr="00A66782" w:rsidR="00A66782">
        <w:rPr>
          <w:shd w:val="clear" w:color="auto" w:fill="FFFFFF"/>
        </w:rPr>
        <w:t xml:space="preserve">W </w:t>
      </w:r>
      <w:r w:rsidRPr="00A66782" w:rsidR="00A66782">
        <w:rPr>
          <w:b/>
          <w:shd w:val="clear" w:color="auto" w:fill="FFFFFF"/>
        </w:rPr>
        <w:t>pozostałych</w:t>
      </w:r>
      <w:r w:rsidRPr="00A66782" w:rsidR="00A66782">
        <w:rPr>
          <w:shd w:val="clear" w:color="auto" w:fill="FFFFFF"/>
        </w:rPr>
        <w:t xml:space="preserve"> </w:t>
      </w:r>
      <w:r w:rsidRPr="00A66782" w:rsidR="00A66782">
        <w:rPr>
          <w:b/>
          <w:shd w:val="clear" w:color="auto" w:fill="FFFFFF"/>
        </w:rPr>
        <w:t>formach</w:t>
      </w:r>
      <w:r w:rsidRPr="00A66782" w:rsidR="00A66782">
        <w:rPr>
          <w:shd w:val="clear" w:color="auto" w:fill="FFFFFF"/>
        </w:rPr>
        <w:t xml:space="preserve"> budownictwa, tj. spółdzielczej,</w:t>
      </w:r>
      <w:r w:rsidR="00A66782">
        <w:rPr>
          <w:shd w:val="clear" w:color="auto" w:fill="FFFFFF"/>
        </w:rPr>
        <w:t xml:space="preserve"> komunalnej, społecznej czynszo</w:t>
      </w:r>
      <w:r w:rsidRPr="00A66782" w:rsidR="00A66782">
        <w:rPr>
          <w:shd w:val="clear" w:color="auto" w:fill="FFFFFF"/>
        </w:rPr>
        <w:t>wej i zakładowej, oddano do użytkowania łącznie 506</w:t>
      </w:r>
      <w:r w:rsidR="00A66782">
        <w:rPr>
          <w:shd w:val="clear" w:color="auto" w:fill="FFFFFF"/>
        </w:rPr>
        <w:t xml:space="preserve"> </w:t>
      </w:r>
      <w:r w:rsidRPr="00A66782" w:rsidR="00A66782">
        <w:rPr>
          <w:shd w:val="clear" w:color="auto" w:fill="FFFFFF"/>
        </w:rPr>
        <w:t>mieszkań (</w:t>
      </w:r>
      <w:r w:rsidRPr="00F71A95" w:rsidR="00F71A95">
        <w:rPr>
          <w:shd w:val="clear" w:color="auto" w:fill="FFFFFF"/>
        </w:rPr>
        <w:t>686</w:t>
      </w:r>
      <w:r w:rsidR="00F71A95">
        <w:rPr>
          <w:shd w:val="clear" w:color="auto" w:fill="FFFFFF"/>
        </w:rPr>
        <w:t xml:space="preserve"> </w:t>
      </w:r>
      <w:r w:rsidRPr="00A66782" w:rsidR="00A66782">
        <w:rPr>
          <w:shd w:val="clear" w:color="auto" w:fill="FFFFFF"/>
        </w:rPr>
        <w:t>przed rokiem).</w:t>
      </w:r>
    </w:p>
    <w:p w:rsidRPr="00AD03FC" w:rsidR="00B453BB" w:rsidP="00AD03FC" w:rsidRDefault="00B453BB" w14:paraId="2424FC5E" w14:textId="32B2F776">
      <w:pPr>
        <w:spacing w:before="0" w:after="0"/>
        <w:rPr>
          <w:shd w:val="clear" w:color="auto" w:fill="FFFFFF"/>
          <w:vertAlign w:val="superscript"/>
        </w:rPr>
      </w:pPr>
      <w:r w:rsidRPr="00FC230E">
        <w:rPr>
          <w:shd w:val="clear" w:color="auto" w:fill="FFFFFF"/>
        </w:rPr>
        <w:t>Powierzchnia użytkowa mieszkań od</w:t>
      </w:r>
      <w:r w:rsidRPr="00FC230E" w:rsidR="001E12CF">
        <w:rPr>
          <w:shd w:val="clear" w:color="auto" w:fill="FFFFFF"/>
        </w:rPr>
        <w:t xml:space="preserve">danych w </w:t>
      </w:r>
      <w:r w:rsidR="00F71A95">
        <w:rPr>
          <w:shd w:val="clear" w:color="auto" w:fill="FFFFFF"/>
        </w:rPr>
        <w:t>okresie styczeń-luty</w:t>
      </w:r>
      <w:r w:rsidR="00C70DC6">
        <w:rPr>
          <w:shd w:val="clear" w:color="auto" w:fill="FFFFFF"/>
        </w:rPr>
        <w:t xml:space="preserve"> 2021</w:t>
      </w:r>
      <w:r w:rsidR="00F71A95">
        <w:rPr>
          <w:shd w:val="clear" w:color="auto" w:fill="FFFFFF"/>
        </w:rPr>
        <w:t xml:space="preserve"> r. wyniosła 3,2</w:t>
      </w:r>
      <w:r w:rsidR="00122DCD">
        <w:rPr>
          <w:shd w:val="clear" w:color="auto" w:fill="FFFFFF"/>
        </w:rPr>
        <w:t> </w:t>
      </w:r>
      <w:r w:rsidR="00F71A95">
        <w:rPr>
          <w:shd w:val="clear" w:color="auto" w:fill="FFFFFF"/>
        </w:rPr>
        <w:t>mln 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Pr="00FC230E" w:rsidR="00F32872">
        <w:rPr>
          <w:shd w:val="clear" w:color="auto" w:fill="FFFFFF"/>
        </w:rPr>
        <w:t>, czyli</w:t>
      </w:r>
      <w:r w:rsidR="00D5133B">
        <w:rPr>
          <w:shd w:val="clear" w:color="auto" w:fill="FFFFFF"/>
        </w:rPr>
        <w:t xml:space="preserve"> o </w:t>
      </w:r>
      <w:r w:rsidR="00F71A95">
        <w:rPr>
          <w:shd w:val="clear" w:color="auto" w:fill="FFFFFF"/>
        </w:rPr>
        <w:t>2,9</w:t>
      </w:r>
      <w:r w:rsidR="00C70DC6">
        <w:rPr>
          <w:shd w:val="clear" w:color="auto" w:fill="FFFFFF"/>
        </w:rPr>
        <w:t xml:space="preserve">% </w:t>
      </w:r>
      <w:r w:rsidR="00F71A95">
        <w:rPr>
          <w:shd w:val="clear" w:color="auto" w:fill="FFFFFF"/>
        </w:rPr>
        <w:t>więcej</w:t>
      </w:r>
      <w:r w:rsidRPr="00FC230E">
        <w:rPr>
          <w:shd w:val="clear" w:color="auto" w:fill="FFFFFF"/>
        </w:rPr>
        <w:t xml:space="preserve"> </w:t>
      </w:r>
      <w:r w:rsidR="00C70DC6">
        <w:rPr>
          <w:shd w:val="clear" w:color="auto" w:fill="FFFFFF"/>
        </w:rPr>
        <w:t>niż przed rokiem</w:t>
      </w:r>
      <w:r w:rsidRPr="00AD03FC" w:rsidR="00124659">
        <w:rPr>
          <w:shd w:val="clear" w:color="auto" w:fill="FFFFFF"/>
        </w:rPr>
        <w:t xml:space="preserve">, a </w:t>
      </w:r>
      <w:r w:rsidRPr="00FC230E">
        <w:rPr>
          <w:shd w:val="clear" w:color="auto" w:fill="FFFFFF"/>
        </w:rPr>
        <w:t>przeciętna powierzchnia u</w:t>
      </w:r>
      <w:r w:rsidRPr="00FC230E" w:rsidR="00F32872">
        <w:rPr>
          <w:shd w:val="clear" w:color="auto" w:fill="FFFFFF"/>
        </w:rPr>
        <w:t>ży</w:t>
      </w:r>
      <w:r w:rsidRPr="00FC230E" w:rsidR="001E12CF">
        <w:rPr>
          <w:shd w:val="clear" w:color="auto" w:fill="FFFFFF"/>
        </w:rPr>
        <w:t>tkowa 1 mieszkania osiąg</w:t>
      </w:r>
      <w:r w:rsidR="00124659">
        <w:rPr>
          <w:shd w:val="clear" w:color="auto" w:fill="FFFFFF"/>
        </w:rPr>
        <w:t>n</w:t>
      </w:r>
      <w:r w:rsidR="003F5A50">
        <w:rPr>
          <w:shd w:val="clear" w:color="auto" w:fill="FFFFFF"/>
        </w:rPr>
        <w:t>ę</w:t>
      </w:r>
      <w:r w:rsidR="00124659">
        <w:rPr>
          <w:shd w:val="clear" w:color="auto" w:fill="FFFFFF"/>
        </w:rPr>
        <w:t>ła</w:t>
      </w:r>
      <w:r w:rsidR="00F71A95">
        <w:rPr>
          <w:shd w:val="clear" w:color="auto" w:fill="FFFFFF"/>
        </w:rPr>
        <w:t xml:space="preserve"> wartość 95,3 </w:t>
      </w:r>
      <w:r w:rsidRPr="00FC230E">
        <w:rPr>
          <w:shd w:val="clear" w:color="auto" w:fill="FFFFFF"/>
        </w:rPr>
        <w:t>m</w:t>
      </w:r>
      <w:r w:rsidRPr="00FC230E">
        <w:rPr>
          <w:shd w:val="clear" w:color="auto" w:fill="FFFFFF"/>
          <w:vertAlign w:val="superscript"/>
        </w:rPr>
        <w:t>2</w:t>
      </w:r>
      <w:r w:rsidRPr="009F059D" w:rsidR="009F059D">
        <w:rPr>
          <w:shd w:val="clear" w:color="auto" w:fill="FFFFFF"/>
        </w:rPr>
        <w:t>.</w:t>
      </w:r>
    </w:p>
    <w:p w:rsidRPr="006819F3" w:rsidR="00781779" w:rsidP="00DD4E61" w:rsidRDefault="00781779" w14:paraId="232E4FA5" w14:textId="77777777">
      <w:pPr>
        <w:rPr>
          <w:shd w:val="clear" w:color="auto" w:fill="FFFFFF"/>
        </w:rPr>
      </w:pPr>
    </w:p>
    <w:p w:rsidRPr="00754F6C" w:rsidR="004D107E" w:rsidP="004D107E" w:rsidRDefault="004D107E" w14:paraId="3235C721" w14:textId="77777777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6819F3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Pr="003C2145" w:rsidR="003C2145" w:rsidTr="00235E4A" w14:paraId="4A6E3237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3C2145" w:rsidR="003C2145" w:rsidP="003C2145" w:rsidRDefault="003C2145" w14:paraId="59C41371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1"/>
            <w:r w:rsidRPr="003C214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3C2145" w:rsidR="003C2145" w:rsidP="003C2145" w:rsidRDefault="003C2145" w14:paraId="522AAE51" w14:textId="00712FF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Pr="003C2145" w:rsidR="003C2145" w:rsidTr="00235E4A" w14:paraId="48A0C98C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00894B3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2E1636CC" w14:textId="01A13875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268" w:type="dxa"/>
            <w:gridSpan w:val="2"/>
            <w:tcBorders>
              <w:bottom w:val="single" w:color="212492" w:sz="12" w:space="0"/>
            </w:tcBorders>
          </w:tcPr>
          <w:p w:rsidRPr="003C2145" w:rsidR="003C2145" w:rsidP="003C2145" w:rsidRDefault="003C2145" w14:paraId="2540F918" w14:textId="7EC9DDD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3C2145">
              <w:rPr>
                <w:color w:val="000000" w:themeColor="text1"/>
                <w:sz w:val="16"/>
                <w:szCs w:val="16"/>
              </w:rPr>
              <w:t>II</w:t>
            </w:r>
          </w:p>
        </w:tc>
      </w:tr>
      <w:tr w:rsidRPr="003C2145" w:rsidR="003C2145" w:rsidTr="00235E4A" w14:paraId="52DF23FB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5B60EE6A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30A745E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1C319041" w14:textId="7C615A0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3477BF38" w14:textId="0F69701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70EF844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C214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7" w:type="dxa"/>
            <w:tcBorders>
              <w:bottom w:val="single" w:color="212492" w:sz="12" w:space="0"/>
            </w:tcBorders>
            <w:vAlign w:val="center"/>
          </w:tcPr>
          <w:p w:rsidRPr="003C2145" w:rsidR="003C2145" w:rsidP="003C2145" w:rsidRDefault="003C2145" w14:paraId="2FB1CBAB" w14:textId="03A33BFC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I-II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3C2145" w:rsidR="003C2145" w:rsidTr="00235E4A" w14:paraId="50AEB81D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3C2145" w:rsidR="003C2145" w:rsidP="003C2145" w:rsidRDefault="003C2145" w14:paraId="55742B4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3C2145" w:rsidP="003C2145" w:rsidRDefault="003C2145" w14:paraId="64AC12A2" w14:textId="23E219D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b/>
                <w:color w:val="000000" w:themeColor="text1"/>
                <w:sz w:val="16"/>
                <w:szCs w:val="16"/>
              </w:rPr>
              <w:t>16 723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3C2145" w:rsidR="003C2145" w:rsidP="003C2145" w:rsidRDefault="003C2145" w14:paraId="3853CFA2" w14:textId="2FEF4B90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b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1351" w:type="dxa"/>
            <w:tcBorders>
              <w:top w:val="single" w:color="212492" w:sz="12" w:space="0"/>
            </w:tcBorders>
            <w:vAlign w:val="center"/>
          </w:tcPr>
          <w:p w:rsidRPr="003C2145" w:rsidR="003C2145" w:rsidP="003C2145" w:rsidRDefault="003C2145" w14:paraId="02513A38" w14:textId="51657DC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b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061" w:type="dxa"/>
            <w:tcBorders>
              <w:top w:val="single" w:color="212492" w:sz="12" w:space="0"/>
            </w:tcBorders>
            <w:vAlign w:val="center"/>
          </w:tcPr>
          <w:p w:rsidRPr="003C2145" w:rsidR="003C2145" w:rsidP="003C2145" w:rsidRDefault="004075A5" w14:paraId="01332AF3" w14:textId="4EAC4ABE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b/>
                <w:color w:val="000000" w:themeColor="text1"/>
                <w:sz w:val="16"/>
                <w:szCs w:val="16"/>
              </w:rPr>
              <w:t>33 854</w:t>
            </w:r>
          </w:p>
        </w:tc>
        <w:tc>
          <w:tcPr>
            <w:tcW w:w="1207" w:type="dxa"/>
            <w:tcBorders>
              <w:top w:val="single" w:color="212492" w:sz="12" w:space="0"/>
            </w:tcBorders>
            <w:vAlign w:val="center"/>
          </w:tcPr>
          <w:p w:rsidRPr="003C2145" w:rsidR="003C2145" w:rsidP="003C2145" w:rsidRDefault="004075A5" w14:paraId="23034D07" w14:textId="24084DC6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b/>
                <w:color w:val="000000" w:themeColor="text1"/>
                <w:sz w:val="16"/>
                <w:szCs w:val="16"/>
              </w:rPr>
              <w:t>99,4</w:t>
            </w:r>
          </w:p>
        </w:tc>
      </w:tr>
      <w:tr w:rsidRPr="003C2145" w:rsidR="003C2145" w:rsidTr="00235E4A" w14:paraId="519ED5A5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9DA0E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1D6C5F69" w14:textId="1055AFA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6 967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6194F71D" w14:textId="1E8A62C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111,7</w:t>
            </w:r>
          </w:p>
        </w:tc>
        <w:tc>
          <w:tcPr>
            <w:tcW w:w="1351" w:type="dxa"/>
            <w:vAlign w:val="center"/>
          </w:tcPr>
          <w:p w:rsidRPr="003C2145" w:rsidR="003C2145" w:rsidP="003C2145" w:rsidRDefault="003C2145" w14:paraId="2AD907AD" w14:textId="6E411BE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4075A5" w14:paraId="63084027" w14:textId="6E27C4D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13 702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3C2145" w14:paraId="4E91FCDF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107,1</w:t>
            </w:r>
          </w:p>
        </w:tc>
      </w:tr>
      <w:tr w:rsidRPr="003C2145" w:rsidR="003C2145" w:rsidTr="00235E4A" w14:paraId="2955D07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577049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51F7F30A" w14:textId="71AD0C6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9 501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3033ACD6" w14:textId="5A2D9E0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351" w:type="dxa"/>
            <w:vAlign w:val="center"/>
          </w:tcPr>
          <w:p w:rsidRPr="003C2145" w:rsidR="003C2145" w:rsidP="003C2145" w:rsidRDefault="003C2145" w14:paraId="497A5E4A" w14:textId="543FDF2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93,7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4075A5" w14:paraId="768020D6" w14:textId="501F89F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19 646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4075A5" w14:paraId="2C78976C" w14:textId="3ED30AB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95,5</w:t>
            </w:r>
          </w:p>
        </w:tc>
      </w:tr>
      <w:tr w:rsidRPr="003C2145" w:rsidR="003C2145" w:rsidTr="00235E4A" w14:paraId="01D2C631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C2A607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3C2145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60C34770" w14:textId="45AF0C1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3E9872D9" w14:textId="3D949DB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61,5</w:t>
            </w:r>
          </w:p>
        </w:tc>
        <w:tc>
          <w:tcPr>
            <w:tcW w:w="1351" w:type="dxa"/>
            <w:vAlign w:val="center"/>
          </w:tcPr>
          <w:p w:rsidRPr="003C2145" w:rsidR="003C2145" w:rsidP="003C2145" w:rsidRDefault="003C2145" w14:paraId="797ABC88" w14:textId="41A1B9B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54,4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4075A5" w14:paraId="749F951B" w14:textId="067D315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4075A5" w14:paraId="292815A3" w14:textId="465629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72,3</w:t>
            </w:r>
          </w:p>
        </w:tc>
      </w:tr>
      <w:tr w:rsidRPr="003C2145" w:rsidR="003C2145" w:rsidTr="00235E4A" w14:paraId="460E7D98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0E09ED37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2DDE1F4A" w14:textId="591EDDB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3D632F3A" w14:textId="45544A01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35,0</w:t>
            </w:r>
          </w:p>
        </w:tc>
        <w:tc>
          <w:tcPr>
            <w:tcW w:w="1351" w:type="dxa"/>
            <w:vAlign w:val="center"/>
          </w:tcPr>
          <w:p w:rsidRPr="003C2145" w:rsidR="003C2145" w:rsidP="003C2145" w:rsidRDefault="00791114" w14:paraId="211799A4" w14:textId="456B867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4075A5" w14:paraId="216DECB1" w14:textId="2A63B94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4075A5" w14:paraId="111DFA0D" w14:textId="1EBDF0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49,4</w:t>
            </w:r>
          </w:p>
        </w:tc>
      </w:tr>
      <w:tr w:rsidRPr="003C2145" w:rsidR="003C2145" w:rsidTr="00235E4A" w14:paraId="036B05F2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34F504E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36C95C0C" w14:textId="61EEE3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201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65DCFB32" w14:textId="4466279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137,7</w:t>
            </w:r>
          </w:p>
        </w:tc>
        <w:tc>
          <w:tcPr>
            <w:tcW w:w="1351" w:type="dxa"/>
            <w:vAlign w:val="center"/>
          </w:tcPr>
          <w:p w:rsidRPr="003C2145" w:rsidR="003C2145" w:rsidP="003C2145" w:rsidRDefault="004075A5" w14:paraId="5B73817B" w14:textId="4BE59B1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216,1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4075A5" w14:paraId="793B4058" w14:textId="76503B2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294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4075A5" w14:paraId="7120690D" w14:textId="5872153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183,8</w:t>
            </w:r>
          </w:p>
        </w:tc>
      </w:tr>
      <w:tr w:rsidRPr="003C2145" w:rsidR="003C2145" w:rsidTr="00235E4A" w14:paraId="3600C954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3BCFCFE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2E66E912" w14:textId="76C7608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3D081475" w14:textId="2431E7B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25,5</w:t>
            </w:r>
          </w:p>
        </w:tc>
        <w:tc>
          <w:tcPr>
            <w:tcW w:w="1351" w:type="dxa"/>
            <w:vAlign w:val="center"/>
          </w:tcPr>
          <w:p w:rsidRPr="003C2145" w:rsidR="003C2145" w:rsidP="003C2145" w:rsidRDefault="004075A5" w14:paraId="7A0599D4" w14:textId="26D0F4F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108,3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4075A5" w14:paraId="43EB453D" w14:textId="5513710E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4075A5" w14:paraId="33CC0C4E" w14:textId="469C811C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4075A5">
              <w:rPr>
                <w:rFonts w:cs="Arial"/>
                <w:color w:val="000000" w:themeColor="text1"/>
                <w:sz w:val="16"/>
                <w:szCs w:val="16"/>
              </w:rPr>
              <w:t>26,0</w:t>
            </w:r>
          </w:p>
        </w:tc>
      </w:tr>
      <w:tr w:rsidRPr="003C2145" w:rsidR="003C2145" w:rsidTr="00235E4A" w14:paraId="5484B67C" w14:textId="77777777">
        <w:trPr>
          <w:trHeight w:val="57"/>
        </w:trPr>
        <w:tc>
          <w:tcPr>
            <w:tcW w:w="2049" w:type="dxa"/>
            <w:vAlign w:val="center"/>
          </w:tcPr>
          <w:p w:rsidRPr="003C2145" w:rsidR="003C2145" w:rsidP="003C2145" w:rsidRDefault="003C2145" w14:paraId="57386FC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2B263F4D" w14:textId="630B326B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Pr="003C2145" w:rsidR="003C2145" w:rsidP="003C2145" w:rsidRDefault="003C2145" w14:paraId="75574469" w14:textId="77777777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C214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:rsidRPr="003C2145" w:rsidR="003C2145" w:rsidP="003C2145" w:rsidRDefault="004075A5" w14:paraId="2FE86F60" w14:textId="4185736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061" w:type="dxa"/>
            <w:vAlign w:val="center"/>
          </w:tcPr>
          <w:p w:rsidRPr="003C2145" w:rsidR="003C2145" w:rsidP="003C2145" w:rsidRDefault="004075A5" w14:paraId="030579D7" w14:textId="1E82AA07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Pr="003C2145" w:rsidR="003C2145" w:rsidP="003C2145" w:rsidRDefault="004075A5" w14:paraId="041FD6EB" w14:textId="30C6650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1"/>
    </w:tbl>
    <w:p w:rsidR="00250870" w:rsidP="008F0617" w:rsidRDefault="00250870" w14:paraId="06D699C5" w14:textId="7777777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:rsidR="00250870" w:rsidRDefault="00250870" w14:paraId="3508CE3E" w14:textId="77777777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:rsidRPr="00754F6C" w:rsidR="004D06AC" w:rsidP="008F0617" w:rsidRDefault="00AA104D" w14:paraId="0B3475F2" w14:textId="3C2AAE6C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editId="5571D301" wp14:anchorId="1165456F">
                <wp:simplePos x="0" y="0"/>
                <wp:positionH relativeFrom="page">
                  <wp:posOffset>5636895</wp:posOffset>
                </wp:positionH>
                <wp:positionV relativeFrom="paragraph">
                  <wp:posOffset>263525</wp:posOffset>
                </wp:positionV>
                <wp:extent cx="169608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B453BB" w:rsidR="00B453BB" w:rsidP="00B453BB" w:rsidRDefault="00B453BB" w14:paraId="3ADE06C3" w14:textId="558F3621">
                            <w:pPr>
                              <w:pStyle w:val="tekstzboku"/>
                            </w:pPr>
                            <w:r w:rsidRPr="00B453BB">
                              <w:t>Liczba mieszkań, na których budowę wydano pozwolenia lub dokonano zgłoszenia</w:t>
                            </w:r>
                            <w:r w:rsidR="00DE0022">
                              <w:t xml:space="preserve"> </w:t>
                            </w:r>
                            <w:r w:rsidR="00DE0022">
                              <w:br/>
                              <w:t>z projektem budowlanym, wzrosła</w:t>
                            </w:r>
                            <w:r w:rsidRPr="00B453BB">
                              <w:t xml:space="preserve"> w</w:t>
                            </w:r>
                            <w:r w:rsidR="00AE13B0">
                              <w:t xml:space="preserve"> </w:t>
                            </w:r>
                            <w:r w:rsidR="00BB7C7E">
                              <w:t>okresie I-II</w:t>
                            </w:r>
                            <w:r w:rsidRPr="00D5133B">
                              <w:t xml:space="preserve"> </w:t>
                            </w:r>
                            <w:r w:rsidRPr="00D5133B" w:rsidR="00AE13B0">
                              <w:t>2021</w:t>
                            </w:r>
                            <w:r w:rsidR="00754ABB">
                              <w:t xml:space="preserve"> r. o </w:t>
                            </w:r>
                            <w:r w:rsidR="00BB7C7E">
                              <w:t>35,3</w:t>
                            </w:r>
                            <w:r w:rsidRPr="00B453BB">
                              <w:t>% r/r</w:t>
                            </w:r>
                          </w:p>
                          <w:p w:rsidRPr="00611511" w:rsidR="007F1316" w:rsidP="00296B74" w:rsidRDefault="007F1316" w14:paraId="6FF511C4" w14:textId="6A2F7D12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5" style="position:absolute;margin-left:443.85pt;margin-top:20.75pt;width:133.5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" w14:anchorId="1165456F">
                <v:textbox>
                  <w:txbxContent>
                    <w:p w:rsidRPr="00B453BB" w:rsidR="00B453BB" w:rsidP="00B453BB" w:rsidRDefault="00B453BB" w14:paraId="3ADE06C3" w14:textId="558F3621">
                      <w:pPr>
                        <w:pStyle w:val="tekstzboku"/>
                      </w:pPr>
                      <w:r w:rsidRPr="00B453BB">
                        <w:t>Liczba mieszkań, na których budowę wydano pozwolenia lub dokonano zgłoszenia</w:t>
                      </w:r>
                      <w:r w:rsidR="00DE0022">
                        <w:t xml:space="preserve"> </w:t>
                      </w:r>
                      <w:r w:rsidR="00DE0022">
                        <w:br/>
                        <w:t>z projektem budowlanym, wzrosła</w:t>
                      </w:r>
                      <w:r w:rsidRPr="00B453BB">
                        <w:t xml:space="preserve"> w</w:t>
                      </w:r>
                      <w:r w:rsidR="00AE13B0">
                        <w:t xml:space="preserve"> </w:t>
                      </w:r>
                      <w:r w:rsidR="00BB7C7E">
                        <w:t>okresie I-II</w:t>
                      </w:r>
                      <w:r w:rsidRPr="00D5133B">
                        <w:t xml:space="preserve"> </w:t>
                      </w:r>
                      <w:r w:rsidRPr="00D5133B" w:rsidR="00AE13B0">
                        <w:t>2021</w:t>
                      </w:r>
                      <w:r w:rsidR="00754ABB">
                        <w:t xml:space="preserve"> r. o </w:t>
                      </w:r>
                      <w:r w:rsidR="00BB7C7E">
                        <w:t>35,3</w:t>
                      </w:r>
                      <w:r w:rsidRPr="00B453BB">
                        <w:t>% r/r</w:t>
                      </w:r>
                    </w:p>
                    <w:p w:rsidRPr="00611511" w:rsidR="007F1316" w:rsidP="00296B74" w:rsidRDefault="007F1316" w14:paraId="6FF511C4" w14:textId="6A2F7D12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4F6C" w:rsidR="004D06A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:rsidRPr="00F21E21" w:rsidR="00DE0022" w:rsidP="00DE0022" w:rsidRDefault="00DE0022" w14:paraId="25045757" w14:textId="091F3381">
      <w:pPr>
        <w:spacing w:before="0" w:after="0"/>
        <w:rPr>
          <w:color w:val="FF0000"/>
          <w:shd w:val="clear" w:color="auto" w:fill="FFFFFF"/>
        </w:rPr>
      </w:pPr>
      <w:r w:rsidRPr="00DE0022">
        <w:rPr>
          <w:shd w:val="clear" w:color="auto" w:fill="FFFFFF"/>
        </w:rPr>
        <w:t xml:space="preserve">W </w:t>
      </w:r>
      <w:r w:rsidR="00F71A95">
        <w:rPr>
          <w:shd w:val="clear" w:color="auto" w:fill="FFFFFF"/>
        </w:rPr>
        <w:t>okresie dwóch pierwszych miesięcy</w:t>
      </w:r>
      <w:r w:rsidR="00E51068">
        <w:rPr>
          <w:shd w:val="clear" w:color="auto" w:fill="FFFFFF"/>
        </w:rPr>
        <w:t xml:space="preserve"> </w:t>
      </w:r>
      <w:r w:rsidRPr="00DE0022">
        <w:rPr>
          <w:shd w:val="clear" w:color="auto" w:fill="FFFFFF"/>
        </w:rPr>
        <w:t>202</w:t>
      </w:r>
      <w:r w:rsidR="003153BB">
        <w:rPr>
          <w:shd w:val="clear" w:color="auto" w:fill="FFFFFF"/>
        </w:rPr>
        <w:t>1</w:t>
      </w:r>
      <w:r w:rsidRPr="00DE0022">
        <w:rPr>
          <w:shd w:val="clear" w:color="auto" w:fill="FFFFFF"/>
        </w:rPr>
        <w:t xml:space="preserve"> r. wydano pozwolenia lub dokonano zgłoszenia budowy </w:t>
      </w:r>
      <w:r w:rsidR="00F71A95">
        <w:rPr>
          <w:shd w:val="clear" w:color="auto" w:fill="FFFFFF"/>
        </w:rPr>
        <w:t>50,5</w:t>
      </w:r>
      <w:r w:rsidR="00D5133B">
        <w:rPr>
          <w:shd w:val="clear" w:color="auto" w:fill="FFFFFF"/>
        </w:rPr>
        <w:t xml:space="preserve"> tys. mieszkań, tj. </w:t>
      </w:r>
      <w:r w:rsidR="00F71A95">
        <w:rPr>
          <w:shd w:val="clear" w:color="auto" w:fill="FFFFFF"/>
        </w:rPr>
        <w:t>o 35,3</w:t>
      </w:r>
      <w:r w:rsidRPr="00DE0022">
        <w:rPr>
          <w:shd w:val="clear" w:color="auto" w:fill="FFFFFF"/>
        </w:rPr>
        <w:t xml:space="preserve">% więcej niż w </w:t>
      </w:r>
      <w:r w:rsidR="00E51068">
        <w:rPr>
          <w:shd w:val="clear" w:color="auto" w:fill="FFFFFF"/>
        </w:rPr>
        <w:t xml:space="preserve">analogicznym </w:t>
      </w:r>
      <w:r w:rsidR="00F71A95">
        <w:rPr>
          <w:shd w:val="clear" w:color="auto" w:fill="FFFFFF"/>
        </w:rPr>
        <w:t>okresie</w:t>
      </w:r>
      <w:r w:rsidR="00E51068">
        <w:rPr>
          <w:shd w:val="clear" w:color="auto" w:fill="FFFFFF"/>
        </w:rPr>
        <w:t xml:space="preserve"> 2020</w:t>
      </w:r>
      <w:r w:rsidRPr="00077F39" w:rsidR="00077F39">
        <w:rPr>
          <w:shd w:val="clear" w:color="auto" w:fill="FFFFFF"/>
        </w:rPr>
        <w:t xml:space="preserve"> </w:t>
      </w:r>
      <w:r w:rsidRPr="00DE0022" w:rsidR="00077F39">
        <w:rPr>
          <w:shd w:val="clear" w:color="auto" w:fill="FFFFFF"/>
        </w:rPr>
        <w:t>r</w:t>
      </w:r>
      <w:r w:rsidRPr="00DE0022">
        <w:rPr>
          <w:shd w:val="clear" w:color="auto" w:fill="FFFFFF"/>
        </w:rPr>
        <w:t xml:space="preserve">. Pozwolenia na budowę największej liczby mieszkań otrzymali </w:t>
      </w:r>
      <w:r w:rsidRPr="00DE0022">
        <w:rPr>
          <w:b/>
          <w:shd w:val="clear" w:color="auto" w:fill="FFFFFF"/>
        </w:rPr>
        <w:t xml:space="preserve">deweloperzy </w:t>
      </w:r>
      <w:r w:rsidR="00C15B74">
        <w:rPr>
          <w:shd w:val="clear" w:color="auto" w:fill="FFFFFF"/>
        </w:rPr>
        <w:t>(33</w:t>
      </w:r>
      <w:r w:rsidR="00C1719A">
        <w:rPr>
          <w:shd w:val="clear" w:color="auto" w:fill="FFFFFF"/>
        </w:rPr>
        <w:t>,0</w:t>
      </w:r>
      <w:r w:rsidRPr="00DE0022">
        <w:rPr>
          <w:shd w:val="clear" w:color="auto" w:fill="FFFFFF"/>
        </w:rPr>
        <w:t xml:space="preserve"> tys</w:t>
      </w:r>
      <w:r w:rsidR="00E970A9">
        <w:rPr>
          <w:color w:val="000000" w:themeColor="text1"/>
          <w:shd w:val="clear" w:color="auto" w:fill="FFFFFF"/>
        </w:rPr>
        <w:t>., wzrost o</w:t>
      </w:r>
      <w:r w:rsidR="00C15B74">
        <w:rPr>
          <w:color w:val="000000" w:themeColor="text1"/>
          <w:shd w:val="clear" w:color="auto" w:fill="FFFFFF"/>
        </w:rPr>
        <w:t xml:space="preserve"> 41,8</w:t>
      </w:r>
      <w:r w:rsidRPr="00DE0022">
        <w:rPr>
          <w:color w:val="000000" w:themeColor="text1"/>
          <w:shd w:val="clear" w:color="auto" w:fill="FFFFFF"/>
        </w:rPr>
        <w:t>% r/r</w:t>
      </w:r>
      <w:r w:rsidRPr="00DE0022">
        <w:rPr>
          <w:shd w:val="clear" w:color="auto" w:fill="FFFFFF"/>
        </w:rPr>
        <w:t>) oraz inwestorzy</w:t>
      </w:r>
      <w:r w:rsidRPr="00DE0022">
        <w:rPr>
          <w:b/>
          <w:shd w:val="clear" w:color="auto" w:fill="FFFFFF"/>
        </w:rPr>
        <w:t xml:space="preserve"> indywidualni </w:t>
      </w:r>
      <w:r w:rsidR="00C15B74">
        <w:rPr>
          <w:shd w:val="clear" w:color="auto" w:fill="FFFFFF"/>
        </w:rPr>
        <w:t>(17,0</w:t>
      </w:r>
      <w:r w:rsidRPr="00DE0022">
        <w:rPr>
          <w:shd w:val="clear" w:color="auto" w:fill="FFFFFF"/>
        </w:rPr>
        <w:t xml:space="preserve"> tys., </w:t>
      </w:r>
      <w:r w:rsidRPr="00DE0022">
        <w:rPr>
          <w:color w:val="000000" w:themeColor="text1"/>
          <w:shd w:val="clear" w:color="auto" w:fill="FFFFFF"/>
        </w:rPr>
        <w:t xml:space="preserve">wzrost o </w:t>
      </w:r>
      <w:r w:rsidR="00C15B74">
        <w:rPr>
          <w:color w:val="000000" w:themeColor="text1"/>
          <w:shd w:val="clear" w:color="auto" w:fill="FFFFFF"/>
        </w:rPr>
        <w:t>23,0</w:t>
      </w:r>
      <w:r w:rsidRPr="00DE0022">
        <w:rPr>
          <w:color w:val="000000" w:themeColor="text1"/>
          <w:shd w:val="clear" w:color="auto" w:fill="FFFFFF"/>
        </w:rPr>
        <w:t>%</w:t>
      </w:r>
      <w:r w:rsidRPr="00DE0022">
        <w:rPr>
          <w:shd w:val="clear" w:color="auto" w:fill="FFFFFF"/>
        </w:rPr>
        <w:t>). Łącznie w ramach tych form budownictwa otrzymano pozwolenia lub dokonano zgłoszenia budowy z projektem budowlanym dla 99,</w:t>
      </w:r>
      <w:r w:rsidR="00041327">
        <w:rPr>
          <w:shd w:val="clear" w:color="auto" w:fill="FFFFFF"/>
        </w:rPr>
        <w:t>2</w:t>
      </w:r>
      <w:r w:rsidRPr="00DE0022">
        <w:rPr>
          <w:shd w:val="clear" w:color="auto" w:fill="FFFFFF"/>
        </w:rPr>
        <w:t>% ogółu mieszkań.</w:t>
      </w:r>
      <w:r w:rsidRPr="00DE0022">
        <w:rPr>
          <w:b/>
          <w:shd w:val="clear" w:color="auto" w:fill="FFFFFF"/>
        </w:rPr>
        <w:t xml:space="preserve"> </w:t>
      </w:r>
      <w:r w:rsidRPr="00516A51" w:rsidR="0034659B">
        <w:rPr>
          <w:shd w:val="clear" w:color="auto" w:fill="FFFFFF"/>
        </w:rPr>
        <w:t xml:space="preserve">W </w:t>
      </w:r>
      <w:r w:rsidRPr="00041327" w:rsidR="00041327">
        <w:rPr>
          <w:b/>
          <w:shd w:val="clear" w:color="auto" w:fill="FFFFFF"/>
        </w:rPr>
        <w:t>pozostałych formach</w:t>
      </w:r>
      <w:r w:rsidRPr="00041327" w:rsidR="00041327">
        <w:rPr>
          <w:shd w:val="clear" w:color="auto" w:fill="FFFFFF"/>
        </w:rPr>
        <w:t xml:space="preserve"> budownictwa </w:t>
      </w:r>
      <w:r w:rsidRPr="00516A51" w:rsidR="0034659B">
        <w:rPr>
          <w:shd w:val="clear" w:color="auto" w:fill="FFFFFF"/>
        </w:rPr>
        <w:t xml:space="preserve">odnotowano </w:t>
      </w:r>
      <w:r w:rsidR="00041327">
        <w:rPr>
          <w:shd w:val="clear" w:color="auto" w:fill="FFFFFF"/>
        </w:rPr>
        <w:t>403</w:t>
      </w:r>
      <w:r w:rsidRPr="00516A51" w:rsidR="0034659B">
        <w:rPr>
          <w:shd w:val="clear" w:color="auto" w:fill="FFFFFF"/>
        </w:rPr>
        <w:t xml:space="preserve"> </w:t>
      </w:r>
      <w:r w:rsidR="00041327">
        <w:rPr>
          <w:shd w:val="clear" w:color="auto" w:fill="FFFFFF"/>
        </w:rPr>
        <w:t>mieszkania, na </w:t>
      </w:r>
      <w:r w:rsidRPr="00712FCA">
        <w:rPr>
          <w:shd w:val="clear" w:color="auto" w:fill="FFFFFF"/>
        </w:rPr>
        <w:t>których budowę wydano pozwolenia lub dokonano zgłoszenia z projektem budowlanym (</w:t>
      </w:r>
      <w:r w:rsidR="00791114">
        <w:rPr>
          <w:shd w:val="clear" w:color="auto" w:fill="FFFFFF"/>
        </w:rPr>
        <w:t>144</w:t>
      </w:r>
      <w:r w:rsidR="00041327">
        <w:rPr>
          <w:shd w:val="clear" w:color="auto" w:fill="FFFFFF"/>
        </w:rPr>
        <w:t xml:space="preserve"> </w:t>
      </w:r>
      <w:r w:rsidRPr="00516A51" w:rsidR="00516A51">
        <w:rPr>
          <w:shd w:val="clear" w:color="auto" w:fill="FFFFFF"/>
        </w:rPr>
        <w:t>mieszkania</w:t>
      </w:r>
      <w:r w:rsidRPr="00516A51" w:rsidR="0034659B">
        <w:rPr>
          <w:shd w:val="clear" w:color="auto" w:fill="FFFFFF"/>
        </w:rPr>
        <w:t xml:space="preserve"> w roku ubiegłym</w:t>
      </w:r>
      <w:r w:rsidR="00041327">
        <w:rPr>
          <w:shd w:val="clear" w:color="auto" w:fill="FFFFFF"/>
        </w:rPr>
        <w:t>).</w:t>
      </w:r>
      <w:r w:rsidRPr="00712FCA" w:rsidR="00712FCA">
        <w:rPr>
          <w:shd w:val="clear" w:color="auto" w:fill="FFFFFF"/>
        </w:rPr>
        <w:t xml:space="preserve"> </w:t>
      </w:r>
    </w:p>
    <w:p w:rsidRPr="00754F6C" w:rsidR="00EE66D9" w:rsidP="00597DE4" w:rsidRDefault="00B14E90" w14:paraId="11265141" w14:textId="156EFBCC">
      <w:pPr>
        <w:keepNext/>
        <w:spacing w:before="240" w:line="240" w:lineRule="auto"/>
        <w:ind w:left="851" w:hanging="851"/>
        <w:outlineLvl w:val="0"/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</w:pPr>
      <w:r w:rsidRPr="00754F6C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2</w:t>
      </w:r>
      <w:r w:rsidRPr="00754F6C" w:rsidR="00BB53B6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. Mieszkania, </w:t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na których budowę wydano pozwolenia lub dokonano zgłoszenia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 xml:space="preserve"> </w:t>
      </w:r>
      <w:r w:rsidRPr="00754F6C" w:rsidR="00A6436D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br/>
      </w:r>
      <w:r w:rsidRPr="00754F6C" w:rsidR="004D107E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Pr="004075A5" w:rsidR="004075A5" w:rsidTr="00235E4A" w14:paraId="43B0C677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4075A5" w:rsidP="004075A5" w:rsidRDefault="004075A5" w14:paraId="2D840C91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name="OLE_LINK3" w:id="2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4075A5" w:rsidP="004075A5" w:rsidRDefault="004075A5" w14:paraId="3DE2DFCE" w14:textId="4CA97B40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4075A5" w:rsidTr="004075A5" w14:paraId="3DBC26F1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6FBA9AE5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64D530F6" w14:textId="395CCD7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410" w:type="dxa"/>
            <w:gridSpan w:val="2"/>
            <w:tcBorders>
              <w:bottom w:val="single" w:color="212492" w:sz="12" w:space="0"/>
            </w:tcBorders>
          </w:tcPr>
          <w:p w:rsidRPr="004075A5" w:rsidR="004075A5" w:rsidP="004075A5" w:rsidRDefault="004075A5" w14:paraId="61C42B40" w14:textId="6CC210E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II</w:t>
            </w:r>
          </w:p>
        </w:tc>
      </w:tr>
      <w:tr w:rsidRPr="004075A5" w:rsidR="004075A5" w:rsidTr="00394560" w14:paraId="2C0F9CC8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62ECC9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7C6B5295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3C4C120B" w14:textId="2FE8EAA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4D5D09D6" w14:textId="160783ED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 2</w:t>
            </w:r>
            <w:r>
              <w:rPr>
                <w:color w:val="000000" w:themeColor="text1"/>
                <w:sz w:val="16"/>
                <w:szCs w:val="16"/>
              </w:rPr>
              <w:t>021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054F286B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4075A5" w:rsidP="004075A5" w:rsidRDefault="004075A5" w14:paraId="48CE43E6" w14:textId="271F492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I-II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4075A5" w:rsidTr="00394560" w14:paraId="2300F822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4075A5" w14:paraId="6DFE7068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394560" w14:paraId="552B381F" w14:textId="6130260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394560">
              <w:rPr>
                <w:rFonts w:cs="Arial"/>
                <w:b/>
                <w:sz w:val="16"/>
                <w:szCs w:val="16"/>
              </w:rPr>
              <w:t>27 179</w:t>
            </w:r>
          </w:p>
        </w:tc>
        <w:tc>
          <w:tcPr>
            <w:tcW w:w="1281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394560" w14:paraId="7614DE4A" w14:textId="14B154F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394560">
              <w:rPr>
                <w:rFonts w:cs="Arial"/>
                <w:b/>
                <w:sz w:val="16"/>
                <w:szCs w:val="16"/>
              </w:rPr>
              <w:t>143,7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394560" w14:paraId="19A0C5B4" w14:textId="0FC0ADF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394560">
              <w:rPr>
                <w:rFonts w:cs="Arial"/>
                <w:b/>
                <w:sz w:val="16"/>
                <w:szCs w:val="16"/>
              </w:rPr>
              <w:t>116,7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4075A5" w14:paraId="47CD57F1" w14:textId="317F226F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075A5">
              <w:rPr>
                <w:rFonts w:cs="Arial"/>
                <w:b/>
                <w:sz w:val="16"/>
                <w:szCs w:val="16"/>
              </w:rPr>
              <w:t>50 469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4075A5" w:rsidP="004075A5" w:rsidRDefault="004075A5" w14:paraId="2BB39251" w14:textId="510121F6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4075A5">
              <w:rPr>
                <w:rFonts w:cs="Arial"/>
                <w:b/>
                <w:sz w:val="16"/>
                <w:szCs w:val="16"/>
              </w:rPr>
              <w:t>135,3</w:t>
            </w:r>
          </w:p>
        </w:tc>
      </w:tr>
      <w:tr w:rsidRPr="004075A5" w:rsidR="004075A5" w:rsidTr="00394560" w14:paraId="5C8626E2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773BE77F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394560" w14:paraId="502CE75A" w14:textId="5FB44CC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8 763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394560" w14:paraId="65B4370B" w14:textId="3A0FEC8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124,7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394560" w14:paraId="4DB0888C" w14:textId="58B4D3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106,1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4075A5" w14:paraId="08733DC0" w14:textId="008E73FC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sz w:val="16"/>
                <w:szCs w:val="16"/>
              </w:rPr>
              <w:t>17 022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4075A5" w14:paraId="4814AEE3" w14:textId="734AE75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123,0</w:t>
            </w:r>
          </w:p>
        </w:tc>
      </w:tr>
      <w:tr w:rsidRPr="004075A5" w:rsidR="004075A5" w:rsidTr="00394560" w14:paraId="1BA9D8A1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4075A5" w:rsidP="004075A5" w:rsidRDefault="004075A5" w14:paraId="218EA5F0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394560" w14:paraId="7880A8FF" w14:textId="1496440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18 133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394560" w14:paraId="7AE04368" w14:textId="0BC13B6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153,0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394560" w14:paraId="0886E7E4" w14:textId="443611A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121,6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4075A5" w14:paraId="3A7ADA17" w14:textId="35250A9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sz w:val="16"/>
                <w:szCs w:val="16"/>
              </w:rPr>
              <w:t>33 044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4075A5" w14:paraId="160D6A0B" w14:textId="582E640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141,8</w:t>
            </w:r>
          </w:p>
        </w:tc>
      </w:tr>
      <w:tr w:rsidRPr="004075A5" w:rsidR="004075A5" w:rsidTr="00394560" w14:paraId="02C5DA42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4075A5" w:rsidP="004075A5" w:rsidRDefault="004075A5" w14:paraId="5DE8478B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394560" w14:paraId="330D7C09" w14:textId="297018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122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394560" w14:paraId="275C2543" w14:textId="5B2C464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530,4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394560" w14:paraId="150E3377" w14:textId="1DF673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162,7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394560" w14:paraId="5CD91194" w14:textId="2C26FB8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sz w:val="16"/>
                <w:szCs w:val="16"/>
              </w:rPr>
              <w:t>197</w:t>
            </w:r>
          </w:p>
        </w:tc>
        <w:tc>
          <w:tcPr>
            <w:tcW w:w="1276" w:type="dxa"/>
            <w:vAlign w:val="center"/>
          </w:tcPr>
          <w:p w:rsidR="004075A5" w:rsidP="004075A5" w:rsidRDefault="004075A5" w14:paraId="26F43C50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7-</w:t>
            </w:r>
          </w:p>
          <w:p w:rsidRPr="004075A5" w:rsidR="004075A5" w:rsidP="004075A5" w:rsidRDefault="004075A5" w14:paraId="0E844132" w14:textId="02BA967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krotnie więcej</w:t>
            </w:r>
          </w:p>
        </w:tc>
      </w:tr>
      <w:tr w:rsidRPr="004075A5" w:rsidR="004075A5" w:rsidTr="00394560" w14:paraId="7D7C615E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7B52C73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394560" w14:paraId="31B0FCB2" w14:textId="0BFE544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1281" w:type="dxa"/>
            <w:vAlign w:val="center"/>
          </w:tcPr>
          <w:p w:rsidRPr="00394560" w:rsidR="00394560" w:rsidP="00394560" w:rsidRDefault="00394560" w14:paraId="763F307D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ponad 7-</w:t>
            </w:r>
          </w:p>
          <w:p w:rsidRPr="004075A5" w:rsidR="004075A5" w:rsidP="00394560" w:rsidRDefault="00394560" w14:paraId="6DDB0B4F" w14:textId="71342CE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394560" w14:paraId="074DBCF4" w14:textId="114558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378,6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4075A5" w14:paraId="4C569BCE" w14:textId="5507218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4075A5">
              <w:rPr>
                <w:sz w:val="16"/>
                <w:szCs w:val="16"/>
              </w:rPr>
              <w:t>134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4075A5" w14:paraId="31A40C66" w14:textId="04C072D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114,5</w:t>
            </w:r>
          </w:p>
        </w:tc>
      </w:tr>
      <w:tr w:rsidRPr="004075A5" w:rsidR="004075A5" w:rsidTr="00394560" w14:paraId="29AF1D91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27B05BD2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394560" w14:paraId="33BF46C1" w14:textId="4E9B3FB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394560" w14:paraId="4C0A2E2F" w14:textId="33E9CB8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394560" w14:paraId="3D9A9345" w14:textId="3F36720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366,7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4075A5" w14:paraId="6E10A1DE" w14:textId="29F9CF33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4075A5">
              <w:rPr>
                <w:sz w:val="16"/>
                <w:szCs w:val="16"/>
              </w:rPr>
              <w:t>70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4075A5" w14:paraId="0F1EBFC2" w14:textId="122173F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tr w:rsidRPr="004075A5" w:rsidR="004075A5" w:rsidTr="00394560" w14:paraId="4FA3291C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4075A5" w:rsidP="004075A5" w:rsidRDefault="004075A5" w14:paraId="3E0DFDF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Pr="004075A5" w:rsidR="004075A5" w:rsidP="004075A5" w:rsidRDefault="004075A5" w14:paraId="39D4F912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81" w:type="dxa"/>
            <w:vAlign w:val="center"/>
          </w:tcPr>
          <w:p w:rsidRPr="004075A5" w:rsidR="004075A5" w:rsidP="004075A5" w:rsidRDefault="004075A5" w14:paraId="3A64098C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4075A5" w14:paraId="2ACF09D1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:rsidRPr="004075A5" w:rsidR="004075A5" w:rsidP="004075A5" w:rsidRDefault="004075A5" w14:paraId="63B8551D" w14:textId="1C954180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4075A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:rsidRPr="004075A5" w:rsidR="004075A5" w:rsidP="004075A5" w:rsidRDefault="004075A5" w14:paraId="31A63099" w14:textId="7E2997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  <w:bookmarkEnd w:id="2"/>
    </w:tbl>
    <w:p w:rsidR="00813EEE" w:rsidP="002B6B8F" w:rsidRDefault="00813EEE" w14:paraId="098E25BA" w14:textId="77777777">
      <w:pPr>
        <w:rPr>
          <w:rFonts w:ascii="Fira Sans SemiBold" w:hAnsi="Fira Sans SemiBold"/>
          <w:color w:val="001D77"/>
          <w:szCs w:val="19"/>
        </w:rPr>
      </w:pPr>
    </w:p>
    <w:p w:rsidRPr="002B6B8F" w:rsidR="002B6B8F" w:rsidP="002B6B8F" w:rsidRDefault="002B6B8F" w14:paraId="0B11E56C" w14:textId="5925E468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:rsidRPr="00516A51" w:rsidR="002B6B8F" w:rsidP="002B6B8F" w:rsidRDefault="002B6B8F" w14:paraId="489B0F70" w14:textId="7E05F9B5">
      <w:pPr>
        <w:spacing w:before="240"/>
        <w:rPr>
          <w:b/>
          <w:shd w:val="clear" w:color="auto" w:fill="FFFFFF"/>
        </w:rPr>
      </w:pPr>
      <w:r w:rsidRPr="002B6B8F">
        <w:rPr>
          <w:noProof/>
          <w:lang w:eastAsia="pl-PL"/>
        </w:rPr>
        <w:t>W</w:t>
      </w:r>
      <w:r w:rsidR="000D1A1B">
        <w:rPr>
          <w:noProof/>
          <w:lang w:eastAsia="pl-PL"/>
        </w:rPr>
        <w:t xml:space="preserve"> </w:t>
      </w:r>
      <w:r w:rsidR="00BB7C7E">
        <w:rPr>
          <w:noProof/>
          <w:lang w:eastAsia="pl-PL"/>
        </w:rPr>
        <w:t>okresie styczeń-luty</w:t>
      </w:r>
      <w:r w:rsidR="000D1A1B">
        <w:rPr>
          <w:noProof/>
          <w:lang w:eastAsia="pl-PL"/>
        </w:rPr>
        <w:t xml:space="preserve"> 2021</w:t>
      </w:r>
      <w:r w:rsidRPr="002B6B8F">
        <w:rPr>
          <w:noProof/>
          <w:lang w:eastAsia="pl-PL"/>
        </w:rPr>
        <w:t xml:space="preserve"> r. rozpoczęto budowę </w:t>
      </w:r>
      <w:r w:rsidR="00BB7C7E">
        <w:rPr>
          <w:noProof/>
          <w:lang w:eastAsia="pl-PL"/>
        </w:rPr>
        <w:t>33,5</w:t>
      </w:r>
      <w:r w:rsidRPr="002B6B8F">
        <w:rPr>
          <w:shd w:val="clear" w:color="auto" w:fill="FFFFFF"/>
        </w:rPr>
        <w:t xml:space="preserve"> tys. mieszkań, tj. o </w:t>
      </w:r>
      <w:r w:rsidR="00BB7C7E">
        <w:rPr>
          <w:shd w:val="clear" w:color="auto" w:fill="FFFFFF"/>
        </w:rPr>
        <w:t>0,7</w:t>
      </w:r>
      <w:r w:rsidRPr="002B6B8F">
        <w:rPr>
          <w:shd w:val="clear" w:color="auto" w:fill="FFFFFF"/>
        </w:rPr>
        <w:t xml:space="preserve">% </w:t>
      </w:r>
      <w:r w:rsidR="00BB7C7E">
        <w:rPr>
          <w:shd w:val="clear" w:color="auto" w:fill="FFFFFF"/>
        </w:rPr>
        <w:t>mniej</w:t>
      </w:r>
      <w:r w:rsidRPr="002B6B8F">
        <w:rPr>
          <w:shd w:val="clear" w:color="auto" w:fill="FFFFFF"/>
        </w:rPr>
        <w:t xml:space="preserve"> niż</w:t>
      </w:r>
      <w:r w:rsidR="00077F39">
        <w:rPr>
          <w:shd w:val="clear" w:color="auto" w:fill="FFFFFF"/>
        </w:rPr>
        <w:t xml:space="preserve"> </w:t>
      </w:r>
      <w:r w:rsidRPr="00DF0BD8" w:rsidR="00077F39">
        <w:rPr>
          <w:shd w:val="clear" w:color="auto" w:fill="FFFFFF"/>
        </w:rPr>
        <w:t>przed rokiem</w:t>
      </w:r>
      <w:r w:rsidRPr="002B6B8F">
        <w:rPr>
          <w:shd w:val="clear" w:color="auto" w:fill="FFFFFF"/>
        </w:rPr>
        <w:t xml:space="preserve">. </w:t>
      </w:r>
      <w:r w:rsidRPr="003A39AA">
        <w:rPr>
          <w:b/>
          <w:shd w:val="clear" w:color="auto" w:fill="FFFFFF"/>
        </w:rPr>
        <w:t>Deweloperzy</w:t>
      </w:r>
      <w:r w:rsidRPr="003A39AA" w:rsidR="000177EE">
        <w:rPr>
          <w:shd w:val="clear" w:color="auto" w:fill="FFFFFF"/>
        </w:rPr>
        <w:t xml:space="preserve"> rozpoczęli budowę </w:t>
      </w:r>
      <w:r w:rsidR="00BB7C7E">
        <w:rPr>
          <w:shd w:val="clear" w:color="auto" w:fill="FFFFFF"/>
        </w:rPr>
        <w:t>22</w:t>
      </w:r>
      <w:r w:rsidR="000D1A1B">
        <w:rPr>
          <w:shd w:val="clear" w:color="auto" w:fill="FFFFFF"/>
        </w:rPr>
        <w:t>,</w:t>
      </w:r>
      <w:r w:rsidR="00BB7C7E">
        <w:rPr>
          <w:shd w:val="clear" w:color="auto" w:fill="FFFFFF"/>
        </w:rPr>
        <w:t>3</w:t>
      </w:r>
      <w:r w:rsidRPr="003A39AA">
        <w:rPr>
          <w:shd w:val="clear" w:color="auto" w:fill="FFFFFF"/>
        </w:rPr>
        <w:t xml:space="preserve"> tys</w:t>
      </w:r>
      <w:r w:rsidRPr="00C70A2F">
        <w:rPr>
          <w:shd w:val="clear" w:color="auto" w:fill="FFFFFF"/>
        </w:rPr>
        <w:t>.</w:t>
      </w:r>
      <w:r w:rsidRPr="003F6AB8">
        <w:rPr>
          <w:color w:val="FF0000"/>
          <w:shd w:val="clear" w:color="auto" w:fill="FFFFFF"/>
        </w:rPr>
        <w:t xml:space="preserve"> </w:t>
      </w:r>
      <w:r w:rsidRPr="003A39AA">
        <w:rPr>
          <w:shd w:val="clear" w:color="auto" w:fill="FFFFFF"/>
        </w:rPr>
        <w:t>mieszkań (</w:t>
      </w:r>
      <w:r w:rsidRPr="003A39AA" w:rsidR="000177EE">
        <w:t>o </w:t>
      </w:r>
      <w:r w:rsidR="00BB7C7E">
        <w:t>8,1</w:t>
      </w:r>
      <w:r w:rsidR="000D1A1B">
        <w:t>%</w:t>
      </w:r>
      <w:r w:rsidRPr="003A39AA">
        <w:rPr>
          <w:shd w:val="clear" w:color="auto" w:fill="FFFFFF"/>
        </w:rPr>
        <w:t xml:space="preserve"> </w:t>
      </w:r>
      <w:r w:rsidR="006469F7">
        <w:rPr>
          <w:shd w:val="clear" w:color="auto" w:fill="FFFFFF"/>
        </w:rPr>
        <w:t>więcej</w:t>
      </w:r>
      <w:r w:rsidR="00D5133B">
        <w:rPr>
          <w:shd w:val="clear" w:color="auto" w:fill="FFFFFF"/>
        </w:rPr>
        <w:t>),</w:t>
      </w:r>
      <w:r w:rsidRPr="003A39AA">
        <w:rPr>
          <w:shd w:val="clear" w:color="auto" w:fill="FFFFFF"/>
        </w:rPr>
        <w:t xml:space="preserve"> a inwestorzy</w:t>
      </w:r>
      <w:r w:rsidRPr="003A39AA">
        <w:rPr>
          <w:b/>
          <w:shd w:val="clear" w:color="auto" w:fill="FFFFFF"/>
        </w:rPr>
        <w:t xml:space="preserve"> indywidualni</w:t>
      </w:r>
      <w:r w:rsidR="002C0949">
        <w:rPr>
          <w:shd w:val="clear" w:color="auto" w:fill="FFFFFF"/>
        </w:rPr>
        <w:t xml:space="preserve"> </w:t>
      </w:r>
      <w:r w:rsidR="00BB7C7E">
        <w:rPr>
          <w:shd w:val="clear" w:color="auto" w:fill="FFFFFF"/>
        </w:rPr>
        <w:t>10,2</w:t>
      </w:r>
      <w:r w:rsidR="00685FE7">
        <w:rPr>
          <w:shd w:val="clear" w:color="auto" w:fill="FFFFFF"/>
        </w:rPr>
        <w:t> </w:t>
      </w:r>
      <w:r w:rsidRPr="003A39AA" w:rsidR="00CF3BF8">
        <w:rPr>
          <w:shd w:val="clear" w:color="auto" w:fill="FFFFFF"/>
        </w:rPr>
        <w:t>tys.</w:t>
      </w:r>
      <w:r w:rsidR="00077F39">
        <w:rPr>
          <w:shd w:val="clear" w:color="auto" w:fill="FFFFFF"/>
        </w:rPr>
        <w:t xml:space="preserve"> </w:t>
      </w:r>
      <w:r w:rsidR="000D1A1B">
        <w:rPr>
          <w:shd w:val="clear" w:color="auto" w:fill="FFFFFF"/>
        </w:rPr>
        <w:t>(</w:t>
      </w:r>
      <w:r w:rsidR="00620E6D">
        <w:rPr>
          <w:shd w:val="clear" w:color="auto" w:fill="FFFFFF"/>
        </w:rPr>
        <w:t xml:space="preserve">o </w:t>
      </w:r>
      <w:r w:rsidR="00BB7C7E">
        <w:rPr>
          <w:shd w:val="clear" w:color="auto" w:fill="FFFFFF"/>
        </w:rPr>
        <w:t>17,1</w:t>
      </w:r>
      <w:r w:rsidR="000D1A1B">
        <w:rPr>
          <w:shd w:val="clear" w:color="auto" w:fill="FFFFFF"/>
        </w:rPr>
        <w:t xml:space="preserve">% </w:t>
      </w:r>
      <w:r w:rsidRPr="006F5F2F" w:rsidR="00797F68">
        <w:rPr>
          <w:shd w:val="clear" w:color="auto" w:fill="FFFFFF"/>
        </w:rPr>
        <w:t>mniej</w:t>
      </w:r>
      <w:r w:rsidR="000D1A1B">
        <w:rPr>
          <w:shd w:val="clear" w:color="auto" w:fill="FFFFFF"/>
        </w:rPr>
        <w:t>).</w:t>
      </w:r>
      <w:r w:rsidRPr="003F6AB8">
        <w:rPr>
          <w:color w:val="FF0000"/>
          <w:shd w:val="clear" w:color="auto" w:fill="FFFFFF"/>
        </w:rPr>
        <w:t xml:space="preserve"> </w:t>
      </w:r>
      <w:r w:rsidR="000D1A1B">
        <w:rPr>
          <w:shd w:val="clear" w:color="auto" w:fill="FFFFFF"/>
        </w:rPr>
        <w:t>Ł</w:t>
      </w:r>
      <w:r w:rsidRPr="00C70A2F">
        <w:rPr>
          <w:shd w:val="clear" w:color="auto" w:fill="FFFFFF"/>
        </w:rPr>
        <w:t xml:space="preserve">ącznie </w:t>
      </w:r>
      <w:r w:rsidRPr="00C70A2F" w:rsidR="00A226AC">
        <w:rPr>
          <w:shd w:val="clear" w:color="auto" w:fill="FFFFFF"/>
        </w:rPr>
        <w:t xml:space="preserve">udział tych form budownictwa wyniósł </w:t>
      </w:r>
      <w:r w:rsidR="00BB7C7E">
        <w:rPr>
          <w:shd w:val="clear" w:color="auto" w:fill="FFFFFF"/>
        </w:rPr>
        <w:t>96</w:t>
      </w:r>
      <w:r w:rsidR="00FD633E">
        <w:rPr>
          <w:shd w:val="clear" w:color="auto" w:fill="FFFFFF"/>
        </w:rPr>
        <w:t>,</w:t>
      </w:r>
      <w:r w:rsidR="00BB7C7E">
        <w:rPr>
          <w:shd w:val="clear" w:color="auto" w:fill="FFFFFF"/>
        </w:rPr>
        <w:t>9</w:t>
      </w:r>
      <w:r w:rsidRPr="00C70A2F">
        <w:rPr>
          <w:shd w:val="clear" w:color="auto" w:fill="FFFFFF"/>
        </w:rPr>
        <w:t>% ogólnej liczby mieszkań</w:t>
      </w:r>
      <w:r w:rsidRPr="00516A51">
        <w:rPr>
          <w:shd w:val="clear" w:color="auto" w:fill="FFFFFF"/>
        </w:rPr>
        <w:t xml:space="preserve">. </w:t>
      </w:r>
      <w:r w:rsidRPr="00516A51" w:rsidR="00712FCA">
        <w:rPr>
          <w:shd w:val="clear" w:color="auto" w:fill="FFFFFF"/>
        </w:rPr>
        <w:t xml:space="preserve">W </w:t>
      </w:r>
      <w:r w:rsidRPr="00BB7C7E" w:rsidR="00BB7C7E">
        <w:rPr>
          <w:b/>
          <w:shd w:val="clear" w:color="auto" w:fill="FFFFFF"/>
        </w:rPr>
        <w:t>pozostałych formach</w:t>
      </w:r>
      <w:r w:rsidRPr="00BB7C7E" w:rsidR="00BB7C7E">
        <w:rPr>
          <w:shd w:val="clear" w:color="auto" w:fill="FFFFFF"/>
        </w:rPr>
        <w:t xml:space="preserve"> budownictwa </w:t>
      </w:r>
      <w:r w:rsidRPr="00516A51">
        <w:rPr>
          <w:shd w:val="clear" w:color="auto" w:fill="FFFFFF"/>
        </w:rPr>
        <w:t>rozpoczęto</w:t>
      </w:r>
      <w:r w:rsidRPr="00516A51" w:rsidR="00712FCA">
        <w:rPr>
          <w:shd w:val="clear" w:color="auto" w:fill="FFFFFF"/>
        </w:rPr>
        <w:t xml:space="preserve"> budowę </w:t>
      </w:r>
      <w:r w:rsidR="00BB7C7E">
        <w:rPr>
          <w:shd w:val="clear" w:color="auto" w:fill="FFFFFF"/>
        </w:rPr>
        <w:t>1053</w:t>
      </w:r>
      <w:r w:rsidRPr="00516A51" w:rsidR="00712FCA">
        <w:rPr>
          <w:shd w:val="clear" w:color="auto" w:fill="FFFFFF"/>
        </w:rPr>
        <w:t xml:space="preserve"> mieszkań (</w:t>
      </w:r>
      <w:r w:rsidR="00BB7C7E">
        <w:rPr>
          <w:shd w:val="clear" w:color="auto" w:fill="FFFFFF"/>
        </w:rPr>
        <w:t>856 w roku ubiegłym).</w:t>
      </w:r>
    </w:p>
    <w:p w:rsidRPr="00804C67" w:rsidR="00007AEB" w:rsidP="00361EDA" w:rsidRDefault="003457E4" w14:paraId="2523F3F1" w14:textId="194CCFAB">
      <w:pPr>
        <w:keepNext/>
        <w:spacing w:before="240" w:line="240" w:lineRule="auto"/>
        <w:outlineLvl w:val="0"/>
        <w:rPr>
          <w:rFonts w:ascii="Fira Sans SemiBold" w:hAnsi="Fira Sans SemiBold" w:eastAsia="Times New Roman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Tablica 3</w:t>
      </w:r>
      <w:r w:rsidRPr="00754F6C" w:rsidR="00D36DF7">
        <w:rPr>
          <w:rFonts w:ascii="Fira Sans SemiBold" w:hAnsi="Fira Sans SemiBold" w:eastAsia="Times New Roman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276"/>
        <w:gridCol w:w="1276"/>
        <w:gridCol w:w="992"/>
        <w:gridCol w:w="1134"/>
      </w:tblGrid>
      <w:tr w:rsidRPr="004075A5" w:rsidR="00394560" w:rsidTr="00235E4A" w14:paraId="46DFB05C" w14:textId="77777777">
        <w:trPr>
          <w:trHeight w:val="57"/>
        </w:trPr>
        <w:tc>
          <w:tcPr>
            <w:tcW w:w="2049" w:type="dxa"/>
            <w:vMerge w:val="restart"/>
            <w:vAlign w:val="center"/>
          </w:tcPr>
          <w:p w:rsidRPr="004075A5" w:rsidR="00394560" w:rsidP="00235E4A" w:rsidRDefault="00394560" w14:paraId="5DCA6422" w14:textId="77777777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Pr="004075A5" w:rsidR="00394560" w:rsidP="00235E4A" w:rsidRDefault="00394560" w14:paraId="38704A50" w14:textId="77777777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Pr="004075A5" w:rsidR="00394560" w:rsidTr="00F50D81" w14:paraId="451F4C39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0E7D965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905" w:type="dxa"/>
            <w:gridSpan w:val="3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02FD1DB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II</w:t>
            </w:r>
          </w:p>
        </w:tc>
        <w:tc>
          <w:tcPr>
            <w:tcW w:w="2126" w:type="dxa"/>
            <w:gridSpan w:val="2"/>
            <w:tcBorders>
              <w:bottom w:val="single" w:color="212492" w:sz="12" w:space="0"/>
            </w:tcBorders>
          </w:tcPr>
          <w:p w:rsidRPr="004075A5" w:rsidR="00394560" w:rsidP="00235E4A" w:rsidRDefault="00394560" w14:paraId="436998F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Pr="004075A5">
              <w:rPr>
                <w:color w:val="000000" w:themeColor="text1"/>
                <w:sz w:val="16"/>
                <w:szCs w:val="16"/>
              </w:rPr>
              <w:t>II</w:t>
            </w:r>
          </w:p>
        </w:tc>
      </w:tr>
      <w:tr w:rsidRPr="004075A5" w:rsidR="00394560" w:rsidTr="00C1719A" w14:paraId="36D0FAFD" w14:textId="77777777">
        <w:trPr>
          <w:trHeight w:val="20"/>
        </w:trPr>
        <w:tc>
          <w:tcPr>
            <w:tcW w:w="2049" w:type="dxa"/>
            <w:vMerge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5CBC1287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hAnsi="Fira Sans SemiBold"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361FAD7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784F9C8D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6" w:type="dxa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2135CF00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 2</w:t>
            </w:r>
            <w:r>
              <w:rPr>
                <w:color w:val="000000" w:themeColor="text1"/>
                <w:sz w:val="16"/>
                <w:szCs w:val="16"/>
              </w:rPr>
              <w:t>021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2852FD8E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bottom w:val="single" w:color="212492" w:sz="12" w:space="0"/>
            </w:tcBorders>
            <w:vAlign w:val="center"/>
          </w:tcPr>
          <w:p w:rsidRPr="004075A5" w:rsidR="00394560" w:rsidP="00235E4A" w:rsidRDefault="00394560" w14:paraId="12D6002A" w14:textId="77777777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I-II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4075A5" w:rsidR="00394560" w:rsidTr="00C1719A" w14:paraId="28A15C23" w14:textId="77777777">
        <w:trPr>
          <w:trHeight w:val="57"/>
        </w:trPr>
        <w:tc>
          <w:tcPr>
            <w:tcW w:w="2049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394560" w14:paraId="0A398A7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353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394560" w14:paraId="5C80ABF3" w14:textId="64994D5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394560">
              <w:rPr>
                <w:rFonts w:cs="Arial"/>
                <w:b/>
                <w:sz w:val="16"/>
                <w:szCs w:val="16"/>
              </w:rPr>
              <w:t>16 116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394560" w14:paraId="4F516B22" w14:textId="28C1C83E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394560">
              <w:rPr>
                <w:rFonts w:cs="Arial"/>
                <w:b/>
                <w:sz w:val="16"/>
                <w:szCs w:val="16"/>
              </w:rPr>
              <w:t>90,2</w:t>
            </w:r>
          </w:p>
        </w:tc>
        <w:tc>
          <w:tcPr>
            <w:tcW w:w="1276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394560" w14:paraId="0187D9BD" w14:textId="1EDB02F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394560">
              <w:rPr>
                <w:rFonts w:cs="Arial"/>
                <w:b/>
                <w:sz w:val="16"/>
                <w:szCs w:val="16"/>
              </w:rPr>
              <w:t>92,5</w:t>
            </w:r>
          </w:p>
        </w:tc>
        <w:tc>
          <w:tcPr>
            <w:tcW w:w="992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F50D81" w14:paraId="53B8C7BB" w14:textId="2DB22710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50D81">
              <w:rPr>
                <w:rFonts w:cs="Arial"/>
                <w:b/>
                <w:sz w:val="16"/>
                <w:szCs w:val="16"/>
              </w:rPr>
              <w:t>33 535</w:t>
            </w:r>
          </w:p>
        </w:tc>
        <w:tc>
          <w:tcPr>
            <w:tcW w:w="1134" w:type="dxa"/>
            <w:tcBorders>
              <w:top w:val="single" w:color="212492" w:sz="12" w:space="0"/>
            </w:tcBorders>
            <w:vAlign w:val="center"/>
          </w:tcPr>
          <w:p w:rsidRPr="004075A5" w:rsidR="00394560" w:rsidP="00235E4A" w:rsidRDefault="00F50D81" w14:paraId="72D320E1" w14:textId="4F4D0FC3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50D81">
              <w:rPr>
                <w:rFonts w:cs="Arial"/>
                <w:b/>
                <w:sz w:val="16"/>
                <w:szCs w:val="16"/>
              </w:rPr>
              <w:t>99,3</w:t>
            </w:r>
          </w:p>
        </w:tc>
      </w:tr>
      <w:tr w:rsidRPr="004075A5" w:rsidR="00394560" w:rsidTr="00C1719A" w14:paraId="71525705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58830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353" w:type="dxa"/>
            <w:vAlign w:val="center"/>
          </w:tcPr>
          <w:p w:rsidRPr="004075A5" w:rsidR="00394560" w:rsidP="00235E4A" w:rsidRDefault="00394560" w14:paraId="4BA88FD8" w14:textId="723732B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5 436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1CA3308E" w14:textId="598BB76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79,4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3B8A7E52" w14:textId="3197B2C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992" w:type="dxa"/>
            <w:vAlign w:val="center"/>
          </w:tcPr>
          <w:p w:rsidRPr="004075A5" w:rsidR="00394560" w:rsidP="00235E4A" w:rsidRDefault="00F50D81" w14:paraId="4B1CD53F" w14:textId="2940479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F50D81">
              <w:rPr>
                <w:rFonts w:eastAsiaTheme="majorEastAsia" w:cstheme="majorBidi"/>
                <w:sz w:val="16"/>
                <w:szCs w:val="16"/>
              </w:rPr>
              <w:t>10 173</w:t>
            </w:r>
          </w:p>
        </w:tc>
        <w:tc>
          <w:tcPr>
            <w:tcW w:w="1134" w:type="dxa"/>
            <w:vAlign w:val="center"/>
          </w:tcPr>
          <w:p w:rsidRPr="004075A5" w:rsidR="00394560" w:rsidP="00235E4A" w:rsidRDefault="00F50D81" w14:paraId="2C2DBA57" w14:textId="190793B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50D81">
              <w:rPr>
                <w:rFonts w:cs="Arial"/>
                <w:sz w:val="16"/>
                <w:szCs w:val="16"/>
              </w:rPr>
              <w:t>82,9</w:t>
            </w:r>
          </w:p>
        </w:tc>
      </w:tr>
      <w:tr w:rsidRPr="004075A5" w:rsidR="00394560" w:rsidTr="00C1719A" w14:paraId="0EB6965A" w14:textId="77777777">
        <w:trPr>
          <w:trHeight w:val="381"/>
        </w:trPr>
        <w:tc>
          <w:tcPr>
            <w:tcW w:w="2049" w:type="dxa"/>
            <w:vAlign w:val="center"/>
          </w:tcPr>
          <w:p w:rsidRPr="004075A5" w:rsidR="00394560" w:rsidP="00235E4A" w:rsidRDefault="00394560" w14:paraId="7EE15C97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353" w:type="dxa"/>
            <w:vAlign w:val="center"/>
          </w:tcPr>
          <w:p w:rsidRPr="004075A5" w:rsidR="00394560" w:rsidP="00235E4A" w:rsidRDefault="00394560" w14:paraId="26A9FDC6" w14:textId="63574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9 879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62796494" w14:textId="25C8055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93,1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66145ED3" w14:textId="57F66B8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79,5</w:t>
            </w:r>
          </w:p>
        </w:tc>
        <w:tc>
          <w:tcPr>
            <w:tcW w:w="992" w:type="dxa"/>
            <w:vAlign w:val="center"/>
          </w:tcPr>
          <w:p w:rsidRPr="004075A5" w:rsidR="00394560" w:rsidP="00235E4A" w:rsidRDefault="00F50D81" w14:paraId="3686B56C" w14:textId="43B9AE6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50D81">
              <w:rPr>
                <w:rFonts w:eastAsiaTheme="majorEastAsia" w:cstheme="majorBidi"/>
                <w:sz w:val="16"/>
                <w:szCs w:val="16"/>
              </w:rPr>
              <w:t>22 309</w:t>
            </w:r>
          </w:p>
        </w:tc>
        <w:tc>
          <w:tcPr>
            <w:tcW w:w="1134" w:type="dxa"/>
            <w:vAlign w:val="center"/>
          </w:tcPr>
          <w:p w:rsidRPr="004075A5" w:rsidR="00394560" w:rsidP="00235E4A" w:rsidRDefault="00F50D81" w14:paraId="68EAB1DF" w14:textId="30A3CD0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50D81">
              <w:rPr>
                <w:rFonts w:cs="Arial"/>
                <w:sz w:val="16"/>
                <w:szCs w:val="16"/>
              </w:rPr>
              <w:t>108,1</w:t>
            </w:r>
          </w:p>
        </w:tc>
      </w:tr>
      <w:tr w:rsidRPr="004075A5" w:rsidR="00394560" w:rsidTr="00C1719A" w14:paraId="32A2A885" w14:textId="77777777">
        <w:trPr>
          <w:trHeight w:val="265"/>
        </w:trPr>
        <w:tc>
          <w:tcPr>
            <w:tcW w:w="2049" w:type="dxa"/>
            <w:vAlign w:val="center"/>
          </w:tcPr>
          <w:p w:rsidRPr="004075A5" w:rsidR="00394560" w:rsidP="00235E4A" w:rsidRDefault="00394560" w14:paraId="1F691C6E" w14:textId="5B8131DB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353" w:type="dxa"/>
            <w:vAlign w:val="center"/>
          </w:tcPr>
          <w:p w:rsidRPr="00394560" w:rsidR="00394560" w:rsidP="00235E4A" w:rsidRDefault="00394560" w14:paraId="1E745AB1" w14:textId="5609E1A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1276" w:type="dxa"/>
            <w:vAlign w:val="center"/>
          </w:tcPr>
          <w:p w:rsidRPr="00394560" w:rsidR="00394560" w:rsidP="00235E4A" w:rsidRDefault="00394560" w14:paraId="70C7EAA6" w14:textId="5DAA295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15,9</w:t>
            </w:r>
          </w:p>
        </w:tc>
        <w:tc>
          <w:tcPr>
            <w:tcW w:w="1276" w:type="dxa"/>
            <w:vAlign w:val="center"/>
          </w:tcPr>
          <w:p w:rsidRPr="00394560" w:rsidR="00394560" w:rsidP="00235E4A" w:rsidRDefault="00394560" w14:paraId="4081E4E8" w14:textId="5BEEDA0B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30,3</w:t>
            </w:r>
          </w:p>
        </w:tc>
        <w:tc>
          <w:tcPr>
            <w:tcW w:w="992" w:type="dxa"/>
            <w:vAlign w:val="center"/>
          </w:tcPr>
          <w:p w:rsidRPr="004075A5" w:rsidR="00394560" w:rsidP="00235E4A" w:rsidRDefault="00F50D81" w14:paraId="523762D6" w14:textId="2CE0CE7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50D81">
              <w:rPr>
                <w:rFonts w:eastAsiaTheme="majorEastAsia" w:cstheme="majorBidi"/>
                <w:sz w:val="16"/>
                <w:szCs w:val="16"/>
              </w:rPr>
              <w:t>43</w:t>
            </w:r>
          </w:p>
        </w:tc>
        <w:tc>
          <w:tcPr>
            <w:tcW w:w="1134" w:type="dxa"/>
            <w:vAlign w:val="center"/>
          </w:tcPr>
          <w:p w:rsidRPr="004075A5" w:rsidR="00394560" w:rsidP="00235E4A" w:rsidRDefault="00F50D81" w14:paraId="31D77B51" w14:textId="2C53D73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50D81">
              <w:rPr>
                <w:rFonts w:cs="Arial"/>
                <w:sz w:val="16"/>
                <w:szCs w:val="16"/>
              </w:rPr>
              <w:t>18,5</w:t>
            </w:r>
          </w:p>
        </w:tc>
      </w:tr>
      <w:tr w:rsidRPr="004075A5" w:rsidR="00394560" w:rsidTr="00C1719A" w14:paraId="0DC89A9A" w14:textId="77777777">
        <w:trPr>
          <w:trHeight w:val="254"/>
        </w:trPr>
        <w:tc>
          <w:tcPr>
            <w:tcW w:w="2049" w:type="dxa"/>
            <w:vAlign w:val="center"/>
          </w:tcPr>
          <w:p w:rsidRPr="004075A5" w:rsidR="00394560" w:rsidP="00235E4A" w:rsidRDefault="00394560" w14:paraId="0DB2A21C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353" w:type="dxa"/>
            <w:vAlign w:val="center"/>
          </w:tcPr>
          <w:p w:rsidRPr="004075A5" w:rsidR="00394560" w:rsidP="00235E4A" w:rsidRDefault="00394560" w14:paraId="1901D47B" w14:textId="6FFE235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76413105" w14:textId="1D60C3E2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19,1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3E0291D1" w14:textId="597970F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51,7</w:t>
            </w:r>
          </w:p>
        </w:tc>
        <w:tc>
          <w:tcPr>
            <w:tcW w:w="992" w:type="dxa"/>
            <w:vAlign w:val="center"/>
          </w:tcPr>
          <w:p w:rsidRPr="004075A5" w:rsidR="00394560" w:rsidP="00235E4A" w:rsidRDefault="00F50D81" w14:paraId="03A0C24A" w14:textId="214CB12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50D81">
              <w:rPr>
                <w:rFonts w:eastAsiaTheme="majorEastAsia" w:cstheme="majorBidi"/>
                <w:sz w:val="16"/>
                <w:szCs w:val="16"/>
              </w:rPr>
              <w:t>176</w:t>
            </w:r>
          </w:p>
        </w:tc>
        <w:tc>
          <w:tcPr>
            <w:tcW w:w="1134" w:type="dxa"/>
            <w:vAlign w:val="center"/>
          </w:tcPr>
          <w:p w:rsidRPr="004075A5" w:rsidR="00394560" w:rsidP="00235E4A" w:rsidRDefault="00F50D81" w14:paraId="42DF5B91" w14:textId="5776785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50D81">
              <w:rPr>
                <w:rFonts w:cs="Arial"/>
                <w:sz w:val="16"/>
                <w:szCs w:val="16"/>
              </w:rPr>
              <w:t>37,4</w:t>
            </w:r>
          </w:p>
        </w:tc>
      </w:tr>
      <w:tr w:rsidRPr="004075A5" w:rsidR="00394560" w:rsidTr="00C1719A" w14:paraId="64EBE850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63DFC00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353" w:type="dxa"/>
            <w:vAlign w:val="center"/>
          </w:tcPr>
          <w:p w:rsidRPr="004075A5" w:rsidR="00394560" w:rsidP="00235E4A" w:rsidRDefault="00394560" w14:paraId="19D62A87" w14:textId="599901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18A7CC8E" w14:textId="344D65B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353,6</w:t>
            </w:r>
          </w:p>
        </w:tc>
        <w:tc>
          <w:tcPr>
            <w:tcW w:w="1276" w:type="dxa"/>
            <w:vAlign w:val="center"/>
          </w:tcPr>
          <w:p w:rsidRPr="00394560" w:rsidR="00394560" w:rsidP="00394560" w:rsidRDefault="00394560" w14:paraId="4358675B" w14:textId="6BFDF54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prawie 20</w:t>
            </w:r>
            <w:r w:rsidRPr="00394560">
              <w:rPr>
                <w:rFonts w:cs="Arial"/>
                <w:sz w:val="16"/>
                <w:szCs w:val="16"/>
              </w:rPr>
              <w:t>-</w:t>
            </w:r>
          </w:p>
          <w:p w:rsidRPr="004075A5" w:rsidR="00394560" w:rsidP="00394560" w:rsidRDefault="00394560" w14:paraId="785F2C57" w14:textId="3181D86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992" w:type="dxa"/>
            <w:vAlign w:val="center"/>
          </w:tcPr>
          <w:p w:rsidRPr="004075A5" w:rsidR="00394560" w:rsidP="00235E4A" w:rsidRDefault="00F50D81" w14:paraId="7634EDC1" w14:textId="659CB02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50D81">
              <w:rPr>
                <w:sz w:val="16"/>
                <w:szCs w:val="16"/>
              </w:rPr>
              <w:t>104</w:t>
            </w:r>
          </w:p>
        </w:tc>
        <w:tc>
          <w:tcPr>
            <w:tcW w:w="1134" w:type="dxa"/>
            <w:vAlign w:val="center"/>
          </w:tcPr>
          <w:p w:rsidRPr="004075A5" w:rsidR="00394560" w:rsidP="00235E4A" w:rsidRDefault="00F50D81" w14:paraId="6791F188" w14:textId="07089DE3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50D81">
              <w:rPr>
                <w:rFonts w:cs="Arial"/>
                <w:sz w:val="16"/>
                <w:szCs w:val="16"/>
              </w:rPr>
              <w:t>138,7</w:t>
            </w:r>
          </w:p>
        </w:tc>
      </w:tr>
      <w:tr w:rsidRPr="004075A5" w:rsidR="00394560" w:rsidTr="00C1719A" w14:paraId="18C82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493C3335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353" w:type="dxa"/>
            <w:vAlign w:val="center"/>
          </w:tcPr>
          <w:p w:rsidRPr="004075A5" w:rsidR="00394560" w:rsidP="00394560" w:rsidRDefault="00C1719A" w14:paraId="2585528B" w14:textId="7328916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642</w:t>
            </w:r>
          </w:p>
        </w:tc>
        <w:tc>
          <w:tcPr>
            <w:tcW w:w="1276" w:type="dxa"/>
            <w:vAlign w:val="center"/>
          </w:tcPr>
          <w:p w:rsidRPr="00394560" w:rsidR="00394560" w:rsidP="00394560" w:rsidRDefault="00394560" w14:paraId="3EF94172" w14:textId="7725D8A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20</w:t>
            </w:r>
            <w:r w:rsidRPr="00394560">
              <w:rPr>
                <w:rFonts w:cs="Arial"/>
                <w:sz w:val="16"/>
                <w:szCs w:val="16"/>
              </w:rPr>
              <w:t>-</w:t>
            </w:r>
          </w:p>
          <w:p w:rsidRPr="004075A5" w:rsidR="00394560" w:rsidP="00394560" w:rsidRDefault="00394560" w14:paraId="06BC739E" w14:textId="7B50961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394560">
              <w:rPr>
                <w:rFonts w:cs="Arial"/>
                <w:sz w:val="16"/>
                <w:szCs w:val="16"/>
              </w:rPr>
              <w:t>krotnie więcej</w:t>
            </w:r>
          </w:p>
        </w:tc>
        <w:tc>
          <w:tcPr>
            <w:tcW w:w="1276" w:type="dxa"/>
            <w:vAlign w:val="center"/>
          </w:tcPr>
          <w:p w:rsidRPr="004075A5" w:rsidR="00394560" w:rsidP="00F50D81" w:rsidRDefault="00C1719A" w14:paraId="06AC3511" w14:textId="1C1C0A9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490,1</w:t>
            </w:r>
          </w:p>
        </w:tc>
        <w:tc>
          <w:tcPr>
            <w:tcW w:w="992" w:type="dxa"/>
            <w:vAlign w:val="center"/>
          </w:tcPr>
          <w:p w:rsidRPr="004075A5" w:rsidR="00394560" w:rsidP="00235E4A" w:rsidRDefault="00F50D81" w14:paraId="177C774A" w14:textId="080FAB4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50D81">
              <w:rPr>
                <w:sz w:val="16"/>
                <w:szCs w:val="16"/>
              </w:rPr>
              <w:t>773</w:t>
            </w:r>
          </w:p>
        </w:tc>
        <w:tc>
          <w:tcPr>
            <w:tcW w:w="1134" w:type="dxa"/>
            <w:vAlign w:val="center"/>
          </w:tcPr>
          <w:p w:rsidRPr="004075A5" w:rsidR="00394560" w:rsidP="00235E4A" w:rsidRDefault="00F50D81" w14:paraId="1CF90882" w14:textId="62750BD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50D81">
              <w:rPr>
                <w:rFonts w:cs="Arial"/>
                <w:sz w:val="16"/>
                <w:szCs w:val="16"/>
              </w:rPr>
              <w:t>302,0</w:t>
            </w:r>
          </w:p>
        </w:tc>
      </w:tr>
      <w:tr w:rsidRPr="004075A5" w:rsidR="00394560" w:rsidTr="00C1719A" w14:paraId="436956AA" w14:textId="77777777">
        <w:trPr>
          <w:trHeight w:val="57"/>
        </w:trPr>
        <w:tc>
          <w:tcPr>
            <w:tcW w:w="2049" w:type="dxa"/>
            <w:vAlign w:val="center"/>
          </w:tcPr>
          <w:p w:rsidRPr="004075A5" w:rsidR="00394560" w:rsidP="00235E4A" w:rsidRDefault="00394560" w14:paraId="51800D8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353" w:type="dxa"/>
            <w:vAlign w:val="center"/>
          </w:tcPr>
          <w:p w:rsidRPr="004075A5" w:rsidR="00394560" w:rsidP="00235E4A" w:rsidRDefault="00394560" w14:paraId="38935EEA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08AD084F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Pr="004075A5" w:rsidR="00394560" w:rsidP="00235E4A" w:rsidRDefault="00394560" w14:paraId="7124753F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4075A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Align w:val="center"/>
          </w:tcPr>
          <w:p w:rsidRPr="004075A5" w:rsidR="00394560" w:rsidP="00235E4A" w:rsidRDefault="00F50D81" w14:paraId="1EB2D4B8" w14:textId="1BE0567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Pr="004075A5" w:rsidR="00394560" w:rsidP="00235E4A" w:rsidRDefault="00394560" w14:paraId="4D9760CC" w14:textId="7777777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597131" w:rsidP="002B6B8F" w:rsidRDefault="00597131" w14:paraId="2F2A7FA1" w14:textId="77777777">
      <w:pPr>
        <w:spacing w:before="0" w:after="160" w:line="259" w:lineRule="auto"/>
        <w:rPr>
          <w:shd w:val="clear" w:color="auto" w:fill="FFFFFF"/>
        </w:rPr>
      </w:pPr>
    </w:p>
    <w:p w:rsidR="00410E71" w:rsidP="002B6B8F" w:rsidRDefault="002B6B8F" w14:paraId="09EB9451" w14:textId="2423CF9D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BB7C7E">
        <w:rPr>
          <w:shd w:val="clear" w:color="auto" w:fill="FFFFFF"/>
        </w:rPr>
        <w:t>lutego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E91D9E">
        <w:rPr>
          <w:shd w:val="clear" w:color="auto" w:fill="FFFFFF"/>
        </w:rPr>
        <w:t>827,</w:t>
      </w:r>
      <w:r w:rsidR="00D8024A">
        <w:rPr>
          <w:shd w:val="clear" w:color="auto" w:fill="FFFFFF"/>
        </w:rPr>
        <w:t>7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o </w:t>
      </w:r>
      <w:r w:rsidR="00BB7C7E">
        <w:rPr>
          <w:shd w:val="clear" w:color="auto" w:fill="FFFFFF"/>
        </w:rPr>
        <w:t>0,3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Pr="006F5F2F" w:rsidR="00201663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:rsidRPr="00C826DE" w:rsidR="00EA50CB" w:rsidP="00C826DE" w:rsidRDefault="003457E4" w14:paraId="3CA89E1C" w14:textId="1BF03409">
      <w:pPr>
        <w:spacing w:before="0" w:after="160" w:line="259" w:lineRule="auto"/>
        <w:rPr>
          <w:shd w:val="clear" w:color="auto" w:fill="FFFFFF"/>
        </w:rPr>
      </w:pPr>
      <w:r w:rsidRPr="00754F6C">
        <w:rPr>
          <w:b/>
          <w:sz w:val="18"/>
          <w:szCs w:val="18"/>
        </w:rPr>
        <w:t>Wykres</w:t>
      </w:r>
      <w:r w:rsidRPr="00754F6C" w:rsidR="00047CF8">
        <w:rPr>
          <w:b/>
          <w:sz w:val="18"/>
          <w:szCs w:val="18"/>
        </w:rPr>
        <w:t xml:space="preserve"> 1. </w:t>
      </w:r>
      <w:r w:rsidRPr="003019E7" w:rsidR="00047CF8">
        <w:rPr>
          <w:b/>
          <w:sz w:val="18"/>
          <w:szCs w:val="18"/>
        </w:rPr>
        <w:t>Ruch budowlany w obszarze budownictwa mieszkaniowego w Polsce</w:t>
      </w:r>
      <w:r w:rsidR="00C826DE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editId="78A98520" wp14:anchorId="430D2093">
            <wp:simplePos x="0" y="0"/>
            <wp:positionH relativeFrom="margin">
              <wp:align>right</wp:align>
            </wp:positionH>
            <wp:positionV relativeFrom="paragraph">
              <wp:posOffset>149225</wp:posOffset>
            </wp:positionV>
            <wp:extent cx="5122545" cy="221615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</w:p>
    <w:p w:rsidR="00EA50CB" w:rsidP="00F113BA" w:rsidRDefault="00C826DE" w14:paraId="2BC6753C" w14:textId="67CE83F7">
      <w:pPr>
        <w:rPr>
          <w:noProof/>
          <w:lang w:eastAsia="pl-PL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editId="4DBFAAFF" wp14:anchorId="1559AE43">
                <wp:simplePos x="0" y="0"/>
                <wp:positionH relativeFrom="page">
                  <wp:posOffset>5664200</wp:posOffset>
                </wp:positionH>
                <wp:positionV relativeFrom="paragraph">
                  <wp:posOffset>42545</wp:posOffset>
                </wp:positionV>
                <wp:extent cx="1742440" cy="2337435"/>
                <wp:effectExtent l="0" t="0" r="0" b="571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2337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2B6B8F" w:rsidP="002B6B8F" w:rsidRDefault="00C110BE" w14:paraId="5AC87C99" w14:textId="7150784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BB7C7E">
                              <w:t>lutym</w:t>
                            </w:r>
                            <w:r w:rsidRPr="002B6B8F" w:rsidR="002B6B8F">
                              <w:t xml:space="preserve">, w porównaniu do </w:t>
                            </w:r>
                            <w:r w:rsidR="00BB7C7E">
                              <w:t>stycznia 2021</w:t>
                            </w:r>
                            <w:r w:rsidRPr="002B6B8F" w:rsidR="002B6B8F">
                              <w:t xml:space="preserve"> roku, </w:t>
                            </w:r>
                            <w:r w:rsidR="00D8024A">
                              <w:t>spadła</w:t>
                            </w:r>
                            <w:r w:rsidRPr="002B6B8F" w:rsidR="002B6B8F">
                              <w:t xml:space="preserve"> liczba mies</w:t>
                            </w:r>
                            <w:r w:rsidR="00122D1B">
                              <w:t xml:space="preserve">zkań oddanych do użytkowania </w:t>
                            </w:r>
                            <w:r w:rsidR="00233340">
                              <w:t>(o </w:t>
                            </w:r>
                            <w:r w:rsidR="00BB7C7E">
                              <w:t>2,4</w:t>
                            </w:r>
                            <w:r w:rsidRPr="00781B49" w:rsidR="002B6B8F">
                              <w:t>%)</w:t>
                            </w:r>
                            <w:r w:rsidR="006E7343">
                              <w:t xml:space="preserve"> oraz</w:t>
                            </w:r>
                            <w:r w:rsidRPr="002B6B8F" w:rsidR="002B6B8F">
                              <w:t xml:space="preserve"> </w:t>
                            </w:r>
                            <w:r w:rsidRPr="00FB6E52" w:rsidR="00FB6E52">
                              <w:t>liczba mieszkań</w:t>
                            </w:r>
                            <w:r w:rsidR="00FB6E52">
                              <w:t xml:space="preserve">, których budowę rozpoczęto (o 7,5%), wzrosła natomiast </w:t>
                            </w:r>
                            <w:r w:rsidRPr="002B6B8F" w:rsidR="0048551B">
                              <w:t>liczba mieszkań, na których budowę wydano pozwolenia lub dokonano zgłoszenia z projektem budowlanym (</w:t>
                            </w:r>
                            <w:r w:rsidRPr="00781B49" w:rsidR="0048551B">
                              <w:t>o </w:t>
                            </w:r>
                            <w:r w:rsidR="00FB6E52">
                              <w:t>16</w:t>
                            </w:r>
                            <w:r w:rsidRPr="00781B49" w:rsidR="00D8024A">
                              <w:t>,7</w:t>
                            </w:r>
                            <w:r w:rsidR="00FB6E52">
                              <w:t>%)</w:t>
                            </w:r>
                          </w:p>
                          <w:p w:rsidRPr="005C3B28" w:rsidR="00C31687" w:rsidP="00C30964" w:rsidRDefault="00C31687" w14:paraId="4F0C4222" w14:textId="54A1B5CE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margin-left:446pt;margin-top:3.35pt;width:137.2pt;height:184.0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" w14:anchorId="1559AE43">
                <v:textbox>
                  <w:txbxContent>
                    <w:p w:rsidRPr="002B6B8F" w:rsidR="002B6B8F" w:rsidP="002B6B8F" w:rsidRDefault="00C110BE" w14:paraId="5AC87C99" w14:textId="71507840">
                      <w:pPr>
                        <w:pStyle w:val="tekstzboku"/>
                      </w:pPr>
                      <w:r>
                        <w:t xml:space="preserve">W </w:t>
                      </w:r>
                      <w:r w:rsidR="00BB7C7E">
                        <w:t>lutym</w:t>
                      </w:r>
                      <w:r w:rsidRPr="002B6B8F" w:rsidR="002B6B8F">
                        <w:t xml:space="preserve">, w porównaniu do </w:t>
                      </w:r>
                      <w:r w:rsidR="00BB7C7E">
                        <w:t>stycznia 2021</w:t>
                      </w:r>
                      <w:r w:rsidRPr="002B6B8F" w:rsidR="002B6B8F">
                        <w:t xml:space="preserve"> roku, </w:t>
                      </w:r>
                      <w:r w:rsidR="00D8024A">
                        <w:t>spadła</w:t>
                      </w:r>
                      <w:r w:rsidRPr="002B6B8F" w:rsidR="002B6B8F">
                        <w:t xml:space="preserve"> liczba mies</w:t>
                      </w:r>
                      <w:r w:rsidR="00122D1B">
                        <w:t xml:space="preserve">zkań oddanych do użytkowania </w:t>
                      </w:r>
                      <w:r w:rsidR="00233340">
                        <w:t>(o </w:t>
                      </w:r>
                      <w:r w:rsidR="00BB7C7E">
                        <w:t>2,4</w:t>
                      </w:r>
                      <w:r w:rsidRPr="00781B49" w:rsidR="002B6B8F">
                        <w:t>%)</w:t>
                      </w:r>
                      <w:r w:rsidR="006E7343">
                        <w:t xml:space="preserve"> oraz</w:t>
                      </w:r>
                      <w:r w:rsidRPr="002B6B8F" w:rsidR="002B6B8F">
                        <w:t xml:space="preserve"> </w:t>
                      </w:r>
                      <w:r w:rsidRPr="00FB6E52" w:rsidR="00FB6E52">
                        <w:t>liczba mieszkań</w:t>
                      </w:r>
                      <w:r w:rsidR="00FB6E52">
                        <w:t xml:space="preserve">, których budowę rozpoczęto (o 7,5%), wzrosła natomiast </w:t>
                      </w:r>
                      <w:r w:rsidRPr="002B6B8F" w:rsidR="0048551B">
                        <w:t>liczba mieszkań, na których budowę wydano pozwolenia lub dokonano zgłoszenia z projektem budowlanym (</w:t>
                      </w:r>
                      <w:r w:rsidRPr="00781B49" w:rsidR="0048551B">
                        <w:t>o </w:t>
                      </w:r>
                      <w:r w:rsidR="00FB6E52">
                        <w:t>16</w:t>
                      </w:r>
                      <w:r w:rsidRPr="00781B49" w:rsidR="00D8024A">
                        <w:t>,7</w:t>
                      </w:r>
                      <w:r w:rsidR="00FB6E52">
                        <w:t>%)</w:t>
                      </w:r>
                    </w:p>
                    <w:p w:rsidRPr="005C3B28" w:rsidR="00C31687" w:rsidP="00C30964" w:rsidRDefault="00C31687" w14:paraId="4F0C4222" w14:textId="54A1B5CE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A50CB" w:rsidP="00F113BA" w:rsidRDefault="00EA50CB" w14:paraId="778C4933" w14:textId="77777777">
      <w:pPr>
        <w:rPr>
          <w:noProof/>
          <w:lang w:eastAsia="pl-PL"/>
        </w:rPr>
      </w:pPr>
    </w:p>
    <w:p w:rsidR="00EA50CB" w:rsidP="00F113BA" w:rsidRDefault="00EA50CB" w14:paraId="5BE11187" w14:textId="77777777">
      <w:pPr>
        <w:rPr>
          <w:b/>
          <w:sz w:val="18"/>
          <w:szCs w:val="18"/>
        </w:rPr>
      </w:pPr>
    </w:p>
    <w:p w:rsidRPr="00754F6C" w:rsidR="00A80EF8" w:rsidP="00F113BA" w:rsidRDefault="00A80EF8" w14:paraId="1C15CEB7" w14:textId="4B4563B7">
      <w:pPr>
        <w:rPr>
          <w:b/>
          <w:sz w:val="18"/>
          <w:szCs w:val="18"/>
        </w:rPr>
      </w:pPr>
    </w:p>
    <w:p w:rsidR="0034012A" w:rsidP="00BA4E9B" w:rsidRDefault="0034012A" w14:paraId="4AD65250" w14:textId="77777777">
      <w:pPr>
        <w:rPr>
          <w:szCs w:val="19"/>
          <w:shd w:val="clear" w:color="auto" w:fill="FFFFFF"/>
        </w:rPr>
      </w:pPr>
    </w:p>
    <w:p w:rsidR="00BC42CE" w:rsidP="00781B49" w:rsidRDefault="00BC42CE" w14:paraId="0E62E92A" w14:textId="77777777">
      <w:pPr>
        <w:rPr>
          <w:szCs w:val="19"/>
          <w:shd w:val="clear" w:color="auto" w:fill="FFFFFF"/>
        </w:rPr>
      </w:pPr>
    </w:p>
    <w:p w:rsidR="00BC42CE" w:rsidP="00781B49" w:rsidRDefault="00BC42CE" w14:paraId="0397B68B" w14:textId="77777777">
      <w:pPr>
        <w:rPr>
          <w:szCs w:val="19"/>
          <w:shd w:val="clear" w:color="auto" w:fill="FFFFFF"/>
        </w:rPr>
      </w:pPr>
    </w:p>
    <w:p w:rsidR="00BC42CE" w:rsidP="00781B49" w:rsidRDefault="00BC42CE" w14:paraId="6E42B481" w14:textId="77777777">
      <w:pPr>
        <w:rPr>
          <w:szCs w:val="19"/>
          <w:shd w:val="clear" w:color="auto" w:fill="FFFFFF"/>
        </w:rPr>
      </w:pPr>
    </w:p>
    <w:p w:rsidR="00BC42CE" w:rsidP="00781B49" w:rsidRDefault="00BC42CE" w14:paraId="0CFECEF8" w14:textId="77777777">
      <w:pPr>
        <w:rPr>
          <w:szCs w:val="19"/>
          <w:shd w:val="clear" w:color="auto" w:fill="FFFFFF"/>
        </w:rPr>
      </w:pPr>
    </w:p>
    <w:p w:rsidR="003D35DC" w:rsidP="00781B49" w:rsidRDefault="003D35DC" w14:paraId="67633FD6" w14:textId="77777777">
      <w:pPr>
        <w:rPr>
          <w:szCs w:val="19"/>
          <w:shd w:val="clear" w:color="auto" w:fill="FFFFFF"/>
        </w:rPr>
      </w:pPr>
    </w:p>
    <w:p w:rsidRPr="000841CE" w:rsidR="00781B49" w:rsidP="00781B49" w:rsidRDefault="00781B49" w14:paraId="64B32809" w14:textId="5B96F435">
      <w:pPr>
        <w:rPr>
          <w:szCs w:val="19"/>
          <w:shd w:val="clear" w:color="auto" w:fill="FFFFFF"/>
        </w:rPr>
      </w:pPr>
      <w:r w:rsidRPr="00774814">
        <w:rPr>
          <w:szCs w:val="19"/>
          <w:shd w:val="clear" w:color="auto" w:fill="FFFFFF"/>
        </w:rPr>
        <w:t xml:space="preserve">W </w:t>
      </w:r>
      <w:r w:rsidR="00FB6E52">
        <w:rPr>
          <w:szCs w:val="19"/>
          <w:shd w:val="clear" w:color="auto" w:fill="FFFFFF"/>
        </w:rPr>
        <w:t>okresie I-II</w:t>
      </w:r>
      <w:r>
        <w:rPr>
          <w:szCs w:val="19"/>
          <w:shd w:val="clear" w:color="auto" w:fill="FFFFFF"/>
        </w:rPr>
        <w:t xml:space="preserve"> 2021</w:t>
      </w:r>
      <w:r w:rsidRPr="00774814">
        <w:rPr>
          <w:szCs w:val="19"/>
          <w:shd w:val="clear" w:color="auto" w:fill="FFFFFF"/>
        </w:rPr>
        <w:t xml:space="preserve"> roku</w:t>
      </w:r>
      <w:r w:rsidRPr="00B44D67" w:rsidR="00836559">
        <w:rPr>
          <w:szCs w:val="19"/>
          <w:shd w:val="clear" w:color="auto" w:fill="FFFFFF"/>
        </w:rPr>
        <w:t>,</w:t>
      </w:r>
      <w:r w:rsidRPr="00B44D67">
        <w:rPr>
          <w:szCs w:val="19"/>
          <w:shd w:val="clear" w:color="auto" w:fill="FFFFFF"/>
        </w:rPr>
        <w:t xml:space="preserve"> </w:t>
      </w:r>
      <w:r w:rsidRPr="00516A51" w:rsidR="00B44D67">
        <w:rPr>
          <w:szCs w:val="19"/>
          <w:shd w:val="clear" w:color="auto" w:fill="FFFFFF"/>
        </w:rPr>
        <w:t xml:space="preserve">wysokie wartości dla </w:t>
      </w:r>
      <w:r w:rsidRPr="00516A51">
        <w:rPr>
          <w:szCs w:val="19"/>
          <w:shd w:val="clear" w:color="auto" w:fill="FFFFFF"/>
        </w:rPr>
        <w:t>mieszkań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oddanych do użytkowania</w:t>
      </w:r>
      <w:r w:rsidRPr="00516A51" w:rsidR="00836559">
        <w:rPr>
          <w:szCs w:val="19"/>
          <w:shd w:val="clear" w:color="auto" w:fill="FFFFFF"/>
        </w:rPr>
        <w:t>,</w:t>
      </w:r>
      <w:r w:rsidRPr="00516A51">
        <w:rPr>
          <w:szCs w:val="19"/>
          <w:shd w:val="clear" w:color="auto" w:fill="FFFFFF"/>
        </w:rPr>
        <w:t xml:space="preserve"> mieszkań których budowę rozpoczęto</w:t>
      </w:r>
      <w:r w:rsidRPr="00516A51" w:rsidR="00B44D67">
        <w:rPr>
          <w:szCs w:val="19"/>
          <w:shd w:val="clear" w:color="auto" w:fill="FFFFFF"/>
        </w:rPr>
        <w:t xml:space="preserve"> </w:t>
      </w:r>
      <w:r w:rsidRPr="00516A51" w:rsidR="00836559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Pr="00516A51" w:rsidR="00497802">
        <w:rPr>
          <w:szCs w:val="19"/>
          <w:shd w:val="clear" w:color="auto" w:fill="FFFFFF"/>
        </w:rPr>
        <w:t>,</w:t>
      </w:r>
      <w:r w:rsidRPr="00516A51" w:rsidR="00836559">
        <w:rPr>
          <w:szCs w:val="19"/>
          <w:shd w:val="clear" w:color="auto" w:fill="FFFFFF"/>
        </w:rPr>
        <w:t xml:space="preserve"> </w:t>
      </w:r>
      <w:r w:rsidRPr="00516A51">
        <w:rPr>
          <w:szCs w:val="19"/>
          <w:shd w:val="clear" w:color="auto" w:fill="FFFFFF"/>
        </w:rPr>
        <w:t>odnotowano w wojewódz</w:t>
      </w:r>
      <w:r w:rsidRPr="00516A51" w:rsidR="00B44D67">
        <w:rPr>
          <w:szCs w:val="19"/>
          <w:shd w:val="clear" w:color="auto" w:fill="FFFFFF"/>
        </w:rPr>
        <w:t>twach:</w:t>
      </w:r>
      <w:r w:rsidRPr="00516A51">
        <w:rPr>
          <w:szCs w:val="19"/>
          <w:shd w:val="clear" w:color="auto" w:fill="FFFFFF"/>
        </w:rPr>
        <w:t xml:space="preserve"> ma</w:t>
      </w:r>
      <w:r w:rsidR="00487654">
        <w:rPr>
          <w:szCs w:val="19"/>
          <w:shd w:val="clear" w:color="auto" w:fill="FFFFFF"/>
        </w:rPr>
        <w:t>zowieckim (odpowiednio </w:t>
      </w:r>
      <w:r w:rsidR="00FB6E52">
        <w:rPr>
          <w:szCs w:val="19"/>
          <w:shd w:val="clear" w:color="auto" w:fill="FFFFFF"/>
        </w:rPr>
        <w:t>7,7</w:t>
      </w:r>
      <w:r w:rsidRPr="00516A51" w:rsidR="00B44D67">
        <w:rPr>
          <w:szCs w:val="19"/>
          <w:shd w:val="clear" w:color="auto" w:fill="FFFFFF"/>
        </w:rPr>
        <w:t xml:space="preserve"> tys.</w:t>
      </w:r>
      <w:r w:rsidRPr="00516A51" w:rsidR="00F21E21">
        <w:rPr>
          <w:szCs w:val="19"/>
          <w:shd w:val="clear" w:color="auto" w:fill="FFFFFF"/>
        </w:rPr>
        <w:t>,</w:t>
      </w:r>
      <w:r w:rsidRPr="00516A51" w:rsidR="00B44D67">
        <w:rPr>
          <w:szCs w:val="19"/>
          <w:shd w:val="clear" w:color="auto" w:fill="FFFFFF"/>
        </w:rPr>
        <w:t xml:space="preserve"> </w:t>
      </w:r>
      <w:r w:rsidR="00FB6E52">
        <w:rPr>
          <w:szCs w:val="19"/>
          <w:shd w:val="clear" w:color="auto" w:fill="FFFFFF"/>
        </w:rPr>
        <w:t>5,0</w:t>
      </w:r>
      <w:r w:rsidRPr="00516A51">
        <w:rPr>
          <w:szCs w:val="19"/>
          <w:shd w:val="clear" w:color="auto" w:fill="FFFFFF"/>
        </w:rPr>
        <w:t> tys</w:t>
      </w:r>
      <w:r w:rsidRPr="00516A51" w:rsidR="00B44D67">
        <w:rPr>
          <w:szCs w:val="19"/>
          <w:shd w:val="clear" w:color="auto" w:fill="FFFFFF"/>
        </w:rPr>
        <w:t>.</w:t>
      </w:r>
      <w:r w:rsidRPr="00516A51" w:rsidR="00F21E21">
        <w:rPr>
          <w:szCs w:val="19"/>
          <w:shd w:val="clear" w:color="auto" w:fill="FFFFFF"/>
        </w:rPr>
        <w:t xml:space="preserve"> i </w:t>
      </w:r>
      <w:r w:rsidR="00FB6E52">
        <w:rPr>
          <w:szCs w:val="19"/>
          <w:shd w:val="clear" w:color="auto" w:fill="FFFFFF"/>
        </w:rPr>
        <w:t>8,2</w:t>
      </w:r>
      <w:r w:rsidRPr="00516A51" w:rsidR="00F21E21">
        <w:rPr>
          <w:szCs w:val="19"/>
          <w:shd w:val="clear" w:color="auto" w:fill="FFFFFF"/>
        </w:rPr>
        <w:t xml:space="preserve"> tys</w:t>
      </w:r>
      <w:r w:rsidRPr="00516A51" w:rsidR="00B44D67">
        <w:rPr>
          <w:szCs w:val="19"/>
          <w:shd w:val="clear" w:color="auto" w:fill="FFFFFF"/>
        </w:rPr>
        <w:t>. mieszkań</w:t>
      </w:r>
      <w:r w:rsidRPr="00516A51" w:rsidR="000841CE">
        <w:rPr>
          <w:szCs w:val="19"/>
          <w:shd w:val="clear" w:color="auto" w:fill="FFFFFF"/>
        </w:rPr>
        <w:t xml:space="preserve">), </w:t>
      </w:r>
      <w:r w:rsidRPr="00516A51">
        <w:rPr>
          <w:szCs w:val="19"/>
          <w:shd w:val="clear" w:color="auto" w:fill="FFFFFF"/>
        </w:rPr>
        <w:t>wielkopolski</w:t>
      </w:r>
      <w:r w:rsidRPr="00516A51" w:rsidR="000841CE">
        <w:rPr>
          <w:szCs w:val="19"/>
          <w:shd w:val="clear" w:color="auto" w:fill="FFFFFF"/>
        </w:rPr>
        <w:t>m</w:t>
      </w:r>
      <w:r w:rsidRPr="00516A51" w:rsidR="00F21E21">
        <w:rPr>
          <w:szCs w:val="19"/>
          <w:shd w:val="clear" w:color="auto" w:fill="FFFFFF"/>
        </w:rPr>
        <w:t xml:space="preserve"> (</w:t>
      </w:r>
      <w:r w:rsidR="00FB6E52">
        <w:rPr>
          <w:szCs w:val="19"/>
          <w:shd w:val="clear" w:color="auto" w:fill="FFFFFF"/>
        </w:rPr>
        <w:t>3</w:t>
      </w:r>
      <w:r w:rsidRPr="00516A51">
        <w:rPr>
          <w:szCs w:val="19"/>
          <w:shd w:val="clear" w:color="auto" w:fill="FFFFFF"/>
        </w:rPr>
        <w:t>,6 tys.</w:t>
      </w:r>
      <w:r w:rsidRPr="00516A51" w:rsidR="009327C3">
        <w:rPr>
          <w:szCs w:val="19"/>
          <w:shd w:val="clear" w:color="auto" w:fill="FFFFFF"/>
        </w:rPr>
        <w:t>,</w:t>
      </w:r>
      <w:r w:rsidR="00FB6E52">
        <w:rPr>
          <w:szCs w:val="19"/>
          <w:shd w:val="clear" w:color="auto" w:fill="FFFFFF"/>
        </w:rPr>
        <w:t xml:space="preserve"> 5,6</w:t>
      </w:r>
      <w:r w:rsidRPr="00516A51">
        <w:rPr>
          <w:szCs w:val="19"/>
          <w:shd w:val="clear" w:color="auto" w:fill="FFFFFF"/>
        </w:rPr>
        <w:t xml:space="preserve"> tys.</w:t>
      </w:r>
      <w:r w:rsidR="00A97858">
        <w:rPr>
          <w:szCs w:val="19"/>
          <w:shd w:val="clear" w:color="auto" w:fill="FFFFFF"/>
        </w:rPr>
        <w:t xml:space="preserve"> i 6,5</w:t>
      </w:r>
      <w:r w:rsidRPr="00516A51" w:rsidR="000841CE">
        <w:rPr>
          <w:szCs w:val="19"/>
          <w:shd w:val="clear" w:color="auto" w:fill="FFFFFF"/>
        </w:rPr>
        <w:t xml:space="preserve"> tys.</w:t>
      </w:r>
      <w:r w:rsidRPr="00516A51" w:rsidR="00F21E21">
        <w:rPr>
          <w:szCs w:val="19"/>
          <w:shd w:val="clear" w:color="auto" w:fill="FFFFFF"/>
        </w:rPr>
        <w:t>)</w:t>
      </w:r>
      <w:r w:rsidRPr="00516A51">
        <w:rPr>
          <w:szCs w:val="19"/>
          <w:shd w:val="clear" w:color="auto" w:fill="FFFFFF"/>
        </w:rPr>
        <w:t xml:space="preserve"> </w:t>
      </w:r>
      <w:r w:rsidRPr="00516A51" w:rsidR="00F21E21">
        <w:rPr>
          <w:szCs w:val="19"/>
          <w:shd w:val="clear" w:color="auto" w:fill="FFFFFF"/>
        </w:rPr>
        <w:t xml:space="preserve">oraz </w:t>
      </w:r>
      <w:r w:rsidR="00A97858">
        <w:rPr>
          <w:szCs w:val="19"/>
          <w:shd w:val="clear" w:color="auto" w:fill="FFFFFF"/>
        </w:rPr>
        <w:t>dolnośląskim</w:t>
      </w:r>
      <w:r w:rsidRPr="00516A51">
        <w:rPr>
          <w:szCs w:val="19"/>
          <w:shd w:val="clear" w:color="auto" w:fill="FFFFFF"/>
        </w:rPr>
        <w:t xml:space="preserve"> (</w:t>
      </w:r>
      <w:r w:rsidR="00A97858">
        <w:rPr>
          <w:szCs w:val="19"/>
          <w:shd w:val="clear" w:color="auto" w:fill="FFFFFF"/>
        </w:rPr>
        <w:t>3,3 tys., 4,1</w:t>
      </w:r>
      <w:r w:rsidRPr="00516A51" w:rsidR="000841CE">
        <w:rPr>
          <w:szCs w:val="19"/>
          <w:shd w:val="clear" w:color="auto" w:fill="FFFFFF"/>
        </w:rPr>
        <w:t xml:space="preserve"> tys. i </w:t>
      </w:r>
      <w:r w:rsidR="00A97858">
        <w:rPr>
          <w:szCs w:val="19"/>
          <w:shd w:val="clear" w:color="auto" w:fill="FFFFFF"/>
        </w:rPr>
        <w:t>4,2</w:t>
      </w:r>
      <w:r w:rsidRPr="00516A51">
        <w:rPr>
          <w:szCs w:val="19"/>
          <w:shd w:val="clear" w:color="auto" w:fill="FFFFFF"/>
        </w:rPr>
        <w:t xml:space="preserve"> tys.</w:t>
      </w:r>
      <w:r w:rsidRPr="00516A51" w:rsidR="000841CE">
        <w:rPr>
          <w:szCs w:val="19"/>
          <w:shd w:val="clear" w:color="auto" w:fill="FFFFFF"/>
        </w:rPr>
        <w:t>).</w:t>
      </w:r>
    </w:p>
    <w:p w:rsidR="0034012A" w:rsidP="00781B49" w:rsidRDefault="0034012A" w14:paraId="4D1F74F2" w14:textId="77777777">
      <w:pPr>
        <w:spacing w:line="240" w:lineRule="auto"/>
        <w:rPr>
          <w:szCs w:val="19"/>
          <w:shd w:val="clear" w:color="auto" w:fill="FFFFFF"/>
        </w:rPr>
      </w:pPr>
    </w:p>
    <w:p w:rsidRPr="006E521A" w:rsidR="00785B50" w:rsidP="006E521A" w:rsidRDefault="009E6CF3" w14:paraId="50FA1F4D" w14:textId="4E335294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Pr="006819F3" w:rsidR="003457E4">
        <w:rPr>
          <w:b/>
          <w:sz w:val="18"/>
          <w:szCs w:val="18"/>
        </w:rPr>
        <w:t>Wykres</w:t>
      </w:r>
      <w:r w:rsidRPr="006819F3" w:rsidR="006978FA">
        <w:rPr>
          <w:b/>
          <w:sz w:val="18"/>
          <w:szCs w:val="18"/>
        </w:rPr>
        <w:t xml:space="preserve"> 2. </w:t>
      </w:r>
      <w:r w:rsidRPr="006819F3" w:rsidR="00047CF8">
        <w:rPr>
          <w:b/>
          <w:sz w:val="18"/>
          <w:szCs w:val="18"/>
        </w:rPr>
        <w:t xml:space="preserve">Ruch budowlany w obszarze budownictwa mieszkaniowego </w:t>
      </w:r>
      <w:r w:rsidRPr="006819F3" w:rsidR="006978FA">
        <w:rPr>
          <w:b/>
          <w:sz w:val="18"/>
          <w:szCs w:val="18"/>
        </w:rPr>
        <w:t>według województw</w:t>
      </w:r>
      <w:r w:rsidRPr="006819F3" w:rsidR="00066081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Pr="006819F3" w:rsidR="00066081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Pr="006819F3" w:rsidR="004C6B0B">
        <w:rPr>
          <w:b/>
          <w:sz w:val="18"/>
          <w:szCs w:val="18"/>
        </w:rPr>
        <w:t>czeń</w:t>
      </w:r>
      <w:r w:rsidR="00A97858">
        <w:rPr>
          <w:b/>
          <w:sz w:val="18"/>
          <w:szCs w:val="18"/>
        </w:rPr>
        <w:t>-luty</w:t>
      </w:r>
      <w:r w:rsidRPr="006819F3" w:rsidR="002B6B8F">
        <w:rPr>
          <w:b/>
          <w:sz w:val="18"/>
          <w:szCs w:val="18"/>
        </w:rPr>
        <w:t xml:space="preserve"> </w:t>
      </w:r>
      <w:r w:rsidRPr="006819F3" w:rsidR="004C6B0B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Pr="006819F3" w:rsidR="00047CF8">
        <w:rPr>
          <w:b/>
          <w:sz w:val="18"/>
          <w:szCs w:val="18"/>
        </w:rPr>
        <w:t xml:space="preserve"> r.)</w:t>
      </w:r>
      <w:r w:rsidRPr="006819F3" w:rsidR="00E56DD9">
        <w:rPr>
          <w:b/>
          <w:sz w:val="18"/>
          <w:szCs w:val="18"/>
        </w:rPr>
        <w:t xml:space="preserve"> </w:t>
      </w:r>
    </w:p>
    <w:p w:rsidR="007F2685" w:rsidP="00C77B68" w:rsidRDefault="00C826DE" w14:paraId="4802D170" w14:textId="39D7B2F3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22F8DE75" wp14:editId="4FF27A6B">
            <wp:extent cx="5122545" cy="3513455"/>
            <wp:effectExtent l="0" t="0" r="0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F3AE3" w:rsidP="007D2B64" w:rsidRDefault="00EF3AE3" w14:paraId="08724D98" w14:textId="10A3D635">
      <w:pPr>
        <w:spacing w:before="0" w:after="160" w:line="259" w:lineRule="auto"/>
        <w:rPr>
          <w:shd w:val="clear" w:color="auto" w:fill="FFFFFF"/>
        </w:rPr>
      </w:pPr>
    </w:p>
    <w:p w:rsidRPr="007D2B64" w:rsidR="00487654" w:rsidP="007D2B64" w:rsidRDefault="00487654" w14:paraId="49236BCC" w14:textId="77777777">
      <w:pPr>
        <w:spacing w:before="0" w:after="160" w:line="259" w:lineRule="auto"/>
        <w:rPr>
          <w:shd w:val="clear" w:color="auto" w:fill="FFFFFF"/>
        </w:rPr>
      </w:pPr>
    </w:p>
    <w:p w:rsidRPr="007D2B64" w:rsidR="00724458" w:rsidP="007D2B64" w:rsidRDefault="007D2B64" w14:paraId="23CEA485" w14:textId="718F7C6F">
      <w:pPr>
        <w:spacing w:before="0" w:after="160" w:line="259" w:lineRule="auto"/>
        <w:rPr>
          <w:shd w:val="clear" w:color="auto" w:fill="FFFFFF"/>
        </w:rPr>
        <w:sectPr w:rsidRPr="007D2B64" w:rsidR="00724458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:rsidRPr="00033D0D" w:rsidR="0021268C" w:rsidP="0046503D" w:rsidRDefault="0021268C" w14:paraId="268FA71D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78416C" w:rsidR="0021268C" w:rsidTr="002A3243" w14:paraId="2DFB0350" w14:textId="77777777">
        <w:trPr>
          <w:trHeight w:val="1912"/>
        </w:trPr>
        <w:tc>
          <w:tcPr>
            <w:tcW w:w="4379" w:type="dxa"/>
          </w:tcPr>
          <w:p w:rsidRPr="008F3638" w:rsidR="0021268C" w:rsidP="002A3243" w:rsidRDefault="0021268C" w14:paraId="700ACAB7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Pr="00AD2D79" w:rsidR="0021268C" w:rsidP="002A3243" w:rsidRDefault="00750A83" w14:paraId="690FBDBF" w14:textId="758706E8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:rsidRPr="00AD2D79" w:rsidR="0021268C" w:rsidP="002A3243" w:rsidRDefault="00F3738B" w14:paraId="1BEF3E8D" w14:textId="7AB21E4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:rsidRPr="0021268C" w:rsidR="0021268C" w:rsidP="002A3243" w:rsidRDefault="0021268C" w14:paraId="443F6BDB" w14:textId="4C7749E5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:rsidRPr="0021268C" w:rsidR="0021268C" w:rsidP="002A3243" w:rsidRDefault="0021268C" w14:paraId="50199915" w14:textId="175AA40B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Pr="008F3638" w:rsidR="0021268C" w:rsidP="002A3243" w:rsidRDefault="0021268C" w14:paraId="0112A362" w14:textId="7777777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Pr="008F3638" w:rsidR="0021268C" w:rsidP="002A3243" w:rsidRDefault="0021268C" w14:paraId="43129788" w14:textId="699A04E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Pr="008F3638" w:rsidR="0021268C" w:rsidP="002A3243" w:rsidRDefault="0078416C" w14:paraId="3B4C0756" w14:textId="733E0050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:rsidRPr="008F3638" w:rsidR="0021268C" w:rsidP="002A3243" w:rsidRDefault="0021268C" w14:paraId="6EC245C2" w14:textId="0B54094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21268C" w:rsidR="0021268C" w:rsidP="0046503D" w:rsidRDefault="0021268C" w14:paraId="11BAD3D4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 w14:paraId="252DBE0E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91687" w:rsidR="0021268C" w:rsidP="002A3243" w:rsidRDefault="0021268C" w14:paraId="475D3598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21268C" w:rsidP="002A3243" w:rsidRDefault="0021268C" w14:paraId="5DDDF04B" w14:textId="194E52D6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:rsidRPr="00E8566C" w:rsidR="0021268C" w:rsidP="002A3243" w:rsidRDefault="0021268C" w14:paraId="2658528D" w14:textId="77777777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w:history="1" r:id="rId18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E8566C" w:rsidR="0021268C" w:rsidP="002A3243" w:rsidRDefault="0021268C" w14:paraId="2563B4E1" w14:textId="77777777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editId="631653D4" wp14:anchorId="753DE8B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P="002A3243" w:rsidRDefault="0021268C" w14:paraId="7D1EE46A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 w14:paraId="2DC875A6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66E0E930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5D5EC8ED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editId="520F0CEA" wp14:anchorId="6A9ADCA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184F1AEB" w14:textId="77777777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 w14:paraId="0FD9E200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="0021268C" w:rsidP="002A3243" w:rsidRDefault="0021268C" w14:paraId="7E5637B2" w14:textId="7777777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P="002A3243" w:rsidRDefault="0021268C" w14:paraId="4CA39210" w14:textId="77777777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editId="17E66E85" wp14:anchorId="266F53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P="002A3243" w:rsidRDefault="0021268C" w14:paraId="3A2746F4" w14:textId="77777777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Pr="0021268C" w:rsidR="0021268C" w:rsidP="0046503D" w:rsidRDefault="0021268C" w14:paraId="34BFC7EF" w14:textId="77777777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editId="4D8EDE76" wp14:anchorId="7E2AB3A9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P="0021268C" w:rsidRDefault="004862B6" w14:paraId="77AAD0C7" w14:textId="77777777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Pr="00597DE4" w:rsidR="004862B6" w:rsidP="00AB6D25" w:rsidRDefault="004862B6" w14:paraId="6F185AD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Pr="00D2518C" w:rsidR="001F3686" w:rsidP="00AB6D25" w:rsidRDefault="00292177" w14:paraId="14624114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1F368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Pr="00D2518C" w:rsidR="001F3686" w:rsidP="00AB6D25" w:rsidRDefault="00292177" w14:paraId="186754B0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D2518C" w:rsidR="00642C4B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D2518C" w:rsidR="00EA6B9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Pr="00D2518C" w:rsidR="00642C4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:rsidRPr="00D2518C" w:rsidR="00707935" w:rsidP="00AB6D25" w:rsidRDefault="00292177" w14:paraId="4F28B529" w14:textId="491CA47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2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:rsidR="00707935" w:rsidP="00AB6D25" w:rsidRDefault="008B4600" w14:paraId="67BABBD6" w14:textId="0B8C8B4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3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:rsidRPr="00D2518C" w:rsidR="00D650EB" w:rsidP="00AB6D25" w:rsidRDefault="00D650EB" w14:paraId="01C4E7B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Pr="00597DE4" w:rsidR="00707935" w:rsidP="00AB6D25" w:rsidRDefault="00707935" w14:paraId="79F9612A" w14:textId="77777777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:rsidRPr="00D2518C" w:rsidR="00C96F23" w:rsidP="00AB6D25" w:rsidRDefault="008B4600" w14:paraId="6F118FBA" w14:textId="77777777">
                            <w:pPr>
                              <w:rPr>
                                <w:color w:val="001D77"/>
                              </w:rPr>
                            </w:pPr>
                            <w:hyperlink w:history="1" r:id="rId24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Pr="00D2518C" w:rsidR="004862B6" w:rsidP="00AB6D25" w:rsidRDefault="008B4600" w14:paraId="0FC3D313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5">
                              <w:r w:rsidRPr="00D2518C" w:rsidR="004862B6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Pr="00920799" w:rsidR="004862B6" w:rsidP="00AB6D25" w:rsidRDefault="008B4600" w14:paraId="66854728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6">
                              <w:r w:rsidRPr="00D2518C" w:rsidR="004862B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Pr="00920799" w:rsidR="00D650EB" w:rsidP="00AB6D25" w:rsidRDefault="00D650EB" w14:paraId="2207BFC5" w14:textId="77777777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:rsidRPr="00597DE4" w:rsidR="004862B6" w:rsidP="00AB6D25" w:rsidRDefault="004862B6" w14:paraId="1E54B42C" w14:textId="77777777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Pr="00920799" w:rsidR="004862B6" w:rsidP="00AB6D25" w:rsidRDefault="00920799" w14:paraId="3290BA07" w14:textId="5447FB7F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20799" w:rsidR="004862B6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:rsidRPr="00D2518C" w:rsidR="004862B6" w:rsidP="00AB6D25" w:rsidRDefault="00920799" w14:paraId="753D614D" w14:textId="35CCEEA9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w:history="1" r:id="rId27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Pr="00D2518C" w:rsidR="004862B6" w:rsidP="00AB6D25" w:rsidRDefault="008B4600" w14:paraId="4ECAC11B" w14:textId="77777777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w:history="1" r:id="rId28">
                              <w:r w:rsidRPr="00D2518C" w:rsidR="004862B6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Pr="003B6350" w:rsidR="004862B6" w:rsidP="00AB6D25" w:rsidRDefault="004862B6" w14:paraId="535F05A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w14:anchorId="7E2AB3A9">
                <v:textbox>
                  <w:txbxContent>
                    <w:p w:rsidR="004862B6" w:rsidP="0021268C" w:rsidRDefault="004862B6" w14:paraId="77AAD0C7" w14:textId="77777777">
                      <w:pPr>
                        <w:ind w:left="-284"/>
                        <w:rPr>
                          <w:b/>
                        </w:rPr>
                      </w:pPr>
                    </w:p>
                    <w:p w:rsidRPr="00597DE4" w:rsidR="004862B6" w:rsidP="00AB6D25" w:rsidRDefault="004862B6" w14:paraId="6F185AD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Pr="00D2518C" w:rsidR="001F3686" w:rsidP="00AB6D25" w:rsidRDefault="00292177" w14:paraId="14624114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1F368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Pr="00D2518C" w:rsidR="001F3686" w:rsidP="00AB6D25" w:rsidRDefault="00292177" w14:paraId="186754B0" w14:textId="77777777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D2518C" w:rsidR="00642C4B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D2518C" w:rsidR="00EA6B91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Pr="00D2518C" w:rsidR="00642C4B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Pr="00D2518C" w:rsidR="00707935" w:rsidP="00AB6D25" w:rsidRDefault="00292177" w14:paraId="4F28B529" w14:textId="491CA47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29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:rsidR="00707935" w:rsidP="00AB6D25" w:rsidRDefault="008C453D" w14:paraId="67BABBD6" w14:textId="0B8C8B4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w:history="1" r:id="rId30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:rsidRPr="00D2518C" w:rsidR="00D650EB" w:rsidP="00AB6D25" w:rsidRDefault="00D650EB" w14:paraId="01C4E7B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Pr="00597DE4" w:rsidR="00707935" w:rsidP="00AB6D25" w:rsidRDefault="00707935" w14:paraId="79F9612A" w14:textId="77777777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:rsidRPr="00D2518C" w:rsidR="00C96F23" w:rsidP="00AB6D25" w:rsidRDefault="008C453D" w14:paraId="6F118FBA" w14:textId="77777777">
                      <w:pPr>
                        <w:rPr>
                          <w:color w:val="001D77"/>
                        </w:rPr>
                      </w:pPr>
                      <w:hyperlink w:history="1" r:id="rId31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Pr="00D2518C" w:rsidR="004862B6" w:rsidP="00AB6D25" w:rsidRDefault="008C453D" w14:paraId="0FC3D313" w14:textId="7777777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w:history="1" r:id="rId32">
                        <w:r w:rsidRPr="00D2518C" w:rsidR="004862B6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Pr="00920799" w:rsidR="004862B6" w:rsidP="00AB6D25" w:rsidRDefault="008C453D" w14:paraId="66854728" w14:textId="77777777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w:history="1" r:id="rId33">
                        <w:r w:rsidRPr="00D2518C" w:rsidR="004862B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Pr="00920799" w:rsidR="00D650EB" w:rsidP="00AB6D25" w:rsidRDefault="00D650EB" w14:paraId="2207BFC5" w14:textId="77777777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:rsidRPr="00597DE4" w:rsidR="004862B6" w:rsidP="00AB6D25" w:rsidRDefault="004862B6" w14:paraId="1E54B42C" w14:textId="77777777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Pr="00920799" w:rsidR="004862B6" w:rsidP="00AB6D25" w:rsidRDefault="00920799" w14:paraId="3290BA07" w14:textId="5447FB7F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920799" w:rsidR="004862B6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:rsidRPr="00D2518C" w:rsidR="004862B6" w:rsidP="00AB6D25" w:rsidRDefault="00920799" w14:paraId="753D614D" w14:textId="35CCEEA9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w:history="1" r:id="rId34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Pr="00D2518C" w:rsidR="004862B6" w:rsidP="00AB6D25" w:rsidRDefault="008C453D" w14:paraId="4ECAC11B" w14:textId="77777777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w:history="1" r:id="rId35">
                        <w:r w:rsidRPr="00D2518C" w:rsidR="004862B6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Pr="003B6350" w:rsidR="004862B6" w:rsidP="00AB6D25" w:rsidRDefault="004862B6" w14:paraId="535F05A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21268C" w:rsidR="0021268C" w:rsidP="0046503D" w:rsidRDefault="0021268C" w14:paraId="3C65DC90" w14:textId="77777777">
      <w:pPr>
        <w:rPr>
          <w:sz w:val="18"/>
          <w:lang w:val="en-US"/>
        </w:rPr>
      </w:pPr>
    </w:p>
    <w:p w:rsidR="00353289" w:rsidP="00353289" w:rsidRDefault="00353289" w14:paraId="7A7687C8" w14:textId="77777777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:rsidRPr="00001C5B" w:rsidR="00D261A2" w:rsidP="0046503D" w:rsidRDefault="00D261A2" w14:paraId="55F25FFA" w14:textId="77777777">
      <w:pPr>
        <w:rPr>
          <w:sz w:val="18"/>
        </w:rPr>
      </w:pPr>
    </w:p>
    <w:sectPr w:rsidRPr="00001C5B" w:rsidR="00D261A2" w:rsidSect="00AE4F99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B56E3" w14:textId="77777777" w:rsidR="008B4600" w:rsidRDefault="008B4600" w:rsidP="000662E2">
      <w:pPr>
        <w:spacing w:after="0" w:line="240" w:lineRule="auto"/>
      </w:pPr>
      <w:r>
        <w:separator/>
      </w:r>
    </w:p>
  </w:endnote>
  <w:endnote w:type="continuationSeparator" w:id="0">
    <w:p w14:paraId="4E032757" w14:textId="77777777" w:rsidR="008B4600" w:rsidRDefault="008B46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26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2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4E3F1" w14:textId="77777777" w:rsidR="008B4600" w:rsidRDefault="008B4600" w:rsidP="000662E2">
      <w:pPr>
        <w:spacing w:after="0" w:line="240" w:lineRule="auto"/>
      </w:pPr>
      <w:r>
        <w:separator/>
      </w:r>
    </w:p>
  </w:footnote>
  <w:footnote w:type="continuationSeparator" w:id="0">
    <w:p w14:paraId="422B1F1A" w14:textId="77777777" w:rsidR="008B4600" w:rsidRDefault="008B4600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C456FF1" w:rsidR="00112A4D" w:rsidRPr="00C97596" w:rsidRDefault="00C826DE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19.03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1C456FF1" w:rsidR="00112A4D" w:rsidRPr="00C97596" w:rsidRDefault="00C826DE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19.03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3.5pt;height:130.5pt;visibility:visible;mso-wrap-style:square" o:bullet="t">
        <v:imagedata r:id="rId1" o:title=""/>
      </v:shape>
    </w:pict>
  </w:numPicBullet>
  <w:numPicBullet w:numPicBulletId="1">
    <w:pict>
      <v:shape id="_x0000_i1042" type="#_x0000_t75" style="width:123.5pt;height:130.5pt;visibility:visible;mso-wrap-style:square" o:bullet="t">
        <v:imagedata r:id="rId2" o:title=""/>
      </v:shape>
    </w:pict>
  </w:numPicBullet>
  <w:numPicBullet w:numPicBulletId="2">
    <w:pict>
      <v:shape id="_x0000_i1043" type="#_x0000_t75" style="width:36.5pt;height:36.5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82E"/>
    <w:rsid w:val="00046FF5"/>
    <w:rsid w:val="000470AA"/>
    <w:rsid w:val="00047CF8"/>
    <w:rsid w:val="000502F4"/>
    <w:rsid w:val="0005122F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12F7"/>
    <w:rsid w:val="00061AF4"/>
    <w:rsid w:val="00061DAF"/>
    <w:rsid w:val="000633E3"/>
    <w:rsid w:val="00064209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C1B"/>
    <w:rsid w:val="000841CE"/>
    <w:rsid w:val="00084531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A05"/>
    <w:rsid w:val="00096C8E"/>
    <w:rsid w:val="000A09E4"/>
    <w:rsid w:val="000A1172"/>
    <w:rsid w:val="000A32CE"/>
    <w:rsid w:val="000A39FD"/>
    <w:rsid w:val="000A3ACF"/>
    <w:rsid w:val="000A4C12"/>
    <w:rsid w:val="000A4E2A"/>
    <w:rsid w:val="000A69A5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4FBB"/>
    <w:rsid w:val="000C6E2B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E0918"/>
    <w:rsid w:val="000E2DE4"/>
    <w:rsid w:val="000E38FB"/>
    <w:rsid w:val="000E4BBC"/>
    <w:rsid w:val="000F0212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367"/>
    <w:rsid w:val="00123853"/>
    <w:rsid w:val="00124659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5380"/>
    <w:rsid w:val="001753B5"/>
    <w:rsid w:val="00175AE8"/>
    <w:rsid w:val="001763BB"/>
    <w:rsid w:val="00177121"/>
    <w:rsid w:val="0017779B"/>
    <w:rsid w:val="001778B8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FF0"/>
    <w:rsid w:val="001C4D72"/>
    <w:rsid w:val="001C749E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12CF"/>
    <w:rsid w:val="001E307A"/>
    <w:rsid w:val="001E475A"/>
    <w:rsid w:val="001E482E"/>
    <w:rsid w:val="001E502E"/>
    <w:rsid w:val="001E63C5"/>
    <w:rsid w:val="001E7919"/>
    <w:rsid w:val="001F2005"/>
    <w:rsid w:val="001F23B3"/>
    <w:rsid w:val="001F31BD"/>
    <w:rsid w:val="001F3686"/>
    <w:rsid w:val="001F5E14"/>
    <w:rsid w:val="001F649C"/>
    <w:rsid w:val="001F6CD0"/>
    <w:rsid w:val="0020139E"/>
    <w:rsid w:val="00201663"/>
    <w:rsid w:val="00202E71"/>
    <w:rsid w:val="00204447"/>
    <w:rsid w:val="002056B1"/>
    <w:rsid w:val="00207360"/>
    <w:rsid w:val="00210A6F"/>
    <w:rsid w:val="00212664"/>
    <w:rsid w:val="0021268C"/>
    <w:rsid w:val="00213A0A"/>
    <w:rsid w:val="00213DF1"/>
    <w:rsid w:val="00215477"/>
    <w:rsid w:val="00215B0B"/>
    <w:rsid w:val="00216F21"/>
    <w:rsid w:val="002173E8"/>
    <w:rsid w:val="00217D5E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811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AC4"/>
    <w:rsid w:val="002D1DA5"/>
    <w:rsid w:val="002D2ECD"/>
    <w:rsid w:val="002D36F4"/>
    <w:rsid w:val="002D3ABF"/>
    <w:rsid w:val="002D3D88"/>
    <w:rsid w:val="002D51CC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D62"/>
    <w:rsid w:val="002F76B7"/>
    <w:rsid w:val="002F77C8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2EDD"/>
    <w:rsid w:val="003231A1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F22"/>
    <w:rsid w:val="00351E31"/>
    <w:rsid w:val="00352354"/>
    <w:rsid w:val="003523EB"/>
    <w:rsid w:val="003531A5"/>
    <w:rsid w:val="00353289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1105"/>
    <w:rsid w:val="003B1454"/>
    <w:rsid w:val="003B2A09"/>
    <w:rsid w:val="003B2DB6"/>
    <w:rsid w:val="003B40D7"/>
    <w:rsid w:val="003B6350"/>
    <w:rsid w:val="003B6AEB"/>
    <w:rsid w:val="003B6BE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D0B5F"/>
    <w:rsid w:val="003D0F50"/>
    <w:rsid w:val="003D1203"/>
    <w:rsid w:val="003D35DC"/>
    <w:rsid w:val="003D3C6E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FE6"/>
    <w:rsid w:val="00400193"/>
    <w:rsid w:val="00400B65"/>
    <w:rsid w:val="00401DB3"/>
    <w:rsid w:val="00403557"/>
    <w:rsid w:val="0040648A"/>
    <w:rsid w:val="0040743E"/>
    <w:rsid w:val="004075A5"/>
    <w:rsid w:val="00407BCB"/>
    <w:rsid w:val="004107A5"/>
    <w:rsid w:val="00410E71"/>
    <w:rsid w:val="0041140C"/>
    <w:rsid w:val="004118C3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87654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7C1"/>
    <w:rsid w:val="004A284F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2A2C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203F1"/>
    <w:rsid w:val="005206F5"/>
    <w:rsid w:val="00520DD1"/>
    <w:rsid w:val="00521799"/>
    <w:rsid w:val="00521BC3"/>
    <w:rsid w:val="0052296C"/>
    <w:rsid w:val="005241EA"/>
    <w:rsid w:val="0052510F"/>
    <w:rsid w:val="0052540D"/>
    <w:rsid w:val="00525CAC"/>
    <w:rsid w:val="00525FB7"/>
    <w:rsid w:val="00526668"/>
    <w:rsid w:val="00527E6B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5630"/>
    <w:rsid w:val="0058583A"/>
    <w:rsid w:val="00585D7F"/>
    <w:rsid w:val="005861A1"/>
    <w:rsid w:val="00590BB1"/>
    <w:rsid w:val="005916D7"/>
    <w:rsid w:val="00591FDF"/>
    <w:rsid w:val="005921E2"/>
    <w:rsid w:val="00593FB5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B0177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3108"/>
    <w:rsid w:val="005E4173"/>
    <w:rsid w:val="005E438B"/>
    <w:rsid w:val="005E48B2"/>
    <w:rsid w:val="005E4E00"/>
    <w:rsid w:val="005E55FE"/>
    <w:rsid w:val="005E589D"/>
    <w:rsid w:val="005E7488"/>
    <w:rsid w:val="005F0076"/>
    <w:rsid w:val="005F2444"/>
    <w:rsid w:val="005F302D"/>
    <w:rsid w:val="005F386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7CC5"/>
    <w:rsid w:val="006102AA"/>
    <w:rsid w:val="00610DCD"/>
    <w:rsid w:val="00611511"/>
    <w:rsid w:val="00612D21"/>
    <w:rsid w:val="0061381A"/>
    <w:rsid w:val="00613ECD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401D6"/>
    <w:rsid w:val="00640585"/>
    <w:rsid w:val="0064083A"/>
    <w:rsid w:val="00641AB4"/>
    <w:rsid w:val="00642C4B"/>
    <w:rsid w:val="00644709"/>
    <w:rsid w:val="00645566"/>
    <w:rsid w:val="006469F7"/>
    <w:rsid w:val="00646D6F"/>
    <w:rsid w:val="00650D4C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C33EC"/>
    <w:rsid w:val="006C4AF3"/>
    <w:rsid w:val="006C4BEC"/>
    <w:rsid w:val="006C5216"/>
    <w:rsid w:val="006C5480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42C2"/>
    <w:rsid w:val="00724458"/>
    <w:rsid w:val="00724FB4"/>
    <w:rsid w:val="007317DF"/>
    <w:rsid w:val="00732D48"/>
    <w:rsid w:val="0073330A"/>
    <w:rsid w:val="00734924"/>
    <w:rsid w:val="00735E92"/>
    <w:rsid w:val="00737DCC"/>
    <w:rsid w:val="00737E09"/>
    <w:rsid w:val="00741554"/>
    <w:rsid w:val="00743232"/>
    <w:rsid w:val="00743BDF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FB"/>
    <w:rsid w:val="007845A9"/>
    <w:rsid w:val="00784CBD"/>
    <w:rsid w:val="00785B50"/>
    <w:rsid w:val="00786124"/>
    <w:rsid w:val="00786B8A"/>
    <w:rsid w:val="00790113"/>
    <w:rsid w:val="007904A3"/>
    <w:rsid w:val="00790C96"/>
    <w:rsid w:val="00791114"/>
    <w:rsid w:val="00792040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41A9"/>
    <w:rsid w:val="007A510F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78D0"/>
    <w:rsid w:val="007C043F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16AE"/>
    <w:rsid w:val="00802022"/>
    <w:rsid w:val="00802E60"/>
    <w:rsid w:val="00803EAA"/>
    <w:rsid w:val="0080468E"/>
    <w:rsid w:val="00804C67"/>
    <w:rsid w:val="0080553C"/>
    <w:rsid w:val="00805B46"/>
    <w:rsid w:val="00810E8D"/>
    <w:rsid w:val="00811ECD"/>
    <w:rsid w:val="00812940"/>
    <w:rsid w:val="00813EEE"/>
    <w:rsid w:val="00816DE1"/>
    <w:rsid w:val="00820114"/>
    <w:rsid w:val="00820A18"/>
    <w:rsid w:val="008211DF"/>
    <w:rsid w:val="00825DC2"/>
    <w:rsid w:val="008263B6"/>
    <w:rsid w:val="00830DEC"/>
    <w:rsid w:val="00832419"/>
    <w:rsid w:val="00833D4E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6E9E"/>
    <w:rsid w:val="00847F0F"/>
    <w:rsid w:val="008500B1"/>
    <w:rsid w:val="008522FC"/>
    <w:rsid w:val="00852448"/>
    <w:rsid w:val="0085344B"/>
    <w:rsid w:val="00853635"/>
    <w:rsid w:val="008537F9"/>
    <w:rsid w:val="00854A38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48D6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D9B"/>
    <w:rsid w:val="00885575"/>
    <w:rsid w:val="00886332"/>
    <w:rsid w:val="00886D2F"/>
    <w:rsid w:val="00887209"/>
    <w:rsid w:val="00887F70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F2"/>
    <w:rsid w:val="008D3F85"/>
    <w:rsid w:val="008D561B"/>
    <w:rsid w:val="008D5D1D"/>
    <w:rsid w:val="008D6413"/>
    <w:rsid w:val="008E0933"/>
    <w:rsid w:val="008E0E06"/>
    <w:rsid w:val="008E3818"/>
    <w:rsid w:val="008E5DEB"/>
    <w:rsid w:val="008E6F47"/>
    <w:rsid w:val="008E7B19"/>
    <w:rsid w:val="008F04DA"/>
    <w:rsid w:val="008F0617"/>
    <w:rsid w:val="008F194E"/>
    <w:rsid w:val="008F1C42"/>
    <w:rsid w:val="008F2D53"/>
    <w:rsid w:val="008F3638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447F"/>
    <w:rsid w:val="00975725"/>
    <w:rsid w:val="0097614E"/>
    <w:rsid w:val="00976CEE"/>
    <w:rsid w:val="00977927"/>
    <w:rsid w:val="0098037C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454D"/>
    <w:rsid w:val="009C465A"/>
    <w:rsid w:val="009C494F"/>
    <w:rsid w:val="009C5934"/>
    <w:rsid w:val="009C7028"/>
    <w:rsid w:val="009C7251"/>
    <w:rsid w:val="009C7FE3"/>
    <w:rsid w:val="009D258B"/>
    <w:rsid w:val="009D264A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766"/>
    <w:rsid w:val="009E6CF3"/>
    <w:rsid w:val="009F0127"/>
    <w:rsid w:val="009F059D"/>
    <w:rsid w:val="009F0AF2"/>
    <w:rsid w:val="009F16E7"/>
    <w:rsid w:val="009F1C77"/>
    <w:rsid w:val="009F4321"/>
    <w:rsid w:val="009F46D4"/>
    <w:rsid w:val="009F4F41"/>
    <w:rsid w:val="009F6602"/>
    <w:rsid w:val="009F66F2"/>
    <w:rsid w:val="009F686F"/>
    <w:rsid w:val="00A00674"/>
    <w:rsid w:val="00A016A5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26AC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8065E"/>
    <w:rsid w:val="00A80EF8"/>
    <w:rsid w:val="00A810F9"/>
    <w:rsid w:val="00A82472"/>
    <w:rsid w:val="00A83185"/>
    <w:rsid w:val="00A846D6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7858"/>
    <w:rsid w:val="00AA05AC"/>
    <w:rsid w:val="00AA087A"/>
    <w:rsid w:val="00AA0C5D"/>
    <w:rsid w:val="00AA104D"/>
    <w:rsid w:val="00AA3EB6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5CD6"/>
    <w:rsid w:val="00AC7B3C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6719"/>
    <w:rsid w:val="00AF7709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88F"/>
    <w:rsid w:val="00B515B3"/>
    <w:rsid w:val="00B5543C"/>
    <w:rsid w:val="00B5588D"/>
    <w:rsid w:val="00B55974"/>
    <w:rsid w:val="00B55F47"/>
    <w:rsid w:val="00B5604A"/>
    <w:rsid w:val="00B5620D"/>
    <w:rsid w:val="00B57004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661E"/>
    <w:rsid w:val="00BB0DB0"/>
    <w:rsid w:val="00BB32C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44B6"/>
    <w:rsid w:val="00C25C80"/>
    <w:rsid w:val="00C27BE5"/>
    <w:rsid w:val="00C30249"/>
    <w:rsid w:val="00C30545"/>
    <w:rsid w:val="00C30964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C43"/>
    <w:rsid w:val="00C47820"/>
    <w:rsid w:val="00C47966"/>
    <w:rsid w:val="00C51E88"/>
    <w:rsid w:val="00C52C74"/>
    <w:rsid w:val="00C53DDF"/>
    <w:rsid w:val="00C5434F"/>
    <w:rsid w:val="00C561ED"/>
    <w:rsid w:val="00C56B6F"/>
    <w:rsid w:val="00C61781"/>
    <w:rsid w:val="00C62034"/>
    <w:rsid w:val="00C6451F"/>
    <w:rsid w:val="00C64A37"/>
    <w:rsid w:val="00C6552F"/>
    <w:rsid w:val="00C67295"/>
    <w:rsid w:val="00C70A2F"/>
    <w:rsid w:val="00C70DC6"/>
    <w:rsid w:val="00C71109"/>
    <w:rsid w:val="00C7158E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CCD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10BC3"/>
    <w:rsid w:val="00D10E44"/>
    <w:rsid w:val="00D110E3"/>
    <w:rsid w:val="00D115FF"/>
    <w:rsid w:val="00D12F51"/>
    <w:rsid w:val="00D1348A"/>
    <w:rsid w:val="00D134DD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20C8"/>
    <w:rsid w:val="00D4256C"/>
    <w:rsid w:val="00D45A80"/>
    <w:rsid w:val="00D463B3"/>
    <w:rsid w:val="00D467D8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DC7"/>
    <w:rsid w:val="00D70EF7"/>
    <w:rsid w:val="00D71C1A"/>
    <w:rsid w:val="00D7350E"/>
    <w:rsid w:val="00D743FA"/>
    <w:rsid w:val="00D74578"/>
    <w:rsid w:val="00D766FB"/>
    <w:rsid w:val="00D77B37"/>
    <w:rsid w:val="00D8024A"/>
    <w:rsid w:val="00D8059B"/>
    <w:rsid w:val="00D82104"/>
    <w:rsid w:val="00D8211E"/>
    <w:rsid w:val="00D822F5"/>
    <w:rsid w:val="00D8397C"/>
    <w:rsid w:val="00D83BC5"/>
    <w:rsid w:val="00D83D00"/>
    <w:rsid w:val="00D84B34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5244"/>
    <w:rsid w:val="00DA6703"/>
    <w:rsid w:val="00DA6F71"/>
    <w:rsid w:val="00DA7C1C"/>
    <w:rsid w:val="00DB07AE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102B7"/>
    <w:rsid w:val="00E14240"/>
    <w:rsid w:val="00E14394"/>
    <w:rsid w:val="00E15A67"/>
    <w:rsid w:val="00E15BEF"/>
    <w:rsid w:val="00E174B2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EEF"/>
    <w:rsid w:val="00E35357"/>
    <w:rsid w:val="00E36CE3"/>
    <w:rsid w:val="00E3705B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3AE3"/>
    <w:rsid w:val="00EF4EF9"/>
    <w:rsid w:val="00EF6B0F"/>
    <w:rsid w:val="00EF7576"/>
    <w:rsid w:val="00EF75BE"/>
    <w:rsid w:val="00F000CA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6543"/>
    <w:rsid w:val="00F17D27"/>
    <w:rsid w:val="00F206B3"/>
    <w:rsid w:val="00F208A9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1606"/>
    <w:rsid w:val="00F9379A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58A3"/>
    <w:rsid w:val="00FB5906"/>
    <w:rsid w:val="00FB5F63"/>
    <w:rsid w:val="00FB6E52"/>
    <w:rsid w:val="00FB762F"/>
    <w:rsid w:val="00FC0BA6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58AC"/>
    <w:rsid w:val="00FD5C59"/>
    <w:rsid w:val="00FD5EA7"/>
    <w:rsid w:val="00FD5F18"/>
    <w:rsid w:val="00FD633E"/>
    <w:rsid w:val="00FD7636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21" Type="http://schemas.openxmlformats.org/officeDocument/2006/relationships/image" Target="media/image8.png"/><Relationship Id="rId34" Type="http://schemas.openxmlformats.org/officeDocument/2006/relationships/hyperlink" Target="http://stat.gov.pl/metainformacje/slownik-pojec/pojecia-stosowane-w-statystyce-publicznej/945,pojecie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://stat.gov.pl/obszary-tematyczne/przemysl-budownictwo-srodki-trwale/budownictwo/publikacja,3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://swaid.stat.gov.pl/Budownictwo_dashboards/Raporty_predefiniowane/RAP_DBD_BUD_9.aspx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eader" Target="header3.xm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waid.stat.gov.pl/Budownictwo_dashboards/Raporty_predefiniowane/RAP_DBD_BUD_7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0" Type="http://schemas.openxmlformats.org/officeDocument/2006/relationships/hyperlink" Target="https://stat.gov.pl/obszary-tematyczne/przemysl-budownictwo-srodki-trwale/budownictwo/publikacja,13.html" TargetMode="External"/><Relationship Id="rId35" Type="http://schemas.openxmlformats.org/officeDocument/2006/relationships/hyperlink" Target="http://stat.gov.pl/metainformacje/slownik-pojec/pojecia-stosowane-w-statystyce-publicznej/20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5761296545258674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Arkusz1!$B$4:$AY$4</c:f>
              <c:numCache>
                <c:formatCode>General</c:formatCode>
                <c:ptCount val="50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21044</c:v>
                </c:pt>
                <c:pt idx="46">
                  <c:v>20560</c:v>
                </c:pt>
                <c:pt idx="47">
                  <c:v>22843</c:v>
                </c:pt>
                <c:pt idx="48" formatCode="#,##0">
                  <c:v>17131</c:v>
                </c:pt>
                <c:pt idx="49" formatCode="#,##0">
                  <c:v>16723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Arkusz1!$B$16:$AY$16</c:f>
              <c:numCache>
                <c:formatCode>General</c:formatCode>
                <c:ptCount val="50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23290</c:v>
                </c:pt>
                <c:pt idx="49" formatCode="#,##0">
                  <c:v>27179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Arkusz1!$B$2:$AY$3</c:f>
              <c:multiLvlStrCache>
                <c:ptCount val="5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Arkusz1!$B$10:$AY$10</c:f>
              <c:numCache>
                <c:formatCode>General</c:formatCode>
                <c:ptCount val="50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462304"/>
        <c:axId val="39463392"/>
      </c:lineChart>
      <c:catAx>
        <c:axId val="3946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94633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9463392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946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066750023669875E-2"/>
          <c:y val="0.86897051192383179"/>
          <c:w val="0.82467972462906636"/>
          <c:h val="0.110277328720265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7.901597995616122E-2"/>
          <c:w val="0.78147912136044484"/>
          <c:h val="0.68313811581452155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Kujawsko-pomorskie</c:v>
                </c:pt>
                <c:pt idx="6">
                  <c:v>Zachodniopomorskie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Małopolskie</c:v>
                </c:pt>
                <c:pt idx="12">
                  <c:v>Pomorskie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456</c:v>
                </c:pt>
                <c:pt idx="1">
                  <c:v>836</c:v>
                </c:pt>
                <c:pt idx="2">
                  <c:v>788</c:v>
                </c:pt>
                <c:pt idx="3">
                  <c:v>969</c:v>
                </c:pt>
                <c:pt idx="4">
                  <c:v>313</c:v>
                </c:pt>
                <c:pt idx="5">
                  <c:v>1534</c:v>
                </c:pt>
                <c:pt idx="6">
                  <c:v>1059</c:v>
                </c:pt>
                <c:pt idx="7">
                  <c:v>1821</c:v>
                </c:pt>
                <c:pt idx="8">
                  <c:v>1753</c:v>
                </c:pt>
                <c:pt idx="9">
                  <c:v>1399</c:v>
                </c:pt>
                <c:pt idx="10">
                  <c:v>2422</c:v>
                </c:pt>
                <c:pt idx="11">
                  <c:v>2898</c:v>
                </c:pt>
                <c:pt idx="12">
                  <c:v>2560</c:v>
                </c:pt>
                <c:pt idx="13">
                  <c:v>4126</c:v>
                </c:pt>
                <c:pt idx="14">
                  <c:v>5568</c:v>
                </c:pt>
                <c:pt idx="15">
                  <c:v>5033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Kujawsko-pomorskie</c:v>
                </c:pt>
                <c:pt idx="6">
                  <c:v>Zachodniopomorskie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Małopolskie</c:v>
                </c:pt>
                <c:pt idx="12">
                  <c:v>Pomorskie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605</c:v>
                </c:pt>
                <c:pt idx="1">
                  <c:v>703</c:v>
                </c:pt>
                <c:pt idx="2">
                  <c:v>1575</c:v>
                </c:pt>
                <c:pt idx="3">
                  <c:v>1604</c:v>
                </c:pt>
                <c:pt idx="4">
                  <c:v>862</c:v>
                </c:pt>
                <c:pt idx="5">
                  <c:v>2116</c:v>
                </c:pt>
                <c:pt idx="6">
                  <c:v>3053</c:v>
                </c:pt>
                <c:pt idx="7">
                  <c:v>1836</c:v>
                </c:pt>
                <c:pt idx="8">
                  <c:v>2144</c:v>
                </c:pt>
                <c:pt idx="9">
                  <c:v>3354</c:v>
                </c:pt>
                <c:pt idx="10">
                  <c:v>4237</c:v>
                </c:pt>
                <c:pt idx="11">
                  <c:v>3751</c:v>
                </c:pt>
                <c:pt idx="12">
                  <c:v>5727</c:v>
                </c:pt>
                <c:pt idx="13">
                  <c:v>4242</c:v>
                </c:pt>
                <c:pt idx="14">
                  <c:v>6496</c:v>
                </c:pt>
                <c:pt idx="15">
                  <c:v>8164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Kujawsko-pomorskie</c:v>
                </c:pt>
                <c:pt idx="6">
                  <c:v>Zachodniopomorskie</c:v>
                </c:pt>
                <c:pt idx="7">
                  <c:v>Lubelskie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Małopolskie</c:v>
                </c:pt>
                <c:pt idx="12">
                  <c:v>Pomorskie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467</c:v>
                </c:pt>
                <c:pt idx="1">
                  <c:v>579</c:v>
                </c:pt>
                <c:pt idx="2">
                  <c:v>704</c:v>
                </c:pt>
                <c:pt idx="3">
                  <c:v>889</c:v>
                </c:pt>
                <c:pt idx="4">
                  <c:v>1143</c:v>
                </c:pt>
                <c:pt idx="5">
                  <c:v>1295</c:v>
                </c:pt>
                <c:pt idx="6">
                  <c:v>1301</c:v>
                </c:pt>
                <c:pt idx="7">
                  <c:v>1476</c:v>
                </c:pt>
                <c:pt idx="8">
                  <c:v>1759</c:v>
                </c:pt>
                <c:pt idx="9">
                  <c:v>1942</c:v>
                </c:pt>
                <c:pt idx="10">
                  <c:v>2211</c:v>
                </c:pt>
                <c:pt idx="11">
                  <c:v>2668</c:v>
                </c:pt>
                <c:pt idx="12">
                  <c:v>2789</c:v>
                </c:pt>
                <c:pt idx="13">
                  <c:v>3316</c:v>
                </c:pt>
                <c:pt idx="14">
                  <c:v>3592</c:v>
                </c:pt>
                <c:pt idx="15">
                  <c:v>7723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469920"/>
        <c:axId val="39457952"/>
      </c:barChart>
      <c:catAx>
        <c:axId val="39469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9457952"/>
        <c:crosses val="autoZero"/>
        <c:auto val="1"/>
        <c:lblAlgn val="ctr"/>
        <c:lblOffset val="100"/>
        <c:noMultiLvlLbl val="0"/>
      </c:catAx>
      <c:valAx>
        <c:axId val="39457952"/>
        <c:scaling>
          <c:orientation val="minMax"/>
          <c:max val="85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9469920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5887581270637933E-2"/>
          <c:y val="0.83615102513053385"/>
          <c:w val="0.86663289439136215"/>
          <c:h val="9.6311180874666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budownictwo_mieszkaniowe_w_okresie styczen_luty_2021.docx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3C0AF3A7-0E22-4DFF-8ADB-53456C647663}"/>
</file>

<file path=customXml/itemProps3.xml><?xml version="1.0" encoding="utf-8"?>
<ds:datastoreItem xmlns:ds="http://schemas.openxmlformats.org/officeDocument/2006/customXml" ds:itemID="{48DE7289-DC3B-46B7-9D6F-89D54FDEB4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mieszkania oddane do użytkowania; mieszkania w budowie; mieszkania rozpoczęte; pozwolenie na budowę; powierzchnia użytkowa</cp:keywords>
  <cp:lastPrinted>2020-12-16T14:59:00Z</cp:lastPrinted>
  <dcterms:created xsi:type="dcterms:W3CDTF">2021-03-16T11:56:00Z</dcterms:created>
  <dcterms:modified xsi:type="dcterms:W3CDTF">2021-03-16T13:45:00Z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GUS-GUS.073.1.2018.406</vt:lpwstr>
  </property>
  <property fmtid="{D5CDD505-2E9C-101B-9397-08002B2CF9AE}" pid="4" name="UNPPisma">
    <vt:lpwstr>2021-69436</vt:lpwstr>
  </property>
  <property fmtid="{D5CDD505-2E9C-101B-9397-08002B2CF9AE}" pid="5" name="ZnakSprawy">
    <vt:lpwstr>GUS-GUS.073.1.2018</vt:lpwstr>
  </property>
  <property fmtid="{D5CDD505-2E9C-101B-9397-08002B2CF9AE}" pid="6" name="ZnakSprawyPrzedPrzeniesieniem">
    <vt:lpwstr>GUS-GP.073.1.2018</vt:lpwstr>
  </property>
  <property fmtid="{D5CDD505-2E9C-101B-9397-08002B2CF9AE}" pid="7" name="Autor">
    <vt:lpwstr>Czarnecka Katarzyna</vt:lpwstr>
  </property>
  <property fmtid="{D5CDD505-2E9C-101B-9397-08002B2CF9AE}" pid="8" name="AutorInicjaly">
    <vt:lpwstr>KC</vt:lpwstr>
  </property>
  <property fmtid="{D5CDD505-2E9C-101B-9397-08002B2CF9AE}" pid="9" name="AutorNrTelefonu">
    <vt:lpwstr>(022) 608-3100</vt:lpwstr>
  </property>
  <property fmtid="{D5CDD505-2E9C-101B-9397-08002B2CF9AE}" pid="10" name="Stanowisko">
    <vt:lpwstr>sekretarz</vt:lpwstr>
  </property>
  <property fmtid="{D5CDD505-2E9C-101B-9397-08002B2CF9AE}" pid="11" name="OpisPisma">
    <vt:lpwstr>Notatka sygnalna "Budownictwo mieszkaniowe w okresie I-II 2021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2021-03-18</vt:lpwstr>
  </property>
  <property fmtid="{D5CDD505-2E9C-101B-9397-08002B2CF9AE}" pid="15" name="Wydzial">
    <vt:lpwstr>Prezes GUS</vt:lpwstr>
  </property>
  <property fmtid="{D5CDD505-2E9C-101B-9397-08002B2CF9AE}" pid="16" name="KodWydzialu">
    <vt:lpwstr>Prezes GUS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URZĄD STATYSTYCZNY W LUBLINIE</vt:lpwstr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