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D" w:rsidRPr="00C30E6D" w:rsidRDefault="0026490D" w:rsidP="0026490D">
      <w:pPr>
        <w:pStyle w:val="tytuinformacji"/>
        <w:rPr>
          <w:sz w:val="18"/>
          <w:shd w:val="clear" w:color="auto" w:fill="FFFFFF"/>
        </w:rPr>
      </w:pPr>
      <w:bookmarkStart w:id="0" w:name="_GoBack"/>
      <w:bookmarkEnd w:id="0"/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B84181">
        <w:rPr>
          <w:shd w:val="clear" w:color="auto" w:fill="FFFFFF"/>
        </w:rPr>
        <w:t xml:space="preserve">sektorze przedsiębiorstw w </w:t>
      </w:r>
      <w:r w:rsidR="004C3D61">
        <w:rPr>
          <w:shd w:val="clear" w:color="auto" w:fill="FFFFFF"/>
        </w:rPr>
        <w:t>listopadzie</w:t>
      </w:r>
      <w:r w:rsidR="00B84181">
        <w:rPr>
          <w:shd w:val="clear" w:color="auto" w:fill="FFFFFF"/>
        </w:rPr>
        <w:t xml:space="preserve"> </w:t>
      </w:r>
      <w:r w:rsidR="00767D12">
        <w:rPr>
          <w:shd w:val="clear" w:color="auto" w:fill="FFFFFF"/>
        </w:rPr>
        <w:t>2021</w:t>
      </w:r>
      <w:r w:rsidRPr="0026490D">
        <w:rPr>
          <w:shd w:val="clear" w:color="auto" w:fill="FFFFFF"/>
        </w:rPr>
        <w:t xml:space="preserve"> r.</w:t>
      </w:r>
      <w:r w:rsidR="00C30E6D">
        <w:rPr>
          <w:shd w:val="clear" w:color="auto" w:fill="FFFFFF"/>
        </w:rPr>
        <w:br/>
      </w:r>
    </w:p>
    <w:p w:rsidR="00003437" w:rsidRDefault="00DC4DC2" w:rsidP="00515E9A">
      <w:pPr>
        <w:pStyle w:val="LID"/>
        <w:rPr>
          <w:b w:val="0"/>
          <w:color w:val="212492"/>
          <w:spacing w:val="-2"/>
        </w:rPr>
      </w:pPr>
      <w:r>
        <w:rPr>
          <w:lang w:val="en-GB" w:eastAsia="en-GB"/>
        </w:rPr>
        <w:pict w14:anchorId="467F5DFB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531EDD">
                    <w:rPr>
                      <w:rFonts w:ascii="Fira Sans SemiBold" w:hAnsi="Fira Sans SemiBold"/>
                      <w:color w:val="FFFFFF"/>
                      <w:sz w:val="72"/>
                    </w:rPr>
                    <w:t>0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4C3D61">
                    <w:rPr>
                      <w:rFonts w:ascii="Fira Sans SemiBold" w:hAnsi="Fira Sans SemiBold"/>
                      <w:color w:val="FFFFFF"/>
                      <w:sz w:val="72"/>
                    </w:rPr>
                    <w:t>7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1F17DB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B84181">
        <w:t xml:space="preserve"> </w:t>
      </w:r>
      <w:r w:rsidR="004C3D61">
        <w:t>listopadzie</w:t>
      </w:r>
      <w:r w:rsidR="008331ED">
        <w:t xml:space="preserve"> </w:t>
      </w:r>
      <w:r w:rsidR="00110ED3">
        <w:t>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1F17DB">
        <w:t>wyższe</w:t>
      </w:r>
      <w:r w:rsidR="00A31BEF" w:rsidRPr="00705D39">
        <w:t xml:space="preserve"> o </w:t>
      </w:r>
      <w:r w:rsidR="00531EDD">
        <w:t>0</w:t>
      </w:r>
      <w:r w:rsidR="00F56B9D">
        <w:t>,</w:t>
      </w:r>
      <w:r w:rsidR="004C3D61">
        <w:t>7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4C3D61">
        <w:t>63,7</w:t>
      </w:r>
      <w:r w:rsidR="005E7C40">
        <w:t xml:space="preserve"> </w:t>
      </w:r>
      <w:r w:rsidR="00515E9A" w:rsidRPr="00705D39">
        <w:t xml:space="preserve">tys., </w:t>
      </w:r>
      <w:r w:rsidR="00C55162">
        <w:t>natomiast</w:t>
      </w:r>
      <w:r w:rsidR="00C55162" w:rsidRPr="00705D39">
        <w:t xml:space="preserve">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4C3D61">
        <w:t>9,8</w:t>
      </w:r>
      <w:r w:rsidR="00A31BEF" w:rsidRPr="00705D39">
        <w:t xml:space="preserve">% r/r </w:t>
      </w:r>
      <w:r w:rsidR="00F56B9D">
        <w:t xml:space="preserve"> </w:t>
      </w:r>
      <w:r w:rsidR="00A31BEF" w:rsidRPr="00705D39">
        <w:t>i</w:t>
      </w:r>
      <w:r w:rsidR="00B57116" w:rsidRPr="00705D39">
        <w:t> </w:t>
      </w:r>
      <w:r w:rsidR="00A31BEF" w:rsidRPr="00705D39">
        <w:t xml:space="preserve">wyniosło </w:t>
      </w:r>
      <w:r w:rsidR="004C3D61">
        <w:t>6022,49</w:t>
      </w:r>
      <w:r w:rsidR="001C6EA3">
        <w:t xml:space="preserve">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125615" w:rsidRDefault="00125615" w:rsidP="00B11CF2">
      <w:pPr>
        <w:spacing w:after="0"/>
        <w:rPr>
          <w:rFonts w:eastAsia="Calibri"/>
          <w:shd w:val="clear" w:color="auto" w:fill="FFFFFF"/>
        </w:rPr>
      </w:pPr>
    </w:p>
    <w:p w:rsidR="004C3D61" w:rsidRDefault="00DC4DC2" w:rsidP="00B11CF2">
      <w:pPr>
        <w:spacing w:after="0"/>
        <w:rPr>
          <w:rFonts w:eastAsia="Calibri"/>
          <w:shd w:val="clear" w:color="auto" w:fill="FFFFFF"/>
        </w:rPr>
      </w:pPr>
      <w:r>
        <w:rPr>
          <w:rFonts w:eastAsia="Calibri"/>
          <w:noProof/>
          <w:lang w:val="en-GB" w:eastAsia="en-GB"/>
        </w:rPr>
        <w:pict w14:anchorId="2033A745">
          <v:shape id="_x0000_s1027" type="#_x0000_t202" style="position:absolute;margin-left:418.85pt;margin-top:1.95pt;width:135.85pt;height:105.7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DbEAIAAAAEAAAOAAAAZHJzL2Uyb0RvYy54bWysU1Fv0zAQfkfiP1h+p2mzlq1R02lsDCEN&#10;mDT4AVfHaazZPmO7Tcav5+y0pRpviDxYdu783X3ffV5dD0azvfRBoa35bDLlTFqBjbLbmv/4fv/u&#10;irMQwTag0cqav8jAr9dv36x6V8kSO9SN9IxAbKh6V/MuRlcVRRCdNBAm6KSlYIveQKSj3xaNh57Q&#10;jS7K6fR90aNvnEchQ6C/d2OQrzN+20oRv7VtkJHpmlNvMa8+r5u0FusVVFsPrlPi0Ab8QxcGlKWi&#10;J6g7iMB2Xv0FZZTwGLCNE4GmwLZVQmYOxGY2fcXmqQMnMxcSJ7iTTOH/wYqv+0fPVEOzW3BmwdCM&#10;HlFLFuVziNhLViaNehcqSn1ylByHDzhQfuYb3AOK58As3nZgt/LGe+w7CQ31OEs3i7OrI05IIJv+&#10;CzZUC3YRM9DQepMEJEkYodOsXk7zkUNkIpW8LBflkvoUFJtdzC+m5SLXgOp43fkQP0k0LG1q7skA&#10;GR72DyGmdqA6pqRqFu+V1tkE2rK+5ssFQb6KGBXJo1qZml9N0ze6JrH8aJt8OYLS454KaHugnZiO&#10;nOOwGUaVj2pusHkhHTyOlqQnRJsO/S/OerJjzcPPHXjJmf5sScvlbD5P/s2H+eKypIM/j2zOI2AF&#10;QdU8cjZub2P2/EjshjRvVVYjDWfs5NAy2SyLdHgSycfn55z15+GufwMAAP//AwBQSwMEFAAGAAgA&#10;AAAhAGtW30/fAAAACgEAAA8AAABkcnMvZG93bnJldi54bWxMj0tPwzAQhO9I/AdrkbhRO23TR8im&#10;qoq4gigPiZsbb5Oo8TqK3Sb8e9wTHEczmvkm34y2FRfqfeMYIZkoEMSlMw1XCB/vzw8rED5oNrp1&#10;TAg/5GFT3N7kOjNu4De67EMlYgn7TCPUIXSZlL6syWo/cR1x9I6utzpE2VfS9HqI5baVU6UW0uqG&#10;40KtO9rVVJ72Z4vw+XL8/pqr1+rJpt3gRiXZriXi/d24fQQRaAx/YbjiR3QoItPBndl40SKsZstl&#10;jCKk8dLVT9R6DuKAME0WKcgil/8vFL8AAAD//wMAUEsBAi0AFAAGAAgAAAAhALaDOJL+AAAA4QEA&#10;ABMAAAAAAAAAAAAAAAAAAAAAAFtDb250ZW50X1R5cGVzXS54bWxQSwECLQAUAAYACAAAACEAOP0h&#10;/9YAAACUAQAACwAAAAAAAAAAAAAAAAAvAQAAX3JlbHMvLnJlbHNQSwECLQAUAAYACAAAACEAxgGA&#10;2xACAAAABAAADgAAAAAAAAAAAAAAAAAuAgAAZHJzL2Uyb0RvYy54bWxQSwECLQAUAAYACAAAACEA&#10;a1bfT98AAAAKAQAADwAAAAAAAAAAAAAAAABqBAAAZHJzL2Rvd25yZXYueG1sUEsFBgAAAAAEAAQA&#10;8wAAAHYFAAAAAA==&#10;" filled="f" stroked="f">
            <v:textbox>
              <w:txbxContent>
                <w:p w:rsidR="00531EDD" w:rsidRPr="00705D39" w:rsidRDefault="00531EDD" w:rsidP="00531EDD">
                  <w:pPr>
                    <w:pStyle w:val="tekstzboku"/>
                    <w:rPr>
                      <w:bCs w:val="0"/>
                    </w:rPr>
                  </w:pPr>
                  <w:r w:rsidRPr="00CE4352">
                    <w:rPr>
                      <w:b/>
                    </w:rPr>
                    <w:t>Sektor przedsiębiorstw</w:t>
                  </w:r>
                  <w:r>
                    <w:t xml:space="preserve"> stanowi część gospodarki narodowej, to znaczy</w:t>
                  </w:r>
                  <w:r w:rsidR="00070691">
                    <w:t>,</w:t>
                  </w:r>
                  <w:r>
                    <w:t xml:space="preserve"> że dane dotyczą wybranych podmiotów prowadzących działalność gospodarczą</w:t>
                  </w:r>
                </w:p>
              </w:txbxContent>
            </v:textbox>
            <w10:wrap type="tight"/>
          </v:shape>
        </w:pict>
      </w:r>
      <w:r w:rsidR="00125615">
        <w:rPr>
          <w:rFonts w:eastAsia="Calibri"/>
          <w:shd w:val="clear" w:color="auto" w:fill="FFFFFF"/>
        </w:rPr>
        <w:t>D</w:t>
      </w:r>
      <w:r w:rsidR="00B5169C" w:rsidRPr="00890841">
        <w:rPr>
          <w:rFonts w:eastAsia="Calibri"/>
          <w:shd w:val="clear" w:color="auto" w:fill="FFFFFF"/>
        </w:rPr>
        <w:t xml:space="preserve">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="00B5169C"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dotyczą podmiotów, w których</w:t>
      </w:r>
      <w:r w:rsidR="00B5169C" w:rsidRPr="004F7579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="00B5169C"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do </w:t>
      </w:r>
      <w:r w:rsidR="00B5169C" w:rsidRPr="004C3D61">
        <w:rPr>
          <w:rFonts w:eastAsia="Calibri"/>
          <w:b/>
          <w:shd w:val="clear" w:color="auto" w:fill="FFFFFF"/>
        </w:rPr>
        <w:t>wybranyc</w:t>
      </w:r>
      <w:r w:rsidR="00142EC6" w:rsidRPr="004C3D61">
        <w:rPr>
          <w:rFonts w:eastAsia="Calibri"/>
          <w:b/>
          <w:shd w:val="clear" w:color="auto" w:fill="FFFFFF"/>
        </w:rPr>
        <w:t>h rodzajów działalności PKD 2007</w:t>
      </w:r>
      <w:r w:rsidR="00890841" w:rsidRPr="004C3D61">
        <w:rPr>
          <w:rStyle w:val="Odwoanieprzypisudolnego"/>
          <w:rFonts w:eastAsia="Calibri"/>
          <w:b/>
          <w:shd w:val="clear" w:color="auto" w:fill="FFFFFF"/>
        </w:rPr>
        <w:footnoteReference w:id="2"/>
      </w:r>
      <w:r w:rsidR="00890841" w:rsidRPr="004C3D61">
        <w:rPr>
          <w:rFonts w:eastAsia="Calibri"/>
          <w:b/>
          <w:shd w:val="clear" w:color="auto" w:fill="FFFFFF"/>
        </w:rPr>
        <w:t xml:space="preserve">, </w:t>
      </w:r>
      <w:r w:rsidR="00DF5C93" w:rsidRPr="004C3D61">
        <w:rPr>
          <w:rFonts w:eastAsia="Calibri"/>
          <w:b/>
          <w:shd w:val="clear" w:color="auto" w:fill="FFFFFF"/>
        </w:rPr>
        <w:t>a</w:t>
      </w:r>
      <w:r w:rsidR="00DF5C93" w:rsidRPr="00890841">
        <w:rPr>
          <w:rFonts w:eastAsia="Calibri"/>
          <w:shd w:val="clear" w:color="auto" w:fill="FFFFFF"/>
        </w:rPr>
        <w:t xml:space="preserve"> </w:t>
      </w:r>
      <w:r w:rsidR="00DF5C93" w:rsidRPr="004C3D61">
        <w:rPr>
          <w:rFonts w:eastAsia="Calibri"/>
          <w:b/>
          <w:shd w:val="clear" w:color="auto" w:fill="FFFFFF"/>
        </w:rPr>
        <w:t>liczba pracujących przekracza 9 osób</w:t>
      </w:r>
      <w:r w:rsidR="00B5169C" w:rsidRPr="00890841">
        <w:rPr>
          <w:rFonts w:eastAsia="Calibri"/>
          <w:shd w:val="clear" w:color="auto" w:fill="FFFFFF"/>
        </w:rPr>
        <w:t>.</w:t>
      </w:r>
      <w:r w:rsidR="004C3D61">
        <w:rPr>
          <w:rFonts w:eastAsia="Calibri"/>
          <w:shd w:val="clear" w:color="auto" w:fill="FFFFFF"/>
        </w:rPr>
        <w:t xml:space="preserve"> </w:t>
      </w:r>
      <w:r w:rsidR="004C3D61" w:rsidRPr="004C3D61">
        <w:rPr>
          <w:rFonts w:eastAsia="Calibri"/>
          <w:shd w:val="clear" w:color="auto" w:fill="FFFFFF"/>
        </w:rPr>
        <w:t>W związku z tym, badanie nie obejmuje, m.in.</w:t>
      </w:r>
      <w:r w:rsidR="004C3D61" w:rsidRPr="004C3D61">
        <w:rPr>
          <w:i/>
          <w:iCs/>
          <w:color w:val="1F497D"/>
          <w:sz w:val="18"/>
          <w:szCs w:val="18"/>
        </w:rPr>
        <w:t xml:space="preserve"> </w:t>
      </w:r>
      <w:r w:rsidR="004C3D61" w:rsidRPr="004C3D61">
        <w:rPr>
          <w:rFonts w:eastAsia="Calibri"/>
          <w:shd w:val="clear" w:color="auto" w:fill="FFFFFF"/>
        </w:rPr>
        <w:t>administracji publicznej, edukacji czy opieki zdrowotnej i pomocy społecznej</w:t>
      </w:r>
      <w:r w:rsidR="004C3D61">
        <w:rPr>
          <w:rFonts w:eastAsia="Calibri"/>
          <w:shd w:val="clear" w:color="auto" w:fill="FFFFFF"/>
        </w:rPr>
        <w:t>.</w:t>
      </w:r>
      <w:r w:rsidR="00B5169C" w:rsidRPr="00890841">
        <w:rPr>
          <w:rFonts w:eastAsia="Calibri"/>
          <w:shd w:val="clear" w:color="auto" w:fill="FFFFFF"/>
        </w:rPr>
        <w:t xml:space="preserve"> </w:t>
      </w:r>
    </w:p>
    <w:p w:rsidR="001C6EA3" w:rsidRPr="00B11CF2" w:rsidRDefault="00BD2A4F" w:rsidP="00B11CF2">
      <w:pPr>
        <w:spacing w:after="0"/>
        <w:rPr>
          <w:rFonts w:eastAsia="Calibri"/>
          <w:sz w:val="10"/>
          <w:szCs w:val="10"/>
          <w:shd w:val="clear" w:color="auto" w:fill="FFFFFF"/>
        </w:rPr>
      </w:pPr>
      <w:r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</w:t>
      </w:r>
      <w:r w:rsidR="004C3D61">
        <w:rPr>
          <w:rFonts w:eastAsia="Calibri"/>
          <w:shd w:val="clear" w:color="auto" w:fill="FFFFFF"/>
        </w:rPr>
        <w:t>e są metodą pełną, a podmioty o </w:t>
      </w:r>
      <w:r w:rsidR="00C4710C" w:rsidRPr="00882F42">
        <w:rPr>
          <w:rFonts w:eastAsia="Calibri"/>
          <w:shd w:val="clear" w:color="auto" w:fill="FFFFFF"/>
        </w:rPr>
        <w:t xml:space="preserve">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  <w:r w:rsidR="00125615">
        <w:rPr>
          <w:rFonts w:eastAsia="Calibri"/>
          <w:shd w:val="clear" w:color="auto" w:fill="FFFFFF"/>
        </w:rPr>
        <w:br/>
      </w:r>
      <w:r w:rsidR="00153DE5">
        <w:rPr>
          <w:rFonts w:eastAsia="Calibri"/>
          <w:shd w:val="clear" w:color="auto" w:fill="FFFFFF"/>
        </w:rPr>
        <w:br/>
      </w:r>
      <w:r w:rsidR="00B11CF2">
        <w:rPr>
          <w:rFonts w:eastAsia="Calibri"/>
          <w:sz w:val="10"/>
          <w:szCs w:val="10"/>
          <w:shd w:val="clear" w:color="auto" w:fill="FFFFFF"/>
        </w:rPr>
        <w:t xml:space="preserve"> </w:t>
      </w:r>
    </w:p>
    <w:p w:rsidR="003A1615" w:rsidRPr="00CD4A9F" w:rsidRDefault="00DC4DC2" w:rsidP="00B11CF2">
      <w:pPr>
        <w:pStyle w:val="tytuwykresu"/>
        <w:tabs>
          <w:tab w:val="left" w:pos="709"/>
        </w:tabs>
        <w:spacing w:before="0"/>
      </w:pPr>
      <w:r>
        <w:rPr>
          <w:noProof/>
          <w:lang w:val="en-GB" w:eastAsia="en-GB"/>
        </w:rPr>
        <w:pict w14:anchorId="62726E28">
          <v:shape id="_x0000_s1028" type="#_x0000_t202" style="position:absolute;margin-left:418.6pt;margin-top:29.5pt;width:135.85pt;height:170.1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qKEQIAAAAEAAAOAAAAZHJzL2Uyb0RvYy54bWysU1Fv0zAQfkfiP1h+p0mjdlujptPYGEIa&#10;MGnwA66O01izfcZ2m4xfz9npSgVviDxYdu7uu/s+f15fj0azg/RBoW34fFZyJq3AVtldw79/u393&#10;xVmIYFvQaGXDX2Tg15u3b9aDq2WFPepWekYgNtSDa3gfo6uLIoheGggzdNJSsENvINLR74rWw0Do&#10;RhdVWV4UA/rWeRQyBPp7NwX5JuN3nRTxa9cFGZluOM0W8+rzuk1rsVlDvfPgeiWOY8A/TGFAWWp6&#10;grqDCGzv1V9QRgmPAbs4E2gK7DolZOZAbOblH2yeenAycyFxgjvJFP4frPhyePRMtXR3C84sGLqj&#10;R9SSRfkcIg6SVUmjwYWaUp8cJcfxPY6Un/kG94DiOTCLtz3YnbzxHodeQkszzlNlcVY64YQEsh0+&#10;Y0u9YB8xA42dN0lAkoQROt3Vy+l+5BiZSC0vq2W1WnImKFbNL8pVucw9oH4tdz7EjxINS5uGezJA&#10;hofDQ4hpHKhfU1I3i/dK62wCbdnQ8NWyWuaCs4hRkTyqlWn4VZm+yTWJ5Qfb5uIISk97aqDtkXZi&#10;OnGO43bMKp/U3GL7Qjp4nCxJT4g2PfqfnA1kx4aHH3vwkjP9yZKWq/likfybD4vlZUUHfx7ZnkfA&#10;CoJqeORs2t7G7PmJ8g1p3qmsRrqcaZLjyGSzLNLxSSQfn59z1u+Hu/kFAAD//wMAUEsDBBQABgAI&#10;AAAAIQDoVnat3wAAAAsBAAAPAAAAZHJzL2Rvd25yZXYueG1sTI/LTsMwEEX3SPyDNUjsqN2GQhwy&#10;qRCILYjykNi58TSJiMdR7Dbh73FXsBzN0b3nlpvZ9eJIY+g8IywXCgRx7W3HDcL729NVDiJEw9b0&#10;ngnhhwJsqvOz0hTWT/xKx21sRArhUBiENsahkDLULTkTFn4gTr+9H52J6RwbaUczpXDXy5VSN9KZ&#10;jlNDawZ6aKn+3h4cwsfz/uvzWr00j249TH5Wkp2WiJcX8/0diEhz/IPhpJ/UoUpOO39gG0SPkGe3&#10;q4QirHXadAKWKtcgdgiZ1hnIqpT/N1S/AAAA//8DAFBLAQItABQABgAIAAAAIQC2gziS/gAAAOEB&#10;AAATAAAAAAAAAAAAAAAAAAAAAABbQ29udGVudF9UeXBlc10ueG1sUEsBAi0AFAAGAAgAAAAhADj9&#10;If/WAAAAlAEAAAsAAAAAAAAAAAAAAAAALwEAAF9yZWxzLy5yZWxzUEsBAi0AFAAGAAgAAAAhACW2&#10;CooRAgAAAAQAAA4AAAAAAAAAAAAAAAAALgIAAGRycy9lMm9Eb2MueG1sUEsBAi0AFAAGAAgAAAAh&#10;AOhWdq3fAAAACwEAAA8AAAAAAAAAAAAAAAAAawQAAGRycy9kb3ducmV2LnhtbFBLBQYAAAAABAAE&#10;APMAAAB3BQAAAAA=&#10;" filled="f" stroked="f">
            <v:textbox>
              <w:txbxContent>
                <w:p w:rsidR="000277D9" w:rsidRPr="00705D39" w:rsidRDefault="00380302" w:rsidP="000277D9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BA73AF">
                    <w:t>sektorze przedsiębiorstw w</w:t>
                  </w:r>
                  <w:r w:rsidR="00FB128D">
                    <w:t> </w:t>
                  </w:r>
                  <w:r w:rsidR="0001322E">
                    <w:t>listopadzie</w:t>
                  </w:r>
                  <w:r w:rsidR="005876E9">
                    <w:t xml:space="preserve"> 2021 r.</w:t>
                  </w:r>
                  <w:r w:rsidR="000277D9">
                    <w:t xml:space="preserve"> w </w:t>
                  </w:r>
                  <w:r w:rsidR="000277D9" w:rsidRPr="00705D39">
                    <w:t>porównaniu do poprzedniego miesiąca</w:t>
                  </w:r>
                  <w:r w:rsidR="000277D9">
                    <w:t xml:space="preserve"> zaobserwowano minimalny wzrost przeciętnego zatrudnienia o 0,</w:t>
                  </w:r>
                  <w:r w:rsidR="00605EE0">
                    <w:t>2</w:t>
                  </w:r>
                  <w:r w:rsidR="000277D9">
                    <w:t>%, zaś przeciętne miesięczne wynagrodzenie brutto zwiększyło się o 1,</w:t>
                  </w:r>
                  <w:r w:rsidR="00605EE0">
                    <w:t>8</w:t>
                  </w:r>
                  <w:r w:rsidR="000277D9">
                    <w:t>%</w:t>
                  </w:r>
                </w:p>
                <w:p w:rsidR="003A1615" w:rsidRPr="00705D39" w:rsidRDefault="003A1615" w:rsidP="00A012EB">
                  <w:pPr>
                    <w:pStyle w:val="tekstzboku"/>
                    <w:rPr>
                      <w:bCs w:val="0"/>
                    </w:rPr>
                  </w:pP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B84181">
        <w:t xml:space="preserve"> </w:t>
      </w:r>
      <w:r w:rsidR="004C3D61">
        <w:t>listopadzie</w:t>
      </w:r>
      <w:r w:rsidR="00B84181">
        <w:t xml:space="preserve"> </w:t>
      </w:r>
      <w:r w:rsidR="005755F1" w:rsidRPr="00CD4A9F">
        <w:t>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8331ED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331E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8331ED"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84181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8331ED" w:rsidP="00BA73AF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BA73AF" w:rsidP="00B84181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</w:t>
            </w:r>
            <w:r w:rsidR="00A43E86"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2020=100</w:t>
            </w:r>
          </w:p>
        </w:tc>
      </w:tr>
      <w:tr w:rsidR="006915CB" w:rsidRPr="00EA7620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B84181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0,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531EDD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52448C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4C3D61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6022,49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C8120C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1,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816,41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4C3D61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6022,24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C8120C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1,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815,28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4C3D6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</w:tr>
    </w:tbl>
    <w:p w:rsidR="00125615" w:rsidRDefault="00125615" w:rsidP="00C30E6D">
      <w:pPr>
        <w:spacing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br/>
      </w:r>
      <w:r w:rsidR="005124A2">
        <w:rPr>
          <w:rFonts w:eastAsia="Calibri"/>
          <w:shd w:val="clear" w:color="auto" w:fill="FFFFFF"/>
        </w:rPr>
        <w:t>W</w:t>
      </w:r>
      <w:r w:rsidR="00DF7D2F">
        <w:rPr>
          <w:rFonts w:eastAsia="Calibri"/>
          <w:shd w:val="clear" w:color="auto" w:fill="FFFFFF"/>
        </w:rPr>
        <w:t xml:space="preserve"> </w:t>
      </w:r>
      <w:r w:rsidR="004C3D61">
        <w:rPr>
          <w:rFonts w:eastAsia="Calibri"/>
          <w:shd w:val="clear" w:color="auto" w:fill="FFFFFF"/>
        </w:rPr>
        <w:t>listopadzie</w:t>
      </w:r>
      <w:r w:rsidR="00DF7D2F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0245E6">
        <w:rPr>
          <w:rFonts w:eastAsia="Calibri"/>
          <w:shd w:val="clear" w:color="auto" w:fill="FFFFFF"/>
        </w:rPr>
        <w:t xml:space="preserve">minimalnie </w:t>
      </w:r>
      <w:r w:rsidR="00DF7D2F">
        <w:rPr>
          <w:rFonts w:eastAsia="Calibri"/>
          <w:shd w:val="clear" w:color="auto" w:fill="FFFFFF"/>
        </w:rPr>
        <w:t>zwiększyło</w:t>
      </w:r>
      <w:r w:rsidR="000245E6">
        <w:rPr>
          <w:rFonts w:eastAsia="Calibri"/>
          <w:shd w:val="clear" w:color="auto" w:fill="FFFFFF"/>
        </w:rPr>
        <w:t xml:space="preserve"> się względem </w:t>
      </w:r>
      <w:r w:rsidR="004C3D61">
        <w:rPr>
          <w:rFonts w:eastAsia="Calibri"/>
          <w:shd w:val="clear" w:color="auto" w:fill="FFFFFF"/>
        </w:rPr>
        <w:t>października</w:t>
      </w:r>
      <w:r w:rsidR="00C94BB6">
        <w:rPr>
          <w:rFonts w:eastAsia="Calibri"/>
          <w:shd w:val="clear" w:color="auto" w:fill="FFFFFF"/>
        </w:rPr>
        <w:t xml:space="preserve"> br. </w:t>
      </w:r>
      <w:r w:rsidR="000245E6">
        <w:rPr>
          <w:rFonts w:eastAsia="Calibri"/>
          <w:shd w:val="clear" w:color="auto" w:fill="FFFFFF"/>
        </w:rPr>
        <w:t>(o 0,</w:t>
      </w:r>
      <w:r w:rsidR="004C3D61">
        <w:rPr>
          <w:rFonts w:eastAsia="Calibri"/>
          <w:shd w:val="clear" w:color="auto" w:fill="FFFFFF"/>
        </w:rPr>
        <w:t>2</w:t>
      </w:r>
      <w:r w:rsidR="000245E6">
        <w:rPr>
          <w:rFonts w:eastAsia="Calibri"/>
          <w:shd w:val="clear" w:color="auto" w:fill="FFFFFF"/>
        </w:rPr>
        <w:t>%)</w:t>
      </w:r>
      <w:r w:rsidR="00F06F0E">
        <w:rPr>
          <w:rFonts w:eastAsia="Calibri"/>
          <w:shd w:val="clear" w:color="auto" w:fill="FFFFFF"/>
        </w:rPr>
        <w:t xml:space="preserve">, co </w:t>
      </w:r>
      <w:r w:rsidR="00C94BB6">
        <w:rPr>
          <w:rFonts w:eastAsia="Calibri"/>
          <w:shd w:val="clear" w:color="auto" w:fill="FFFFFF"/>
        </w:rPr>
        <w:t>wynikał</w:t>
      </w:r>
      <w:r w:rsidR="00347AE2">
        <w:rPr>
          <w:rFonts w:eastAsia="Calibri"/>
          <w:shd w:val="clear" w:color="auto" w:fill="FFFFFF"/>
        </w:rPr>
        <w:t>o</w:t>
      </w:r>
      <w:r w:rsidR="00C94BB6">
        <w:rPr>
          <w:rFonts w:eastAsia="Calibri"/>
          <w:shd w:val="clear" w:color="auto" w:fill="FFFFFF"/>
        </w:rPr>
        <w:t xml:space="preserve"> </w:t>
      </w:r>
      <w:r w:rsidR="00347AE2">
        <w:rPr>
          <w:rFonts w:eastAsia="Calibri"/>
          <w:shd w:val="clear" w:color="auto" w:fill="FFFFFF"/>
        </w:rPr>
        <w:t>między innymi</w:t>
      </w:r>
      <w:r w:rsidR="00A85F3E">
        <w:rPr>
          <w:rFonts w:eastAsia="Calibri"/>
          <w:shd w:val="clear" w:color="auto" w:fill="FFFFFF"/>
        </w:rPr>
        <w:t xml:space="preserve"> </w:t>
      </w:r>
      <w:r w:rsidR="00B03426">
        <w:rPr>
          <w:rFonts w:eastAsia="Calibri"/>
          <w:shd w:val="clear" w:color="auto" w:fill="FFFFFF"/>
        </w:rPr>
        <w:t xml:space="preserve">z </w:t>
      </w:r>
      <w:r w:rsidR="00C65DCF">
        <w:rPr>
          <w:rFonts w:eastAsia="Calibri"/>
          <w:shd w:val="clear" w:color="auto" w:fill="FFFFFF"/>
        </w:rPr>
        <w:t>przyjęć w</w:t>
      </w:r>
      <w:r w:rsidR="00347AE2">
        <w:rPr>
          <w:rFonts w:eastAsia="Calibri"/>
          <w:shd w:val="clear" w:color="auto" w:fill="FFFFFF"/>
        </w:rPr>
        <w:t> </w:t>
      </w:r>
      <w:r w:rsidR="00C65DCF">
        <w:rPr>
          <w:rFonts w:eastAsia="Calibri"/>
          <w:shd w:val="clear" w:color="auto" w:fill="FFFFFF"/>
        </w:rPr>
        <w:t>jednostkach</w:t>
      </w:r>
      <w:r w:rsidR="00136B27">
        <w:rPr>
          <w:rFonts w:eastAsia="Calibri"/>
          <w:shd w:val="clear" w:color="auto" w:fill="FFFFFF"/>
        </w:rPr>
        <w:t xml:space="preserve">, </w:t>
      </w:r>
      <w:r w:rsidR="00B601AF">
        <w:rPr>
          <w:rFonts w:eastAsia="Calibri"/>
          <w:shd w:val="clear" w:color="auto" w:fill="FFFFFF"/>
        </w:rPr>
        <w:t xml:space="preserve">w tym pracowników </w:t>
      </w:r>
      <w:r w:rsidR="00136B27">
        <w:rPr>
          <w:rFonts w:eastAsia="Calibri"/>
          <w:shd w:val="clear" w:color="auto" w:fill="FFFFFF"/>
        </w:rPr>
        <w:t>sezonowych.</w:t>
      </w:r>
    </w:p>
    <w:p w:rsidR="00330124" w:rsidRDefault="004D4A01" w:rsidP="00C30E6D">
      <w:pPr>
        <w:spacing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Porównując</w:t>
      </w:r>
      <w:r w:rsidR="00023E11">
        <w:rPr>
          <w:rFonts w:eastAsia="Calibri"/>
          <w:shd w:val="clear" w:color="auto" w:fill="FFFFFF"/>
        </w:rPr>
        <w:t xml:space="preserve"> </w:t>
      </w:r>
      <w:r w:rsidR="00605EE0">
        <w:rPr>
          <w:rFonts w:eastAsia="Calibri"/>
          <w:shd w:val="clear" w:color="auto" w:fill="FFFFFF"/>
        </w:rPr>
        <w:t>listopad</w:t>
      </w:r>
      <w:r w:rsidR="00023E11">
        <w:rPr>
          <w:rFonts w:eastAsia="Calibri"/>
          <w:shd w:val="clear" w:color="auto" w:fill="FFFFFF"/>
        </w:rPr>
        <w:t xml:space="preserve"> 2021 r. do analogicznego miesiąca 2020 roku</w:t>
      </w:r>
      <w:r w:rsidR="00674887">
        <w:rPr>
          <w:rFonts w:eastAsia="Calibri"/>
          <w:shd w:val="clear" w:color="auto" w:fill="FFFFFF"/>
        </w:rPr>
        <w:t xml:space="preserve"> </w:t>
      </w:r>
      <w:r w:rsidR="00FE6F7F">
        <w:rPr>
          <w:rFonts w:eastAsia="Calibri"/>
          <w:shd w:val="clear" w:color="auto" w:fill="FFFFFF"/>
        </w:rPr>
        <w:t>przeciętne</w:t>
      </w:r>
      <w:r w:rsidR="000B599C">
        <w:rPr>
          <w:rFonts w:eastAsia="Calibri"/>
          <w:shd w:val="clear" w:color="auto" w:fill="FFFFFF"/>
        </w:rPr>
        <w:t xml:space="preserve"> zatrudnienie wzrosło</w:t>
      </w:r>
      <w:r w:rsidR="00FE6F7F">
        <w:rPr>
          <w:rFonts w:eastAsia="Calibri"/>
          <w:shd w:val="clear" w:color="auto" w:fill="FFFFFF"/>
        </w:rPr>
        <w:t xml:space="preserve"> </w:t>
      </w:r>
      <w:r w:rsidR="00F767B3">
        <w:rPr>
          <w:rFonts w:eastAsia="Calibri"/>
          <w:shd w:val="clear" w:color="auto" w:fill="FFFFFF"/>
        </w:rPr>
        <w:t xml:space="preserve">o </w:t>
      </w:r>
      <w:r w:rsidR="00577ED3">
        <w:rPr>
          <w:rFonts w:eastAsia="Calibri"/>
          <w:shd w:val="clear" w:color="auto" w:fill="FFFFFF"/>
        </w:rPr>
        <w:t>0</w:t>
      </w:r>
      <w:r w:rsidR="00F767B3">
        <w:rPr>
          <w:rFonts w:eastAsia="Calibri"/>
          <w:shd w:val="clear" w:color="auto" w:fill="FFFFFF"/>
        </w:rPr>
        <w:t>,</w:t>
      </w:r>
      <w:r w:rsidR="00605EE0">
        <w:rPr>
          <w:rFonts w:eastAsia="Calibri"/>
          <w:shd w:val="clear" w:color="auto" w:fill="FFFFFF"/>
        </w:rPr>
        <w:t>7</w:t>
      </w:r>
      <w:r w:rsidR="00C65DCF">
        <w:rPr>
          <w:rFonts w:eastAsia="Calibri"/>
          <w:shd w:val="clear" w:color="auto" w:fill="FFFFFF"/>
        </w:rPr>
        <w:t>%.</w:t>
      </w:r>
      <w:r w:rsidR="00023E11">
        <w:rPr>
          <w:rFonts w:eastAsia="Calibri"/>
          <w:shd w:val="clear" w:color="auto" w:fill="FFFFFF"/>
        </w:rPr>
        <w:t xml:space="preserve"> </w:t>
      </w:r>
      <w:r w:rsidR="00330124">
        <w:rPr>
          <w:rFonts w:eastAsia="Calibri"/>
          <w:shd w:val="clear" w:color="auto" w:fill="FFFFFF"/>
        </w:rPr>
        <w:br w:type="page"/>
      </w:r>
    </w:p>
    <w:p w:rsidR="001209A3" w:rsidRDefault="00B94F87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189230</wp:posOffset>
            </wp:positionV>
            <wp:extent cx="5125720" cy="4213225"/>
            <wp:effectExtent l="19050" t="0" r="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C4DC2" w:rsidP="00CC6846">
      <w:pPr>
        <w:pStyle w:val="tytuwykresu"/>
        <w:rPr>
          <w:rFonts w:eastAsia="Calibri"/>
          <w:shd w:val="clear" w:color="auto" w:fill="FFFFFF"/>
        </w:rPr>
      </w:pPr>
      <w:r>
        <w:rPr>
          <w:noProof/>
          <w:szCs w:val="19"/>
          <w:lang w:val="en-GB" w:eastAsia="en-GB"/>
        </w:rPr>
        <w:pict w14:anchorId="27833330">
          <v:shape id="_x0000_s1029" type="#_x0000_t202" style="position:absolute;margin-left:417.15pt;margin-top:74.25pt;width:135.85pt;height:126pt;z-index:-25163366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eFEgIAAAAEAAAOAAAAZHJzL2Uyb0RvYy54bWysU1Fv0zAQfkfiP1h+p0mzdlujptPYGEIa&#10;MGnwA66O01izfcb2loxfz9lpSwVviDxYdu7uu/s+f15fjUazF+mDQtvw+azkTFqBrbK7hn//dvfu&#10;krMQwbag0cqGv8rArzZv36wHV8sKe9St9IxAbKgH1/A+RlcXRRC9NBBm6KSlYIfeQKSj3xWth4HQ&#10;jS6qsjwvBvSt8yhkCPT3dgryTcbvOini164LMjLdcJot5tXndZvWYrOGeufB9Ursx4B/mMKAstT0&#10;CHULEdizV39BGSU8BuziTKApsOuUkJkDsZmXf7B57MHJzIXECe4oU/h/sOLLy4NnqqW7O+PMgqE7&#10;ekAtWZRPIeIgWZU0GlyoKfXRUXIc3+NI+ZlvcPcongKzeNOD3clr73HoJbQ04zxVFielE05IINvh&#10;M7bUC54jZqCx8yYJSJIwQqe7ej3ejxwjE6nlRbWsVkvOBMXm52VJDsg9oD6UOx/iR4mGpU3DPRkg&#10;w8PLfYhpHKgPKambxTuldTaBtmxo+GpZLXPBScSoSB7VyjT8skzf5JrE8oNtc3EEpac9NdB2Tzsx&#10;nTjHcTtmlc8Oam6xfSUdPE6WpCdEmx79T84GsmPDw49n8JIz/cmSlqv5YpH8mw+L5UVFB38a2Z5G&#10;wAqCanjkbNrexOz5ifI1ad6prEa6nGmS/chksyzS/kkkH5+ec9bvh7v5BQAA//8DAFBLAwQUAAYA&#10;CAAAACEAfeRO498AAAAMAQAADwAAAGRycy9kb3ducmV2LnhtbEyPwU7DMBBE70j8g7VI3KjdNqlC&#10;iFNVIK4g2oLEzY23SUS8jmK3CX/P9kSPq3mafVOsJ9eJMw6h9aRhPlMgkCpvW6o17HevDxmIEA1Z&#10;03lCDb8YYF3e3hQmt36kDzxvYy24hEJuNDQx9rmUoWrQmTDzPRJnRz84E/kcamkHM3K56+RCqZV0&#10;piX+0JgenxusfrYnp+Hz7fj9laj3+sWl/egnJck9Sq3v76bNE4iIU/yH4aLP6lCy08GfyAbRaciW&#10;yZJRDpIsBXEh5mrF8w4aEqVSkGUhr0eUfwAAAP//AwBQSwECLQAUAAYACAAAACEAtoM4kv4AAADh&#10;AQAAEwAAAAAAAAAAAAAAAAAAAAAAW0NvbnRlbnRfVHlwZXNdLnhtbFBLAQItABQABgAIAAAAIQA4&#10;/SH/1gAAAJQBAAALAAAAAAAAAAAAAAAAAC8BAABfcmVscy8ucmVsc1BLAQItABQABgAIAAAAIQDM&#10;UYeFEgIAAAAEAAAOAAAAAAAAAAAAAAAAAC4CAABkcnMvZTJvRG9jLnhtbFBLAQItABQABgAIAAAA&#10;IQB95E7j3wAAAAwBAAAPAAAAAAAAAAAAAAAAAGwEAABkcnMvZG93bnJldi54bWxQSwUGAAAAAAQA&#10;BADzAAAAeAUAAAAA&#10;" filled="f" stroked="f">
            <v:textbox>
              <w:txbxContent>
                <w:p w:rsidR="00FD5ADA" w:rsidRPr="00FD5ADA" w:rsidRDefault="00FD5ADA" w:rsidP="00FD5ADA">
                  <w:pPr>
                    <w:pStyle w:val="tekstzboku"/>
                    <w:rPr>
                      <w:bCs w:val="0"/>
                    </w:rPr>
                  </w:pPr>
                </w:p>
              </w:txbxContent>
            </v:textbox>
            <w10:wrap type="tight"/>
          </v:shape>
        </w:pict>
      </w:r>
      <w:r w:rsidR="00D0253A"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674887">
        <w:rPr>
          <w:rFonts w:eastAsia="Calibri"/>
          <w:b w:val="0"/>
          <w:sz w:val="19"/>
          <w:szCs w:val="19"/>
          <w:shd w:val="clear" w:color="auto" w:fill="FFFFFF"/>
        </w:rPr>
        <w:t xml:space="preserve">od czerwca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C42AC6">
        <w:rPr>
          <w:rFonts w:eastAsia="Calibri"/>
          <w:b w:val="0"/>
          <w:sz w:val="19"/>
          <w:szCs w:val="19"/>
          <w:shd w:val="clear" w:color="auto" w:fill="FFFFFF"/>
        </w:rPr>
        <w:t xml:space="preserve"> do grudnia 2020 r. </w:t>
      </w:r>
      <w:r w:rsidR="004441C9">
        <w:rPr>
          <w:rFonts w:eastAsia="Calibri"/>
          <w:b w:val="0"/>
          <w:sz w:val="19"/>
          <w:szCs w:val="19"/>
          <w:shd w:val="clear" w:color="auto" w:fill="FFFFFF"/>
        </w:rPr>
        <w:t xml:space="preserve">zaobserwowano jego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C42AC6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2021 roku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przeciętne zatrudnienie ulega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ło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 niewielkim zmianom</w:t>
      </w:r>
      <w:r w:rsidR="00C42AC6">
        <w:rPr>
          <w:rFonts w:eastAsia="Calibri"/>
          <w:b w:val="0"/>
          <w:sz w:val="19"/>
          <w:szCs w:val="19"/>
          <w:shd w:val="clear" w:color="auto" w:fill="FFFFFF"/>
        </w:rPr>
        <w:t xml:space="preserve">, jednak nadal nie powróciło do wartości odnotowywanych na początku 2020 r.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236B45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605EE0">
        <w:rPr>
          <w:rFonts w:eastAsia="Calibri"/>
          <w:b w:val="0"/>
          <w:sz w:val="19"/>
          <w:szCs w:val="19"/>
          <w:shd w:val="clear" w:color="auto" w:fill="FFFFFF"/>
        </w:rPr>
        <w:t>listopadzie</w:t>
      </w:r>
      <w:r w:rsidR="00236B45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2021 r.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w stosunku do poprzedniego miesiąca </w:t>
      </w:r>
      <w:r w:rsidR="004D4A01">
        <w:rPr>
          <w:rFonts w:eastAsia="Calibri"/>
          <w:b w:val="0"/>
          <w:sz w:val="19"/>
          <w:szCs w:val="19"/>
          <w:shd w:val="clear" w:color="auto" w:fill="FFFFFF"/>
        </w:rPr>
        <w:t xml:space="preserve">przeciętne zatrudnienie </w:t>
      </w:r>
      <w:r w:rsidR="00236B45">
        <w:rPr>
          <w:rFonts w:eastAsia="Calibri"/>
          <w:b w:val="0"/>
          <w:sz w:val="19"/>
          <w:szCs w:val="19"/>
          <w:shd w:val="clear" w:color="auto" w:fill="FFFFFF"/>
        </w:rPr>
        <w:t>zwiększyło</w:t>
      </w:r>
      <w:r w:rsidR="004D4A01">
        <w:rPr>
          <w:rFonts w:eastAsia="Calibri"/>
          <w:b w:val="0"/>
          <w:sz w:val="19"/>
          <w:szCs w:val="19"/>
          <w:shd w:val="clear" w:color="auto" w:fill="FFFFFF"/>
        </w:rPr>
        <w:t xml:space="preserve"> się o 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 xml:space="preserve">ok. </w:t>
      </w:r>
      <w:r w:rsidR="006B67DB">
        <w:rPr>
          <w:rFonts w:eastAsia="Calibri"/>
          <w:b w:val="0"/>
          <w:sz w:val="19"/>
          <w:szCs w:val="19"/>
          <w:shd w:val="clear" w:color="auto" w:fill="FFFFFF"/>
        </w:rPr>
        <w:t>12,6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 xml:space="preserve"> tys. etatów</w:t>
      </w:r>
      <w:r w:rsidR="00330124">
        <w:rPr>
          <w:rFonts w:eastAsia="Calibri"/>
          <w:b w:val="0"/>
          <w:sz w:val="19"/>
          <w:szCs w:val="19"/>
          <w:shd w:val="clear" w:color="auto" w:fill="FFFFFF"/>
        </w:rPr>
        <w:t>.</w:t>
      </w:r>
    </w:p>
    <w:p w:rsidR="006B67DB" w:rsidRDefault="00236B45" w:rsidP="007417B2">
      <w:pPr>
        <w:rPr>
          <w:szCs w:val="19"/>
        </w:rPr>
      </w:pPr>
      <w:r>
        <w:rPr>
          <w:szCs w:val="19"/>
        </w:rPr>
        <w:t xml:space="preserve">W </w:t>
      </w:r>
      <w:r w:rsidR="006B67DB">
        <w:rPr>
          <w:szCs w:val="19"/>
        </w:rPr>
        <w:t>listopadzie</w:t>
      </w:r>
      <w:r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</w:t>
      </w:r>
      <w:r w:rsidR="00577ED3">
        <w:rPr>
          <w:szCs w:val="19"/>
        </w:rPr>
        <w:t>.</w:t>
      </w:r>
      <w:r w:rsidR="00330124">
        <w:rPr>
          <w:szCs w:val="19"/>
        </w:rPr>
        <w:t xml:space="preserve"> </w:t>
      </w:r>
      <w:r w:rsidR="00330124" w:rsidRPr="00330124">
        <w:rPr>
          <w:b/>
          <w:szCs w:val="19"/>
        </w:rPr>
        <w:t>przeciętne miesięczne wynagrodzenie brutto w sektorze przedsiębiorstw</w:t>
      </w:r>
      <w:r w:rsidR="008979B8">
        <w:rPr>
          <w:b/>
          <w:szCs w:val="19"/>
        </w:rPr>
        <w:t xml:space="preserve"> </w:t>
      </w:r>
      <w:r w:rsidR="007417B2">
        <w:rPr>
          <w:szCs w:val="19"/>
        </w:rPr>
        <w:t>zwiększyło się</w:t>
      </w:r>
      <w:r>
        <w:rPr>
          <w:szCs w:val="19"/>
        </w:rPr>
        <w:t xml:space="preserve"> względem </w:t>
      </w:r>
      <w:r w:rsidR="006B67DB">
        <w:rPr>
          <w:szCs w:val="19"/>
        </w:rPr>
        <w:t>października 2021 r. o 1,8</w:t>
      </w:r>
      <w:r>
        <w:rPr>
          <w:szCs w:val="19"/>
        </w:rPr>
        <w:t>%</w:t>
      </w:r>
      <w:r w:rsidR="006B67DB">
        <w:rPr>
          <w:szCs w:val="19"/>
        </w:rPr>
        <w:t>.</w:t>
      </w:r>
      <w:r w:rsidR="007417B2">
        <w:rPr>
          <w:szCs w:val="19"/>
        </w:rPr>
        <w:t xml:space="preserve"> </w:t>
      </w:r>
      <w:r w:rsidR="00482AFD" w:rsidRPr="002D6BA5">
        <w:rPr>
          <w:szCs w:val="19"/>
        </w:rPr>
        <w:t>Spowodowane było to</w:t>
      </w:r>
      <w:r w:rsidR="00542C31">
        <w:rPr>
          <w:szCs w:val="19"/>
        </w:rPr>
        <w:t>, m.in.</w:t>
      </w:r>
      <w:r w:rsidR="00482AFD">
        <w:rPr>
          <w:szCs w:val="19"/>
        </w:rPr>
        <w:t xml:space="preserve"> wypłatami premii kwartalnych, nagró</w:t>
      </w:r>
      <w:r w:rsidR="009C3DD7">
        <w:rPr>
          <w:szCs w:val="19"/>
        </w:rPr>
        <w:t>d z okazji Dnia Górnika</w:t>
      </w:r>
      <w:r w:rsidR="00AF3D7E">
        <w:rPr>
          <w:szCs w:val="19"/>
        </w:rPr>
        <w:t>,</w:t>
      </w:r>
      <w:r w:rsidR="009C3DD7">
        <w:rPr>
          <w:szCs w:val="19"/>
        </w:rPr>
        <w:t xml:space="preserve"> a także nagród rocznych,</w:t>
      </w:r>
      <w:r w:rsidR="00482AFD">
        <w:rPr>
          <w:szCs w:val="19"/>
        </w:rPr>
        <w:t xml:space="preserve"> uznaniowych</w:t>
      </w:r>
      <w:r w:rsidR="00B25B2D">
        <w:rPr>
          <w:szCs w:val="19"/>
        </w:rPr>
        <w:t>, podwyżek wynagrodzeń</w:t>
      </w:r>
      <w:r w:rsidR="009C3DD7">
        <w:rPr>
          <w:szCs w:val="19"/>
        </w:rPr>
        <w:t xml:space="preserve"> oraz</w:t>
      </w:r>
      <w:r w:rsidR="00482AFD">
        <w:rPr>
          <w:szCs w:val="19"/>
        </w:rPr>
        <w:t xml:space="preserve"> odpraw emerytalnych </w:t>
      </w:r>
      <w:r w:rsidR="00482AFD" w:rsidRPr="002D6BA5">
        <w:rPr>
          <w:szCs w:val="19"/>
        </w:rPr>
        <w:t xml:space="preserve">(które obok wynagrodzeń zasadniczych </w:t>
      </w:r>
      <w:r w:rsidR="00482AFD">
        <w:rPr>
          <w:szCs w:val="19"/>
        </w:rPr>
        <w:t>również</w:t>
      </w:r>
      <w:r w:rsidR="00482AFD" w:rsidRPr="002D6BA5">
        <w:rPr>
          <w:szCs w:val="19"/>
        </w:rPr>
        <w:t xml:space="preserve"> zaliczane są do składników wynagrodzeń</w:t>
      </w:r>
      <w:r w:rsidR="00482AFD" w:rsidRPr="002D6BA5">
        <w:rPr>
          <w:rStyle w:val="Odwoanieprzypisudolnego"/>
          <w:szCs w:val="19"/>
        </w:rPr>
        <w:footnoteReference w:id="4"/>
      </w:r>
      <w:r w:rsidR="00482AFD">
        <w:rPr>
          <w:szCs w:val="19"/>
        </w:rPr>
        <w:t>).</w:t>
      </w:r>
      <w:r w:rsidR="00AF3D7E">
        <w:rPr>
          <w:szCs w:val="19"/>
        </w:rPr>
        <w:t xml:space="preserve"> Większe wzrosty wynagrodzeń zazwyczaj są obserwowane na koniec roku, jednakże w </w:t>
      </w:r>
      <w:r w:rsidR="00435D16">
        <w:rPr>
          <w:szCs w:val="19"/>
        </w:rPr>
        <w:t>niektórych</w:t>
      </w:r>
      <w:r w:rsidR="00AF3D7E">
        <w:rPr>
          <w:szCs w:val="19"/>
        </w:rPr>
        <w:t xml:space="preserve"> sekcjach PKD 2007 były zauważalne już w listopadzie 2021</w:t>
      </w:r>
      <w:r w:rsidR="00435D16">
        <w:rPr>
          <w:szCs w:val="19"/>
        </w:rPr>
        <w:t>, co przełożyło się na dynamikę wzrostu wynagrodzeń w całym sektorze przedsiębiorstw</w:t>
      </w:r>
      <w:r w:rsidR="00AF3D7E">
        <w:rPr>
          <w:szCs w:val="19"/>
        </w:rPr>
        <w:t>.</w:t>
      </w:r>
      <w:r w:rsidR="00482AFD">
        <w:rPr>
          <w:szCs w:val="19"/>
        </w:rPr>
        <w:t xml:space="preserve"> </w:t>
      </w:r>
      <w:r w:rsidR="006B67DB">
        <w:rPr>
          <w:szCs w:val="19"/>
        </w:rPr>
        <w:t xml:space="preserve">Najwyższy wzrost wynagrodzeń względem poprzedniego miesiąca </w:t>
      </w:r>
      <w:r w:rsidR="007417B2">
        <w:rPr>
          <w:szCs w:val="19"/>
        </w:rPr>
        <w:t>odnotowano</w:t>
      </w:r>
      <w:r w:rsidR="006B67DB">
        <w:rPr>
          <w:szCs w:val="19"/>
        </w:rPr>
        <w:t xml:space="preserve"> w sekcji „</w:t>
      </w:r>
      <w:r w:rsidR="007417B2">
        <w:rPr>
          <w:szCs w:val="19"/>
        </w:rPr>
        <w:t>Górnictwo i </w:t>
      </w:r>
      <w:r w:rsidR="006B67DB">
        <w:rPr>
          <w:szCs w:val="19"/>
        </w:rPr>
        <w:t xml:space="preserve">wydobywanie” (o 34,1%), gdzie </w:t>
      </w:r>
      <w:r w:rsidR="00CC6846">
        <w:rPr>
          <w:szCs w:val="19"/>
        </w:rPr>
        <w:t xml:space="preserve">przeciętna </w:t>
      </w:r>
      <w:r w:rsidR="006B67DB">
        <w:rPr>
          <w:szCs w:val="19"/>
        </w:rPr>
        <w:t>płac</w:t>
      </w:r>
      <w:r w:rsidR="00CC6846">
        <w:rPr>
          <w:szCs w:val="19"/>
        </w:rPr>
        <w:t>a brutto</w:t>
      </w:r>
      <w:r w:rsidR="006B67DB">
        <w:rPr>
          <w:szCs w:val="19"/>
        </w:rPr>
        <w:t xml:space="preserve"> wyniosł</w:t>
      </w:r>
      <w:r w:rsidR="00CC6846">
        <w:rPr>
          <w:szCs w:val="19"/>
        </w:rPr>
        <w:t>a</w:t>
      </w:r>
      <w:r w:rsidR="006B67DB">
        <w:rPr>
          <w:szCs w:val="19"/>
        </w:rPr>
        <w:t xml:space="preserve"> 10436,85 zł (miesiąc wcześniej 7785,25 zł) </w:t>
      </w:r>
      <w:r w:rsidR="007417B2">
        <w:rPr>
          <w:szCs w:val="19"/>
        </w:rPr>
        <w:t xml:space="preserve">oraz </w:t>
      </w:r>
      <w:r w:rsidR="006B67DB">
        <w:rPr>
          <w:szCs w:val="19"/>
        </w:rPr>
        <w:t xml:space="preserve">„Wytwarzanie i zaopatrywanie w energię elektryczną, gaz, parę wodną </w:t>
      </w:r>
      <w:r w:rsidR="006B67DB" w:rsidRPr="006B67DB">
        <w:rPr>
          <w:szCs w:val="19"/>
        </w:rPr>
        <w:t>i gorącą wodę</w:t>
      </w:r>
      <w:r w:rsidR="006B67DB">
        <w:rPr>
          <w:szCs w:val="19"/>
        </w:rPr>
        <w:t>” (o</w:t>
      </w:r>
      <w:r w:rsidR="007417B2">
        <w:rPr>
          <w:szCs w:val="19"/>
        </w:rPr>
        <w:t xml:space="preserve"> 16,9%), gdzie wynagrodzenia zwiększyły się do 9470,08 zł (miesiąc wcześniej </w:t>
      </w:r>
      <w:r w:rsidR="00CC6846">
        <w:rPr>
          <w:szCs w:val="19"/>
        </w:rPr>
        <w:t xml:space="preserve">wynosiły </w:t>
      </w:r>
      <w:r w:rsidR="007417B2">
        <w:rPr>
          <w:szCs w:val="19"/>
        </w:rPr>
        <w:t>8099,55</w:t>
      </w:r>
      <w:r w:rsidR="005876E9">
        <w:rPr>
          <w:szCs w:val="19"/>
        </w:rPr>
        <w:t> </w:t>
      </w:r>
      <w:r w:rsidR="007417B2">
        <w:rPr>
          <w:szCs w:val="19"/>
        </w:rPr>
        <w:t>zł).</w:t>
      </w:r>
      <w:r w:rsidR="008B24B0">
        <w:rPr>
          <w:szCs w:val="19"/>
        </w:rPr>
        <w:t xml:space="preserve"> </w:t>
      </w:r>
    </w:p>
    <w:p w:rsidR="00232A61" w:rsidRDefault="003F55FD">
      <w:pPr>
        <w:rPr>
          <w:szCs w:val="19"/>
        </w:rPr>
      </w:pPr>
      <w:r w:rsidRPr="00D033A8">
        <w:rPr>
          <w:szCs w:val="19"/>
        </w:rPr>
        <w:t>W skali roku (</w:t>
      </w:r>
      <w:r w:rsidR="00482AFD">
        <w:rPr>
          <w:szCs w:val="19"/>
        </w:rPr>
        <w:t>listopad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6B67DB">
        <w:rPr>
          <w:szCs w:val="19"/>
        </w:rPr>
        <w:t>listopada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</w:t>
      </w:r>
      <w:r w:rsidR="00CC6846">
        <w:rPr>
          <w:szCs w:val="19"/>
        </w:rPr>
        <w:t xml:space="preserve">brutto </w:t>
      </w:r>
      <w:r w:rsidR="007D4A94" w:rsidRPr="00D033A8">
        <w:rPr>
          <w:szCs w:val="19"/>
        </w:rPr>
        <w:t xml:space="preserve">wzrosło </w:t>
      </w:r>
      <w:r w:rsidR="002D6BA5" w:rsidRPr="00D033A8">
        <w:rPr>
          <w:szCs w:val="19"/>
        </w:rPr>
        <w:t>o </w:t>
      </w:r>
      <w:r w:rsidR="006B67DB">
        <w:rPr>
          <w:szCs w:val="19"/>
        </w:rPr>
        <w:t>9,8</w:t>
      </w:r>
      <w:r w:rsidR="00102F32">
        <w:rPr>
          <w:szCs w:val="19"/>
        </w:rPr>
        <w:t>%</w:t>
      </w:r>
      <w:r w:rsidR="004441C9">
        <w:rPr>
          <w:szCs w:val="19"/>
        </w:rPr>
        <w:t>. P</w:t>
      </w:r>
      <w:r w:rsidR="00F767B3">
        <w:rPr>
          <w:szCs w:val="19"/>
        </w:rPr>
        <w:t>rzed rokiem (</w:t>
      </w:r>
      <w:r w:rsidR="006B67DB">
        <w:rPr>
          <w:szCs w:val="19"/>
        </w:rPr>
        <w:t>listopad</w:t>
      </w:r>
      <w:r w:rsidR="00577ED3">
        <w:rPr>
          <w:szCs w:val="19"/>
        </w:rPr>
        <w:t xml:space="preserve"> </w:t>
      </w:r>
      <w:r w:rsidR="00F767B3">
        <w:rPr>
          <w:szCs w:val="19"/>
        </w:rPr>
        <w:t xml:space="preserve">2020 r. do </w:t>
      </w:r>
      <w:r w:rsidR="006B67DB">
        <w:rPr>
          <w:szCs w:val="19"/>
        </w:rPr>
        <w:t>listopada</w:t>
      </w:r>
      <w:r w:rsidR="00F767B3">
        <w:rPr>
          <w:szCs w:val="19"/>
        </w:rPr>
        <w:t xml:space="preserve"> 2019 r.</w:t>
      </w:r>
      <w:r w:rsidR="00786A37">
        <w:rPr>
          <w:szCs w:val="19"/>
        </w:rPr>
        <w:t>)</w:t>
      </w:r>
      <w:r w:rsidR="00F767B3">
        <w:rPr>
          <w:szCs w:val="19"/>
        </w:rPr>
        <w:t xml:space="preserve"> odnotowano dyn</w:t>
      </w:r>
      <w:r w:rsidR="00A4550C">
        <w:rPr>
          <w:szCs w:val="19"/>
        </w:rPr>
        <w:t>am</w:t>
      </w:r>
      <w:r w:rsidR="00B26725">
        <w:rPr>
          <w:szCs w:val="19"/>
        </w:rPr>
        <w:t xml:space="preserve">ikę wzrostu płac na poziomie </w:t>
      </w:r>
      <w:r w:rsidR="005D21DF">
        <w:rPr>
          <w:szCs w:val="19"/>
        </w:rPr>
        <w:t>4</w:t>
      </w:r>
      <w:r w:rsidR="00B26725">
        <w:rPr>
          <w:szCs w:val="19"/>
        </w:rPr>
        <w:t>,</w:t>
      </w:r>
      <w:r w:rsidR="006B67DB">
        <w:rPr>
          <w:szCs w:val="19"/>
        </w:rPr>
        <w:t>9</w:t>
      </w:r>
      <w:r w:rsidR="00F767B3">
        <w:rPr>
          <w:szCs w:val="19"/>
        </w:rPr>
        <w:t xml:space="preserve">%. </w:t>
      </w:r>
    </w:p>
    <w:p w:rsidR="00232A61" w:rsidRDefault="00BE2BE1">
      <w:pPr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 w:rsidR="006B67DB">
        <w:rPr>
          <w:bCs/>
          <w:szCs w:val="19"/>
        </w:rPr>
        <w:t>jedenastu</w:t>
      </w:r>
      <w:r w:rsidR="00DE3498">
        <w:rPr>
          <w:bCs/>
          <w:szCs w:val="19"/>
        </w:rPr>
        <w:t xml:space="preserve"> </w:t>
      </w:r>
      <w:r w:rsidRPr="009118C4">
        <w:rPr>
          <w:bCs/>
          <w:szCs w:val="19"/>
        </w:rPr>
        <w:t>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 xml:space="preserve">ętne miesięczne wynagrodzenie </w:t>
      </w:r>
      <w:r w:rsidR="00A153EF">
        <w:rPr>
          <w:bCs/>
          <w:szCs w:val="19"/>
        </w:rPr>
        <w:t xml:space="preserve">brutto </w:t>
      </w:r>
      <w:r w:rsidR="00DA4DC4">
        <w:rPr>
          <w:bCs/>
          <w:szCs w:val="19"/>
        </w:rPr>
        <w:t xml:space="preserve">w sektorze przedsiębiorstw </w:t>
      </w:r>
      <w:r>
        <w:rPr>
          <w:bCs/>
          <w:szCs w:val="19"/>
        </w:rPr>
        <w:t>w </w:t>
      </w:r>
      <w:r w:rsidRPr="009118C4">
        <w:rPr>
          <w:bCs/>
          <w:szCs w:val="19"/>
        </w:rPr>
        <w:t>porównaniu z analogicznym ok</w:t>
      </w:r>
      <w:r>
        <w:rPr>
          <w:bCs/>
          <w:szCs w:val="19"/>
        </w:rPr>
        <w:t xml:space="preserve">resem ubiegłego roku wzrosło we wszystkich sekcjach PKD </w:t>
      </w:r>
      <w:r w:rsidR="0029575D">
        <w:rPr>
          <w:bCs/>
          <w:szCs w:val="19"/>
        </w:rPr>
        <w:t xml:space="preserve">2007 </w:t>
      </w:r>
      <w:r w:rsidR="00C7754E" w:rsidRPr="00877482">
        <w:rPr>
          <w:szCs w:val="19"/>
        </w:rPr>
        <w:t>od </w:t>
      </w:r>
      <w:r w:rsidR="00B07F93">
        <w:rPr>
          <w:szCs w:val="19"/>
        </w:rPr>
        <w:t>5</w:t>
      </w:r>
      <w:r w:rsidR="00482AFD">
        <w:rPr>
          <w:szCs w:val="19"/>
        </w:rPr>
        <w:t>,7</w:t>
      </w:r>
      <w:r w:rsidR="00A4550C">
        <w:rPr>
          <w:szCs w:val="19"/>
        </w:rPr>
        <w:t>%</w:t>
      </w:r>
      <w:r w:rsidR="008A4FA1" w:rsidRPr="00877482">
        <w:rPr>
          <w:szCs w:val="19"/>
        </w:rPr>
        <w:t xml:space="preserve"> w sekcji </w:t>
      </w:r>
      <w:r w:rsidR="00353C8A" w:rsidRPr="00877482">
        <w:rPr>
          <w:szCs w:val="19"/>
        </w:rPr>
        <w:t>„</w:t>
      </w:r>
      <w:r w:rsidR="00044667" w:rsidRPr="00877482">
        <w:rPr>
          <w:szCs w:val="19"/>
        </w:rPr>
        <w:t>Działalność</w:t>
      </w:r>
      <w:r w:rsidR="00DA4DC4">
        <w:rPr>
          <w:szCs w:val="19"/>
        </w:rPr>
        <w:t xml:space="preserve"> związana z kulturą, rozrywką i </w:t>
      </w:r>
      <w:r w:rsidR="00044667" w:rsidRPr="00877482">
        <w:rPr>
          <w:szCs w:val="19"/>
        </w:rPr>
        <w:t>rekreacją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330124">
        <w:rPr>
          <w:szCs w:val="19"/>
        </w:rPr>
        <w:t>12,3</w:t>
      </w:r>
      <w:r w:rsidR="00F577BD" w:rsidRPr="00877482">
        <w:rPr>
          <w:szCs w:val="19"/>
        </w:rPr>
        <w:t>% w sekcji „</w:t>
      </w:r>
      <w:r w:rsidR="005D21DF" w:rsidRPr="005D21DF">
        <w:rPr>
          <w:szCs w:val="19"/>
        </w:rPr>
        <w:t>Rolnictwo, leśnictwo, łowiectwo i rybactwo</w:t>
      </w:r>
      <w:r w:rsidR="005D21DF">
        <w:rPr>
          <w:szCs w:val="19"/>
        </w:rPr>
        <w:t>”,</w:t>
      </w:r>
      <w:r w:rsidR="00572A21" w:rsidRPr="00572A21">
        <w:rPr>
          <w:szCs w:val="19"/>
        </w:rPr>
        <w:t xml:space="preserve"> </w:t>
      </w:r>
      <w:r w:rsidR="00572A21" w:rsidRPr="009118C4">
        <w:rPr>
          <w:szCs w:val="19"/>
        </w:rPr>
        <w:t>co dało ogółem wzrost w</w:t>
      </w:r>
      <w:r w:rsidR="003533F8">
        <w:rPr>
          <w:szCs w:val="19"/>
        </w:rPr>
        <w:t> </w:t>
      </w:r>
      <w:r w:rsidR="00572A21" w:rsidRPr="009118C4">
        <w:rPr>
          <w:szCs w:val="19"/>
        </w:rPr>
        <w:t>sektorze przedsięb</w:t>
      </w:r>
      <w:r w:rsidR="00572A21">
        <w:rPr>
          <w:szCs w:val="19"/>
        </w:rPr>
        <w:t xml:space="preserve">iorstw o </w:t>
      </w:r>
      <w:r w:rsidR="00B26725">
        <w:rPr>
          <w:szCs w:val="19"/>
        </w:rPr>
        <w:t>8</w:t>
      </w:r>
      <w:r w:rsidR="00DF33C0">
        <w:rPr>
          <w:szCs w:val="19"/>
        </w:rPr>
        <w:t>,</w:t>
      </w:r>
      <w:r w:rsidR="00482AFD">
        <w:rPr>
          <w:szCs w:val="19"/>
        </w:rPr>
        <w:t>5</w:t>
      </w:r>
      <w:r w:rsidR="00572A21">
        <w:rPr>
          <w:szCs w:val="19"/>
        </w:rPr>
        <w:t>%</w:t>
      </w:r>
      <w:r w:rsidR="00572A21" w:rsidRPr="009118C4">
        <w:rPr>
          <w:szCs w:val="19"/>
        </w:rPr>
        <w:t>.</w:t>
      </w:r>
      <w:r w:rsidR="00E0599F">
        <w:rPr>
          <w:szCs w:val="19"/>
        </w:rPr>
        <w:t xml:space="preserve"> Najwyższą </w:t>
      </w:r>
      <w:r w:rsidR="00455B4E">
        <w:rPr>
          <w:szCs w:val="19"/>
        </w:rPr>
        <w:t xml:space="preserve">przeciętną </w:t>
      </w:r>
      <w:r w:rsidR="00E0599F">
        <w:rPr>
          <w:szCs w:val="19"/>
        </w:rPr>
        <w:t xml:space="preserve">płacę </w:t>
      </w:r>
      <w:r w:rsidR="003533F8">
        <w:rPr>
          <w:szCs w:val="19"/>
        </w:rPr>
        <w:t xml:space="preserve">brutto </w:t>
      </w:r>
      <w:r w:rsidR="00482AFD">
        <w:rPr>
          <w:szCs w:val="19"/>
        </w:rPr>
        <w:t>w</w:t>
      </w:r>
      <w:r w:rsidR="000A1E8D">
        <w:rPr>
          <w:szCs w:val="19"/>
        </w:rPr>
        <w:t> </w:t>
      </w:r>
      <w:r w:rsidR="003533F8">
        <w:rPr>
          <w:szCs w:val="19"/>
        </w:rPr>
        <w:t>sektorze przedsiębiorstw</w:t>
      </w:r>
      <w:r w:rsidR="001209A3">
        <w:rPr>
          <w:szCs w:val="19"/>
        </w:rPr>
        <w:t xml:space="preserve"> </w:t>
      </w:r>
      <w:r w:rsidR="00482AFD">
        <w:rPr>
          <w:szCs w:val="19"/>
        </w:rPr>
        <w:t>w okresie narastającym</w:t>
      </w:r>
      <w:r w:rsidR="003533F8">
        <w:rPr>
          <w:szCs w:val="19"/>
        </w:rPr>
        <w:t xml:space="preserve"> </w:t>
      </w:r>
      <w:r w:rsidR="00E0599F">
        <w:rPr>
          <w:szCs w:val="19"/>
        </w:rPr>
        <w:t>odnotowano w sekcji „</w:t>
      </w:r>
      <w:r w:rsidR="00DA4DC4">
        <w:rPr>
          <w:szCs w:val="19"/>
        </w:rPr>
        <w:t xml:space="preserve">Informacja </w:t>
      </w:r>
      <w:r w:rsidR="00DA4DC4">
        <w:rPr>
          <w:szCs w:val="19"/>
        </w:rPr>
        <w:lastRenderedPageBreak/>
        <w:t>i </w:t>
      </w:r>
      <w:r w:rsidR="00E0599F">
        <w:rPr>
          <w:szCs w:val="19"/>
        </w:rPr>
        <w:t xml:space="preserve">komunikacja” w wysokości </w:t>
      </w:r>
      <w:r w:rsidR="00482AFD">
        <w:rPr>
          <w:szCs w:val="19"/>
        </w:rPr>
        <w:t>9992,89 zł (wzrost o 8,3</w:t>
      </w:r>
      <w:r w:rsidR="00E0599F">
        <w:rPr>
          <w:szCs w:val="19"/>
        </w:rPr>
        <w:t xml:space="preserve">% względem </w:t>
      </w:r>
      <w:r w:rsidR="005D21DF">
        <w:rPr>
          <w:szCs w:val="19"/>
        </w:rPr>
        <w:t>analogicznego okresu roku poprzedniego</w:t>
      </w:r>
      <w:r w:rsidR="00E0599F">
        <w:rPr>
          <w:szCs w:val="19"/>
        </w:rPr>
        <w:t xml:space="preserve">), zaś najniższą w sekcji </w:t>
      </w:r>
      <w:r w:rsidR="00DA4DC4">
        <w:rPr>
          <w:szCs w:val="19"/>
        </w:rPr>
        <w:t>„Zakwaterowanie i gastronomia” na poziomie 41</w:t>
      </w:r>
      <w:r w:rsidR="00482AFD">
        <w:rPr>
          <w:szCs w:val="19"/>
        </w:rPr>
        <w:t>94,10</w:t>
      </w:r>
      <w:r w:rsidR="005D21DF">
        <w:rPr>
          <w:szCs w:val="19"/>
        </w:rPr>
        <w:t xml:space="preserve"> </w:t>
      </w:r>
      <w:r w:rsidR="00DA4DC4">
        <w:rPr>
          <w:szCs w:val="19"/>
        </w:rPr>
        <w:t>zł (</w:t>
      </w:r>
      <w:r w:rsidR="00455B4E">
        <w:rPr>
          <w:szCs w:val="19"/>
        </w:rPr>
        <w:t xml:space="preserve">pomimo </w:t>
      </w:r>
      <w:r w:rsidR="00DA4DC4">
        <w:rPr>
          <w:szCs w:val="19"/>
        </w:rPr>
        <w:t>wzrost</w:t>
      </w:r>
      <w:r w:rsidR="00455B4E">
        <w:rPr>
          <w:szCs w:val="19"/>
        </w:rPr>
        <w:t>u w odniesieniu do sytuacji sprzed roku</w:t>
      </w:r>
      <w:r w:rsidR="00DA4DC4">
        <w:rPr>
          <w:szCs w:val="19"/>
        </w:rPr>
        <w:t xml:space="preserve"> o </w:t>
      </w:r>
      <w:r w:rsidR="005D21DF">
        <w:rPr>
          <w:szCs w:val="19"/>
        </w:rPr>
        <w:t>1</w:t>
      </w:r>
      <w:r w:rsidR="00482AFD">
        <w:rPr>
          <w:szCs w:val="19"/>
        </w:rPr>
        <w:t>1</w:t>
      </w:r>
      <w:r w:rsidR="005D21DF">
        <w:rPr>
          <w:szCs w:val="19"/>
        </w:rPr>
        <w:t>,</w:t>
      </w:r>
      <w:r w:rsidR="00482AFD">
        <w:rPr>
          <w:szCs w:val="19"/>
        </w:rPr>
        <w:t>6%).</w:t>
      </w:r>
      <w:r w:rsidR="0063260E">
        <w:rPr>
          <w:b/>
          <w:szCs w:val="19"/>
        </w:rPr>
        <w:br/>
      </w:r>
    </w:p>
    <w:p w:rsidR="005809C7" w:rsidRPr="00BB0084" w:rsidRDefault="00800209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-13970</wp:posOffset>
            </wp:positionH>
            <wp:positionV relativeFrom="margin">
              <wp:posOffset>949960</wp:posOffset>
            </wp:positionV>
            <wp:extent cx="5123180" cy="2969895"/>
            <wp:effectExtent l="19050" t="0" r="0" b="0"/>
            <wp:wrapSquare wrapText="bothSides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  <w:r w:rsidR="009118C4"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402BC9">
        <w:rPr>
          <w:szCs w:val="19"/>
        </w:rPr>
        <w:t xml:space="preserve"> </w:t>
      </w:r>
      <w:r w:rsidRPr="00330312">
        <w:rPr>
          <w:szCs w:val="19"/>
        </w:rPr>
        <w:t>wodach morskich; górnictwa i wydobywania; przetwórstwa przemysłowego; wytwarzania i</w:t>
      </w:r>
      <w:r w:rsidR="00402BC9">
        <w:rPr>
          <w:szCs w:val="19"/>
        </w:rPr>
        <w:t xml:space="preserve"> </w:t>
      </w:r>
      <w:r w:rsidRPr="00330312">
        <w:rPr>
          <w:szCs w:val="19"/>
        </w:rPr>
        <w:t>zaopatrywania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402BC9">
        <w:rPr>
          <w:szCs w:val="19"/>
        </w:rPr>
        <w:t xml:space="preserve">budownictwa; handlu hurtowego i 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02BC9">
        <w:rPr>
          <w:szCs w:val="19"/>
        </w:rPr>
        <w:t xml:space="preserve">cykle; transportu i 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profesjonalnej, naukowej i</w:t>
      </w:r>
      <w:r w:rsidR="00402BC9">
        <w:rPr>
          <w:szCs w:val="19"/>
        </w:rPr>
        <w:t xml:space="preserve"> technicznej; działalności w 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402BC9">
        <w:rPr>
          <w:szCs w:val="19"/>
        </w:rPr>
        <w:t xml:space="preserve">cej; działalności związanej z 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</w:t>
      </w:r>
      <w:r w:rsidR="00402BC9">
        <w:rPr>
          <w:szCs w:val="19"/>
        </w:rPr>
        <w:t xml:space="preserve"> </w:t>
      </w:r>
      <w:r w:rsidRPr="00330312">
        <w:rPr>
          <w:szCs w:val="19"/>
        </w:rPr>
        <w:t>artykułów użytku osobistego i domowego; pozostałej indywidualnej działalności usługowej.</w:t>
      </w:r>
    </w:p>
    <w:p w:rsidR="005809C7" w:rsidRDefault="00F3548B" w:rsidP="00A153EF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</w:t>
      </w:r>
      <w:r w:rsidR="00402BC9">
        <w:rPr>
          <w:szCs w:val="19"/>
        </w:rPr>
        <w:t xml:space="preserve"> 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5"/>
      </w:r>
      <w:r>
        <w:rPr>
          <w:szCs w:val="19"/>
        </w:rPr>
        <w:t xml:space="preserve">. </w:t>
      </w:r>
    </w:p>
    <w:p w:rsidR="00402BC9" w:rsidRDefault="00F30B2F" w:rsidP="001921AA">
      <w:pPr>
        <w:spacing w:after="160" w:line="254" w:lineRule="auto"/>
        <w:rPr>
          <w:szCs w:val="19"/>
        </w:r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402BC9">
        <w:rPr>
          <w:szCs w:val="19"/>
        </w:rPr>
        <w:t>.</w:t>
      </w:r>
    </w:p>
    <w:p w:rsidR="00694AF0" w:rsidRPr="00001C5B" w:rsidRDefault="001921AA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</w:t>
            </w:r>
            <w:r w:rsidR="001D4DD6">
              <w:rPr>
                <w:rFonts w:ascii="Fira Sans" w:hAnsi="Fira Sans" w:cs="Calibri"/>
                <w:color w:val="auto"/>
                <w:sz w:val="20"/>
                <w:lang w:val="fi-FI"/>
              </w:rPr>
              <w:t>0 15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:rsidR="00D261A2" w:rsidRPr="00001C5B" w:rsidRDefault="00DC4DC2" w:rsidP="00E76D26">
      <w:pPr>
        <w:rPr>
          <w:sz w:val="18"/>
        </w:rPr>
      </w:pPr>
      <w:r>
        <w:rPr>
          <w:noProof/>
          <w:sz w:val="18"/>
          <w:lang w:val="en-GB" w:eastAsia="en-GB"/>
        </w:rPr>
        <w:pict w14:anchorId="127F9C47">
          <v:shape id="Text Box 4" o:spid="_x0000_s1030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22WLwIAAFkEAAAOAAAAZHJzL2Uyb0RvYy54bWysVNuO0zAQfUfiHyy/06QhWbZR09XSpQhp&#10;uUi7fIDjOImF4zG226R8PWOnW8rtBZFKlsczPp45Z6brm2lQ5CCsk6ArulyklAjNoZG6q+jnx92L&#10;a0qcZ7phCrSo6FE4erN5/mw9mlJk0INqhCUIol05mor23psySRzvxcDcAozQ6GzBDsyjabuksWxE&#10;9EElWZpeJSPYxljgwjk8vZuddBPx21Zw/7FtnfBEVRRz83G1ca3DmmzWrOwsM73kpzTYP2QxMKnx&#10;0TPUHfOM7K38DWqQ3IKD1i84DAm0reQi1oDVLNNfqnnomRGxFiTHmTNN7v/B8g+HT5bIBrXLKNFs&#10;QI0exeTJa5hIHugZjSsx6sFgnJ/wGENjqc7cA//iiIZtz3Qnbq2FsReswfSW4WZycXXGcQGkHt9D&#10;g8+wvYcINLV2CNwhGwTRUabjWZqQCsfDq6JYFQW6OPryPH+Zror4Biufrhvr/FsBAwmbilrUPsKz&#10;w73zIR1WPoWE1xwo2eykUtGwXb1VlhwY9skuC78T+k9hSpOxoqsiK2YG/g6xC9+fIAbpseGVHCp6&#10;nYYvBLEy8PZGN3HvmVTzHlNW+kRk4G5m0U/1FCU761NDc0RmLcz9jfOImx7sN0pG7O2Kuq97ZgUl&#10;6p1GdVbLPA/DEI28eJWhYS899aWHaY5QFfWUzNutnwdob6zsenxp7gcNt6hoKyPXQfo5q1P62L9R&#10;gtOshQG5tGPUj3+EzXcAAAD//wMAUEsDBBQABgAIAAAAIQBaQMMk4AAAAAkBAAAPAAAAZHJzL2Rv&#10;d25yZXYueG1sTI9PS8QwEMXvgt8hjOBF3HS3kEptuoh/DoIK7gpe02ZsyzaT2mTb+u2dPelpZniP&#10;N79XbBfXiwnH0HnSsF4lIJBqbztqNHzsn65vQIRoyJreE2r4wQDb8vysMLn1M73jtIuN4BAKudHQ&#10;xjjkUoa6RWfCyg9IrH350ZnI59hIO5qZw10vN0mipDMd8YfWDHjfYn3YHZ2Gh83bvM5eroZDta8e&#10;X6dveg6fqdaXF8vdLYiIS/wzwwmf0aFkpsofyQbRa0i5SdSgMp4nOUkVb5WGTKkMZFnI/w3KXwAA&#10;AP//AwBQSwECLQAUAAYACAAAACEAtoM4kv4AAADhAQAAEwAAAAAAAAAAAAAAAAAAAAAAW0NvbnRl&#10;bnRfVHlwZXNdLnhtbFBLAQItABQABgAIAAAAIQA4/SH/1gAAAJQBAAALAAAAAAAAAAAAAAAAAC8B&#10;AABfcmVscy8ucmVsc1BLAQItABQABgAIAAAAIQBbH22WLwIAAFkEAAAOAAAAAAAAAAAAAAAAAC4C&#10;AABkcnMvZTJvRG9jLnhtbFBLAQItABQABgAIAAAAIQBaQMMk4AAAAAkBAAAPAAAAAAAAAAAAAAAA&#10;AIkEAABkcnMvZG93bnJldi54bWxQSwUGAAAAAAQABADzAAAAlgUAAAAA&#10;" fillcolor="#f2f2f2" strokecolor="white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DC4DC2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AF35D4" w:rsidRDefault="00DC4DC2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2060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5276C2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pierwszym </w:t>
                    </w:r>
                    <w:r w:rsidR="00AF35D4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półroczu</w:t>
                    </w:r>
                    <w:r w:rsidR="005276C2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 2021 roku</w:t>
                    </w:r>
                  </w:hyperlink>
                </w:p>
                <w:p w:rsidR="00E363A1" w:rsidRPr="005276C2" w:rsidRDefault="00DC4DC2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DC4DC2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DC4DC2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DC4DC2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DC4DC2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DC4DC2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DC4DC2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C2" w:rsidRDefault="00DC4DC2" w:rsidP="000662E2">
      <w:pPr>
        <w:spacing w:after="0" w:line="240" w:lineRule="auto"/>
      </w:pPr>
      <w:r>
        <w:separator/>
      </w:r>
    </w:p>
  </w:endnote>
  <w:endnote w:type="continuationSeparator" w:id="0">
    <w:p w:rsidR="00DC4DC2" w:rsidRDefault="00DC4DC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160CB7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DF610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160CB7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DF610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160CB7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DF61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C2" w:rsidRDefault="00DC4DC2" w:rsidP="000662E2">
      <w:pPr>
        <w:spacing w:after="0" w:line="240" w:lineRule="auto"/>
      </w:pPr>
      <w:r>
        <w:separator/>
      </w:r>
    </w:p>
  </w:footnote>
  <w:footnote w:type="continuationSeparator" w:id="0">
    <w:p w:rsidR="00DC4DC2" w:rsidRDefault="00DC4DC2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F26BC3" w:rsidRDefault="00890841" w:rsidP="00A221DB">
      <w:pPr>
        <w:pStyle w:val="Tekstprzypisudolnego"/>
        <w:spacing w:before="0"/>
        <w:rPr>
          <w:color w:val="001D77"/>
        </w:rPr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F26BC3">
          <w:rPr>
            <w:rStyle w:val="Hipercze"/>
            <w:rFonts w:ascii="Fira Sans" w:hAnsi="Fira Sans"/>
            <w:color w:val="001D77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F26BC3">
        <w:rPr>
          <w:rFonts w:ascii="Fira Sans" w:hAnsi="Fira Sans"/>
          <w:color w:val="001D77"/>
          <w:sz w:val="16"/>
          <w:szCs w:val="16"/>
        </w:rPr>
        <w:t>.</w:t>
      </w:r>
      <w:r w:rsidR="000752C7" w:rsidRPr="00F26BC3">
        <w:rPr>
          <w:color w:val="001D77"/>
        </w:rPr>
        <w:t xml:space="preserve"> </w:t>
      </w:r>
    </w:p>
  </w:footnote>
  <w:footnote w:id="4">
    <w:p w:rsidR="00482AFD" w:rsidRPr="00C44E78" w:rsidRDefault="00482AFD" w:rsidP="00482AF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F26BC3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http://form.stat.gov.pl/formularze/2020/objasnienia/zalacznik_do_objasnien.pdf</w:t>
        </w:r>
      </w:hyperlink>
      <w:r w:rsidRPr="00F26BC3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</w:p>
  </w:footnote>
  <w:footnote w:id="5">
    <w:p w:rsidR="00F3548B" w:rsidRPr="00F26BC3" w:rsidRDefault="00F3548B" w:rsidP="00A221DB">
      <w:pPr>
        <w:pStyle w:val="Tekstprzypisudolnego"/>
        <w:spacing w:before="0"/>
        <w:rPr>
          <w:color w:val="001D77"/>
        </w:rPr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3" w:history="1">
        <w:r w:rsidRPr="00F26BC3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http://form.stat.gov.pl/formularze/2020/passive/DG-1.pdf</w:t>
        </w:r>
      </w:hyperlink>
      <w:r w:rsidRPr="00F26BC3">
        <w:rPr>
          <w:rFonts w:ascii="Fira Sans" w:hAnsi="Fira Sans"/>
          <w:color w:val="001D77"/>
          <w:sz w:val="16"/>
          <w:szCs w:val="16"/>
        </w:rPr>
        <w:t>.</w:t>
      </w:r>
      <w:r w:rsidRPr="00F26BC3">
        <w:rPr>
          <w:color w:val="001D77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C4DC2">
    <w:pPr>
      <w:pStyle w:val="Nagwek"/>
    </w:pPr>
    <w:r>
      <w:rPr>
        <w:noProof/>
        <w:lang w:val="en-GB" w:eastAsia="en-GB"/>
      </w:rPr>
      <w:pict w14:anchorId="7FD118D6"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DAhgIAAAI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1XiKkSIdlGgNBL1+/P7No7wICeqNq8DvwaxtCNGZe00fHVJ60RK15bfW6r7lhAGtLPgnzw6EhYOj&#10;aNO/1Qzwyc7rmKtDY7sACFlAh1iSp3NJ+MEjCpvZbFqMc6gcBVueT2ZpXo7jJaQ6nTfW+ddcdyhM&#10;amyh6BGf7O+dD3xIdXKJ/LUUbCWkjAu73SykRXsCAlnl4X9Ed5duUgVnpcOxAXHYAZpwR7AFwrHg&#10;X8osL9K7vBytJrPpqFgV41E5TWejNCvvyklalMVy9TUQzIqqFYxxdS8UP4kvK/6uuMc2GGQT5Yd6&#10;SFc+TdMY/DP67jLKNP7+FGUnPDSjFF2NZ2cnUoXavlIM4iaVJ0IO8+Q5/5hmSMLpG9MSlRCKP4ho&#10;o9kTCMFqqBKUFJ4NmLTafsaohxassfu0I5ZjJN8oEFOZFUXo2bgoxtMgA3tp2VxaiKIAVWPqLUbD&#10;YuGHTt8ZK7Yt3JXF1Ch9CxJsRNRGkOfA6yhcaLQYw/FRCJ18uY5eP5+u+Q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IP7cMCGAgAAAgUAAA4AAAAAAAAAAAAAAAAALgIAAGRycy9lMm9Eb2MueG1sUEsBAi0A&#10;FAAGAAgAAAAhABMMcyvlAAAADQEAAA8AAAAAAAAAAAAAAAAA4AQAAGRycy9kb3ducmV2LnhtbFBL&#10;BQYAAAAABAAEAPMAAADyBQAAAAA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C4DC2">
    <w:pPr>
      <w:pStyle w:val="Nagwek"/>
      <w:rPr>
        <w:noProof/>
        <w:lang w:eastAsia="pl-PL"/>
      </w:rPr>
    </w:pPr>
    <w:r>
      <w:rPr>
        <w:noProof/>
        <w:lang w:val="en-GB" w:eastAsia="en-GB"/>
      </w:rPr>
      <w:pict w14:anchorId="3FC9180F"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Aq+vo3eAAAACgEAAA8AAABkcnMvZG93bnJldi54bWxMj0FLw0AQhe+C/2EZwZvdbANNjZmU&#10;IlTwaFsKvW2zYxLMzsbspon/3u1Jj8P7eO+bYjPbTlxp8K1jBLVIQBBXzrRcIxwPu6c1CB80G905&#10;JoQf8rAp7+8KnRs38Qdd96EWsYR9rhGaEPpcSl81ZLVfuJ44Zp9usDrEc6ilGfQUy20nl0mykla3&#10;HBca3dNrQ9XXfrQI36rpd+/ajhym00G+Hc9bX58RHx/m7QuIQHP4g+GmH9WhjE4XN7LxokPIntNl&#10;RBFSlYK4AUplGYgLwjpbgSwL+f+F8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K&#10;vr6N3gAAAAoBAAAPAAAAAAAAAAAAAAAAAKUIAABkcnMvZG93bnJldi54bWxQSwUGAAAAAAQABADz&#10;AAAAsAkAAAAA&#10;" adj="-11796480,,5400" path="m,l3220948,v169038,,306070,137032,306070,306070c3527018,475108,3389986,612140,3220948,612140l,612140,,xe" fillcolor="#001d77" stroked="f" strokeweight="2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val="en-GB" w:eastAsia="en-GB"/>
      </w:rPr>
      <w:pict w14:anchorId="220DE83C">
        <v:rect id="Prostokąt 10" o:spid="_x0000_s2050" style="position:absolute;margin-left:411.1pt;margin-top:40.3pt;width:147.4pt;height:1803.55pt;z-index:-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96hAIAAAIFAAAOAAAAZHJzL2Uyb0RvYy54bWysVNuO0zAQfUfiHyy/d3Mh3SbRpqu9UIS0&#10;QKWFD3Btp7HWsY3tNl0Qj/wZH8bYabtd4AEhWsnxeOzjM3NmfHG56yXacuuEVg3OzlKMuKKaCbVu&#10;8KePi0mJkfNEMSK14g1+5A5fzl++uBhMzXPdacm4RQCiXD2YBnfemzpJHO14T9yZNlyBs9W2Jx5M&#10;u06YJQOg9zLJ0/Q8GbRlxmrKnYPV29GJ5xG/bTn1H9rWcY9kg4Gbj6ON4yqMyfyC1GtLTCfongb5&#10;BxY9EQouPULdEk/QxorfoHpBrXa69WdU94luW0F5jAGiydJfornviOExFkiOM8c0uf8HS99vlxYJ&#10;1uBXGCnSg0RLIOj1w4/vHmUxQYNxNey7N0sbQnTmTtMHh5S+6Yha8ytr9dBxwoBWFhKaPDsQDAdH&#10;0Wp4pxngk43XMVe71vYBELKAdlGSx6MkfOcRhcWsnGVVCcpR8OV5lU7TchovIfXhvLHOv+G6R2HS&#10;YAuiR3yyvXM+8CH1YUvkr6VgCyFlNOx6dSMt2hIokEUe/nt0d7pNqrBZ6XBsRBxXgCbcEXyBcBT8&#10;a5XlRXqdV5PFeTmbFItiOqlmaTlJs+q6Ok+LqrhdfAsEs6LuBGNc3QnFD8WXFX8n7r4NxrKJ5YcG&#10;SFc+S9MY/DP67jTKNP7+FGUvPDSjFH2Dy+MmUgdtXysWW8UTIcd58px/TDMk4fCNaYmVEMQP/ejq&#10;lWaPUAhWg0ogKTwbMOm0/YLRAC3YYPd5QyzHSL5VUExVVhShZ6NRTGc5GPbUszr1EEUBqsHUW4xG&#10;48aPnb4xVqw7uCuLqVH6CkqwFbE2nnjtCxcaLcawfxRCJ5/acdfT0zX/CQAA//8DAFBLAwQUAAYA&#10;CAAAACEAcidTAOMAAAAMAQAADwAAAGRycy9kb3ducmV2LnhtbEyPwU6DQBCG7ya+w2ZMvNkFTIBQ&#10;lsaoJCZetJXY3rbsCqTsLLJbij59pye9zWS+/PP9+Wo2PZv06DqLAsJFAExjbVWHjYCPTXmXAnNe&#10;opK9RS3gRztYFddXucyUPeG7nta+YRSCLpMCWu+HjHNXt9pIt7CDRrp92dFIT+vYcDXKE4WbnkdB&#10;EHMjO6QPrRz0Y6vrw/poBNjdtHlVZXmoqt+nz7f0eVt9716EuL2ZH5bAvJ79HwwXfVKHgpz29ojK&#10;sV5AGkURoTQEMbALEIYJtdsLuI/TJAFe5Px/ieIMAAD//wMAUEsBAi0AFAAGAAgAAAAhALaDOJL+&#10;AAAA4QEAABMAAAAAAAAAAAAAAAAAAAAAAFtDb250ZW50X1R5cGVzXS54bWxQSwECLQAUAAYACAAA&#10;ACEAOP0h/9YAAACUAQAACwAAAAAAAAAAAAAAAAAvAQAAX3JlbHMvLnJlbHNQSwECLQAUAAYACAAA&#10;ACEAP62PeoQCAAACBQAADgAAAAAAAAAAAAAAAAAuAgAAZHJzL2Uyb0RvYy54bWxQSwECLQAUAAYA&#10;CAAAACEAcidTAOMAAAAMAQAADwAAAAAAAAAAAAAAAADeBAAAZHJzL2Rvd25yZXYueG1sUEsFBgAA&#10;AAAEAAQA8wAAAO4FAAAAAA==&#10;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DC4DC2">
    <w:pPr>
      <w:pStyle w:val="Nagwek"/>
      <w:rPr>
        <w:noProof/>
        <w:lang w:eastAsia="pl-PL"/>
      </w:rPr>
    </w:pPr>
    <w:r>
      <w:rPr>
        <w:noProof/>
        <w:lang w:val="en-GB" w:eastAsia="en-GB"/>
      </w:rPr>
      <w:pict w14:anchorId="0F01C18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F37172" w:rsidRPr="00C97596" w:rsidRDefault="00F56B9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4C3D61">
                  <w:rPr>
                    <w:rFonts w:ascii="Fira Sans SemiBold" w:hAnsi="Fira Sans SemiBold"/>
                    <w:color w:val="001D77"/>
                  </w:rPr>
                  <w:t>7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4C3D61">
                  <w:rPr>
                    <w:rFonts w:ascii="Fira Sans SemiBold" w:hAnsi="Fira Sans SemiBold"/>
                    <w:color w:val="001D77"/>
                  </w:rPr>
                  <w:t>12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1pt;visibility:visible" o:bullet="t">
        <v:imagedata r:id="rId1" o:title=""/>
      </v:shape>
    </w:pict>
  </w:numPicBullet>
  <w:numPicBullet w:numPicBulletId="1">
    <w:pict>
      <v:shape id="_x0000_i1029" type="#_x0000_t75" style="width:124.1pt;height:124.1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AA0"/>
    <w:rsid w:val="00001C5B"/>
    <w:rsid w:val="00003437"/>
    <w:rsid w:val="00004589"/>
    <w:rsid w:val="00004942"/>
    <w:rsid w:val="0000709F"/>
    <w:rsid w:val="00010405"/>
    <w:rsid w:val="00010815"/>
    <w:rsid w:val="000108B8"/>
    <w:rsid w:val="00012AA5"/>
    <w:rsid w:val="0001314E"/>
    <w:rsid w:val="0001322E"/>
    <w:rsid w:val="0001330D"/>
    <w:rsid w:val="00013F9D"/>
    <w:rsid w:val="000152F5"/>
    <w:rsid w:val="0001574F"/>
    <w:rsid w:val="00015BB8"/>
    <w:rsid w:val="00015FB5"/>
    <w:rsid w:val="00023E11"/>
    <w:rsid w:val="0002452E"/>
    <w:rsid w:val="000245E6"/>
    <w:rsid w:val="000270B8"/>
    <w:rsid w:val="000277D9"/>
    <w:rsid w:val="00027814"/>
    <w:rsid w:val="000329AA"/>
    <w:rsid w:val="000330B9"/>
    <w:rsid w:val="0004270A"/>
    <w:rsid w:val="00044667"/>
    <w:rsid w:val="0004582E"/>
    <w:rsid w:val="00045934"/>
    <w:rsid w:val="000470AA"/>
    <w:rsid w:val="0005027B"/>
    <w:rsid w:val="00052377"/>
    <w:rsid w:val="000523FE"/>
    <w:rsid w:val="0005505D"/>
    <w:rsid w:val="00055513"/>
    <w:rsid w:val="00056F54"/>
    <w:rsid w:val="00057CA1"/>
    <w:rsid w:val="000622B5"/>
    <w:rsid w:val="000662E2"/>
    <w:rsid w:val="00066883"/>
    <w:rsid w:val="00070691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1E8D"/>
    <w:rsid w:val="000A60A1"/>
    <w:rsid w:val="000B0727"/>
    <w:rsid w:val="000B3121"/>
    <w:rsid w:val="000B4C80"/>
    <w:rsid w:val="000B599C"/>
    <w:rsid w:val="000B7FE1"/>
    <w:rsid w:val="000C135D"/>
    <w:rsid w:val="000C5F23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2825"/>
    <w:rsid w:val="000E4621"/>
    <w:rsid w:val="000E4840"/>
    <w:rsid w:val="000E6338"/>
    <w:rsid w:val="000F17DA"/>
    <w:rsid w:val="000F2D5A"/>
    <w:rsid w:val="000F3401"/>
    <w:rsid w:val="000F3A97"/>
    <w:rsid w:val="000F4B54"/>
    <w:rsid w:val="000F5DCD"/>
    <w:rsid w:val="000F6227"/>
    <w:rsid w:val="001008B1"/>
    <w:rsid w:val="00100C71"/>
    <w:rsid w:val="001011C3"/>
    <w:rsid w:val="00101CB2"/>
    <w:rsid w:val="00102F32"/>
    <w:rsid w:val="0010757E"/>
    <w:rsid w:val="0011012D"/>
    <w:rsid w:val="00110D87"/>
    <w:rsid w:val="00110ED3"/>
    <w:rsid w:val="001131B8"/>
    <w:rsid w:val="001132A5"/>
    <w:rsid w:val="00113F2C"/>
    <w:rsid w:val="00114DB9"/>
    <w:rsid w:val="00115503"/>
    <w:rsid w:val="00116087"/>
    <w:rsid w:val="00116F13"/>
    <w:rsid w:val="001209A3"/>
    <w:rsid w:val="00121BE0"/>
    <w:rsid w:val="001255E7"/>
    <w:rsid w:val="00125615"/>
    <w:rsid w:val="0012629B"/>
    <w:rsid w:val="0013006B"/>
    <w:rsid w:val="00130296"/>
    <w:rsid w:val="00130784"/>
    <w:rsid w:val="00132408"/>
    <w:rsid w:val="00132CAC"/>
    <w:rsid w:val="00134257"/>
    <w:rsid w:val="001357CB"/>
    <w:rsid w:val="00136B27"/>
    <w:rsid w:val="00137769"/>
    <w:rsid w:val="001423B6"/>
    <w:rsid w:val="00142EC6"/>
    <w:rsid w:val="001448A7"/>
    <w:rsid w:val="0014611A"/>
    <w:rsid w:val="00146621"/>
    <w:rsid w:val="0015065A"/>
    <w:rsid w:val="00153DE5"/>
    <w:rsid w:val="00153EF0"/>
    <w:rsid w:val="001555C1"/>
    <w:rsid w:val="001572EE"/>
    <w:rsid w:val="00160615"/>
    <w:rsid w:val="00160CB7"/>
    <w:rsid w:val="00162325"/>
    <w:rsid w:val="00162CA1"/>
    <w:rsid w:val="001656F9"/>
    <w:rsid w:val="00171CE3"/>
    <w:rsid w:val="001737EE"/>
    <w:rsid w:val="00174327"/>
    <w:rsid w:val="001744B9"/>
    <w:rsid w:val="0017656E"/>
    <w:rsid w:val="001807C1"/>
    <w:rsid w:val="001826E1"/>
    <w:rsid w:val="001921AA"/>
    <w:rsid w:val="001951DA"/>
    <w:rsid w:val="00195457"/>
    <w:rsid w:val="001A0213"/>
    <w:rsid w:val="001A04D4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1E8A"/>
    <w:rsid w:val="001D355E"/>
    <w:rsid w:val="001D3C4D"/>
    <w:rsid w:val="001D3C9B"/>
    <w:rsid w:val="001D4DD6"/>
    <w:rsid w:val="001D643A"/>
    <w:rsid w:val="001D76D3"/>
    <w:rsid w:val="001E23D5"/>
    <w:rsid w:val="001E6996"/>
    <w:rsid w:val="001E6F2B"/>
    <w:rsid w:val="001E763A"/>
    <w:rsid w:val="001E7A14"/>
    <w:rsid w:val="001F17DB"/>
    <w:rsid w:val="001F3E98"/>
    <w:rsid w:val="001F6CA3"/>
    <w:rsid w:val="00200048"/>
    <w:rsid w:val="002040D3"/>
    <w:rsid w:val="00204533"/>
    <w:rsid w:val="00206B25"/>
    <w:rsid w:val="00207FA0"/>
    <w:rsid w:val="00211508"/>
    <w:rsid w:val="002177D2"/>
    <w:rsid w:val="0022006A"/>
    <w:rsid w:val="002216FC"/>
    <w:rsid w:val="002232CD"/>
    <w:rsid w:val="00223998"/>
    <w:rsid w:val="00231EDD"/>
    <w:rsid w:val="002323D2"/>
    <w:rsid w:val="00232A61"/>
    <w:rsid w:val="00233CC3"/>
    <w:rsid w:val="00235CE1"/>
    <w:rsid w:val="00236B45"/>
    <w:rsid w:val="00242368"/>
    <w:rsid w:val="002464CC"/>
    <w:rsid w:val="00246A08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38A6"/>
    <w:rsid w:val="00274E13"/>
    <w:rsid w:val="002760BF"/>
    <w:rsid w:val="00276811"/>
    <w:rsid w:val="00280042"/>
    <w:rsid w:val="00281387"/>
    <w:rsid w:val="002815C7"/>
    <w:rsid w:val="00282010"/>
    <w:rsid w:val="00282699"/>
    <w:rsid w:val="00284DC4"/>
    <w:rsid w:val="00284EB3"/>
    <w:rsid w:val="00286500"/>
    <w:rsid w:val="002926DF"/>
    <w:rsid w:val="0029575D"/>
    <w:rsid w:val="00296697"/>
    <w:rsid w:val="00296F9E"/>
    <w:rsid w:val="002A3AD1"/>
    <w:rsid w:val="002A4D52"/>
    <w:rsid w:val="002A4E11"/>
    <w:rsid w:val="002A6103"/>
    <w:rsid w:val="002A79FF"/>
    <w:rsid w:val="002B0472"/>
    <w:rsid w:val="002B4FF4"/>
    <w:rsid w:val="002B6B12"/>
    <w:rsid w:val="002B7D73"/>
    <w:rsid w:val="002C02B3"/>
    <w:rsid w:val="002C0ABB"/>
    <w:rsid w:val="002C0E32"/>
    <w:rsid w:val="002C1A9A"/>
    <w:rsid w:val="002C1F2B"/>
    <w:rsid w:val="002C2266"/>
    <w:rsid w:val="002C3A9B"/>
    <w:rsid w:val="002C496C"/>
    <w:rsid w:val="002C60C6"/>
    <w:rsid w:val="002C614D"/>
    <w:rsid w:val="002D0681"/>
    <w:rsid w:val="002D09BE"/>
    <w:rsid w:val="002D1366"/>
    <w:rsid w:val="002D4645"/>
    <w:rsid w:val="002D4741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3047"/>
    <w:rsid w:val="003036FA"/>
    <w:rsid w:val="00304F22"/>
    <w:rsid w:val="00306C7C"/>
    <w:rsid w:val="00314804"/>
    <w:rsid w:val="00314AEA"/>
    <w:rsid w:val="00322A74"/>
    <w:rsid w:val="00322EDD"/>
    <w:rsid w:val="0032326A"/>
    <w:rsid w:val="003236A7"/>
    <w:rsid w:val="00325A87"/>
    <w:rsid w:val="0032707A"/>
    <w:rsid w:val="00330124"/>
    <w:rsid w:val="00330312"/>
    <w:rsid w:val="0033040B"/>
    <w:rsid w:val="00332320"/>
    <w:rsid w:val="00332707"/>
    <w:rsid w:val="00334153"/>
    <w:rsid w:val="00335565"/>
    <w:rsid w:val="00336459"/>
    <w:rsid w:val="0034027C"/>
    <w:rsid w:val="00347AE2"/>
    <w:rsid w:val="00347D72"/>
    <w:rsid w:val="003516E1"/>
    <w:rsid w:val="003524F0"/>
    <w:rsid w:val="003533F8"/>
    <w:rsid w:val="00353C8A"/>
    <w:rsid w:val="00355AD3"/>
    <w:rsid w:val="00357611"/>
    <w:rsid w:val="00360FDC"/>
    <w:rsid w:val="0036641D"/>
    <w:rsid w:val="00367237"/>
    <w:rsid w:val="0037077F"/>
    <w:rsid w:val="00372411"/>
    <w:rsid w:val="003727A9"/>
    <w:rsid w:val="0037341A"/>
    <w:rsid w:val="00373882"/>
    <w:rsid w:val="003740D6"/>
    <w:rsid w:val="00374132"/>
    <w:rsid w:val="00377218"/>
    <w:rsid w:val="00377248"/>
    <w:rsid w:val="00380302"/>
    <w:rsid w:val="00382ACF"/>
    <w:rsid w:val="00383CA6"/>
    <w:rsid w:val="003843DB"/>
    <w:rsid w:val="00385109"/>
    <w:rsid w:val="00385E94"/>
    <w:rsid w:val="0038785E"/>
    <w:rsid w:val="003903D7"/>
    <w:rsid w:val="0039180B"/>
    <w:rsid w:val="00393761"/>
    <w:rsid w:val="00394363"/>
    <w:rsid w:val="0039669A"/>
    <w:rsid w:val="00397D18"/>
    <w:rsid w:val="003A1615"/>
    <w:rsid w:val="003A1B36"/>
    <w:rsid w:val="003A2EE9"/>
    <w:rsid w:val="003A3D22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AC3"/>
    <w:rsid w:val="003C59E0"/>
    <w:rsid w:val="003C61B0"/>
    <w:rsid w:val="003C6C8D"/>
    <w:rsid w:val="003D34C8"/>
    <w:rsid w:val="003D43C3"/>
    <w:rsid w:val="003D4F7C"/>
    <w:rsid w:val="003D4F95"/>
    <w:rsid w:val="003D5583"/>
    <w:rsid w:val="003D5F42"/>
    <w:rsid w:val="003D60A9"/>
    <w:rsid w:val="003D6236"/>
    <w:rsid w:val="003D6FF8"/>
    <w:rsid w:val="003D71B9"/>
    <w:rsid w:val="003E18AA"/>
    <w:rsid w:val="003E5C2F"/>
    <w:rsid w:val="003F0108"/>
    <w:rsid w:val="003F014D"/>
    <w:rsid w:val="003F1AB1"/>
    <w:rsid w:val="003F1D4E"/>
    <w:rsid w:val="003F4565"/>
    <w:rsid w:val="003F4C18"/>
    <w:rsid w:val="003F4C97"/>
    <w:rsid w:val="003F55FD"/>
    <w:rsid w:val="003F61E2"/>
    <w:rsid w:val="003F6E65"/>
    <w:rsid w:val="003F7256"/>
    <w:rsid w:val="003F7FE6"/>
    <w:rsid w:val="00400193"/>
    <w:rsid w:val="00401623"/>
    <w:rsid w:val="00402BC9"/>
    <w:rsid w:val="00407E1E"/>
    <w:rsid w:val="00413625"/>
    <w:rsid w:val="00413BA1"/>
    <w:rsid w:val="004141D5"/>
    <w:rsid w:val="0041724E"/>
    <w:rsid w:val="004202E2"/>
    <w:rsid w:val="00421271"/>
    <w:rsid w:val="004212E7"/>
    <w:rsid w:val="004232F3"/>
    <w:rsid w:val="0042371B"/>
    <w:rsid w:val="0042446D"/>
    <w:rsid w:val="004254E3"/>
    <w:rsid w:val="00427B41"/>
    <w:rsid w:val="00427BF8"/>
    <w:rsid w:val="00431C02"/>
    <w:rsid w:val="00435D16"/>
    <w:rsid w:val="00436DF8"/>
    <w:rsid w:val="00437395"/>
    <w:rsid w:val="004441C8"/>
    <w:rsid w:val="004441C9"/>
    <w:rsid w:val="00445047"/>
    <w:rsid w:val="00447BFB"/>
    <w:rsid w:val="004511DD"/>
    <w:rsid w:val="00451619"/>
    <w:rsid w:val="00451748"/>
    <w:rsid w:val="00452D71"/>
    <w:rsid w:val="00455B4E"/>
    <w:rsid w:val="00456ABC"/>
    <w:rsid w:val="0046203E"/>
    <w:rsid w:val="0046223C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2AFD"/>
    <w:rsid w:val="00483CEC"/>
    <w:rsid w:val="00483E81"/>
    <w:rsid w:val="00490CBC"/>
    <w:rsid w:val="00492092"/>
    <w:rsid w:val="0049621B"/>
    <w:rsid w:val="004A4318"/>
    <w:rsid w:val="004A50F8"/>
    <w:rsid w:val="004A516C"/>
    <w:rsid w:val="004B2108"/>
    <w:rsid w:val="004B2D13"/>
    <w:rsid w:val="004C1895"/>
    <w:rsid w:val="004C1BE2"/>
    <w:rsid w:val="004C2A75"/>
    <w:rsid w:val="004C3D61"/>
    <w:rsid w:val="004C4156"/>
    <w:rsid w:val="004C5C60"/>
    <w:rsid w:val="004C6D40"/>
    <w:rsid w:val="004D3D01"/>
    <w:rsid w:val="004D4A01"/>
    <w:rsid w:val="004D6086"/>
    <w:rsid w:val="004D70C7"/>
    <w:rsid w:val="004D7F3C"/>
    <w:rsid w:val="004E0792"/>
    <w:rsid w:val="004E0A3B"/>
    <w:rsid w:val="004E1A92"/>
    <w:rsid w:val="004E5E74"/>
    <w:rsid w:val="004F0C3C"/>
    <w:rsid w:val="004F582C"/>
    <w:rsid w:val="004F63FC"/>
    <w:rsid w:val="004F744A"/>
    <w:rsid w:val="004F750D"/>
    <w:rsid w:val="004F7579"/>
    <w:rsid w:val="0050140D"/>
    <w:rsid w:val="00503640"/>
    <w:rsid w:val="00505A92"/>
    <w:rsid w:val="00510423"/>
    <w:rsid w:val="00510974"/>
    <w:rsid w:val="005124A2"/>
    <w:rsid w:val="00512A4D"/>
    <w:rsid w:val="00512DD9"/>
    <w:rsid w:val="00512F78"/>
    <w:rsid w:val="005133A4"/>
    <w:rsid w:val="00515E9A"/>
    <w:rsid w:val="00516808"/>
    <w:rsid w:val="005168BC"/>
    <w:rsid w:val="005203F1"/>
    <w:rsid w:val="0052109B"/>
    <w:rsid w:val="005219C3"/>
    <w:rsid w:val="00521BC3"/>
    <w:rsid w:val="0052364C"/>
    <w:rsid w:val="00523DDA"/>
    <w:rsid w:val="0052448C"/>
    <w:rsid w:val="00526041"/>
    <w:rsid w:val="00527628"/>
    <w:rsid w:val="005276C2"/>
    <w:rsid w:val="00527841"/>
    <w:rsid w:val="00531EDD"/>
    <w:rsid w:val="005327CB"/>
    <w:rsid w:val="00532AE9"/>
    <w:rsid w:val="00533632"/>
    <w:rsid w:val="00535BA6"/>
    <w:rsid w:val="00541E6E"/>
    <w:rsid w:val="0054251F"/>
    <w:rsid w:val="00542C31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2A21"/>
    <w:rsid w:val="005745E4"/>
    <w:rsid w:val="00574A39"/>
    <w:rsid w:val="005755F1"/>
    <w:rsid w:val="00575A04"/>
    <w:rsid w:val="005762A7"/>
    <w:rsid w:val="00576D47"/>
    <w:rsid w:val="00577ED3"/>
    <w:rsid w:val="005809C7"/>
    <w:rsid w:val="0058193C"/>
    <w:rsid w:val="00584EC3"/>
    <w:rsid w:val="00586CCF"/>
    <w:rsid w:val="005876E9"/>
    <w:rsid w:val="0059054F"/>
    <w:rsid w:val="005916D7"/>
    <w:rsid w:val="005A19DF"/>
    <w:rsid w:val="005A4EFC"/>
    <w:rsid w:val="005A5EBF"/>
    <w:rsid w:val="005A698C"/>
    <w:rsid w:val="005B2332"/>
    <w:rsid w:val="005B2B24"/>
    <w:rsid w:val="005B716C"/>
    <w:rsid w:val="005C12A5"/>
    <w:rsid w:val="005C2997"/>
    <w:rsid w:val="005C51AF"/>
    <w:rsid w:val="005C61EE"/>
    <w:rsid w:val="005C78AB"/>
    <w:rsid w:val="005D21DF"/>
    <w:rsid w:val="005D2539"/>
    <w:rsid w:val="005D3181"/>
    <w:rsid w:val="005D717E"/>
    <w:rsid w:val="005E0799"/>
    <w:rsid w:val="005E07A1"/>
    <w:rsid w:val="005E22E9"/>
    <w:rsid w:val="005E7C40"/>
    <w:rsid w:val="005F09AA"/>
    <w:rsid w:val="005F452C"/>
    <w:rsid w:val="005F5A80"/>
    <w:rsid w:val="006026DE"/>
    <w:rsid w:val="0060336D"/>
    <w:rsid w:val="0060379A"/>
    <w:rsid w:val="0060388E"/>
    <w:rsid w:val="006044FF"/>
    <w:rsid w:val="00605EE0"/>
    <w:rsid w:val="00607291"/>
    <w:rsid w:val="00607CC5"/>
    <w:rsid w:val="00613807"/>
    <w:rsid w:val="00614B52"/>
    <w:rsid w:val="00615AA7"/>
    <w:rsid w:val="00616A25"/>
    <w:rsid w:val="006234D3"/>
    <w:rsid w:val="006318EA"/>
    <w:rsid w:val="0063260E"/>
    <w:rsid w:val="00633014"/>
    <w:rsid w:val="0063437B"/>
    <w:rsid w:val="006421E5"/>
    <w:rsid w:val="006450A3"/>
    <w:rsid w:val="00650740"/>
    <w:rsid w:val="00650A54"/>
    <w:rsid w:val="006551FA"/>
    <w:rsid w:val="00661410"/>
    <w:rsid w:val="00661C90"/>
    <w:rsid w:val="00661CD6"/>
    <w:rsid w:val="00662B67"/>
    <w:rsid w:val="006673CA"/>
    <w:rsid w:val="00671ED8"/>
    <w:rsid w:val="00673C26"/>
    <w:rsid w:val="00674887"/>
    <w:rsid w:val="006767CA"/>
    <w:rsid w:val="0068008C"/>
    <w:rsid w:val="006812AF"/>
    <w:rsid w:val="00682078"/>
    <w:rsid w:val="00682955"/>
    <w:rsid w:val="00682ACB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B67DB"/>
    <w:rsid w:val="006C06BD"/>
    <w:rsid w:val="006C2D66"/>
    <w:rsid w:val="006C3793"/>
    <w:rsid w:val="006C52D6"/>
    <w:rsid w:val="006C5BE7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3DE4"/>
    <w:rsid w:val="006F44E3"/>
    <w:rsid w:val="006F6B50"/>
    <w:rsid w:val="006F6C43"/>
    <w:rsid w:val="00705D39"/>
    <w:rsid w:val="00705E27"/>
    <w:rsid w:val="007211B1"/>
    <w:rsid w:val="00734A34"/>
    <w:rsid w:val="00737F0B"/>
    <w:rsid w:val="00741777"/>
    <w:rsid w:val="007417B2"/>
    <w:rsid w:val="00743979"/>
    <w:rsid w:val="00746187"/>
    <w:rsid w:val="00751D34"/>
    <w:rsid w:val="00752EB3"/>
    <w:rsid w:val="007536FD"/>
    <w:rsid w:val="0076254F"/>
    <w:rsid w:val="00762BEE"/>
    <w:rsid w:val="00765469"/>
    <w:rsid w:val="00765518"/>
    <w:rsid w:val="00765878"/>
    <w:rsid w:val="00766A08"/>
    <w:rsid w:val="00767212"/>
    <w:rsid w:val="007672C2"/>
    <w:rsid w:val="00767D12"/>
    <w:rsid w:val="007729DF"/>
    <w:rsid w:val="0077738F"/>
    <w:rsid w:val="0077748F"/>
    <w:rsid w:val="00777E75"/>
    <w:rsid w:val="007801F5"/>
    <w:rsid w:val="00783CA4"/>
    <w:rsid w:val="007842FB"/>
    <w:rsid w:val="00786124"/>
    <w:rsid w:val="0078638B"/>
    <w:rsid w:val="00786A37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0219"/>
    <w:rsid w:val="007C2434"/>
    <w:rsid w:val="007C5F05"/>
    <w:rsid w:val="007C7355"/>
    <w:rsid w:val="007D2546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578F"/>
    <w:rsid w:val="007E725A"/>
    <w:rsid w:val="007E7658"/>
    <w:rsid w:val="007F04C3"/>
    <w:rsid w:val="007F0BE7"/>
    <w:rsid w:val="007F11FE"/>
    <w:rsid w:val="007F324B"/>
    <w:rsid w:val="007F4E0E"/>
    <w:rsid w:val="007F7828"/>
    <w:rsid w:val="00800209"/>
    <w:rsid w:val="0080553C"/>
    <w:rsid w:val="00805B46"/>
    <w:rsid w:val="00807D32"/>
    <w:rsid w:val="00811FAB"/>
    <w:rsid w:val="00816500"/>
    <w:rsid w:val="00820B99"/>
    <w:rsid w:val="00824F28"/>
    <w:rsid w:val="00825DC2"/>
    <w:rsid w:val="0083027A"/>
    <w:rsid w:val="008331ED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5AC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40D7"/>
    <w:rsid w:val="00897316"/>
    <w:rsid w:val="008979B8"/>
    <w:rsid w:val="008A181A"/>
    <w:rsid w:val="008A26D9"/>
    <w:rsid w:val="008A4527"/>
    <w:rsid w:val="008A4FA1"/>
    <w:rsid w:val="008A724B"/>
    <w:rsid w:val="008B00A7"/>
    <w:rsid w:val="008B02B6"/>
    <w:rsid w:val="008B24B0"/>
    <w:rsid w:val="008B250C"/>
    <w:rsid w:val="008B5F6C"/>
    <w:rsid w:val="008C0C29"/>
    <w:rsid w:val="008C3AC6"/>
    <w:rsid w:val="008C42BD"/>
    <w:rsid w:val="008C6E82"/>
    <w:rsid w:val="008C73BD"/>
    <w:rsid w:val="008D0A5D"/>
    <w:rsid w:val="008D53B1"/>
    <w:rsid w:val="008D737F"/>
    <w:rsid w:val="008D7494"/>
    <w:rsid w:val="008D7B51"/>
    <w:rsid w:val="008E01B7"/>
    <w:rsid w:val="008E4218"/>
    <w:rsid w:val="008E4238"/>
    <w:rsid w:val="008E6D61"/>
    <w:rsid w:val="008F0263"/>
    <w:rsid w:val="008F0D57"/>
    <w:rsid w:val="008F13EB"/>
    <w:rsid w:val="008F1AE6"/>
    <w:rsid w:val="008F1B72"/>
    <w:rsid w:val="008F3638"/>
    <w:rsid w:val="008F4441"/>
    <w:rsid w:val="008F5F91"/>
    <w:rsid w:val="008F6234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2EF"/>
    <w:rsid w:val="00913B2D"/>
    <w:rsid w:val="00915CEB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14C2"/>
    <w:rsid w:val="0096200B"/>
    <w:rsid w:val="009629B4"/>
    <w:rsid w:val="00967694"/>
    <w:rsid w:val="00967AD9"/>
    <w:rsid w:val="009705EE"/>
    <w:rsid w:val="00970F58"/>
    <w:rsid w:val="00972B2C"/>
    <w:rsid w:val="00973CEB"/>
    <w:rsid w:val="009762F5"/>
    <w:rsid w:val="00977927"/>
    <w:rsid w:val="0098135C"/>
    <w:rsid w:val="00981498"/>
    <w:rsid w:val="0098156A"/>
    <w:rsid w:val="009828B5"/>
    <w:rsid w:val="00983B31"/>
    <w:rsid w:val="00991B50"/>
    <w:rsid w:val="00991BAC"/>
    <w:rsid w:val="009933BE"/>
    <w:rsid w:val="00994802"/>
    <w:rsid w:val="0099558E"/>
    <w:rsid w:val="0099700F"/>
    <w:rsid w:val="00997327"/>
    <w:rsid w:val="009978DE"/>
    <w:rsid w:val="009A1300"/>
    <w:rsid w:val="009A4971"/>
    <w:rsid w:val="009A5195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3DD7"/>
    <w:rsid w:val="009C7251"/>
    <w:rsid w:val="009D0047"/>
    <w:rsid w:val="009D2613"/>
    <w:rsid w:val="009D3F4C"/>
    <w:rsid w:val="009E214A"/>
    <w:rsid w:val="009E24CC"/>
    <w:rsid w:val="009E2E91"/>
    <w:rsid w:val="009E6336"/>
    <w:rsid w:val="009E6502"/>
    <w:rsid w:val="009F092A"/>
    <w:rsid w:val="009F0DF0"/>
    <w:rsid w:val="009F4DA7"/>
    <w:rsid w:val="009F5F9A"/>
    <w:rsid w:val="00A00044"/>
    <w:rsid w:val="00A012EB"/>
    <w:rsid w:val="00A01CDF"/>
    <w:rsid w:val="00A07241"/>
    <w:rsid w:val="00A139F5"/>
    <w:rsid w:val="00A153EF"/>
    <w:rsid w:val="00A20E04"/>
    <w:rsid w:val="00A216CE"/>
    <w:rsid w:val="00A221DB"/>
    <w:rsid w:val="00A25196"/>
    <w:rsid w:val="00A252F5"/>
    <w:rsid w:val="00A25A16"/>
    <w:rsid w:val="00A26650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3E86"/>
    <w:rsid w:val="00A4550C"/>
    <w:rsid w:val="00A45BA6"/>
    <w:rsid w:val="00A47D80"/>
    <w:rsid w:val="00A53132"/>
    <w:rsid w:val="00A532B0"/>
    <w:rsid w:val="00A53D6D"/>
    <w:rsid w:val="00A563F2"/>
    <w:rsid w:val="00A566E8"/>
    <w:rsid w:val="00A56B7D"/>
    <w:rsid w:val="00A60A9D"/>
    <w:rsid w:val="00A65D37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3467"/>
    <w:rsid w:val="00A849F4"/>
    <w:rsid w:val="00A85F3E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013"/>
    <w:rsid w:val="00AA710D"/>
    <w:rsid w:val="00AB05A5"/>
    <w:rsid w:val="00AB097F"/>
    <w:rsid w:val="00AB5573"/>
    <w:rsid w:val="00AB61F8"/>
    <w:rsid w:val="00AB6D25"/>
    <w:rsid w:val="00AB75B7"/>
    <w:rsid w:val="00AC233F"/>
    <w:rsid w:val="00AC7C31"/>
    <w:rsid w:val="00AD129B"/>
    <w:rsid w:val="00AD40AD"/>
    <w:rsid w:val="00AD43A5"/>
    <w:rsid w:val="00AD70B9"/>
    <w:rsid w:val="00AE2D4B"/>
    <w:rsid w:val="00AE4E37"/>
    <w:rsid w:val="00AE4F99"/>
    <w:rsid w:val="00AE5A38"/>
    <w:rsid w:val="00AF35D4"/>
    <w:rsid w:val="00AF3D7E"/>
    <w:rsid w:val="00AF4B23"/>
    <w:rsid w:val="00B02254"/>
    <w:rsid w:val="00B03426"/>
    <w:rsid w:val="00B07659"/>
    <w:rsid w:val="00B0786E"/>
    <w:rsid w:val="00B07F93"/>
    <w:rsid w:val="00B113ED"/>
    <w:rsid w:val="00B11B69"/>
    <w:rsid w:val="00B11CF2"/>
    <w:rsid w:val="00B14952"/>
    <w:rsid w:val="00B151DF"/>
    <w:rsid w:val="00B15D47"/>
    <w:rsid w:val="00B1619A"/>
    <w:rsid w:val="00B16A29"/>
    <w:rsid w:val="00B214F0"/>
    <w:rsid w:val="00B2237A"/>
    <w:rsid w:val="00B23C6C"/>
    <w:rsid w:val="00B2401D"/>
    <w:rsid w:val="00B2465B"/>
    <w:rsid w:val="00B25B2D"/>
    <w:rsid w:val="00B26725"/>
    <w:rsid w:val="00B31E5A"/>
    <w:rsid w:val="00B32451"/>
    <w:rsid w:val="00B32661"/>
    <w:rsid w:val="00B33E2B"/>
    <w:rsid w:val="00B3528C"/>
    <w:rsid w:val="00B3567E"/>
    <w:rsid w:val="00B371A7"/>
    <w:rsid w:val="00B372B7"/>
    <w:rsid w:val="00B5169C"/>
    <w:rsid w:val="00B51917"/>
    <w:rsid w:val="00B55FC2"/>
    <w:rsid w:val="00B562BD"/>
    <w:rsid w:val="00B57116"/>
    <w:rsid w:val="00B601AF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25E"/>
    <w:rsid w:val="00B75E25"/>
    <w:rsid w:val="00B773AF"/>
    <w:rsid w:val="00B81F02"/>
    <w:rsid w:val="00B822A0"/>
    <w:rsid w:val="00B8241E"/>
    <w:rsid w:val="00B8259A"/>
    <w:rsid w:val="00B84181"/>
    <w:rsid w:val="00B9052D"/>
    <w:rsid w:val="00B914E9"/>
    <w:rsid w:val="00B919C2"/>
    <w:rsid w:val="00B92856"/>
    <w:rsid w:val="00B935E4"/>
    <w:rsid w:val="00B937BE"/>
    <w:rsid w:val="00B94F87"/>
    <w:rsid w:val="00B956EE"/>
    <w:rsid w:val="00BA052B"/>
    <w:rsid w:val="00BA24FA"/>
    <w:rsid w:val="00BA2BA1"/>
    <w:rsid w:val="00BA3562"/>
    <w:rsid w:val="00BA4437"/>
    <w:rsid w:val="00BA73AF"/>
    <w:rsid w:val="00BB0084"/>
    <w:rsid w:val="00BB45B9"/>
    <w:rsid w:val="00BB4F09"/>
    <w:rsid w:val="00BB629A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BF3406"/>
    <w:rsid w:val="00BF6A06"/>
    <w:rsid w:val="00C018FF"/>
    <w:rsid w:val="00C02953"/>
    <w:rsid w:val="00C030DE"/>
    <w:rsid w:val="00C05C5A"/>
    <w:rsid w:val="00C13D87"/>
    <w:rsid w:val="00C162C9"/>
    <w:rsid w:val="00C20824"/>
    <w:rsid w:val="00C22105"/>
    <w:rsid w:val="00C244B6"/>
    <w:rsid w:val="00C30E6D"/>
    <w:rsid w:val="00C31A8A"/>
    <w:rsid w:val="00C34F1A"/>
    <w:rsid w:val="00C35C0F"/>
    <w:rsid w:val="00C3702F"/>
    <w:rsid w:val="00C37D61"/>
    <w:rsid w:val="00C420FF"/>
    <w:rsid w:val="00C422D5"/>
    <w:rsid w:val="00C4241D"/>
    <w:rsid w:val="00C42AC6"/>
    <w:rsid w:val="00C431CF"/>
    <w:rsid w:val="00C44E78"/>
    <w:rsid w:val="00C4500A"/>
    <w:rsid w:val="00C4710C"/>
    <w:rsid w:val="00C51B91"/>
    <w:rsid w:val="00C55162"/>
    <w:rsid w:val="00C56259"/>
    <w:rsid w:val="00C562A2"/>
    <w:rsid w:val="00C60DD0"/>
    <w:rsid w:val="00C61B2C"/>
    <w:rsid w:val="00C64A37"/>
    <w:rsid w:val="00C65DCF"/>
    <w:rsid w:val="00C7158E"/>
    <w:rsid w:val="00C7167D"/>
    <w:rsid w:val="00C7222E"/>
    <w:rsid w:val="00C7250B"/>
    <w:rsid w:val="00C7346B"/>
    <w:rsid w:val="00C73DAE"/>
    <w:rsid w:val="00C74DBE"/>
    <w:rsid w:val="00C7754E"/>
    <w:rsid w:val="00C77C0E"/>
    <w:rsid w:val="00C80490"/>
    <w:rsid w:val="00C8120C"/>
    <w:rsid w:val="00C8132E"/>
    <w:rsid w:val="00C824A2"/>
    <w:rsid w:val="00C859FC"/>
    <w:rsid w:val="00C85FDD"/>
    <w:rsid w:val="00C86DEB"/>
    <w:rsid w:val="00C91687"/>
    <w:rsid w:val="00C91FCA"/>
    <w:rsid w:val="00C924A8"/>
    <w:rsid w:val="00C945FE"/>
    <w:rsid w:val="00C94BB6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B6498"/>
    <w:rsid w:val="00CB7294"/>
    <w:rsid w:val="00CC0006"/>
    <w:rsid w:val="00CC0146"/>
    <w:rsid w:val="00CC6745"/>
    <w:rsid w:val="00CC6846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41BF"/>
    <w:rsid w:val="00CE4352"/>
    <w:rsid w:val="00CE59D8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46AC3"/>
    <w:rsid w:val="00D552ED"/>
    <w:rsid w:val="00D56407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3BB6"/>
    <w:rsid w:val="00D76F6A"/>
    <w:rsid w:val="00D7719E"/>
    <w:rsid w:val="00D82C73"/>
    <w:rsid w:val="00D836CF"/>
    <w:rsid w:val="00D8397C"/>
    <w:rsid w:val="00D8413D"/>
    <w:rsid w:val="00D849CF"/>
    <w:rsid w:val="00D906A4"/>
    <w:rsid w:val="00D90F3A"/>
    <w:rsid w:val="00D91360"/>
    <w:rsid w:val="00D926ED"/>
    <w:rsid w:val="00D9355F"/>
    <w:rsid w:val="00D94B2D"/>
    <w:rsid w:val="00D94EED"/>
    <w:rsid w:val="00D96026"/>
    <w:rsid w:val="00D962D7"/>
    <w:rsid w:val="00D969D0"/>
    <w:rsid w:val="00DA4DC4"/>
    <w:rsid w:val="00DA6E08"/>
    <w:rsid w:val="00DA7C1C"/>
    <w:rsid w:val="00DB147A"/>
    <w:rsid w:val="00DB1B7A"/>
    <w:rsid w:val="00DB4DC3"/>
    <w:rsid w:val="00DB6953"/>
    <w:rsid w:val="00DC1E38"/>
    <w:rsid w:val="00DC36BC"/>
    <w:rsid w:val="00DC40C3"/>
    <w:rsid w:val="00DC4B88"/>
    <w:rsid w:val="00DC4DC2"/>
    <w:rsid w:val="00DC6708"/>
    <w:rsid w:val="00DC7260"/>
    <w:rsid w:val="00DD20BD"/>
    <w:rsid w:val="00DD2799"/>
    <w:rsid w:val="00DD3AB8"/>
    <w:rsid w:val="00DD6037"/>
    <w:rsid w:val="00DD6DBA"/>
    <w:rsid w:val="00DD73FE"/>
    <w:rsid w:val="00DE053C"/>
    <w:rsid w:val="00DE11C1"/>
    <w:rsid w:val="00DE3498"/>
    <w:rsid w:val="00DE3883"/>
    <w:rsid w:val="00DE3911"/>
    <w:rsid w:val="00DE53CB"/>
    <w:rsid w:val="00DE7C73"/>
    <w:rsid w:val="00DF30A0"/>
    <w:rsid w:val="00DF33C0"/>
    <w:rsid w:val="00DF3B27"/>
    <w:rsid w:val="00DF5718"/>
    <w:rsid w:val="00DF5A9C"/>
    <w:rsid w:val="00DF5C93"/>
    <w:rsid w:val="00DF6106"/>
    <w:rsid w:val="00DF7D2F"/>
    <w:rsid w:val="00E00A69"/>
    <w:rsid w:val="00E01436"/>
    <w:rsid w:val="00E02474"/>
    <w:rsid w:val="00E045BD"/>
    <w:rsid w:val="00E0599F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265FF"/>
    <w:rsid w:val="00E303F2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4E6B"/>
    <w:rsid w:val="00E45430"/>
    <w:rsid w:val="00E4714C"/>
    <w:rsid w:val="00E5153B"/>
    <w:rsid w:val="00E51AEB"/>
    <w:rsid w:val="00E522A7"/>
    <w:rsid w:val="00E53755"/>
    <w:rsid w:val="00E54452"/>
    <w:rsid w:val="00E54FE2"/>
    <w:rsid w:val="00E56E17"/>
    <w:rsid w:val="00E57E7B"/>
    <w:rsid w:val="00E61EB1"/>
    <w:rsid w:val="00E6521D"/>
    <w:rsid w:val="00E65313"/>
    <w:rsid w:val="00E66397"/>
    <w:rsid w:val="00E664C5"/>
    <w:rsid w:val="00E66C18"/>
    <w:rsid w:val="00E671A2"/>
    <w:rsid w:val="00E71B77"/>
    <w:rsid w:val="00E72201"/>
    <w:rsid w:val="00E75097"/>
    <w:rsid w:val="00E75676"/>
    <w:rsid w:val="00E763FE"/>
    <w:rsid w:val="00E76D26"/>
    <w:rsid w:val="00E77988"/>
    <w:rsid w:val="00E8101B"/>
    <w:rsid w:val="00E86E33"/>
    <w:rsid w:val="00E871B8"/>
    <w:rsid w:val="00E90381"/>
    <w:rsid w:val="00E91F68"/>
    <w:rsid w:val="00E932C9"/>
    <w:rsid w:val="00E95ABE"/>
    <w:rsid w:val="00E9755A"/>
    <w:rsid w:val="00EA0931"/>
    <w:rsid w:val="00EA0F5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B7C62"/>
    <w:rsid w:val="00EC0E1A"/>
    <w:rsid w:val="00EC515F"/>
    <w:rsid w:val="00ED0731"/>
    <w:rsid w:val="00ED0BDF"/>
    <w:rsid w:val="00ED13CE"/>
    <w:rsid w:val="00ED1A38"/>
    <w:rsid w:val="00ED55C0"/>
    <w:rsid w:val="00ED6586"/>
    <w:rsid w:val="00ED682B"/>
    <w:rsid w:val="00EE027B"/>
    <w:rsid w:val="00EE41D5"/>
    <w:rsid w:val="00EF2103"/>
    <w:rsid w:val="00EF2D8B"/>
    <w:rsid w:val="00F03714"/>
    <w:rsid w:val="00F037A4"/>
    <w:rsid w:val="00F06176"/>
    <w:rsid w:val="00F06F0E"/>
    <w:rsid w:val="00F10E09"/>
    <w:rsid w:val="00F13779"/>
    <w:rsid w:val="00F14ED3"/>
    <w:rsid w:val="00F162B3"/>
    <w:rsid w:val="00F204D8"/>
    <w:rsid w:val="00F20C45"/>
    <w:rsid w:val="00F2293E"/>
    <w:rsid w:val="00F26BC3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6B9D"/>
    <w:rsid w:val="00F577BD"/>
    <w:rsid w:val="00F62BBE"/>
    <w:rsid w:val="00F66833"/>
    <w:rsid w:val="00F676A6"/>
    <w:rsid w:val="00F67D8F"/>
    <w:rsid w:val="00F67FCB"/>
    <w:rsid w:val="00F71B57"/>
    <w:rsid w:val="00F74F24"/>
    <w:rsid w:val="00F767B3"/>
    <w:rsid w:val="00F802BE"/>
    <w:rsid w:val="00F80E93"/>
    <w:rsid w:val="00F84022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128D"/>
    <w:rsid w:val="00FB20F4"/>
    <w:rsid w:val="00FB42D4"/>
    <w:rsid w:val="00FB4E5F"/>
    <w:rsid w:val="00FB56B0"/>
    <w:rsid w:val="00FB5906"/>
    <w:rsid w:val="00FB62BD"/>
    <w:rsid w:val="00FB762F"/>
    <w:rsid w:val="00FC16A1"/>
    <w:rsid w:val="00FC1B67"/>
    <w:rsid w:val="00FC2AED"/>
    <w:rsid w:val="00FC4E65"/>
    <w:rsid w:val="00FC519A"/>
    <w:rsid w:val="00FC5250"/>
    <w:rsid w:val="00FC639E"/>
    <w:rsid w:val="00FD04D6"/>
    <w:rsid w:val="00FD116E"/>
    <w:rsid w:val="00FD5ADA"/>
    <w:rsid w:val="00FD5EA7"/>
    <w:rsid w:val="00FD7794"/>
    <w:rsid w:val="00FE1FB8"/>
    <w:rsid w:val="00FE6B54"/>
    <w:rsid w:val="00FE6F7F"/>
    <w:rsid w:val="00FF0795"/>
    <w:rsid w:val="00FF1AB6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E58D78B-6C92-4953-B24D-C1D5FDC5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7D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67DB"/>
    <w:rPr>
      <w:rFonts w:ascii="Fira Sans" w:hAnsi="Fira San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7DB"/>
    <w:rPr>
      <w:vertAlign w:val="superscript"/>
    </w:rPr>
  </w:style>
  <w:style w:type="paragraph" w:styleId="Poprawka">
    <w:name w:val="Revision"/>
    <w:hidden/>
    <w:uiPriority w:val="99"/>
    <w:semiHidden/>
    <w:rsid w:val="00AF3D7E"/>
    <w:rPr>
      <w:rFonts w:ascii="Fira Sans" w:hAnsi="Fira Sans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polroczu-2021-roku,1,43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passive/DG-1.pdf" TargetMode="External"/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203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osia'!$B$64:$C$98</c:f>
              <c:multiLvlStrCache>
                <c:ptCount val="35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osia'!$D$14:$D$48</c:f>
              <c:numCache>
                <c:formatCode>0.0</c:formatCode>
                <c:ptCount val="35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  <c:pt idx="27">
                  <c:v>6316.9</c:v>
                </c:pt>
                <c:pt idx="28">
                  <c:v>6338.5</c:v>
                </c:pt>
                <c:pt idx="29">
                  <c:v>6359.3</c:v>
                </c:pt>
                <c:pt idx="30">
                  <c:v>6361.7</c:v>
                </c:pt>
                <c:pt idx="31">
                  <c:v>6352</c:v>
                </c:pt>
                <c:pt idx="32">
                  <c:v>6347.2</c:v>
                </c:pt>
                <c:pt idx="33">
                  <c:v>6351.1</c:v>
                </c:pt>
                <c:pt idx="34">
                  <c:v>6363.7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2C-4587-833C-B4D65A69DE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74045200"/>
        <c:axId val="1774048464"/>
      </c:barChart>
      <c:lineChart>
        <c:grouping val="standard"/>
        <c:varyColors val="0"/>
        <c:ser>
          <c:idx val="1"/>
          <c:order val="1"/>
          <c:tx>
            <c:strRef>
              <c:f>'gl wykres z dod osia'!$D$51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osia'!$C$64:$C$98</c:f>
              <c:strCache>
                <c:ptCount val="35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</c:strCache>
            </c:strRef>
          </c:cat>
          <c:val>
            <c:numRef>
              <c:f>'gl wykres z dod osia'!$D$64:$D$98</c:f>
              <c:numCache>
                <c:formatCode>0.0</c:formatCode>
                <c:ptCount val="35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  <c:pt idx="27" formatCode="0.00">
                  <c:v>100.9</c:v>
                </c:pt>
                <c:pt idx="28" formatCode="0.00">
                  <c:v>102.7</c:v>
                </c:pt>
                <c:pt idx="29" formatCode="0.00">
                  <c:v>102.8</c:v>
                </c:pt>
                <c:pt idx="30" formatCode="General">
                  <c:v>101.8</c:v>
                </c:pt>
                <c:pt idx="31" formatCode="General">
                  <c:v>100.9</c:v>
                </c:pt>
                <c:pt idx="32" formatCode="General">
                  <c:v>100.6</c:v>
                </c:pt>
                <c:pt idx="33" formatCode="General">
                  <c:v>100.5</c:v>
                </c:pt>
                <c:pt idx="34" formatCode="General">
                  <c:v>100.7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82C-4587-833C-B4D65A69DE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4050640"/>
        <c:axId val="1774050096"/>
      </c:lineChart>
      <c:catAx>
        <c:axId val="177404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774048464"/>
        <c:crosses val="autoZero"/>
        <c:auto val="1"/>
        <c:lblAlgn val="ctr"/>
        <c:lblOffset val="100"/>
        <c:noMultiLvlLbl val="0"/>
      </c:catAx>
      <c:valAx>
        <c:axId val="177404846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272E-3"/>
              <c:y val="6.6049382716047819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774045200"/>
        <c:crosses val="autoZero"/>
        <c:crossBetween val="between"/>
      </c:valAx>
      <c:valAx>
        <c:axId val="1774050096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1774050640"/>
        <c:crosses val="max"/>
        <c:crossBetween val="between"/>
        <c:majorUnit val="10"/>
      </c:valAx>
      <c:catAx>
        <c:axId val="17740506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7740500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6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245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osia'!$B$64:$C$98</c:f>
              <c:multiLvlStrCache>
                <c:ptCount val="35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glowny'!$D$15:$D$49</c:f>
              <c:numCache>
                <c:formatCode>0.00</c:formatCode>
                <c:ptCount val="35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5213.2699999999995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  <c:pt idx="26">
                  <c:v>5929.05</c:v>
                </c:pt>
                <c:pt idx="27">
                  <c:v>5805.72</c:v>
                </c:pt>
                <c:pt idx="28">
                  <c:v>5637.34</c:v>
                </c:pt>
                <c:pt idx="29">
                  <c:v>5802.42</c:v>
                </c:pt>
                <c:pt idx="30">
                  <c:v>5851.87</c:v>
                </c:pt>
                <c:pt idx="31">
                  <c:v>5843.75</c:v>
                </c:pt>
                <c:pt idx="32">
                  <c:v>5841.1600000000044</c:v>
                </c:pt>
                <c:pt idx="33">
                  <c:v>5917.1500000000024</c:v>
                </c:pt>
                <c:pt idx="34">
                  <c:v>6022.49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272-4861-B5DA-7C167B15AA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74051728"/>
        <c:axId val="1783244688"/>
      </c:lineChart>
      <c:catAx>
        <c:axId val="177405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783244688"/>
        <c:crosses val="autoZero"/>
        <c:auto val="1"/>
        <c:lblAlgn val="ctr"/>
        <c:lblOffset val="100"/>
        <c:noMultiLvlLbl val="0"/>
      </c:catAx>
      <c:valAx>
        <c:axId val="178324468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264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774051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Przecietne_zatrudnienie_i_wyn_sektorprzeds_X2021.docx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E4A0-61B2-4996-A697-CC1C9E91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FF0ECE-52EC-4E73-A64E-452F7E3E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Przeciętne zatrudnienie i wynagrodzenie w sektorze przedsiębiorstw w XI 2021 r</dc:title>
  <dc:creator>GUS</dc:creator>
  <cp:lastModifiedBy>Putkowska Beata</cp:lastModifiedBy>
  <cp:revision>3</cp:revision>
  <cp:lastPrinted>2021-11-17T10:02:00Z</cp:lastPrinted>
  <dcterms:created xsi:type="dcterms:W3CDTF">2021-12-14T14:43:00Z</dcterms:created>
  <dcterms:modified xsi:type="dcterms:W3CDTF">2021-12-17T07:10:00Z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