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E7A56" w:rsidRDefault="00D13520" w:rsidP="002B4F8D">
      <w:pPr>
        <w:pStyle w:val="tytuinformacji"/>
        <w:spacing w:before="0"/>
        <w:rPr>
          <w:rFonts w:cs="Arial"/>
          <w:szCs w:val="40"/>
        </w:rPr>
      </w:pPr>
      <w:bookmarkStart w:id="0" w:name="_GoBack"/>
      <w:bookmarkEnd w:id="0"/>
      <w:r w:rsidRPr="003E7A56">
        <w:rPr>
          <w:rFonts w:cs="Arial"/>
          <w:szCs w:val="40"/>
        </w:rPr>
        <w:t>Dynamika sprzedaży detalicznej w</w:t>
      </w:r>
      <w:r w:rsidR="005D1B08">
        <w:rPr>
          <w:rFonts w:cs="Arial"/>
          <w:szCs w:val="40"/>
        </w:rPr>
        <w:t xml:space="preserve"> </w:t>
      </w:r>
      <w:r w:rsidR="00D310CD">
        <w:rPr>
          <w:rFonts w:cs="Arial"/>
          <w:szCs w:val="40"/>
        </w:rPr>
        <w:t>czerwcu</w:t>
      </w:r>
      <w:r w:rsidR="00A54C53">
        <w:rPr>
          <w:rFonts w:cs="Arial"/>
          <w:szCs w:val="40"/>
        </w:rPr>
        <w:t xml:space="preserve"> </w:t>
      </w:r>
      <w:r w:rsidRPr="003E7A56">
        <w:rPr>
          <w:rFonts w:cs="Arial"/>
          <w:szCs w:val="40"/>
        </w:rPr>
        <w:t>20</w:t>
      </w:r>
      <w:r w:rsidR="005D1B08">
        <w:rPr>
          <w:rFonts w:cs="Arial"/>
          <w:szCs w:val="40"/>
        </w:rPr>
        <w:t>21</w:t>
      </w:r>
      <w:r w:rsidR="00FD13C3" w:rsidRPr="003E7A56">
        <w:rPr>
          <w:rFonts w:cs="Arial"/>
          <w:szCs w:val="40"/>
        </w:rPr>
        <w:t> </w:t>
      </w:r>
      <w:r w:rsidRPr="003E7A56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0D2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8</w:t>
                            </w:r>
                            <w:r w:rsidR="006450F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40D2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0C58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0D2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8</w:t>
                      </w:r>
                      <w:r w:rsidR="006450F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40D2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0C58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475B1F">
        <w:t xml:space="preserve"> </w:t>
      </w:r>
      <w:r w:rsidR="00740D26">
        <w:t xml:space="preserve">czerwcu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FD78BD">
        <w:t xml:space="preserve">wyższa </w:t>
      </w:r>
      <w:r w:rsidR="00C62998" w:rsidRPr="009815A2">
        <w:t>niż przed rokiem o</w:t>
      </w:r>
      <w:r w:rsidR="00982BF5">
        <w:t xml:space="preserve"> </w:t>
      </w:r>
      <w:r w:rsidR="00740D26">
        <w:t>8,6</w:t>
      </w:r>
      <w:r w:rsidR="00C62998" w:rsidRPr="009815A2">
        <w:t>% (wobec</w:t>
      </w:r>
      <w:r w:rsidR="00B7185E">
        <w:t xml:space="preserve"> </w:t>
      </w:r>
      <w:r w:rsidR="00FD78BD">
        <w:t>spadku</w:t>
      </w:r>
      <w:r w:rsidR="00B7185E">
        <w:t xml:space="preserve"> </w:t>
      </w:r>
      <w:r w:rsidR="00C62998" w:rsidRPr="009815A2">
        <w:t>o</w:t>
      </w:r>
      <w:r w:rsidR="00511F40" w:rsidRPr="009815A2">
        <w:t> </w:t>
      </w:r>
      <w:r w:rsidR="00740D26">
        <w:t>1</w:t>
      </w:r>
      <w:r w:rsidR="00C62998" w:rsidRPr="009815A2">
        <w:t>,</w:t>
      </w:r>
      <w:r w:rsidR="00740D26">
        <w:t>3</w:t>
      </w:r>
      <w:r w:rsidR="00C62998" w:rsidRPr="009815A2">
        <w:t xml:space="preserve">% </w:t>
      </w:r>
      <w:r w:rsidR="00C62998" w:rsidRPr="00E52DC5">
        <w:t>w</w:t>
      </w:r>
      <w:r w:rsidR="00E94241">
        <w:t> </w:t>
      </w:r>
      <w:r w:rsidR="00740D26">
        <w:t xml:space="preserve">czerwcu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740D26">
        <w:rPr>
          <w:rFonts w:cs="Arial"/>
          <w:szCs w:val="24"/>
        </w:rPr>
        <w:t xml:space="preserve">majem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7814F9">
        <w:rPr>
          <w:rFonts w:cs="Arial"/>
          <w:szCs w:val="24"/>
        </w:rPr>
        <w:t xml:space="preserve"> </w:t>
      </w:r>
      <w:r w:rsidR="00AF25FE">
        <w:rPr>
          <w:rFonts w:cs="Arial"/>
          <w:szCs w:val="24"/>
        </w:rPr>
        <w:t xml:space="preserve">wzrost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203139">
        <w:rPr>
          <w:rFonts w:cs="Arial"/>
          <w:spacing w:val="-10"/>
          <w:szCs w:val="24"/>
        </w:rPr>
        <w:t> </w:t>
      </w:r>
      <w:r w:rsidR="00740D26">
        <w:rPr>
          <w:rFonts w:cs="Arial"/>
          <w:spacing w:val="-10"/>
          <w:szCs w:val="24"/>
        </w:rPr>
        <w:t>3</w:t>
      </w:r>
      <w:r w:rsidR="004F09A0">
        <w:rPr>
          <w:rFonts w:cs="Arial"/>
          <w:spacing w:val="-10"/>
          <w:szCs w:val="24"/>
        </w:rPr>
        <w:t>,</w:t>
      </w:r>
      <w:r w:rsidR="00740D26">
        <w:rPr>
          <w:rFonts w:cs="Arial"/>
          <w:spacing w:val="-10"/>
          <w:szCs w:val="24"/>
        </w:rPr>
        <w:t>5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6B2D4F">
        <w:rPr>
          <w:rFonts w:cs="Arial"/>
          <w:szCs w:val="24"/>
        </w:rPr>
        <w:t> </w:t>
      </w:r>
      <w:r w:rsidR="00DC3E83">
        <w:rPr>
          <w:rFonts w:cs="Arial"/>
          <w:szCs w:val="24"/>
        </w:rPr>
        <w:t>okresie styczeń-</w:t>
      </w:r>
      <w:r w:rsidR="00740D26">
        <w:rPr>
          <w:rFonts w:cs="Arial"/>
          <w:szCs w:val="24"/>
        </w:rPr>
        <w:t>czerwiec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</w:t>
      </w:r>
      <w:r w:rsidR="00762964">
        <w:rPr>
          <w:rFonts w:cs="Arial"/>
          <w:szCs w:val="24"/>
        </w:rPr>
        <w:t xml:space="preserve">wzrosła </w:t>
      </w:r>
      <w:r w:rsidR="00CD2DE9">
        <w:rPr>
          <w:rFonts w:cs="Arial"/>
          <w:szCs w:val="24"/>
        </w:rPr>
        <w:t>r/r o </w:t>
      </w:r>
      <w:r w:rsidR="00740D26">
        <w:rPr>
          <w:rFonts w:cs="Arial"/>
          <w:szCs w:val="24"/>
        </w:rPr>
        <w:t>7,8</w:t>
      </w:r>
      <w:r w:rsidR="00CD2DE9" w:rsidRPr="00D8079D">
        <w:rPr>
          <w:rFonts w:cs="Arial"/>
          <w:szCs w:val="24"/>
        </w:rPr>
        <w:t xml:space="preserve">% (wobec </w:t>
      </w:r>
      <w:r w:rsidR="00DC3E83">
        <w:rPr>
          <w:rFonts w:cs="Arial"/>
          <w:szCs w:val="24"/>
        </w:rPr>
        <w:t>spadku</w:t>
      </w:r>
      <w:r w:rsidR="00CD2DE9" w:rsidRPr="00D8079D">
        <w:rPr>
          <w:rFonts w:cs="Arial"/>
          <w:szCs w:val="24"/>
        </w:rPr>
        <w:t xml:space="preserve"> o </w:t>
      </w:r>
      <w:r w:rsidR="00740D26">
        <w:rPr>
          <w:rFonts w:cs="Arial"/>
          <w:szCs w:val="24"/>
        </w:rPr>
        <w:t>5</w:t>
      </w:r>
      <w:r w:rsidR="00CD2DE9">
        <w:rPr>
          <w:rFonts w:cs="Arial"/>
          <w:szCs w:val="24"/>
        </w:rPr>
        <w:t>,</w:t>
      </w:r>
      <w:r w:rsidR="00A37687">
        <w:rPr>
          <w:rFonts w:cs="Arial"/>
          <w:szCs w:val="24"/>
        </w:rPr>
        <w:t>2</w:t>
      </w:r>
      <w:r w:rsidR="00CD2DE9" w:rsidRPr="00D8079D">
        <w:rPr>
          <w:rFonts w:cs="Arial"/>
          <w:szCs w:val="24"/>
        </w:rPr>
        <w:t>% w</w:t>
      </w:r>
      <w:r w:rsidR="00CD2DE9">
        <w:rPr>
          <w:rFonts w:cs="Arial"/>
          <w:szCs w:val="24"/>
        </w:rPr>
        <w:t> </w:t>
      </w:r>
      <w:r w:rsidR="00CD2DE9" w:rsidRPr="00D8079D">
        <w:rPr>
          <w:rFonts w:cs="Arial"/>
          <w:szCs w:val="24"/>
        </w:rPr>
        <w:t>20</w:t>
      </w:r>
      <w:r w:rsidR="008159F1">
        <w:rPr>
          <w:rFonts w:cs="Arial"/>
          <w:szCs w:val="24"/>
        </w:rPr>
        <w:t>20</w:t>
      </w:r>
      <w:r w:rsidR="00CD2DE9" w:rsidRPr="00D8079D">
        <w:rPr>
          <w:rFonts w:cs="Arial"/>
          <w:szCs w:val="24"/>
        </w:rPr>
        <w:t xml:space="preserve"> 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D2DE9" w:rsidRDefault="00CD2DE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5712460</wp:posOffset>
                </wp:positionH>
                <wp:positionV relativeFrom="paragraph">
                  <wp:posOffset>248285</wp:posOffset>
                </wp:positionV>
                <wp:extent cx="1817370" cy="992505"/>
                <wp:effectExtent l="0" t="0" r="0" b="0"/>
                <wp:wrapTight wrapText="bothSides">
                  <wp:wrapPolygon edited="0">
                    <wp:start x="679" y="0"/>
                    <wp:lineTo x="679" y="21144"/>
                    <wp:lineTo x="20830" y="21144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6FF" w:rsidRPr="00D33427" w:rsidRDefault="00364066" w:rsidP="00B566F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Czerwiec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był </w:t>
                            </w:r>
                            <w:r w:rsidR="002745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kolejnym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miesiącem, w którym odnotowano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 sprzedaży detalicznej w skali roku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we wszystkich grupach.</w:t>
                            </w:r>
                            <w:r w:rsidR="00B566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6" o:spid="_x0000_s1027" type="#_x0000_t202" style="position:absolute;margin-left:449.8pt;margin-top:19.55pt;width:143.1pt;height:78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" filled="f" stroked="f">
                <v:textbox>
                  <w:txbxContent>
                    <w:p w:rsidR="00B566FF" w:rsidRPr="00D33427" w:rsidRDefault="00364066" w:rsidP="00B566F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Czerwiec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był </w:t>
                      </w:r>
                      <w:r w:rsidR="002745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kolejnym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miesiącem, w którym odnotowano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 sprzedaży detalicznej w skali roku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we wszystkich grupach.</w:t>
                      </w:r>
                      <w:r w:rsidR="00B566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5F5A33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BB1569">
        <w:rPr>
          <w:rFonts w:cs="Arial"/>
        </w:rPr>
        <w:t xml:space="preserve"> </w:t>
      </w:r>
      <w:r w:rsidR="00522209">
        <w:rPr>
          <w:rFonts w:cs="Arial"/>
        </w:rPr>
        <w:t xml:space="preserve">czerwcu </w:t>
      </w:r>
      <w:r w:rsidR="007814F9">
        <w:rPr>
          <w:rFonts w:cs="Arial"/>
        </w:rPr>
        <w:t>2021</w:t>
      </w:r>
      <w:r w:rsidR="00600B70" w:rsidRPr="00791085">
        <w:rPr>
          <w:rFonts w:cs="Arial"/>
        </w:rPr>
        <w:t xml:space="preserve"> r.</w:t>
      </w:r>
      <w:r w:rsidR="00807AC9" w:rsidRPr="00791085">
        <w:rPr>
          <w:rFonts w:cs="Arial"/>
        </w:rPr>
        <w:t xml:space="preserve"> </w:t>
      </w:r>
      <w:r w:rsidR="008C759C">
        <w:rPr>
          <w:rFonts w:cs="Arial"/>
        </w:rPr>
        <w:t>naj</w:t>
      </w:r>
      <w:r w:rsidR="00B55E5B">
        <w:rPr>
          <w:rFonts w:cs="Arial"/>
        </w:rPr>
        <w:t>większy</w:t>
      </w:r>
      <w:r w:rsidR="008C759C">
        <w:rPr>
          <w:rFonts w:cs="Arial"/>
        </w:rPr>
        <w:t xml:space="preserve"> </w:t>
      </w:r>
      <w:r w:rsidR="00B55E5B">
        <w:rPr>
          <w:rFonts w:cs="Arial"/>
        </w:rPr>
        <w:t>wzrost</w:t>
      </w:r>
      <w:r w:rsidR="002F1D24">
        <w:rPr>
          <w:rFonts w:cs="Arial"/>
        </w:rPr>
        <w:t xml:space="preserve">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162914">
        <w:rPr>
          <w:rFonts w:cs="Arial"/>
        </w:rPr>
        <w:t xml:space="preserve"> (w </w:t>
      </w:r>
      <w:r w:rsidR="003E04E1" w:rsidRPr="00791085">
        <w:rPr>
          <w:rFonts w:cs="Arial"/>
        </w:rPr>
        <w:t>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</w:t>
      </w:r>
      <w:r w:rsidR="007814F9">
        <w:rPr>
          <w:rFonts w:cs="Arial"/>
        </w:rPr>
        <w:t>20</w:t>
      </w:r>
      <w:r w:rsidR="00DD3C27" w:rsidRPr="00791085">
        <w:rPr>
          <w:rFonts w:cs="Arial"/>
        </w:rPr>
        <w:t xml:space="preserve"> r.</w:t>
      </w:r>
      <w:r>
        <w:rPr>
          <w:rFonts w:cs="Arial"/>
        </w:rPr>
        <w:t xml:space="preserve"> </w:t>
      </w:r>
      <w:r w:rsidR="00FB7C15">
        <w:rPr>
          <w:rFonts w:cs="Arial"/>
        </w:rPr>
        <w:t>odnotow</w:t>
      </w:r>
      <w:r w:rsidR="00EF5D3B">
        <w:rPr>
          <w:rFonts w:cs="Arial"/>
        </w:rPr>
        <w:t>ały</w:t>
      </w:r>
      <w:r w:rsidR="00B55E5B">
        <w:rPr>
          <w:rFonts w:cs="Arial"/>
        </w:rPr>
        <w:t xml:space="preserve"> podmioty </w:t>
      </w:r>
      <w:r w:rsidR="00F25EF5">
        <w:rPr>
          <w:rFonts w:cs="Arial"/>
        </w:rPr>
        <w:t xml:space="preserve">handlujące tekstyliami, odzieżą, obuwiem </w:t>
      </w:r>
      <w:r w:rsidR="00F36E96">
        <w:rPr>
          <w:rFonts w:cs="Arial"/>
        </w:rPr>
        <w:t xml:space="preserve">(o </w:t>
      </w:r>
      <w:r w:rsidR="00D14F03">
        <w:rPr>
          <w:rFonts w:cs="Arial"/>
        </w:rPr>
        <w:t>22,3</w:t>
      </w:r>
      <w:r w:rsidR="00FF2937">
        <w:rPr>
          <w:rFonts w:cs="Arial"/>
        </w:rPr>
        <w:t>% wobec spadku</w:t>
      </w:r>
      <w:r w:rsidR="00D14F03">
        <w:rPr>
          <w:rFonts w:cs="Arial"/>
        </w:rPr>
        <w:t xml:space="preserve"> o 3,7</w:t>
      </w:r>
      <w:r w:rsidR="00F36E96">
        <w:rPr>
          <w:rFonts w:cs="Arial"/>
        </w:rPr>
        <w:t xml:space="preserve">% przed rokiem). </w:t>
      </w:r>
      <w:r w:rsidR="001F7373" w:rsidRPr="004431A7">
        <w:rPr>
          <w:rFonts w:cs="Arial"/>
        </w:rPr>
        <w:t>Spośród prezentowanych grup w</w:t>
      </w:r>
      <w:r w:rsidR="006922B1" w:rsidRPr="004431A7">
        <w:rPr>
          <w:rFonts w:cs="Arial"/>
        </w:rPr>
        <w:t>yższą</w:t>
      </w:r>
      <w:r w:rsidR="005B07B3" w:rsidRPr="004431A7">
        <w:rPr>
          <w:rFonts w:cs="Arial"/>
        </w:rPr>
        <w:t xml:space="preserve"> </w:t>
      </w:r>
      <w:r w:rsidR="007814F9" w:rsidRPr="004431A7">
        <w:rPr>
          <w:rFonts w:cs="Arial"/>
        </w:rPr>
        <w:t xml:space="preserve">sprzedaż </w:t>
      </w:r>
      <w:r w:rsidR="005B07B3" w:rsidRPr="004431A7">
        <w:rPr>
          <w:rFonts w:cs="Arial"/>
        </w:rPr>
        <w:t xml:space="preserve">niż sprzedaż „ogółem” </w:t>
      </w:r>
      <w:r w:rsidR="007814F9" w:rsidRPr="004431A7">
        <w:rPr>
          <w:rFonts w:cs="Arial"/>
        </w:rPr>
        <w:t>zaobserwowano również</w:t>
      </w:r>
      <w:r w:rsidR="0091740C" w:rsidRPr="004431A7">
        <w:rPr>
          <w:rFonts w:cs="Arial"/>
        </w:rPr>
        <w:t xml:space="preserve"> w grupach</w:t>
      </w:r>
      <w:r w:rsidR="00043747" w:rsidRPr="004431A7">
        <w:rPr>
          <w:rFonts w:cs="Arial"/>
        </w:rPr>
        <w:t>:</w:t>
      </w:r>
      <w:r w:rsidR="00043747">
        <w:rPr>
          <w:rFonts w:cs="Arial"/>
        </w:rPr>
        <w:t xml:space="preserve"> </w:t>
      </w:r>
      <w:r w:rsidR="001C72EB">
        <w:rPr>
          <w:rFonts w:cs="Arial"/>
        </w:rPr>
        <w:t>„farmaceutyki, kosmetyki, sprzęt ortopedyczny” (o 1</w:t>
      </w:r>
      <w:r w:rsidR="00F25EF5">
        <w:rPr>
          <w:rFonts w:cs="Arial"/>
        </w:rPr>
        <w:t>7</w:t>
      </w:r>
      <w:r w:rsidR="001C72EB">
        <w:rPr>
          <w:rFonts w:cs="Arial"/>
        </w:rPr>
        <w:t>,5%)</w:t>
      </w:r>
      <w:r w:rsidR="00F25EF5">
        <w:rPr>
          <w:rFonts w:cs="Arial"/>
        </w:rPr>
        <w:t xml:space="preserve"> oraz „pozostałe” (o 13,2%)</w:t>
      </w:r>
      <w:r w:rsidR="001C72EB">
        <w:rPr>
          <w:rFonts w:cs="Arial"/>
        </w:rPr>
        <w:t>.</w:t>
      </w:r>
    </w:p>
    <w:p w:rsidR="00DA6A41" w:rsidRDefault="000D29BD" w:rsidP="0089562D">
      <w:pPr>
        <w:spacing w:before="0" w:after="0"/>
        <w:rPr>
          <w:rFonts w:cs="Arial"/>
        </w:rPr>
      </w:pPr>
      <w:r w:rsidRPr="005F5A33">
        <w:rPr>
          <w:rFonts w:cs="Arial"/>
        </w:rPr>
        <w:t>W</w:t>
      </w:r>
      <w:r w:rsidR="00490BD6" w:rsidRPr="005F5A33">
        <w:rPr>
          <w:rFonts w:cs="Arial"/>
        </w:rPr>
        <w:t xml:space="preserve"> </w:t>
      </w:r>
      <w:r w:rsidR="00F25EF5">
        <w:rPr>
          <w:rFonts w:cs="Arial"/>
        </w:rPr>
        <w:t xml:space="preserve">czerwcu </w:t>
      </w:r>
      <w:r w:rsidR="007814F9">
        <w:rPr>
          <w:rFonts w:cs="Arial"/>
        </w:rPr>
        <w:t>2021</w:t>
      </w:r>
      <w:r w:rsidR="00190CDF">
        <w:rPr>
          <w:rFonts w:cs="Arial"/>
        </w:rPr>
        <w:t xml:space="preserve"> r</w:t>
      </w:r>
      <w:r w:rsidR="00490BD6" w:rsidRPr="005F5A33">
        <w:rPr>
          <w:rFonts w:cs="Arial"/>
        </w:rPr>
        <w:t>. w porównaniu z</w:t>
      </w:r>
      <w:r w:rsidR="0023498C">
        <w:rPr>
          <w:rFonts w:cs="Arial"/>
        </w:rPr>
        <w:t xml:space="preserve"> </w:t>
      </w:r>
      <w:r w:rsidR="00F25EF5">
        <w:rPr>
          <w:rFonts w:cs="Arial"/>
        </w:rPr>
        <w:t xml:space="preserve">majem </w:t>
      </w:r>
      <w:r w:rsidR="00806F25" w:rsidRPr="009058A5">
        <w:rPr>
          <w:rFonts w:cs="Arial"/>
        </w:rPr>
        <w:t>b</w:t>
      </w:r>
      <w:r w:rsidR="001D741A" w:rsidRPr="009058A5">
        <w:rPr>
          <w:rFonts w:cs="Arial"/>
        </w:rPr>
        <w:t>r.</w:t>
      </w:r>
      <w:r w:rsidR="00490BD6" w:rsidRPr="005F5A33">
        <w:rPr>
          <w:rFonts w:cs="Arial"/>
        </w:rPr>
        <w:t xml:space="preserve"> </w:t>
      </w:r>
      <w:r w:rsidR="00DA6A41" w:rsidRPr="005F5A33">
        <w:rPr>
          <w:rFonts w:cs="Arial"/>
        </w:rPr>
        <w:t xml:space="preserve">odnotowano </w:t>
      </w:r>
      <w:r w:rsidR="00B26A5D">
        <w:rPr>
          <w:rFonts w:cs="Arial"/>
        </w:rPr>
        <w:t xml:space="preserve">spadek </w:t>
      </w:r>
      <w:r w:rsidR="00C96C0D" w:rsidRPr="005F5A33">
        <w:rPr>
          <w:rFonts w:cs="Arial"/>
        </w:rPr>
        <w:t xml:space="preserve">wartości </w:t>
      </w:r>
      <w:r w:rsidR="00DA6A41" w:rsidRPr="005F5A33">
        <w:rPr>
          <w:rFonts w:cs="Arial"/>
        </w:rPr>
        <w:t>sprzedaży d</w:t>
      </w:r>
      <w:r w:rsidR="00490BD6" w:rsidRPr="005F5A33">
        <w:rPr>
          <w:rFonts w:cs="Arial"/>
        </w:rPr>
        <w:t xml:space="preserve">etalicznej przez </w:t>
      </w:r>
      <w:r w:rsidR="00490BD6" w:rsidRPr="00C641A7">
        <w:rPr>
          <w:rFonts w:cs="Arial"/>
        </w:rPr>
        <w:t>Internet</w:t>
      </w:r>
      <w:r w:rsidR="00734727" w:rsidRPr="005F5A33">
        <w:rPr>
          <w:rFonts w:cs="Arial"/>
        </w:rPr>
        <w:t xml:space="preserve"> w cenach bieżących </w:t>
      </w:r>
      <w:r w:rsidR="00490BD6" w:rsidRPr="005F5A33">
        <w:rPr>
          <w:rFonts w:cs="Arial"/>
        </w:rPr>
        <w:t>(o</w:t>
      </w:r>
      <w:r w:rsidR="009A0350">
        <w:rPr>
          <w:rFonts w:cs="Arial"/>
        </w:rPr>
        <w:t xml:space="preserve"> </w:t>
      </w:r>
      <w:r w:rsidR="00F25EF5">
        <w:rPr>
          <w:rFonts w:cs="Arial"/>
        </w:rPr>
        <w:t>8,2</w:t>
      </w:r>
      <w:r w:rsidR="00490BD6" w:rsidRPr="005F5A33">
        <w:rPr>
          <w:rFonts w:cs="Arial"/>
        </w:rPr>
        <w:t>%).</w:t>
      </w:r>
      <w:r w:rsidR="00195942" w:rsidRPr="005F5A33">
        <w:rPr>
          <w:rFonts w:cs="Arial"/>
        </w:rPr>
        <w:t xml:space="preserve"> </w:t>
      </w:r>
      <w:r w:rsidR="006266A6">
        <w:rPr>
          <w:rFonts w:cs="Arial"/>
        </w:rPr>
        <w:t>U</w:t>
      </w:r>
      <w:r w:rsidR="00456FFE" w:rsidRPr="005F5A33">
        <w:rPr>
          <w:rFonts w:cs="Arial"/>
        </w:rPr>
        <w:t>dział tej sprzedaży</w:t>
      </w:r>
      <w:r w:rsidR="0089562D" w:rsidRPr="005F5A33">
        <w:rPr>
          <w:rFonts w:cs="Arial"/>
        </w:rPr>
        <w:t xml:space="preserve"> </w:t>
      </w:r>
      <w:r w:rsidR="00C07AE6" w:rsidRPr="005F5A33">
        <w:rPr>
          <w:rFonts w:cs="Arial"/>
        </w:rPr>
        <w:t>z</w:t>
      </w:r>
      <w:r w:rsidR="00B26A5D">
        <w:rPr>
          <w:rFonts w:cs="Arial"/>
        </w:rPr>
        <w:t>mniejszył</w:t>
      </w:r>
      <w:r w:rsidR="00681E58">
        <w:rPr>
          <w:rFonts w:cs="Arial"/>
        </w:rPr>
        <w:t xml:space="preserve"> </w:t>
      </w:r>
      <w:r w:rsidR="00C07AE6" w:rsidRPr="005F5A33">
        <w:rPr>
          <w:rFonts w:cs="Arial"/>
        </w:rPr>
        <w:t>się</w:t>
      </w:r>
      <w:r w:rsidR="00AA3132" w:rsidRPr="005F5A33">
        <w:rPr>
          <w:rFonts w:cs="Arial"/>
        </w:rPr>
        <w:t xml:space="preserve"> z</w:t>
      </w:r>
      <w:r w:rsidR="00FF5A16">
        <w:rPr>
          <w:rFonts w:cs="Arial"/>
        </w:rPr>
        <w:t> </w:t>
      </w:r>
      <w:r w:rsidR="004717A8">
        <w:rPr>
          <w:rFonts w:cs="Arial"/>
        </w:rPr>
        <w:t>9</w:t>
      </w:r>
      <w:r w:rsidR="002F76DB" w:rsidRPr="005F5A33">
        <w:rPr>
          <w:rFonts w:cs="Arial"/>
        </w:rPr>
        <w:t>,</w:t>
      </w:r>
      <w:r w:rsidR="004717A8">
        <w:rPr>
          <w:rFonts w:cs="Arial"/>
        </w:rPr>
        <w:t>1</w:t>
      </w:r>
      <w:r w:rsidR="0089507D" w:rsidRPr="005F5A33">
        <w:rPr>
          <w:rFonts w:cs="Arial"/>
        </w:rPr>
        <w:t xml:space="preserve">% </w:t>
      </w:r>
      <w:r w:rsidR="00AA3132" w:rsidRPr="005F5A33">
        <w:rPr>
          <w:rFonts w:cs="Arial"/>
        </w:rPr>
        <w:t>w</w:t>
      </w:r>
      <w:r w:rsidR="006266A6">
        <w:rPr>
          <w:rFonts w:cs="Arial"/>
        </w:rPr>
        <w:t xml:space="preserve"> </w:t>
      </w:r>
      <w:r w:rsidR="004717A8">
        <w:rPr>
          <w:rFonts w:cs="Arial"/>
        </w:rPr>
        <w:t xml:space="preserve">maju </w:t>
      </w:r>
      <w:r w:rsidR="006266A6">
        <w:rPr>
          <w:rFonts w:cs="Arial"/>
        </w:rPr>
        <w:t>br</w:t>
      </w:r>
      <w:r w:rsidR="009A0350">
        <w:rPr>
          <w:rFonts w:cs="Arial"/>
        </w:rPr>
        <w:t xml:space="preserve">. </w:t>
      </w:r>
      <w:r w:rsidR="00AA3132" w:rsidRPr="005F5A33">
        <w:rPr>
          <w:rFonts w:cs="Arial"/>
        </w:rPr>
        <w:t xml:space="preserve">do </w:t>
      </w:r>
      <w:r w:rsidR="004717A8">
        <w:rPr>
          <w:rFonts w:cs="Arial"/>
        </w:rPr>
        <w:t>8</w:t>
      </w:r>
      <w:r w:rsidR="00B26A5D">
        <w:rPr>
          <w:rFonts w:cs="Arial"/>
        </w:rPr>
        <w:t>,1</w:t>
      </w:r>
      <w:r w:rsidR="00D60935" w:rsidRPr="005F5A33">
        <w:rPr>
          <w:rFonts w:cs="Arial"/>
        </w:rPr>
        <w:t>% w</w:t>
      </w:r>
      <w:r w:rsidR="006B1C2C" w:rsidRPr="005F5A33">
        <w:rPr>
          <w:rFonts w:cs="Arial"/>
        </w:rPr>
        <w:t xml:space="preserve"> </w:t>
      </w:r>
      <w:r w:rsidR="004717A8">
        <w:rPr>
          <w:rFonts w:cs="Arial"/>
        </w:rPr>
        <w:t xml:space="preserve">czerwcu </w:t>
      </w:r>
      <w:r w:rsidR="003354BB">
        <w:rPr>
          <w:rFonts w:cs="Arial"/>
        </w:rPr>
        <w:t>b</w:t>
      </w:r>
      <w:r w:rsidR="00190CDF">
        <w:rPr>
          <w:rFonts w:cs="Arial"/>
        </w:rPr>
        <w:t>r</w:t>
      </w:r>
      <w:r w:rsidR="00D60935" w:rsidRPr="005F5A33">
        <w:rPr>
          <w:rFonts w:cs="Arial"/>
        </w:rPr>
        <w:t>.</w:t>
      </w:r>
      <w:r w:rsidR="0089507D" w:rsidRPr="005F5A33">
        <w:rPr>
          <w:rFonts w:cs="Arial"/>
        </w:rPr>
        <w:t xml:space="preserve"> </w:t>
      </w:r>
      <w:r w:rsidR="00894F74">
        <w:rPr>
          <w:rFonts w:cs="Arial"/>
        </w:rPr>
        <w:t xml:space="preserve">Spadek </w:t>
      </w:r>
      <w:r w:rsidR="0089507D" w:rsidRPr="005F5A33">
        <w:rPr>
          <w:rFonts w:cs="Arial"/>
        </w:rPr>
        <w:t>udział</w:t>
      </w:r>
      <w:r w:rsidR="00AF6DA8" w:rsidRPr="005F5A33">
        <w:rPr>
          <w:rFonts w:cs="Arial"/>
        </w:rPr>
        <w:t>u</w:t>
      </w:r>
      <w:r w:rsidR="0089507D" w:rsidRPr="005F5A33">
        <w:rPr>
          <w:rFonts w:cs="Arial"/>
        </w:rPr>
        <w:t xml:space="preserve"> sprzedaży przez</w:t>
      </w:r>
      <w:r w:rsidR="008E0771" w:rsidRPr="005F5A33">
        <w:rPr>
          <w:rFonts w:cs="Arial"/>
        </w:rPr>
        <w:t xml:space="preserve"> In</w:t>
      </w:r>
      <w:r w:rsidR="0089507D" w:rsidRPr="005F5A33">
        <w:rPr>
          <w:rFonts w:cs="Arial"/>
        </w:rPr>
        <w:t xml:space="preserve">ternet </w:t>
      </w:r>
      <w:r w:rsidR="00224889" w:rsidRPr="005F5A33">
        <w:rPr>
          <w:rFonts w:cs="Arial"/>
        </w:rPr>
        <w:t>zaobserwowano</w:t>
      </w:r>
      <w:r w:rsidR="009A0350">
        <w:rPr>
          <w:rFonts w:cs="Arial"/>
        </w:rPr>
        <w:t xml:space="preserve"> w</w:t>
      </w:r>
      <w:r w:rsidR="000F0E3A">
        <w:rPr>
          <w:rFonts w:cs="Arial"/>
        </w:rPr>
        <w:t> </w:t>
      </w:r>
      <w:r w:rsidR="009A0350">
        <w:rPr>
          <w:rFonts w:cs="Arial"/>
        </w:rPr>
        <w:t>większości grup</w:t>
      </w:r>
      <w:r w:rsidR="008641B0" w:rsidRPr="005F5A33">
        <w:rPr>
          <w:rFonts w:cs="Arial"/>
        </w:rPr>
        <w:t xml:space="preserve"> </w:t>
      </w:r>
      <w:r w:rsidR="008641B0">
        <w:rPr>
          <w:rFonts w:cs="Arial"/>
        </w:rPr>
        <w:t>przy czym znacz</w:t>
      </w:r>
      <w:r w:rsidR="00992EAD">
        <w:rPr>
          <w:rFonts w:cs="Arial"/>
        </w:rPr>
        <w:t>n</w:t>
      </w:r>
      <w:r w:rsidR="008641B0">
        <w:rPr>
          <w:rFonts w:cs="Arial"/>
        </w:rPr>
        <w:t xml:space="preserve">y </w:t>
      </w:r>
      <w:r w:rsidR="0089507D" w:rsidRPr="00D47283">
        <w:rPr>
          <w:rFonts w:cs="Arial"/>
        </w:rPr>
        <w:t>wykazały 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E07336" w:rsidRPr="00D47283">
        <w:rPr>
          <w:rFonts w:cs="Arial"/>
        </w:rPr>
        <w:t>„tekstylia, odzież, obuwie</w:t>
      </w:r>
      <w:r w:rsidR="000325B7">
        <w:rPr>
          <w:rFonts w:cs="Arial"/>
        </w:rPr>
        <w:t>”</w:t>
      </w:r>
      <w:r w:rsidR="00E07336" w:rsidRPr="00D47283">
        <w:rPr>
          <w:rFonts w:cs="Arial"/>
        </w:rPr>
        <w:t xml:space="preserve"> (z</w:t>
      </w:r>
      <w:r w:rsidR="00375A2A">
        <w:rPr>
          <w:rFonts w:cs="Arial"/>
        </w:rPr>
        <w:t xml:space="preserve"> 21,3</w:t>
      </w:r>
      <w:r w:rsidR="00E07336" w:rsidRPr="00D47283">
        <w:rPr>
          <w:rFonts w:cs="Arial"/>
        </w:rPr>
        <w:t xml:space="preserve">% przed miesiącem do </w:t>
      </w:r>
      <w:r w:rsidR="00375A2A">
        <w:rPr>
          <w:rFonts w:cs="Arial"/>
        </w:rPr>
        <w:t>18,6</w:t>
      </w:r>
      <w:r w:rsidR="00E07336">
        <w:rPr>
          <w:rFonts w:cs="Arial"/>
        </w:rPr>
        <w:t>%)</w:t>
      </w:r>
      <w:r w:rsidR="004B18B7" w:rsidRPr="00D47283">
        <w:rPr>
          <w:rFonts w:cs="Arial"/>
        </w:rPr>
        <w:t>,</w:t>
      </w:r>
      <w:r w:rsidR="00E07336">
        <w:rPr>
          <w:rFonts w:cs="Arial"/>
        </w:rPr>
        <w:t xml:space="preserve"> </w:t>
      </w:r>
      <w:r w:rsidR="009A0350">
        <w:rPr>
          <w:rFonts w:cs="Arial"/>
        </w:rPr>
        <w:t>a</w:t>
      </w:r>
      <w:r w:rsidR="00244D79">
        <w:rPr>
          <w:rFonts w:cs="Arial"/>
        </w:rPr>
        <w:t xml:space="preserve"> </w:t>
      </w:r>
      <w:r w:rsidR="009A0350">
        <w:rPr>
          <w:rFonts w:cs="Arial"/>
        </w:rPr>
        <w:t>także podmioty z</w:t>
      </w:r>
      <w:r w:rsidR="00894C72">
        <w:rPr>
          <w:rFonts w:cs="Arial"/>
        </w:rPr>
        <w:t xml:space="preserve"> </w:t>
      </w:r>
      <w:r w:rsidR="00E07336" w:rsidRPr="00D47283">
        <w:rPr>
          <w:rFonts w:cs="Arial"/>
        </w:rPr>
        <w:t xml:space="preserve">grup </w:t>
      </w:r>
      <w:r w:rsidR="00AA05A1" w:rsidRPr="00D47283">
        <w:rPr>
          <w:rFonts w:cs="Arial"/>
        </w:rPr>
        <w:t xml:space="preserve">„meble, </w:t>
      </w:r>
      <w:proofErr w:type="spellStart"/>
      <w:r w:rsidR="00AA05A1" w:rsidRPr="00D47283">
        <w:rPr>
          <w:rFonts w:cs="Arial"/>
        </w:rPr>
        <w:t>rtv</w:t>
      </w:r>
      <w:proofErr w:type="spellEnd"/>
      <w:r w:rsidR="00AA05A1" w:rsidRPr="00D47283">
        <w:rPr>
          <w:rFonts w:cs="Arial"/>
        </w:rPr>
        <w:t xml:space="preserve">, </w:t>
      </w:r>
      <w:proofErr w:type="spellStart"/>
      <w:r w:rsidR="00AA05A1" w:rsidRPr="00D47283">
        <w:rPr>
          <w:rFonts w:cs="Arial"/>
        </w:rPr>
        <w:t>agd</w:t>
      </w:r>
      <w:proofErr w:type="spellEnd"/>
      <w:r w:rsidR="00AA05A1" w:rsidRPr="00D47283">
        <w:rPr>
          <w:rFonts w:cs="Arial"/>
        </w:rPr>
        <w:t>” (</w:t>
      </w:r>
      <w:r w:rsidR="00AA05A1">
        <w:rPr>
          <w:rFonts w:cs="Arial"/>
        </w:rPr>
        <w:t xml:space="preserve">odpowiednio </w:t>
      </w:r>
      <w:r w:rsidR="00AA05A1" w:rsidRPr="00D47283">
        <w:rPr>
          <w:rFonts w:cs="Arial"/>
        </w:rPr>
        <w:t>z</w:t>
      </w:r>
      <w:r w:rsidR="00AA05A1">
        <w:rPr>
          <w:rFonts w:cs="Arial"/>
        </w:rPr>
        <w:t xml:space="preserve"> 18,3</w:t>
      </w:r>
      <w:r w:rsidR="00AA05A1" w:rsidRPr="00D47283">
        <w:rPr>
          <w:rFonts w:cs="Arial"/>
        </w:rPr>
        <w:t xml:space="preserve">% do </w:t>
      </w:r>
      <w:r w:rsidR="00AA05A1">
        <w:rPr>
          <w:rFonts w:cs="Arial"/>
        </w:rPr>
        <w:t>16,2</w:t>
      </w:r>
      <w:r w:rsidR="00AA05A1" w:rsidRPr="00D47283">
        <w:rPr>
          <w:rFonts w:cs="Arial"/>
        </w:rPr>
        <w:t>%)</w:t>
      </w:r>
      <w:r w:rsidR="00AA05A1">
        <w:rPr>
          <w:rFonts w:cs="Arial"/>
        </w:rPr>
        <w:t xml:space="preserve"> oraz </w:t>
      </w:r>
      <w:r w:rsidR="00E07336">
        <w:rPr>
          <w:rFonts w:cs="Arial"/>
        </w:rPr>
        <w:t>„prasa</w:t>
      </w:r>
      <w:r w:rsidR="004E2A8F">
        <w:rPr>
          <w:rFonts w:cs="Arial"/>
        </w:rPr>
        <w:t>,</w:t>
      </w:r>
      <w:r w:rsidR="004B18B7" w:rsidRPr="00D47283">
        <w:rPr>
          <w:rFonts w:cs="Arial"/>
        </w:rPr>
        <w:t xml:space="preserve"> książki, pozostała sprzedaż w</w:t>
      </w:r>
      <w:r w:rsidR="00244D79">
        <w:rPr>
          <w:rFonts w:cs="Arial"/>
        </w:rPr>
        <w:t xml:space="preserve"> </w:t>
      </w:r>
      <w:r w:rsidR="004B18B7" w:rsidRPr="00D47283">
        <w:rPr>
          <w:rFonts w:cs="Arial"/>
        </w:rPr>
        <w:t>wyspecjalizowanych sklepach” (</w:t>
      </w:r>
      <w:r w:rsidR="009A0350">
        <w:rPr>
          <w:rFonts w:cs="Arial"/>
        </w:rPr>
        <w:t>z</w:t>
      </w:r>
      <w:r w:rsidR="00267F75">
        <w:rPr>
          <w:rFonts w:cs="Arial"/>
        </w:rPr>
        <w:t> </w:t>
      </w:r>
      <w:r w:rsidR="00375A2A">
        <w:rPr>
          <w:rFonts w:cs="Arial"/>
        </w:rPr>
        <w:t>20,7</w:t>
      </w:r>
      <w:r w:rsidR="008F0AB0">
        <w:rPr>
          <w:rFonts w:cs="Arial"/>
        </w:rPr>
        <w:t xml:space="preserve">% do </w:t>
      </w:r>
      <w:r w:rsidR="00375A2A">
        <w:rPr>
          <w:rFonts w:cs="Arial"/>
        </w:rPr>
        <w:t>18,8</w:t>
      </w:r>
      <w:r w:rsidR="004B18B7" w:rsidRPr="000262E5">
        <w:rPr>
          <w:rFonts w:cs="Arial"/>
        </w:rPr>
        <w:t>%</w:t>
      </w:r>
      <w:r w:rsidR="00AA05A1">
        <w:rPr>
          <w:rFonts w:cs="Arial"/>
        </w:rPr>
        <w:t>).</w:t>
      </w:r>
    </w:p>
    <w:p w:rsidR="00FE3118" w:rsidRPr="00D47283" w:rsidRDefault="00FE3118" w:rsidP="0089562D">
      <w:pPr>
        <w:spacing w:before="0" w:after="0"/>
        <w:rPr>
          <w:rFonts w:cs="Arial"/>
        </w:rPr>
      </w:pPr>
    </w:p>
    <w:p w:rsidR="00D62E4C" w:rsidRDefault="00FF757C" w:rsidP="00D97A4D">
      <w:pPr>
        <w:pStyle w:val="tytuwykresu"/>
        <w:rPr>
          <w:shd w:val="clear" w:color="auto" w:fill="FFFFFF"/>
        </w:rPr>
      </w:pPr>
      <w:r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C8150B" w:rsidRDefault="00C8150B" w:rsidP="00D97A4D">
      <w:pPr>
        <w:pStyle w:val="tytuwykresu"/>
        <w:rPr>
          <w:shd w:val="clear" w:color="auto" w:fill="FFFFFF"/>
        </w:rPr>
      </w:pPr>
      <w:r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2752" behindDoc="0" locked="0" layoutInCell="1" allowOverlap="1" wp14:anchorId="63CEA669" wp14:editId="09D2F0E0">
            <wp:simplePos x="0" y="0"/>
            <wp:positionH relativeFrom="margin">
              <wp:align>left</wp:align>
            </wp:positionH>
            <wp:positionV relativeFrom="margin">
              <wp:posOffset>4911188</wp:posOffset>
            </wp:positionV>
            <wp:extent cx="5048250" cy="243967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776B88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b/>
          <w:color w:val="auto"/>
          <w:sz w:val="18"/>
          <w:szCs w:val="18"/>
        </w:rPr>
        <w:lastRenderedPageBreak/>
        <w:t>T</w:t>
      </w:r>
      <w:r w:rsidR="00AE2CA9" w:rsidRPr="008A1029">
        <w:rPr>
          <w:rFonts w:ascii="Fira Sans" w:hAnsi="Fira Sans"/>
          <w:b/>
          <w:color w:val="auto"/>
          <w:sz w:val="18"/>
          <w:szCs w:val="18"/>
        </w:rPr>
        <w:t>abela 1. Dynamika</w:t>
      </w:r>
      <w:r w:rsidR="00AE2CA9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AE2CA9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406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CB2E70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BB03D7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8201D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>V</w:t>
            </w:r>
            <w:r w:rsidR="00BB03D7">
              <w:rPr>
                <w:rFonts w:cs="Arial"/>
                <w:color w:val="000000"/>
                <w:sz w:val="16"/>
                <w:szCs w:val="16"/>
              </w:rPr>
              <w:t>I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D4681A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E64F3A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F42727">
              <w:rPr>
                <w:rFonts w:cs="Arial"/>
                <w:sz w:val="16"/>
                <w:szCs w:val="16"/>
              </w:rPr>
              <w:t xml:space="preserve">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CB2E70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80238C">
              <w:rPr>
                <w:rFonts w:cs="Arial"/>
                <w:sz w:val="16"/>
                <w:szCs w:val="16"/>
              </w:rPr>
              <w:t>I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D4681A" w:rsidRDefault="0008201D" w:rsidP="00CB2E7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681A">
              <w:rPr>
                <w:rFonts w:cs="Arial"/>
                <w:sz w:val="16"/>
                <w:szCs w:val="16"/>
              </w:rPr>
              <w:t>I-</w:t>
            </w:r>
            <w:r w:rsidR="00CB2E70">
              <w:rPr>
                <w:rFonts w:cs="Arial"/>
                <w:sz w:val="16"/>
                <w:szCs w:val="16"/>
              </w:rPr>
              <w:t>V</w:t>
            </w:r>
            <w:r w:rsidR="00BB03D7">
              <w:rPr>
                <w:rFonts w:cs="Arial"/>
                <w:sz w:val="16"/>
                <w:szCs w:val="16"/>
              </w:rPr>
              <w:t>I</w:t>
            </w:r>
            <w:r w:rsidRPr="00D4681A">
              <w:rPr>
                <w:rFonts w:cs="Arial"/>
                <w:sz w:val="16"/>
                <w:szCs w:val="16"/>
              </w:rPr>
              <w:t xml:space="preserve"> 20</w:t>
            </w:r>
            <w:r w:rsidR="00FF31BD">
              <w:rPr>
                <w:rFonts w:cs="Arial"/>
                <w:sz w:val="16"/>
                <w:szCs w:val="16"/>
              </w:rPr>
              <w:t>20</w:t>
            </w:r>
            <w:r w:rsidRPr="00D4681A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0248C4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806FAA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AE0E94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107,8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248C4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06FAA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E0E9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126,0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248C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06FA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E0E9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248C4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06FAA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E0E94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</w:tr>
      <w:tr w:rsidR="0008201D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248C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06FA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E0E9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248C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06FA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E0E9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124,9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248C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06FA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E0E9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</w:tr>
      <w:tr w:rsidR="0008201D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248C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06FA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E0E9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0248C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124483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AE0E9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</w:tr>
    </w:tbl>
    <w:p w:rsidR="007B52F0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D50B6A" w:rsidRDefault="00D50B6A" w:rsidP="006F12AF">
      <w:pPr>
        <w:rPr>
          <w:color w:val="000000" w:themeColor="text1"/>
          <w:sz w:val="16"/>
          <w:szCs w:val="16"/>
        </w:rPr>
      </w:pPr>
    </w:p>
    <w:p w:rsidR="007B52F0" w:rsidRDefault="007B52F0" w:rsidP="007B52F0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D50B6A" w:rsidRPr="001F551D" w:rsidTr="00B62822">
        <w:trPr>
          <w:gridAfter w:val="4"/>
          <w:wAfter w:w="4536" w:type="dxa"/>
          <w:cantSplit/>
          <w:trHeight w:val="406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D50B6A" w:rsidRPr="001F551D" w:rsidTr="00B62822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D50B6A" w:rsidRPr="001F551D" w:rsidRDefault="00D50B6A" w:rsidP="00B6282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50B6A" w:rsidRPr="001F551D" w:rsidRDefault="00D50B6A" w:rsidP="00B6282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A6147B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50B6A" w:rsidRPr="001F551D" w:rsidRDefault="00D50B6A" w:rsidP="00B6282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–</w:t>
            </w:r>
            <w:r>
              <w:rPr>
                <w:rFonts w:cs="Arial"/>
                <w:color w:val="000000"/>
                <w:sz w:val="16"/>
                <w:szCs w:val="16"/>
              </w:rPr>
              <w:t>VI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A6147B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D50B6A" w:rsidRPr="001F551D" w:rsidTr="00B62822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50B6A" w:rsidRPr="001F551D" w:rsidRDefault="00D50B6A" w:rsidP="00B6282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A6147B">
              <w:rPr>
                <w:rFonts w:cs="Arial"/>
                <w:color w:val="000000"/>
                <w:sz w:val="16"/>
                <w:szCs w:val="16"/>
              </w:rPr>
              <w:t>21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50B6A" w:rsidRPr="001F551D" w:rsidRDefault="00D50B6A" w:rsidP="00A6147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A6147B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50B6A" w:rsidRPr="001F551D" w:rsidRDefault="00D50B6A" w:rsidP="00A6147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I–VI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A6147B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50B6A" w:rsidRPr="001F551D" w:rsidRDefault="00D50B6A" w:rsidP="00B6282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D50B6A" w:rsidRPr="001F551D" w:rsidTr="00B62822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50B6A" w:rsidRPr="00F156AE" w:rsidRDefault="00792DD6" w:rsidP="00B6282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50B6A" w:rsidRPr="00F156AE" w:rsidRDefault="005372BA" w:rsidP="00B6282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50B6A" w:rsidRPr="00F156AE" w:rsidRDefault="005104E8" w:rsidP="00B6282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50B6A" w:rsidRPr="001F551D" w:rsidRDefault="00BF40C6" w:rsidP="00B6282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50B6A" w:rsidRPr="001F551D" w:rsidTr="00B62822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D50B6A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D50B6A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1F551D" w:rsidRDefault="00D50B6A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50B6A" w:rsidRPr="001F551D" w:rsidTr="00B62822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792DD6" w:rsidP="00B62822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372BA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104E8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1F551D" w:rsidRDefault="00BF40C6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</w:tr>
      <w:tr w:rsidR="00D50B6A" w:rsidRPr="001F551D" w:rsidTr="00B62822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792DD6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372BA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104E8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1F551D" w:rsidRDefault="00BF40C6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13,5</w:t>
            </w:r>
          </w:p>
        </w:tc>
      </w:tr>
      <w:tr w:rsidR="00D50B6A" w:rsidRPr="001F551D" w:rsidTr="00B62822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792DD6" w:rsidP="00B628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372BA" w:rsidP="00B628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104E8" w:rsidP="00B628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1F551D" w:rsidRDefault="00BF40C6" w:rsidP="00B628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25,5</w:t>
            </w:r>
          </w:p>
        </w:tc>
      </w:tr>
      <w:tr w:rsidR="00D50B6A" w:rsidRPr="001F551D" w:rsidTr="00B62822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D50B6A" w:rsidP="00B628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D50B6A" w:rsidP="00B628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D50B6A" w:rsidP="00B628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1F551D" w:rsidRDefault="00D50B6A" w:rsidP="00B628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D50B6A" w:rsidRPr="001F551D" w:rsidTr="00B62822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792DD6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372BA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104E8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1F551D" w:rsidRDefault="00BF40C6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D50B6A" w:rsidRPr="001F551D" w:rsidTr="00B62822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792DD6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372BA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104E8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1F551D" w:rsidRDefault="00BF40C6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</w:tr>
      <w:tr w:rsidR="00D50B6A" w:rsidRPr="001F551D" w:rsidTr="00B62822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0E6543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372BA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104E8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1F551D" w:rsidRDefault="00BF40C6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9,3</w:t>
            </w:r>
          </w:p>
        </w:tc>
      </w:tr>
      <w:tr w:rsidR="00D50B6A" w:rsidRPr="001F551D" w:rsidTr="00B62822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0E6543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50B6A" w:rsidRPr="00F156AE" w:rsidRDefault="005372BA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F156AE" w:rsidRDefault="005104E8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B6A" w:rsidRPr="001F551D" w:rsidRDefault="00BF40C6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</w:t>
            </w:r>
          </w:p>
        </w:tc>
      </w:tr>
      <w:tr w:rsidR="00D50B6A" w:rsidRPr="001F551D" w:rsidTr="00B62822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50B6A" w:rsidRPr="001F551D" w:rsidRDefault="00D50B6A" w:rsidP="00B6282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50B6A" w:rsidRPr="00F156AE" w:rsidRDefault="000E6543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50B6A" w:rsidRPr="00F156AE" w:rsidRDefault="005372BA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50B6A" w:rsidRPr="00F156AE" w:rsidRDefault="005104E8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50B6A" w:rsidRPr="001F551D" w:rsidRDefault="00BF40C6" w:rsidP="00B628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</w:tr>
    </w:tbl>
    <w:p w:rsidR="007B52F0" w:rsidRDefault="00D50B6A" w:rsidP="007B52F0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 xml:space="preserve"> </w:t>
      </w:r>
      <w:r w:rsidR="007B52F0" w:rsidRPr="00AE035E">
        <w:rPr>
          <w:sz w:val="16"/>
          <w:szCs w:val="16"/>
          <w:lang w:eastAsia="pl-PL"/>
        </w:rPr>
        <w:t>(.)</w:t>
      </w:r>
      <w:r w:rsidR="007B52F0">
        <w:rPr>
          <w:sz w:val="16"/>
          <w:szCs w:val="16"/>
          <w:lang w:eastAsia="pl-PL"/>
        </w:rPr>
        <w:t xml:space="preserve"> Zupełny b</w:t>
      </w:r>
      <w:r w:rsidR="007B52F0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2513B" w:rsidRPr="006C39CD" w:rsidRDefault="007B52F0" w:rsidP="00E11C34">
      <w:pPr>
        <w:ind w:left="851" w:hanging="851"/>
        <w:rPr>
          <w:noProof/>
        </w:rPr>
      </w:pPr>
      <w:r w:rsidRPr="00FB27F3">
        <w:rPr>
          <w:b/>
          <w:sz w:val="18"/>
          <w:szCs w:val="18"/>
        </w:rPr>
        <w:lastRenderedPageBreak/>
        <w:t>Wykres 2.</w:t>
      </w:r>
      <w:r w:rsidRPr="00FB27F3">
        <w:rPr>
          <w:b/>
          <w:sz w:val="18"/>
          <w:szCs w:val="18"/>
          <w:shd w:val="clear" w:color="auto" w:fill="FFFFFF"/>
        </w:rPr>
        <w:t xml:space="preserve"> Sprzedaż detaliczna towarów w</w:t>
      </w:r>
      <w:r>
        <w:rPr>
          <w:b/>
          <w:sz w:val="18"/>
          <w:szCs w:val="18"/>
          <w:shd w:val="clear" w:color="auto" w:fill="FFFFFF"/>
        </w:rPr>
        <w:t xml:space="preserve"> </w:t>
      </w:r>
      <w:r w:rsidR="00364066">
        <w:rPr>
          <w:b/>
          <w:sz w:val="18"/>
          <w:szCs w:val="18"/>
          <w:shd w:val="clear" w:color="auto" w:fill="FFFFFF"/>
        </w:rPr>
        <w:t>czerwcu</w:t>
      </w:r>
      <w:r w:rsidR="00D11C92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20</w:t>
      </w:r>
      <w:r>
        <w:rPr>
          <w:b/>
          <w:sz w:val="18"/>
          <w:szCs w:val="18"/>
          <w:shd w:val="clear" w:color="auto" w:fill="FFFFFF"/>
        </w:rPr>
        <w:t>21</w:t>
      </w:r>
      <w:r w:rsidRPr="00FB27F3">
        <w:rPr>
          <w:b/>
          <w:sz w:val="18"/>
          <w:szCs w:val="18"/>
          <w:shd w:val="clear" w:color="auto" w:fill="FFFFFF"/>
        </w:rPr>
        <w:t xml:space="preserve"> r. według rodzajów działalności przedsiębiorstwa (ceny stałe) – analogiczny okres roku poprzedniego=100</w:t>
      </w:r>
      <w:r w:rsidR="00B2513B" w:rsidRPr="006C39CD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2F0" w:rsidRDefault="007B52F0" w:rsidP="00F22FE1">
      <w:pPr>
        <w:pStyle w:val="tytuwykresu"/>
        <w:spacing w:before="240"/>
        <w:rPr>
          <w:rFonts w:cs="Arial"/>
          <w:color w:val="002060"/>
          <w:szCs w:val="19"/>
        </w:rPr>
      </w:pPr>
    </w:p>
    <w:p w:rsidR="00F22FE1" w:rsidRDefault="00D720ED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rightMargin">
                  <wp:posOffset>78105</wp:posOffset>
                </wp:positionH>
                <wp:positionV relativeFrom="paragraph">
                  <wp:posOffset>253365</wp:posOffset>
                </wp:positionV>
                <wp:extent cx="1823085" cy="991870"/>
                <wp:effectExtent l="0" t="0" r="0" b="0"/>
                <wp:wrapTight wrapText="bothSides">
                  <wp:wrapPolygon edited="0">
                    <wp:start x="677" y="0"/>
                    <wp:lineTo x="677" y="21157"/>
                    <wp:lineTo x="20765" y="21157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6671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czerwcu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wzrost 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 w:rsidR="008206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0,8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</w:p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9EF436" id="_x0000_s1028" type="#_x0000_t202" style="position:absolute;margin-left:6.15pt;margin-top:19.95pt;width:143.55pt;height:78.1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6671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czerwcu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wzrost 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 w:rsidR="008206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0,8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</w:p>
                    <w:p w:rsidR="00E524A8" w:rsidRDefault="00E524A8"/>
                  </w:txbxContent>
                </v:textbox>
                <w10:wrap type="tight" anchorx="margin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1511FD" w:rsidRDefault="006C39CD" w:rsidP="00D720ED">
      <w:pPr>
        <w:pStyle w:val="tytuwykresu"/>
        <w:spacing w:before="240"/>
        <w:rPr>
          <w:shd w:val="clear" w:color="auto" w:fill="FFFFFF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 xml:space="preserve">czynników o charakterze sezonowym sprzedaż detaliczna w cenach stałych w </w:t>
      </w:r>
      <w:r w:rsidR="0082063F">
        <w:rPr>
          <w:rFonts w:cs="Arial"/>
          <w:b w:val="0"/>
          <w:sz w:val="19"/>
          <w:szCs w:val="19"/>
        </w:rPr>
        <w:t xml:space="preserve">czerwcu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82063F">
        <w:rPr>
          <w:rFonts w:cs="Arial"/>
          <w:b w:val="0"/>
          <w:sz w:val="19"/>
          <w:szCs w:val="19"/>
        </w:rPr>
        <w:t>0,8</w:t>
      </w:r>
      <w:r w:rsidR="001270F9">
        <w:rPr>
          <w:rFonts w:cs="Arial"/>
          <w:b w:val="0"/>
          <w:sz w:val="19"/>
          <w:szCs w:val="19"/>
        </w:rPr>
        <w:t>%</w:t>
      </w:r>
      <w:r w:rsidR="00F40B24">
        <w:rPr>
          <w:rFonts w:cs="Arial"/>
          <w:b w:val="0"/>
          <w:sz w:val="19"/>
          <w:szCs w:val="19"/>
        </w:rPr>
        <w:t xml:space="preserve"> </w:t>
      </w:r>
      <w:r w:rsidR="009D6B34">
        <w:rPr>
          <w:rFonts w:cs="Arial"/>
          <w:b w:val="0"/>
          <w:sz w:val="19"/>
          <w:szCs w:val="19"/>
        </w:rPr>
        <w:t>wy</w:t>
      </w:r>
      <w:r w:rsidR="00F40B24">
        <w:rPr>
          <w:rFonts w:cs="Arial"/>
          <w:b w:val="0"/>
          <w:sz w:val="19"/>
          <w:szCs w:val="19"/>
        </w:rPr>
        <w:t xml:space="preserve">ższa </w:t>
      </w:r>
      <w:r w:rsidRPr="004B18B7">
        <w:rPr>
          <w:rFonts w:cs="Arial"/>
          <w:b w:val="0"/>
          <w:sz w:val="19"/>
          <w:szCs w:val="19"/>
        </w:rPr>
        <w:t>w porównaniu z</w:t>
      </w:r>
      <w:r w:rsidR="0082063F">
        <w:rPr>
          <w:rFonts w:cs="Arial"/>
          <w:b w:val="0"/>
          <w:sz w:val="19"/>
          <w:szCs w:val="19"/>
        </w:rPr>
        <w:t xml:space="preserve"> majem</w:t>
      </w:r>
      <w:r w:rsidR="0018608D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1511FD" w:rsidRDefault="001511FD" w:rsidP="001511FD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align>left</wp:align>
            </wp:positionH>
            <wp:positionV relativeFrom="margin">
              <wp:posOffset>4660070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</w:t>
      </w:r>
      <w:r w:rsidRPr="00F40B24">
        <w:rPr>
          <w:i/>
          <w:shd w:val="clear" w:color="auto" w:fill="FFFFFF"/>
        </w:rPr>
        <w:t>0</w:t>
      </w:r>
      <w:r w:rsidRPr="003D7F37">
        <w:rPr>
          <w:shd w:val="clear" w:color="auto" w:fill="FFFFFF"/>
        </w:rPr>
        <w:t>15=100</w:t>
      </w:r>
    </w:p>
    <w:p w:rsidR="00092DA0" w:rsidRDefault="00092DA0" w:rsidP="00B2513B">
      <w:pPr>
        <w:pStyle w:val="tytuwykresu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996515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410D59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15" w:rsidRDefault="00996515" w:rsidP="000662E2">
      <w:pPr>
        <w:spacing w:after="0" w:line="240" w:lineRule="auto"/>
      </w:pPr>
      <w:r>
        <w:separator/>
      </w:r>
    </w:p>
  </w:endnote>
  <w:endnote w:type="continuationSeparator" w:id="0">
    <w:p w:rsidR="00996515" w:rsidRDefault="0099651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2859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2859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15" w:rsidRDefault="00996515" w:rsidP="000662E2">
      <w:pPr>
        <w:spacing w:after="0" w:line="240" w:lineRule="auto"/>
      </w:pPr>
      <w:r>
        <w:separator/>
      </w:r>
    </w:p>
  </w:footnote>
  <w:footnote w:type="continuationSeparator" w:id="0">
    <w:p w:rsidR="00996515" w:rsidRDefault="00996515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6450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D1176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D1176">
                            <w:rPr>
                              <w:rFonts w:ascii="Fira Sans SemiBold" w:hAnsi="Fira Sans SemiBold"/>
                              <w:color w:val="001D77"/>
                            </w:rPr>
                            <w:t>07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6450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D1176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D1176">
                      <w:rPr>
                        <w:rFonts w:ascii="Fira Sans SemiBold" w:hAnsi="Fira Sans SemiBold"/>
                        <w:color w:val="001D77"/>
                      </w:rPr>
                      <w:t>07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5pt;height:122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05pt;height:122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2239"/>
    <w:rsid w:val="000144A9"/>
    <w:rsid w:val="00014BC5"/>
    <w:rsid w:val="000152F5"/>
    <w:rsid w:val="00015914"/>
    <w:rsid w:val="000159C2"/>
    <w:rsid w:val="00015A15"/>
    <w:rsid w:val="0001625A"/>
    <w:rsid w:val="00016341"/>
    <w:rsid w:val="00016E07"/>
    <w:rsid w:val="00017FCB"/>
    <w:rsid w:val="00017FFE"/>
    <w:rsid w:val="00023A16"/>
    <w:rsid w:val="000248C4"/>
    <w:rsid w:val="00024A57"/>
    <w:rsid w:val="00024B8A"/>
    <w:rsid w:val="00025F4C"/>
    <w:rsid w:val="000262E5"/>
    <w:rsid w:val="00026F0B"/>
    <w:rsid w:val="000275C3"/>
    <w:rsid w:val="00027951"/>
    <w:rsid w:val="00030724"/>
    <w:rsid w:val="00030A1C"/>
    <w:rsid w:val="00030E7A"/>
    <w:rsid w:val="000325B7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747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66D27"/>
    <w:rsid w:val="00071458"/>
    <w:rsid w:val="00071D8E"/>
    <w:rsid w:val="000735CF"/>
    <w:rsid w:val="00073E08"/>
    <w:rsid w:val="00074437"/>
    <w:rsid w:val="0007487E"/>
    <w:rsid w:val="00074ABB"/>
    <w:rsid w:val="00074DD8"/>
    <w:rsid w:val="00075446"/>
    <w:rsid w:val="00076FC0"/>
    <w:rsid w:val="0007760C"/>
    <w:rsid w:val="00080236"/>
    <w:rsid w:val="000806F7"/>
    <w:rsid w:val="00081C7F"/>
    <w:rsid w:val="0008201D"/>
    <w:rsid w:val="000830CE"/>
    <w:rsid w:val="00084858"/>
    <w:rsid w:val="00084C56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368"/>
    <w:rsid w:val="000C0AF0"/>
    <w:rsid w:val="000C135D"/>
    <w:rsid w:val="000C4971"/>
    <w:rsid w:val="000C58D4"/>
    <w:rsid w:val="000C62BC"/>
    <w:rsid w:val="000C6DB2"/>
    <w:rsid w:val="000C743A"/>
    <w:rsid w:val="000D0992"/>
    <w:rsid w:val="000D0B09"/>
    <w:rsid w:val="000D1176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85D"/>
    <w:rsid w:val="000D6FD0"/>
    <w:rsid w:val="000D7C42"/>
    <w:rsid w:val="000E026A"/>
    <w:rsid w:val="000E0913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48F8"/>
    <w:rsid w:val="000E56D3"/>
    <w:rsid w:val="000E585A"/>
    <w:rsid w:val="000E6543"/>
    <w:rsid w:val="000E67AF"/>
    <w:rsid w:val="000E790A"/>
    <w:rsid w:val="000F02F3"/>
    <w:rsid w:val="000F0E3A"/>
    <w:rsid w:val="000F4225"/>
    <w:rsid w:val="000F6590"/>
    <w:rsid w:val="000F6662"/>
    <w:rsid w:val="000F6856"/>
    <w:rsid w:val="000F798E"/>
    <w:rsid w:val="001011C3"/>
    <w:rsid w:val="0010227D"/>
    <w:rsid w:val="001022D1"/>
    <w:rsid w:val="00102E17"/>
    <w:rsid w:val="00103FAA"/>
    <w:rsid w:val="0010409F"/>
    <w:rsid w:val="00104902"/>
    <w:rsid w:val="00104914"/>
    <w:rsid w:val="00105B93"/>
    <w:rsid w:val="0010783E"/>
    <w:rsid w:val="00107DC6"/>
    <w:rsid w:val="00110C5D"/>
    <w:rsid w:val="00110D87"/>
    <w:rsid w:val="00111234"/>
    <w:rsid w:val="001119E5"/>
    <w:rsid w:val="00111B78"/>
    <w:rsid w:val="00112543"/>
    <w:rsid w:val="00112944"/>
    <w:rsid w:val="001133DC"/>
    <w:rsid w:val="0011388B"/>
    <w:rsid w:val="001143B4"/>
    <w:rsid w:val="001149EB"/>
    <w:rsid w:val="00114A83"/>
    <w:rsid w:val="00114B71"/>
    <w:rsid w:val="00114DB9"/>
    <w:rsid w:val="00115756"/>
    <w:rsid w:val="00115B92"/>
    <w:rsid w:val="00115F4C"/>
    <w:rsid w:val="00116087"/>
    <w:rsid w:val="0011648E"/>
    <w:rsid w:val="00117217"/>
    <w:rsid w:val="00117888"/>
    <w:rsid w:val="0012003F"/>
    <w:rsid w:val="00120FE1"/>
    <w:rsid w:val="00122507"/>
    <w:rsid w:val="00122AFF"/>
    <w:rsid w:val="00122F42"/>
    <w:rsid w:val="00122F87"/>
    <w:rsid w:val="001241DE"/>
    <w:rsid w:val="00124483"/>
    <w:rsid w:val="00125E57"/>
    <w:rsid w:val="00126531"/>
    <w:rsid w:val="001267F4"/>
    <w:rsid w:val="0012686A"/>
    <w:rsid w:val="001270F9"/>
    <w:rsid w:val="001300FF"/>
    <w:rsid w:val="00130296"/>
    <w:rsid w:val="00130B6A"/>
    <w:rsid w:val="00131C5B"/>
    <w:rsid w:val="0013244F"/>
    <w:rsid w:val="0013265F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11FD"/>
    <w:rsid w:val="00151549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BE6"/>
    <w:rsid w:val="00167547"/>
    <w:rsid w:val="00167F8E"/>
    <w:rsid w:val="001704EF"/>
    <w:rsid w:val="00170C2A"/>
    <w:rsid w:val="00170EBA"/>
    <w:rsid w:val="00171C7E"/>
    <w:rsid w:val="001726B3"/>
    <w:rsid w:val="001733DF"/>
    <w:rsid w:val="001735B1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08D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7432"/>
    <w:rsid w:val="001A7748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5816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2EB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741A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3155"/>
    <w:rsid w:val="001F43F9"/>
    <w:rsid w:val="001F4BBA"/>
    <w:rsid w:val="001F5188"/>
    <w:rsid w:val="001F59B5"/>
    <w:rsid w:val="001F67FE"/>
    <w:rsid w:val="001F7373"/>
    <w:rsid w:val="00200FD1"/>
    <w:rsid w:val="002019BA"/>
    <w:rsid w:val="0020279F"/>
    <w:rsid w:val="002030C4"/>
    <w:rsid w:val="00203139"/>
    <w:rsid w:val="00204C78"/>
    <w:rsid w:val="00205A26"/>
    <w:rsid w:val="00205C7E"/>
    <w:rsid w:val="00205CC3"/>
    <w:rsid w:val="00207163"/>
    <w:rsid w:val="00210658"/>
    <w:rsid w:val="00211215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3828"/>
    <w:rsid w:val="0023498C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4D79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47"/>
    <w:rsid w:val="00264C51"/>
    <w:rsid w:val="0026559E"/>
    <w:rsid w:val="00265EF5"/>
    <w:rsid w:val="00266550"/>
    <w:rsid w:val="00267E73"/>
    <w:rsid w:val="00267F75"/>
    <w:rsid w:val="00271C66"/>
    <w:rsid w:val="0027452C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595B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4CB1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A6512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404"/>
    <w:rsid w:val="002C06CC"/>
    <w:rsid w:val="002C0E78"/>
    <w:rsid w:val="002C0F0C"/>
    <w:rsid w:val="002C138D"/>
    <w:rsid w:val="002C1AE2"/>
    <w:rsid w:val="002C1CA4"/>
    <w:rsid w:val="002C2628"/>
    <w:rsid w:val="002C2950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1165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29BE"/>
    <w:rsid w:val="002F35FC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631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3B3C"/>
    <w:rsid w:val="003140EB"/>
    <w:rsid w:val="003154FE"/>
    <w:rsid w:val="00315B98"/>
    <w:rsid w:val="00316781"/>
    <w:rsid w:val="003208E6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54BB"/>
    <w:rsid w:val="00336650"/>
    <w:rsid w:val="003376FA"/>
    <w:rsid w:val="00337F26"/>
    <w:rsid w:val="003416BB"/>
    <w:rsid w:val="00341A36"/>
    <w:rsid w:val="00342484"/>
    <w:rsid w:val="003427DD"/>
    <w:rsid w:val="00342DAE"/>
    <w:rsid w:val="003434AE"/>
    <w:rsid w:val="0034354B"/>
    <w:rsid w:val="003438D2"/>
    <w:rsid w:val="00344692"/>
    <w:rsid w:val="00345760"/>
    <w:rsid w:val="00345DF9"/>
    <w:rsid w:val="00346147"/>
    <w:rsid w:val="003461A3"/>
    <w:rsid w:val="003465A7"/>
    <w:rsid w:val="00347D72"/>
    <w:rsid w:val="00351723"/>
    <w:rsid w:val="00351A4C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60352"/>
    <w:rsid w:val="003610E5"/>
    <w:rsid w:val="0036149F"/>
    <w:rsid w:val="00361B90"/>
    <w:rsid w:val="0036221B"/>
    <w:rsid w:val="00362B58"/>
    <w:rsid w:val="00363854"/>
    <w:rsid w:val="00364066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276"/>
    <w:rsid w:val="00374327"/>
    <w:rsid w:val="00375A2A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5A80"/>
    <w:rsid w:val="003862F3"/>
    <w:rsid w:val="003864B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3AC6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5FDA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543E"/>
    <w:rsid w:val="003E6294"/>
    <w:rsid w:val="003E6A73"/>
    <w:rsid w:val="003E7A56"/>
    <w:rsid w:val="003F025A"/>
    <w:rsid w:val="003F0625"/>
    <w:rsid w:val="003F076D"/>
    <w:rsid w:val="003F0EDA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D19"/>
    <w:rsid w:val="0040430D"/>
    <w:rsid w:val="0040584E"/>
    <w:rsid w:val="0040791E"/>
    <w:rsid w:val="0041049C"/>
    <w:rsid w:val="00410D59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2CF4"/>
    <w:rsid w:val="0042446D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118"/>
    <w:rsid w:val="00437395"/>
    <w:rsid w:val="00437880"/>
    <w:rsid w:val="00440A2D"/>
    <w:rsid w:val="0044171B"/>
    <w:rsid w:val="00442845"/>
    <w:rsid w:val="004429F8"/>
    <w:rsid w:val="004431A7"/>
    <w:rsid w:val="0044325E"/>
    <w:rsid w:val="004437EC"/>
    <w:rsid w:val="004438A8"/>
    <w:rsid w:val="00445047"/>
    <w:rsid w:val="004459A9"/>
    <w:rsid w:val="00445E2E"/>
    <w:rsid w:val="004467FF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C4A"/>
    <w:rsid w:val="00463E39"/>
    <w:rsid w:val="00464191"/>
    <w:rsid w:val="00464756"/>
    <w:rsid w:val="0046482B"/>
    <w:rsid w:val="00464CEA"/>
    <w:rsid w:val="004657FC"/>
    <w:rsid w:val="00466251"/>
    <w:rsid w:val="00467E72"/>
    <w:rsid w:val="0047176B"/>
    <w:rsid w:val="004717A8"/>
    <w:rsid w:val="00472CCE"/>
    <w:rsid w:val="004733F6"/>
    <w:rsid w:val="004746B6"/>
    <w:rsid w:val="00474E69"/>
    <w:rsid w:val="00475167"/>
    <w:rsid w:val="00475849"/>
    <w:rsid w:val="00475B1F"/>
    <w:rsid w:val="00475C07"/>
    <w:rsid w:val="004765FF"/>
    <w:rsid w:val="00476D26"/>
    <w:rsid w:val="00476D82"/>
    <w:rsid w:val="00477705"/>
    <w:rsid w:val="00477D26"/>
    <w:rsid w:val="00481568"/>
    <w:rsid w:val="004825E5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7D7"/>
    <w:rsid w:val="004A0FCB"/>
    <w:rsid w:val="004A12CA"/>
    <w:rsid w:val="004A429C"/>
    <w:rsid w:val="004A579E"/>
    <w:rsid w:val="004A59D6"/>
    <w:rsid w:val="004A606A"/>
    <w:rsid w:val="004A7C91"/>
    <w:rsid w:val="004B06B1"/>
    <w:rsid w:val="004B15C9"/>
    <w:rsid w:val="004B18B7"/>
    <w:rsid w:val="004B2970"/>
    <w:rsid w:val="004B3E2B"/>
    <w:rsid w:val="004B4652"/>
    <w:rsid w:val="004B5001"/>
    <w:rsid w:val="004B55C7"/>
    <w:rsid w:val="004B6C26"/>
    <w:rsid w:val="004B7712"/>
    <w:rsid w:val="004C0431"/>
    <w:rsid w:val="004C12C6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2815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0D4F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2E8E"/>
    <w:rsid w:val="005033BE"/>
    <w:rsid w:val="00505263"/>
    <w:rsid w:val="00505A92"/>
    <w:rsid w:val="00506D45"/>
    <w:rsid w:val="00507B0F"/>
    <w:rsid w:val="0051010A"/>
    <w:rsid w:val="005104E8"/>
    <w:rsid w:val="00510540"/>
    <w:rsid w:val="00510BC5"/>
    <w:rsid w:val="00511235"/>
    <w:rsid w:val="00511294"/>
    <w:rsid w:val="005114C9"/>
    <w:rsid w:val="00511837"/>
    <w:rsid w:val="00511F40"/>
    <w:rsid w:val="00513859"/>
    <w:rsid w:val="005151CB"/>
    <w:rsid w:val="00515DF5"/>
    <w:rsid w:val="00515FCF"/>
    <w:rsid w:val="005170C9"/>
    <w:rsid w:val="00517ADB"/>
    <w:rsid w:val="0052017D"/>
    <w:rsid w:val="005203F1"/>
    <w:rsid w:val="00521BC3"/>
    <w:rsid w:val="00521BE2"/>
    <w:rsid w:val="00522209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062"/>
    <w:rsid w:val="00532C65"/>
    <w:rsid w:val="00533305"/>
    <w:rsid w:val="00533632"/>
    <w:rsid w:val="00533C70"/>
    <w:rsid w:val="005367C9"/>
    <w:rsid w:val="005372BA"/>
    <w:rsid w:val="00537887"/>
    <w:rsid w:val="00537E18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B8C"/>
    <w:rsid w:val="005654AB"/>
    <w:rsid w:val="005660A3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77125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6D7"/>
    <w:rsid w:val="00591BDF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36F"/>
    <w:rsid w:val="005A446B"/>
    <w:rsid w:val="005A5491"/>
    <w:rsid w:val="005A5542"/>
    <w:rsid w:val="005A5AFF"/>
    <w:rsid w:val="005A64D9"/>
    <w:rsid w:val="005A698C"/>
    <w:rsid w:val="005A6B03"/>
    <w:rsid w:val="005B07B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3D05"/>
    <w:rsid w:val="005D4AD6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318B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34F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B98"/>
    <w:rsid w:val="00601C27"/>
    <w:rsid w:val="006023B2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17225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E43"/>
    <w:rsid w:val="00632060"/>
    <w:rsid w:val="006321E3"/>
    <w:rsid w:val="00632B77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D1E"/>
    <w:rsid w:val="00640E37"/>
    <w:rsid w:val="006411E5"/>
    <w:rsid w:val="006414A2"/>
    <w:rsid w:val="0064250A"/>
    <w:rsid w:val="006442AF"/>
    <w:rsid w:val="00644AAE"/>
    <w:rsid w:val="006450F9"/>
    <w:rsid w:val="00645F68"/>
    <w:rsid w:val="006460A0"/>
    <w:rsid w:val="006464F7"/>
    <w:rsid w:val="006477C5"/>
    <w:rsid w:val="006477E3"/>
    <w:rsid w:val="00651A18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143"/>
    <w:rsid w:val="006669BE"/>
    <w:rsid w:val="00666BAB"/>
    <w:rsid w:val="006671E1"/>
    <w:rsid w:val="006673CA"/>
    <w:rsid w:val="00667DF9"/>
    <w:rsid w:val="0067015F"/>
    <w:rsid w:val="00671014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E58"/>
    <w:rsid w:val="00682DA6"/>
    <w:rsid w:val="0068327D"/>
    <w:rsid w:val="00683E97"/>
    <w:rsid w:val="006842EC"/>
    <w:rsid w:val="00684787"/>
    <w:rsid w:val="00684C1D"/>
    <w:rsid w:val="0068534B"/>
    <w:rsid w:val="006854F8"/>
    <w:rsid w:val="006867E2"/>
    <w:rsid w:val="00687B74"/>
    <w:rsid w:val="00691E34"/>
    <w:rsid w:val="006922B1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2D4F"/>
    <w:rsid w:val="006B3283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43B"/>
    <w:rsid w:val="006D3C80"/>
    <w:rsid w:val="006D4054"/>
    <w:rsid w:val="006D430F"/>
    <w:rsid w:val="006D4368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9A5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52EE"/>
    <w:rsid w:val="006F58E5"/>
    <w:rsid w:val="006F5912"/>
    <w:rsid w:val="006F59D0"/>
    <w:rsid w:val="006F6172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0600A"/>
    <w:rsid w:val="00710EBD"/>
    <w:rsid w:val="00710EF8"/>
    <w:rsid w:val="007131CD"/>
    <w:rsid w:val="00714421"/>
    <w:rsid w:val="007145A9"/>
    <w:rsid w:val="00714FE8"/>
    <w:rsid w:val="007164A2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2E2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1EC"/>
    <w:rsid w:val="00733957"/>
    <w:rsid w:val="00733ABF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0D26"/>
    <w:rsid w:val="007427B0"/>
    <w:rsid w:val="00742952"/>
    <w:rsid w:val="00743907"/>
    <w:rsid w:val="00743AE9"/>
    <w:rsid w:val="00744468"/>
    <w:rsid w:val="007444B1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2964"/>
    <w:rsid w:val="007654BB"/>
    <w:rsid w:val="00765FD3"/>
    <w:rsid w:val="00766155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8"/>
    <w:rsid w:val="00776B8E"/>
    <w:rsid w:val="00777720"/>
    <w:rsid w:val="00777D05"/>
    <w:rsid w:val="007801F5"/>
    <w:rsid w:val="00780EE8"/>
    <w:rsid w:val="007814F9"/>
    <w:rsid w:val="0078374E"/>
    <w:rsid w:val="00783AC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2DD6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1DA"/>
    <w:rsid w:val="007A3A53"/>
    <w:rsid w:val="007A414C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3F0A"/>
    <w:rsid w:val="007B4C5A"/>
    <w:rsid w:val="007B4F5A"/>
    <w:rsid w:val="007B52F0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384"/>
    <w:rsid w:val="007E03AF"/>
    <w:rsid w:val="007E0E92"/>
    <w:rsid w:val="007E10BB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76CD"/>
    <w:rsid w:val="007F7FB0"/>
    <w:rsid w:val="00802330"/>
    <w:rsid w:val="0080238C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6F25"/>
    <w:rsid w:val="00806FAA"/>
    <w:rsid w:val="00807AC9"/>
    <w:rsid w:val="00810BC4"/>
    <w:rsid w:val="00810CCE"/>
    <w:rsid w:val="0081139F"/>
    <w:rsid w:val="008115C6"/>
    <w:rsid w:val="00811749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2063F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146"/>
    <w:rsid w:val="00841284"/>
    <w:rsid w:val="008418EB"/>
    <w:rsid w:val="00842F06"/>
    <w:rsid w:val="00843795"/>
    <w:rsid w:val="00845850"/>
    <w:rsid w:val="00845B99"/>
    <w:rsid w:val="00846013"/>
    <w:rsid w:val="00847584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57A87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58A"/>
    <w:rsid w:val="0088323B"/>
    <w:rsid w:val="00884D6E"/>
    <w:rsid w:val="0088521D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4C72"/>
    <w:rsid w:val="00894F74"/>
    <w:rsid w:val="0089507D"/>
    <w:rsid w:val="00895118"/>
    <w:rsid w:val="0089562D"/>
    <w:rsid w:val="00897315"/>
    <w:rsid w:val="008A0888"/>
    <w:rsid w:val="008A0B32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57A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6B45"/>
    <w:rsid w:val="008C759C"/>
    <w:rsid w:val="008C79FC"/>
    <w:rsid w:val="008D0A97"/>
    <w:rsid w:val="008D124D"/>
    <w:rsid w:val="008D128B"/>
    <w:rsid w:val="008D12AE"/>
    <w:rsid w:val="008D219B"/>
    <w:rsid w:val="008D4BB8"/>
    <w:rsid w:val="008D503E"/>
    <w:rsid w:val="008D5906"/>
    <w:rsid w:val="008D60FE"/>
    <w:rsid w:val="008D766F"/>
    <w:rsid w:val="008E0771"/>
    <w:rsid w:val="008E0E42"/>
    <w:rsid w:val="008E1C87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8A5"/>
    <w:rsid w:val="00905964"/>
    <w:rsid w:val="009060F3"/>
    <w:rsid w:val="009061CE"/>
    <w:rsid w:val="0090629C"/>
    <w:rsid w:val="009071D9"/>
    <w:rsid w:val="00907385"/>
    <w:rsid w:val="00911CF3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2EC2"/>
    <w:rsid w:val="0093327E"/>
    <w:rsid w:val="00933AED"/>
    <w:rsid w:val="00933EC1"/>
    <w:rsid w:val="00934FB1"/>
    <w:rsid w:val="009350FA"/>
    <w:rsid w:val="009352C3"/>
    <w:rsid w:val="00935CF0"/>
    <w:rsid w:val="009362CE"/>
    <w:rsid w:val="009373EB"/>
    <w:rsid w:val="00942C04"/>
    <w:rsid w:val="009432BC"/>
    <w:rsid w:val="00944BA2"/>
    <w:rsid w:val="00944CA2"/>
    <w:rsid w:val="009502D7"/>
    <w:rsid w:val="00950B93"/>
    <w:rsid w:val="00950DFC"/>
    <w:rsid w:val="00951913"/>
    <w:rsid w:val="00951BF9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584"/>
    <w:rsid w:val="0098070A"/>
    <w:rsid w:val="0098135C"/>
    <w:rsid w:val="0098156A"/>
    <w:rsid w:val="009815A2"/>
    <w:rsid w:val="00982BF5"/>
    <w:rsid w:val="009832D2"/>
    <w:rsid w:val="00984123"/>
    <w:rsid w:val="00984F01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6515"/>
    <w:rsid w:val="009968CD"/>
    <w:rsid w:val="00996B25"/>
    <w:rsid w:val="009974DE"/>
    <w:rsid w:val="009979A1"/>
    <w:rsid w:val="00997FA1"/>
    <w:rsid w:val="009A0350"/>
    <w:rsid w:val="009A06B2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B34"/>
    <w:rsid w:val="009D6FE2"/>
    <w:rsid w:val="009E0996"/>
    <w:rsid w:val="009E10BE"/>
    <w:rsid w:val="009E29F7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E7B"/>
    <w:rsid w:val="00A03FF5"/>
    <w:rsid w:val="00A04DAF"/>
    <w:rsid w:val="00A04FB0"/>
    <w:rsid w:val="00A06884"/>
    <w:rsid w:val="00A06D7A"/>
    <w:rsid w:val="00A0709F"/>
    <w:rsid w:val="00A07B0A"/>
    <w:rsid w:val="00A07EBB"/>
    <w:rsid w:val="00A07FC9"/>
    <w:rsid w:val="00A104EB"/>
    <w:rsid w:val="00A1081D"/>
    <w:rsid w:val="00A11641"/>
    <w:rsid w:val="00A11842"/>
    <w:rsid w:val="00A12737"/>
    <w:rsid w:val="00A139F5"/>
    <w:rsid w:val="00A14397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65F4"/>
    <w:rsid w:val="00A37687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147B"/>
    <w:rsid w:val="00A622CB"/>
    <w:rsid w:val="00A63E05"/>
    <w:rsid w:val="00A63EA5"/>
    <w:rsid w:val="00A646AE"/>
    <w:rsid w:val="00A64EDE"/>
    <w:rsid w:val="00A6504B"/>
    <w:rsid w:val="00A665CE"/>
    <w:rsid w:val="00A718E4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6C5"/>
    <w:rsid w:val="00A91B6D"/>
    <w:rsid w:val="00A92760"/>
    <w:rsid w:val="00A92A11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5A1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B11B1"/>
    <w:rsid w:val="00AB1DC9"/>
    <w:rsid w:val="00AB1F07"/>
    <w:rsid w:val="00AB60D7"/>
    <w:rsid w:val="00AB6D25"/>
    <w:rsid w:val="00AB7979"/>
    <w:rsid w:val="00AC09F0"/>
    <w:rsid w:val="00AC1D06"/>
    <w:rsid w:val="00AC26E1"/>
    <w:rsid w:val="00AC3099"/>
    <w:rsid w:val="00AC35EC"/>
    <w:rsid w:val="00AC4218"/>
    <w:rsid w:val="00AC5132"/>
    <w:rsid w:val="00AC5346"/>
    <w:rsid w:val="00AC64CB"/>
    <w:rsid w:val="00AC6FF3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D7103"/>
    <w:rsid w:val="00AE0311"/>
    <w:rsid w:val="00AE035E"/>
    <w:rsid w:val="00AE0E94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25FE"/>
    <w:rsid w:val="00AF3882"/>
    <w:rsid w:val="00AF3A20"/>
    <w:rsid w:val="00AF3D94"/>
    <w:rsid w:val="00AF42C9"/>
    <w:rsid w:val="00AF4EEA"/>
    <w:rsid w:val="00AF6C9C"/>
    <w:rsid w:val="00AF6DA8"/>
    <w:rsid w:val="00AF7662"/>
    <w:rsid w:val="00B00908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15D31"/>
    <w:rsid w:val="00B16A11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513B"/>
    <w:rsid w:val="00B252F0"/>
    <w:rsid w:val="00B25386"/>
    <w:rsid w:val="00B257CC"/>
    <w:rsid w:val="00B25EE8"/>
    <w:rsid w:val="00B26298"/>
    <w:rsid w:val="00B26A5D"/>
    <w:rsid w:val="00B2788D"/>
    <w:rsid w:val="00B27DA7"/>
    <w:rsid w:val="00B31984"/>
    <w:rsid w:val="00B31E5A"/>
    <w:rsid w:val="00B33803"/>
    <w:rsid w:val="00B33CF7"/>
    <w:rsid w:val="00B367C0"/>
    <w:rsid w:val="00B409D9"/>
    <w:rsid w:val="00B40B20"/>
    <w:rsid w:val="00B42170"/>
    <w:rsid w:val="00B42281"/>
    <w:rsid w:val="00B424FC"/>
    <w:rsid w:val="00B42BD2"/>
    <w:rsid w:val="00B43B0D"/>
    <w:rsid w:val="00B44144"/>
    <w:rsid w:val="00B45183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55E5B"/>
    <w:rsid w:val="00B566FF"/>
    <w:rsid w:val="00B615BB"/>
    <w:rsid w:val="00B62508"/>
    <w:rsid w:val="00B653AB"/>
    <w:rsid w:val="00B65F9E"/>
    <w:rsid w:val="00B661FF"/>
    <w:rsid w:val="00B66831"/>
    <w:rsid w:val="00B66B19"/>
    <w:rsid w:val="00B66C27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518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1870"/>
    <w:rsid w:val="00B93136"/>
    <w:rsid w:val="00B9508C"/>
    <w:rsid w:val="00B956EE"/>
    <w:rsid w:val="00B95826"/>
    <w:rsid w:val="00B963C1"/>
    <w:rsid w:val="00B97152"/>
    <w:rsid w:val="00BA08BA"/>
    <w:rsid w:val="00BA0BBE"/>
    <w:rsid w:val="00BA2B3D"/>
    <w:rsid w:val="00BA2B5D"/>
    <w:rsid w:val="00BA2BA1"/>
    <w:rsid w:val="00BA3166"/>
    <w:rsid w:val="00BA38B6"/>
    <w:rsid w:val="00BA38E8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3D7"/>
    <w:rsid w:val="00BB0DFC"/>
    <w:rsid w:val="00BB1569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097"/>
    <w:rsid w:val="00BC75C8"/>
    <w:rsid w:val="00BD0D91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0C6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A08"/>
    <w:rsid w:val="00C02CA2"/>
    <w:rsid w:val="00C030DE"/>
    <w:rsid w:val="00C03DDF"/>
    <w:rsid w:val="00C03F96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3880"/>
    <w:rsid w:val="00C14D07"/>
    <w:rsid w:val="00C15259"/>
    <w:rsid w:val="00C15C2F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658A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4C49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13D"/>
    <w:rsid w:val="00C75A8C"/>
    <w:rsid w:val="00C76583"/>
    <w:rsid w:val="00C76AC7"/>
    <w:rsid w:val="00C77C0E"/>
    <w:rsid w:val="00C80E5E"/>
    <w:rsid w:val="00C8142C"/>
    <w:rsid w:val="00C8150B"/>
    <w:rsid w:val="00C81FC1"/>
    <w:rsid w:val="00C821CF"/>
    <w:rsid w:val="00C82D5F"/>
    <w:rsid w:val="00C83979"/>
    <w:rsid w:val="00C83A1A"/>
    <w:rsid w:val="00C84DCE"/>
    <w:rsid w:val="00C85531"/>
    <w:rsid w:val="00C87400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A73EE"/>
    <w:rsid w:val="00CB1B90"/>
    <w:rsid w:val="00CB1D64"/>
    <w:rsid w:val="00CB1FA3"/>
    <w:rsid w:val="00CB2E70"/>
    <w:rsid w:val="00CB397A"/>
    <w:rsid w:val="00CB47B9"/>
    <w:rsid w:val="00CB4974"/>
    <w:rsid w:val="00CB51BB"/>
    <w:rsid w:val="00CB568E"/>
    <w:rsid w:val="00CB67F3"/>
    <w:rsid w:val="00CB694F"/>
    <w:rsid w:val="00CB7068"/>
    <w:rsid w:val="00CB70EE"/>
    <w:rsid w:val="00CB72D2"/>
    <w:rsid w:val="00CB7CBB"/>
    <w:rsid w:val="00CC23F0"/>
    <w:rsid w:val="00CC2AA2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18A3"/>
    <w:rsid w:val="00CE40E1"/>
    <w:rsid w:val="00CE4FF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4158"/>
    <w:rsid w:val="00D04222"/>
    <w:rsid w:val="00D06F44"/>
    <w:rsid w:val="00D07ED8"/>
    <w:rsid w:val="00D10B8E"/>
    <w:rsid w:val="00D1187B"/>
    <w:rsid w:val="00D11C92"/>
    <w:rsid w:val="00D12520"/>
    <w:rsid w:val="00D126D7"/>
    <w:rsid w:val="00D12A2C"/>
    <w:rsid w:val="00D13520"/>
    <w:rsid w:val="00D13A50"/>
    <w:rsid w:val="00D14088"/>
    <w:rsid w:val="00D14A79"/>
    <w:rsid w:val="00D14F03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879"/>
    <w:rsid w:val="00D249F5"/>
    <w:rsid w:val="00D25403"/>
    <w:rsid w:val="00D261A2"/>
    <w:rsid w:val="00D26833"/>
    <w:rsid w:val="00D27840"/>
    <w:rsid w:val="00D30942"/>
    <w:rsid w:val="00D30B3F"/>
    <w:rsid w:val="00D310CD"/>
    <w:rsid w:val="00D32451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0B6A"/>
    <w:rsid w:val="00D517E0"/>
    <w:rsid w:val="00D51C60"/>
    <w:rsid w:val="00D51FD7"/>
    <w:rsid w:val="00D5264E"/>
    <w:rsid w:val="00D52F7F"/>
    <w:rsid w:val="00D5323C"/>
    <w:rsid w:val="00D535FB"/>
    <w:rsid w:val="00D5366F"/>
    <w:rsid w:val="00D53C95"/>
    <w:rsid w:val="00D53DB4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0E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1E1F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406"/>
    <w:rsid w:val="00D96786"/>
    <w:rsid w:val="00D96BB5"/>
    <w:rsid w:val="00D96F41"/>
    <w:rsid w:val="00D97A4D"/>
    <w:rsid w:val="00DA15BC"/>
    <w:rsid w:val="00DA1C69"/>
    <w:rsid w:val="00DA1CB8"/>
    <w:rsid w:val="00DA30B0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6E9"/>
    <w:rsid w:val="00DB5C47"/>
    <w:rsid w:val="00DB5C6A"/>
    <w:rsid w:val="00DB618C"/>
    <w:rsid w:val="00DB6380"/>
    <w:rsid w:val="00DB6444"/>
    <w:rsid w:val="00DB70A0"/>
    <w:rsid w:val="00DB7D5E"/>
    <w:rsid w:val="00DC0650"/>
    <w:rsid w:val="00DC08CF"/>
    <w:rsid w:val="00DC15F9"/>
    <w:rsid w:val="00DC2B9B"/>
    <w:rsid w:val="00DC3E83"/>
    <w:rsid w:val="00DC5284"/>
    <w:rsid w:val="00DC5C14"/>
    <w:rsid w:val="00DC5F94"/>
    <w:rsid w:val="00DC6708"/>
    <w:rsid w:val="00DC6A67"/>
    <w:rsid w:val="00DC6B00"/>
    <w:rsid w:val="00DC7C61"/>
    <w:rsid w:val="00DD014F"/>
    <w:rsid w:val="00DD075D"/>
    <w:rsid w:val="00DD14E0"/>
    <w:rsid w:val="00DD1529"/>
    <w:rsid w:val="00DD1EF4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4C51"/>
    <w:rsid w:val="00DE508F"/>
    <w:rsid w:val="00DE5118"/>
    <w:rsid w:val="00DE543C"/>
    <w:rsid w:val="00DE680E"/>
    <w:rsid w:val="00DE6951"/>
    <w:rsid w:val="00DE7E1C"/>
    <w:rsid w:val="00DF01C9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AA0"/>
    <w:rsid w:val="00E04B9B"/>
    <w:rsid w:val="00E04EBA"/>
    <w:rsid w:val="00E0551A"/>
    <w:rsid w:val="00E07336"/>
    <w:rsid w:val="00E07365"/>
    <w:rsid w:val="00E07EAD"/>
    <w:rsid w:val="00E1048B"/>
    <w:rsid w:val="00E104A3"/>
    <w:rsid w:val="00E11119"/>
    <w:rsid w:val="00E115B7"/>
    <w:rsid w:val="00E11C34"/>
    <w:rsid w:val="00E12E48"/>
    <w:rsid w:val="00E12F35"/>
    <w:rsid w:val="00E13D06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4E6A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2D94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23F0"/>
    <w:rsid w:val="00E638A4"/>
    <w:rsid w:val="00E64F3A"/>
    <w:rsid w:val="00E64F9D"/>
    <w:rsid w:val="00E664C5"/>
    <w:rsid w:val="00E664D8"/>
    <w:rsid w:val="00E66EC0"/>
    <w:rsid w:val="00E671A2"/>
    <w:rsid w:val="00E70BBF"/>
    <w:rsid w:val="00E72076"/>
    <w:rsid w:val="00E7440C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0D2"/>
    <w:rsid w:val="00E910FE"/>
    <w:rsid w:val="00E911D6"/>
    <w:rsid w:val="00E9408D"/>
    <w:rsid w:val="00E94241"/>
    <w:rsid w:val="00E94B2C"/>
    <w:rsid w:val="00E94E4B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6107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1D51"/>
    <w:rsid w:val="00ED25A6"/>
    <w:rsid w:val="00ED3690"/>
    <w:rsid w:val="00ED36CA"/>
    <w:rsid w:val="00ED40DE"/>
    <w:rsid w:val="00ED4ED9"/>
    <w:rsid w:val="00ED51D1"/>
    <w:rsid w:val="00ED54CD"/>
    <w:rsid w:val="00ED55C0"/>
    <w:rsid w:val="00ED5A42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EF6FB2"/>
    <w:rsid w:val="00EF755E"/>
    <w:rsid w:val="00F00351"/>
    <w:rsid w:val="00F019E8"/>
    <w:rsid w:val="00F037A4"/>
    <w:rsid w:val="00F0447E"/>
    <w:rsid w:val="00F05462"/>
    <w:rsid w:val="00F064C3"/>
    <w:rsid w:val="00F06FF9"/>
    <w:rsid w:val="00F11217"/>
    <w:rsid w:val="00F11918"/>
    <w:rsid w:val="00F12E87"/>
    <w:rsid w:val="00F1409C"/>
    <w:rsid w:val="00F14294"/>
    <w:rsid w:val="00F14B02"/>
    <w:rsid w:val="00F156AE"/>
    <w:rsid w:val="00F15E53"/>
    <w:rsid w:val="00F15EA9"/>
    <w:rsid w:val="00F15F12"/>
    <w:rsid w:val="00F16260"/>
    <w:rsid w:val="00F166F0"/>
    <w:rsid w:val="00F16D28"/>
    <w:rsid w:val="00F16D6C"/>
    <w:rsid w:val="00F219A4"/>
    <w:rsid w:val="00F219AA"/>
    <w:rsid w:val="00F229D0"/>
    <w:rsid w:val="00F22FE1"/>
    <w:rsid w:val="00F234E8"/>
    <w:rsid w:val="00F23CE5"/>
    <w:rsid w:val="00F24B68"/>
    <w:rsid w:val="00F25898"/>
    <w:rsid w:val="00F25EF5"/>
    <w:rsid w:val="00F26E0F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6E96"/>
    <w:rsid w:val="00F37172"/>
    <w:rsid w:val="00F40518"/>
    <w:rsid w:val="00F4059B"/>
    <w:rsid w:val="00F40B24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16E2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57834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67F14"/>
    <w:rsid w:val="00F71AC3"/>
    <w:rsid w:val="00F74453"/>
    <w:rsid w:val="00F75B27"/>
    <w:rsid w:val="00F76F45"/>
    <w:rsid w:val="00F77203"/>
    <w:rsid w:val="00F77676"/>
    <w:rsid w:val="00F7799D"/>
    <w:rsid w:val="00F77B27"/>
    <w:rsid w:val="00F80132"/>
    <w:rsid w:val="00F802BE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1739"/>
    <w:rsid w:val="00FA22BB"/>
    <w:rsid w:val="00FA3950"/>
    <w:rsid w:val="00FA44C2"/>
    <w:rsid w:val="00FA5128"/>
    <w:rsid w:val="00FA6776"/>
    <w:rsid w:val="00FA7263"/>
    <w:rsid w:val="00FB0A7B"/>
    <w:rsid w:val="00FB2490"/>
    <w:rsid w:val="00FB27F3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14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8BD"/>
    <w:rsid w:val="00FD7C1C"/>
    <w:rsid w:val="00FE048E"/>
    <w:rsid w:val="00FE3118"/>
    <w:rsid w:val="00FE372C"/>
    <w:rsid w:val="00FE39D8"/>
    <w:rsid w:val="00FE3DCC"/>
    <w:rsid w:val="00FE4641"/>
    <w:rsid w:val="00FE6322"/>
    <w:rsid w:val="00FE6CBB"/>
    <w:rsid w:val="00FE7193"/>
    <w:rsid w:val="00FE7552"/>
    <w:rsid w:val="00FE7997"/>
    <w:rsid w:val="00FE7A68"/>
    <w:rsid w:val="00FF053B"/>
    <w:rsid w:val="00FF1A4B"/>
    <w:rsid w:val="00FF2937"/>
    <w:rsid w:val="00FF31BD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9-roku,7,2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9-roku,7,26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12FD-4052-8A22-83BC558C1EE6}"/>
              </c:ext>
            </c:extLst>
          </c:dPt>
          <c:dPt>
            <c:idx val="3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2FD-4052-8A22-83BC558C1EE6}"/>
              </c:ext>
            </c:extLst>
          </c:dPt>
          <c:dPt>
            <c:idx val="3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12FD-4052-8A22-83BC558C1EE6}"/>
              </c:ext>
            </c:extLst>
          </c:dPt>
          <c:dPt>
            <c:idx val="3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12FD-4052-8A22-83BC558C1EE6}"/>
              </c:ext>
            </c:extLst>
          </c:dPt>
          <c:dPt>
            <c:idx val="4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12FD-4052-8A22-83BC558C1EE6}"/>
              </c:ext>
            </c:extLst>
          </c:dPt>
          <c:dPt>
            <c:idx val="41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12FD-4052-8A22-83BC558C1EE6}"/>
              </c:ext>
            </c:extLst>
          </c:dPt>
          <c:dPt>
            <c:idx val="4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12FD-4052-8A22-83BC558C1EE6}"/>
              </c:ext>
            </c:extLst>
          </c:dPt>
          <c:dPt>
            <c:idx val="4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12FD-4052-8A22-83BC558C1EE6}"/>
              </c:ext>
            </c:extLst>
          </c:dPt>
          <c:dPt>
            <c:idx val="4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12FD-4052-8A22-83BC558C1EE6}"/>
              </c:ext>
            </c:extLst>
          </c:dPt>
          <c:dPt>
            <c:idx val="4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12FD-4052-8A22-83BC558C1EE6}"/>
              </c:ext>
            </c:extLst>
          </c:dPt>
          <c:dPt>
            <c:idx val="4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12FD-4052-8A22-83BC558C1EE6}"/>
              </c:ext>
            </c:extLst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2FD-4052-8A22-83BC558C1EE6}"/>
              </c:ext>
            </c:extLst>
          </c:dPt>
          <c:cat>
            <c:multiLvlStrRef>
              <c:f>Arkusz1!$B$89:$C$130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Arkusz1!$D$89:$D$130</c:f>
              <c:numCache>
                <c:formatCode>General</c:formatCode>
                <c:ptCount val="42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12FD-4052-8A22-83BC558C1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293684848"/>
        <c:axId val="-293677776"/>
      </c:barChart>
      <c:catAx>
        <c:axId val="-2936848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29367777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293677776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9368484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9076700951133478E-2"/>
          <c:y val="5.4888507718696397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845E-4CC9-83CD-7554AF0A8707}"/>
              </c:ext>
            </c:extLst>
          </c:dPt>
          <c:dLbls>
            <c:dLbl>
              <c:idx val="0"/>
              <c:layout>
                <c:manualLayout>
                  <c:x val="-1.1552061466634398E-17"/>
                  <c:y val="-3.1854937515314888E-2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107,7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5E-4CC9-83CD-7554AF0A870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5.7844990548204162E-2"/>
                      <c:h val="7.6451850036755684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520478890989265E-3"/>
                  <c:y val="-4.9007403234115468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5E-4CC9-83CD-7554AF0A870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1285345002952137E-2"/>
                      <c:h val="6.174957118353343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2602394454945978E-3"/>
                  <c:y val="7.3513323699031614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5E-4CC9-83CD-7554AF0A870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3119092627599247E-2"/>
                      <c:h val="7.645185003675568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4.90075961774066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5E-4CC9-83CD-7554AF0A870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layout>
                <c:manualLayout>
                  <c:x val="3.7808175679363331E-3"/>
                  <c:y val="-9.8015192354815213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5E-4CC9-83CD-7554AF0A870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3112791430371754E-2"/>
                      <c:h val="6.1749571183533448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1.260239445494556E-3"/>
                  <c:y val="4.9005666744487107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5E-4CC9-83CD-7554AF0A870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8.672967863894139E-2"/>
                      <c:h val="6.174957118353343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260140214042058E-3"/>
                  <c:y val="2.450379808870379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5E-4CC9-83CD-7554AF0A870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853712992870206E-2"/>
                      <c:h val="4.70472923303112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5.0409577819787608E-3"/>
                  <c:y val="-9.80151923548154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5E-4CC9-83CD-7554AF0A870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5E-4CC9-83CD-7554AF0A870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45E-4CC9-83CD-7554AF0A8707}"/>
                </c:ex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rodz_dział_miesiąc!$CG$4:$CG$11</c:f>
              <c:numCache>
                <c:formatCode>0.0</c:formatCode>
                <c:ptCount val="8"/>
                <c:pt idx="0">
                  <c:v>107.7</c:v>
                </c:pt>
                <c:pt idx="1">
                  <c:v>107.4</c:v>
                </c:pt>
                <c:pt idx="2">
                  <c:v>101.8</c:v>
                </c:pt>
                <c:pt idx="3">
                  <c:v>117.5</c:v>
                </c:pt>
                <c:pt idx="4">
                  <c:v>122.3</c:v>
                </c:pt>
                <c:pt idx="5">
                  <c:v>105.3</c:v>
                </c:pt>
                <c:pt idx="6">
                  <c:v>105.7</c:v>
                </c:pt>
                <c:pt idx="7">
                  <c:v>113.2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845E-4CC9-83CD-7554AF0A8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293673968"/>
        <c:axId val="-293683760"/>
      </c:barChart>
      <c:catAx>
        <c:axId val="-29367396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9368376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293683760"/>
        <c:scaling>
          <c:orientation val="minMax"/>
          <c:max val="13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9367396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0.10139608953375211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1.487541837114187E-2"/>
                  <c:y val="-4.1198025949547842E-17"/>
                </c:manualLayout>
              </c:layout>
              <c:tx>
                <c:rich>
                  <a:bodyPr/>
                  <a:lstStyle/>
                  <a:p>
                    <a:fld id="{60B2F708-DA02-4F2A-83F8-B2FBA75AD8E5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7BB-46D6-9932-44E80DD5CC1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7BB-46D6-9932-44E80DD5CC15}"/>
            </c:ext>
          </c:extLst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1.7354654766331971E-2"/>
                  <c:y val="3.1460674157303289E-2"/>
                </c:manualLayout>
              </c:layout>
              <c:tx>
                <c:rich>
                  <a:bodyPr/>
                  <a:lstStyle/>
                  <a:p>
                    <a:fld id="{355E5363-46B3-4335-BD6A-F7DD826D23B6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7BB-46D6-9932-44E80DD5CC1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7BB-46D6-9932-44E80DD5CC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93673424"/>
        <c:axId val="-293683216"/>
      </c:lineChart>
      <c:catAx>
        <c:axId val="-293673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93683216"/>
        <c:crosses val="autoZero"/>
        <c:auto val="1"/>
        <c:lblAlgn val="ctr"/>
        <c:lblOffset val="100"/>
        <c:tickMarkSkip val="12"/>
        <c:noMultiLvlLbl val="0"/>
      </c:catAx>
      <c:valAx>
        <c:axId val="-29368321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9367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0.25892</cdr:x>
      <cdr:y>0.28274</cdr:y>
    </cdr:from>
    <cdr:to>
      <cdr:x>0.4291</cdr:x>
      <cdr:y>0.4275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04612" y="732692"/>
          <a:ext cx="857490" cy="3751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108,6</a:t>
          </a:r>
        </a:p>
      </cdr:txBody>
    </cdr:sp>
  </cdr:relSizeAnchor>
  <cdr:relSizeAnchor xmlns:cdr="http://schemas.openxmlformats.org/drawingml/2006/chartDrawing">
    <cdr:from>
      <cdr:x>0.30354</cdr:x>
      <cdr:y>0.39583</cdr:y>
    </cdr:from>
    <cdr:to>
      <cdr:x>0.34434</cdr:x>
      <cdr:y>0.55924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529450" y="1025770"/>
          <a:ext cx="205565" cy="42347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0.04777</cdr:x>
      <cdr:y>0.56948</cdr:y>
    </cdr:from>
    <cdr:to>
      <cdr:x>0.98648</cdr:x>
      <cdr:y>0.56948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0704" y="1475769"/>
          <a:ext cx="4729901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6E2D42-EFE7-4FB1-A620-341DC5C8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 czerwcu 2021 r.</dc:title>
  <dc:creator>GUS</dc:creator>
  <cp:lastModifiedBy>Putkowska Beata</cp:lastModifiedBy>
  <cp:revision>3</cp:revision>
  <cp:lastPrinted>2021-03-18T10:06:00Z</cp:lastPrinted>
  <dcterms:created xsi:type="dcterms:W3CDTF">2021-07-16T10:21:00Z</dcterms:created>
  <dcterms:modified xsi:type="dcterms:W3CDTF">2021-07-21T07:10:00Z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