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E8442C" w:rsidRPr="003E7A56">
        <w:rPr>
          <w:rFonts w:cs="Arial"/>
          <w:szCs w:val="40"/>
        </w:rPr>
        <w:t xml:space="preserve"> </w:t>
      </w:r>
      <w:r w:rsidR="003E7A56" w:rsidRPr="003E7A56">
        <w:rPr>
          <w:rFonts w:cs="Arial"/>
          <w:szCs w:val="40"/>
        </w:rPr>
        <w:t>grudniu</w:t>
      </w:r>
      <w:r w:rsidR="003465A7" w:rsidRPr="003E7A56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6842EC" w:rsidRPr="003E7A56">
        <w:rPr>
          <w:rFonts w:cs="Arial"/>
          <w:szCs w:val="40"/>
        </w:rPr>
        <w:t>20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3C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33C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9C3B7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3C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33C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9C3B7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5850C1">
        <w:t xml:space="preserve"> </w:t>
      </w:r>
      <w:r w:rsidR="00533C70">
        <w:t xml:space="preserve">grudniu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850C1">
        <w:t>niższa</w:t>
      </w:r>
      <w:r w:rsidR="00CD323D">
        <w:t xml:space="preserve"> </w:t>
      </w:r>
      <w:r w:rsidR="00C62998" w:rsidRPr="009815A2">
        <w:t>niż przed rokiem o</w:t>
      </w:r>
      <w:r w:rsidR="00982BF5">
        <w:t xml:space="preserve"> </w:t>
      </w:r>
      <w:r w:rsidR="00533C70">
        <w:t>0</w:t>
      </w:r>
      <w:r w:rsidR="00C62998" w:rsidRPr="009815A2">
        <w:t>,</w:t>
      </w:r>
      <w:r w:rsidR="00533C70">
        <w:t>8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C0106D">
        <w:t>5</w:t>
      </w:r>
      <w:r w:rsidR="00C62998" w:rsidRPr="009815A2">
        <w:t>,</w:t>
      </w:r>
      <w:r w:rsidR="00533C70">
        <w:t>7</w:t>
      </w:r>
      <w:r w:rsidR="00C62998" w:rsidRPr="009815A2">
        <w:t xml:space="preserve">% </w:t>
      </w:r>
      <w:r w:rsidR="00C62998" w:rsidRPr="00E52DC5">
        <w:t>w</w:t>
      </w:r>
      <w:r w:rsidR="004F4B8C" w:rsidRPr="00E52DC5">
        <w:t xml:space="preserve"> </w:t>
      </w:r>
      <w:r w:rsidR="00533C70">
        <w:t>grudniu</w:t>
      </w:r>
      <w:r w:rsidR="00B7185E" w:rsidRPr="00E52DC5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A943EE">
        <w:rPr>
          <w:rFonts w:cs="Arial"/>
          <w:szCs w:val="24"/>
        </w:rPr>
        <w:t> </w:t>
      </w:r>
      <w:r w:rsidR="00F85F4C">
        <w:rPr>
          <w:rFonts w:cs="Arial"/>
          <w:szCs w:val="24"/>
        </w:rPr>
        <w:t>listopadem</w:t>
      </w:r>
      <w:r w:rsidR="005979CB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F85F4C">
        <w:rPr>
          <w:rFonts w:cs="Arial"/>
          <w:szCs w:val="24"/>
        </w:rPr>
        <w:t xml:space="preserve">wzrost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F85F4C">
        <w:rPr>
          <w:rFonts w:cs="Arial"/>
          <w:spacing w:val="-10"/>
          <w:szCs w:val="24"/>
        </w:rPr>
        <w:t>19</w:t>
      </w:r>
      <w:r w:rsidR="004F09A0">
        <w:rPr>
          <w:rFonts w:cs="Arial"/>
          <w:spacing w:val="-10"/>
          <w:szCs w:val="24"/>
        </w:rPr>
        <w:t>,</w:t>
      </w:r>
      <w:r w:rsidR="00F85F4C">
        <w:rPr>
          <w:rFonts w:cs="Arial"/>
          <w:spacing w:val="-10"/>
          <w:szCs w:val="24"/>
        </w:rPr>
        <w:t>8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1E432B">
        <w:rPr>
          <w:rFonts w:cs="Arial"/>
          <w:szCs w:val="24"/>
        </w:rPr>
        <w:t>okresie styczeń-</w:t>
      </w:r>
      <w:r w:rsidR="00F85F4C">
        <w:rPr>
          <w:rFonts w:cs="Arial"/>
          <w:szCs w:val="24"/>
        </w:rPr>
        <w:t>grudzień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A943EE">
        <w:rPr>
          <w:rFonts w:cs="Arial"/>
          <w:szCs w:val="24"/>
        </w:rPr>
        <w:t xml:space="preserve"> 2020 r. </w:t>
      </w:r>
      <w:r w:rsidR="004F09A0">
        <w:rPr>
          <w:rFonts w:cs="Arial"/>
          <w:szCs w:val="24"/>
        </w:rPr>
        <w:t>sprzedaż zmalała r/r o</w:t>
      </w:r>
      <w:r w:rsidR="004134FD">
        <w:rPr>
          <w:rFonts w:cs="Arial"/>
          <w:szCs w:val="24"/>
        </w:rPr>
        <w:t> </w:t>
      </w:r>
      <w:r w:rsidR="00B24364">
        <w:rPr>
          <w:rFonts w:cs="Arial"/>
          <w:szCs w:val="24"/>
        </w:rPr>
        <w:t>3,1</w:t>
      </w:r>
      <w:r w:rsidR="00323BFE" w:rsidRPr="00D8079D">
        <w:rPr>
          <w:rFonts w:cs="Arial"/>
          <w:szCs w:val="24"/>
        </w:rPr>
        <w:t xml:space="preserve">% (wobec wzrostu o </w:t>
      </w:r>
      <w:r w:rsidR="00B24364">
        <w:rPr>
          <w:rFonts w:cs="Arial"/>
          <w:szCs w:val="24"/>
        </w:rPr>
        <w:t>5,</w:t>
      </w:r>
      <w:r w:rsidR="00F85F4C">
        <w:rPr>
          <w:rFonts w:cs="Arial"/>
          <w:szCs w:val="24"/>
        </w:rPr>
        <w:t>4</w:t>
      </w:r>
      <w:r w:rsidR="00323BFE" w:rsidRPr="00D8079D">
        <w:rPr>
          <w:rFonts w:cs="Arial"/>
          <w:szCs w:val="24"/>
        </w:rPr>
        <w:t>% w</w:t>
      </w:r>
      <w:r w:rsidR="00A943EE">
        <w:rPr>
          <w:rFonts w:cs="Arial"/>
          <w:szCs w:val="24"/>
        </w:rPr>
        <w:t> </w:t>
      </w:r>
      <w:r w:rsidR="00323BFE" w:rsidRPr="00D8079D">
        <w:rPr>
          <w:rFonts w:cs="Arial"/>
          <w:szCs w:val="24"/>
        </w:rPr>
        <w:t>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5718175</wp:posOffset>
                </wp:positionH>
                <wp:positionV relativeFrom="paragraph">
                  <wp:posOffset>153670</wp:posOffset>
                </wp:positionV>
                <wp:extent cx="1743075" cy="1011555"/>
                <wp:effectExtent l="0" t="0" r="0" b="0"/>
                <wp:wrapTight wrapText="bothSides">
                  <wp:wrapPolygon edited="0">
                    <wp:start x="708" y="0"/>
                    <wp:lineTo x="708" y="21153"/>
                    <wp:lineTo x="20774" y="21153"/>
                    <wp:lineTo x="20774" y="0"/>
                    <wp:lineTo x="708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51D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</w:t>
                            </w:r>
                            <w:r w:rsidR="00BB15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90C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2020 </w:t>
                            </w:r>
                            <w:r w:rsidR="009F2F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r.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 sprzedaży detalicznej w skali roku</w:t>
                            </w:r>
                            <w:r w:rsidR="005253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</w:t>
                            </w:r>
                            <w:r w:rsidR="001D4E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51D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większości</w:t>
                            </w:r>
                            <w:r w:rsidR="003523B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523B2" w:rsidRPr="00AA72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prezentowanych</w:t>
                            </w:r>
                            <w:r w:rsidR="00551D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50.25pt;margin-top:12.1pt;width:137.25pt;height:79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" filled="f" stroked="f">
                <v:textbox>
                  <w:txbxContent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51D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</w:t>
                      </w:r>
                      <w:r w:rsidR="00BB15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90C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2020 </w:t>
                      </w:r>
                      <w:r w:rsidR="009F2F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r.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 sprzedaży detalicznej w skali roku</w:t>
                      </w:r>
                      <w:r w:rsidR="005253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</w:t>
                      </w:r>
                      <w:r w:rsidR="001D4E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51D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większości</w:t>
                      </w:r>
                      <w:r w:rsidR="003523B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523B2" w:rsidRPr="00AA72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prezentowanych</w:t>
                      </w:r>
                      <w:r w:rsidR="00551D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4524C4">
        <w:rPr>
          <w:rFonts w:cs="Arial"/>
        </w:rPr>
        <w:t xml:space="preserve">grudniu </w:t>
      </w:r>
      <w:r w:rsidR="00600B70" w:rsidRPr="00791085">
        <w:rPr>
          <w:rFonts w:cs="Arial"/>
        </w:rPr>
        <w:t>2020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 xml:space="preserve">największy </w:t>
      </w:r>
      <w:r w:rsidR="002F1D24">
        <w:rPr>
          <w:rFonts w:cs="Arial"/>
        </w:rPr>
        <w:t xml:space="preserve">spadek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2019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492BDA">
        <w:rPr>
          <w:rFonts w:cs="Arial"/>
        </w:rPr>
        <w:t xml:space="preserve"> podobnie jak w poprzednim miesiącu</w:t>
      </w:r>
      <w:r w:rsidR="003E04E1">
        <w:rPr>
          <w:rFonts w:cs="Arial"/>
        </w:rPr>
        <w:t xml:space="preserve"> </w:t>
      </w:r>
      <w:r w:rsidR="00B75365">
        <w:rPr>
          <w:rFonts w:cs="Arial"/>
        </w:rPr>
        <w:t>podmiot</w:t>
      </w:r>
      <w:r w:rsidR="00EF5D3B">
        <w:rPr>
          <w:rFonts w:cs="Arial"/>
        </w:rPr>
        <w:t>y</w:t>
      </w:r>
      <w:r w:rsidR="00B75365">
        <w:rPr>
          <w:rFonts w:cs="Arial"/>
        </w:rPr>
        <w:t xml:space="preserve"> </w:t>
      </w:r>
      <w:r w:rsidR="00591BDF">
        <w:rPr>
          <w:rFonts w:cs="Arial"/>
        </w:rPr>
        <w:t xml:space="preserve">handlujące </w:t>
      </w:r>
      <w:r w:rsidR="00C52DFE">
        <w:rPr>
          <w:rFonts w:cs="Arial"/>
        </w:rPr>
        <w:t>tekstylia</w:t>
      </w:r>
      <w:r w:rsidR="00591BDF">
        <w:rPr>
          <w:rFonts w:cs="Arial"/>
        </w:rPr>
        <w:t>mi</w:t>
      </w:r>
      <w:r w:rsidR="00C52DFE">
        <w:rPr>
          <w:rFonts w:cs="Arial"/>
        </w:rPr>
        <w:t>, odzież</w:t>
      </w:r>
      <w:r w:rsidR="00591BDF">
        <w:rPr>
          <w:rFonts w:cs="Arial"/>
        </w:rPr>
        <w:t>ą i </w:t>
      </w:r>
      <w:r w:rsidR="00C52DFE">
        <w:rPr>
          <w:rFonts w:cs="Arial"/>
        </w:rPr>
        <w:t>obuwie</w:t>
      </w:r>
      <w:r w:rsidR="00591BDF">
        <w:rPr>
          <w:rFonts w:cs="Arial"/>
        </w:rPr>
        <w:t>m</w:t>
      </w:r>
      <w:r w:rsidR="00C52DFE">
        <w:rPr>
          <w:rFonts w:cs="Arial"/>
        </w:rPr>
        <w:t xml:space="preserve"> (o </w:t>
      </w:r>
      <w:r w:rsidR="004524C4">
        <w:rPr>
          <w:rFonts w:cs="Arial"/>
        </w:rPr>
        <w:t>10,9% wobec wzrostu o 8,0</w:t>
      </w:r>
      <w:r w:rsidR="00C52DFE">
        <w:rPr>
          <w:rFonts w:cs="Arial"/>
        </w:rPr>
        <w:t>% przed rokiem)</w:t>
      </w:r>
      <w:r w:rsidR="006B566F">
        <w:rPr>
          <w:rFonts w:cs="Arial"/>
        </w:rPr>
        <w:t>.</w:t>
      </w:r>
      <w:r w:rsidR="00EF5D3B" w:rsidRPr="00EF5D3B">
        <w:rPr>
          <w:rFonts w:cs="Arial"/>
        </w:rPr>
        <w:t xml:space="preserve"> </w:t>
      </w:r>
      <w:r w:rsidR="00476D26" w:rsidRPr="005F5A33">
        <w:rPr>
          <w:rFonts w:cs="Arial"/>
        </w:rPr>
        <w:t xml:space="preserve">Znacznie mniejszą sprzedaż zaobserwowano również </w:t>
      </w:r>
      <w:r w:rsidR="006B566F" w:rsidRPr="005F5A33">
        <w:rPr>
          <w:rFonts w:cs="Arial"/>
        </w:rPr>
        <w:t xml:space="preserve"> w grupach: „</w:t>
      </w:r>
      <w:r w:rsidR="00EF5D3B" w:rsidRPr="005F5A33">
        <w:rPr>
          <w:rFonts w:cs="Arial"/>
        </w:rPr>
        <w:t>paliwa stałe, ciekłe i gazowe</w:t>
      </w:r>
      <w:r w:rsidR="006B566F" w:rsidRPr="005F5A33">
        <w:rPr>
          <w:rFonts w:cs="Arial"/>
        </w:rPr>
        <w:t>”</w:t>
      </w:r>
      <w:r w:rsidR="00EF5D3B" w:rsidRPr="005F5A33">
        <w:rPr>
          <w:rFonts w:cs="Arial"/>
        </w:rPr>
        <w:t xml:space="preserve"> (o </w:t>
      </w:r>
      <w:r w:rsidR="00BC7097">
        <w:rPr>
          <w:rFonts w:cs="Arial"/>
        </w:rPr>
        <w:t>10,3</w:t>
      </w:r>
      <w:r w:rsidR="00EF5D3B" w:rsidRPr="005F5A33">
        <w:rPr>
          <w:rFonts w:cs="Arial"/>
        </w:rPr>
        <w:t>%)</w:t>
      </w:r>
      <w:r w:rsidR="006B566F" w:rsidRPr="005F5A33">
        <w:rPr>
          <w:rFonts w:cs="Arial"/>
        </w:rPr>
        <w:t xml:space="preserve">; </w:t>
      </w:r>
      <w:r w:rsidR="002E68BC" w:rsidRPr="005F5A33">
        <w:rPr>
          <w:rFonts w:cs="Arial"/>
        </w:rPr>
        <w:t>„pozostałe” (o</w:t>
      </w:r>
      <w:r w:rsidR="00591BDF" w:rsidRPr="005F5A33">
        <w:rPr>
          <w:rFonts w:cs="Arial"/>
        </w:rPr>
        <w:t> </w:t>
      </w:r>
      <w:r w:rsidR="00BC7097">
        <w:rPr>
          <w:rFonts w:cs="Arial"/>
        </w:rPr>
        <w:t>9</w:t>
      </w:r>
      <w:r w:rsidR="002E68BC" w:rsidRPr="005F5A33">
        <w:rPr>
          <w:rFonts w:cs="Arial"/>
        </w:rPr>
        <w:t>,4%);</w:t>
      </w:r>
      <w:r w:rsidR="00C176CD" w:rsidRPr="005F5A33">
        <w:rPr>
          <w:rFonts w:cs="Arial"/>
        </w:rPr>
        <w:t xml:space="preserve"> </w:t>
      </w:r>
      <w:r w:rsidR="00BD4D84" w:rsidRPr="005F5A33">
        <w:rPr>
          <w:rFonts w:cs="Arial"/>
        </w:rPr>
        <w:t>„pojazdy samo</w:t>
      </w:r>
      <w:r w:rsidR="002E68BC" w:rsidRPr="005F5A33">
        <w:rPr>
          <w:rFonts w:cs="Arial"/>
        </w:rPr>
        <w:t xml:space="preserve">chodowe, motocykle, części” (o </w:t>
      </w:r>
      <w:r w:rsidR="00BC7097">
        <w:rPr>
          <w:rFonts w:cs="Arial"/>
        </w:rPr>
        <w:t>7,9</w:t>
      </w:r>
      <w:r w:rsidR="009D4DA2" w:rsidRPr="005F5A33">
        <w:rPr>
          <w:rFonts w:cs="Arial"/>
        </w:rPr>
        <w:t>%)</w:t>
      </w:r>
      <w:r w:rsidR="00BC7097">
        <w:rPr>
          <w:rFonts w:cs="Arial"/>
        </w:rPr>
        <w:t>.</w:t>
      </w:r>
      <w:r w:rsidR="009D4DA2" w:rsidRPr="005F5A33">
        <w:rPr>
          <w:rFonts w:cs="Arial"/>
        </w:rPr>
        <w:t xml:space="preserve"> </w:t>
      </w:r>
      <w:r w:rsidR="00431B3E">
        <w:rPr>
          <w:rFonts w:cs="Arial"/>
        </w:rPr>
        <w:t xml:space="preserve">Wzrost sprzedaży </w:t>
      </w:r>
      <w:r w:rsidR="00986627">
        <w:rPr>
          <w:rFonts w:cs="Arial"/>
        </w:rPr>
        <w:t xml:space="preserve">wykazały </w:t>
      </w:r>
      <w:r w:rsidR="00431B3E">
        <w:rPr>
          <w:rFonts w:cs="Arial"/>
        </w:rPr>
        <w:t>natomiast jednostk</w:t>
      </w:r>
      <w:r w:rsidR="00986627">
        <w:rPr>
          <w:rFonts w:cs="Arial"/>
        </w:rPr>
        <w:t>i</w:t>
      </w:r>
      <w:r w:rsidR="00431B3E">
        <w:rPr>
          <w:rFonts w:cs="Arial"/>
        </w:rPr>
        <w:t xml:space="preserve"> handlując</w:t>
      </w:r>
      <w:r w:rsidR="00986627">
        <w:rPr>
          <w:rFonts w:cs="Arial"/>
        </w:rPr>
        <w:t>e</w:t>
      </w:r>
      <w:r w:rsidR="00431B3E">
        <w:rPr>
          <w:rFonts w:cs="Arial"/>
        </w:rPr>
        <w:t xml:space="preserve"> meblami, </w:t>
      </w:r>
      <w:proofErr w:type="spellStart"/>
      <w:r w:rsidR="00431B3E">
        <w:rPr>
          <w:rFonts w:cs="Arial"/>
        </w:rPr>
        <w:t>rtv</w:t>
      </w:r>
      <w:proofErr w:type="spellEnd"/>
      <w:r w:rsidR="00431B3E">
        <w:rPr>
          <w:rFonts w:cs="Arial"/>
        </w:rPr>
        <w:t xml:space="preserve">, </w:t>
      </w:r>
      <w:proofErr w:type="spellStart"/>
      <w:r w:rsidR="00431B3E">
        <w:rPr>
          <w:rFonts w:cs="Arial"/>
        </w:rPr>
        <w:t>agd</w:t>
      </w:r>
      <w:proofErr w:type="spellEnd"/>
      <w:r w:rsidR="00431B3E">
        <w:rPr>
          <w:rFonts w:cs="Arial"/>
        </w:rPr>
        <w:t xml:space="preserve"> (o 3,5%) oraz żywnością, napojami i wyrobami tytoniowymi (o 0,7%).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B22862">
        <w:rPr>
          <w:rFonts w:cs="Arial"/>
        </w:rPr>
        <w:t>grudniu</w:t>
      </w:r>
      <w:r w:rsidRPr="005F5A33">
        <w:rPr>
          <w:rFonts w:cs="Arial"/>
        </w:rPr>
        <w:t xml:space="preserve"> </w:t>
      </w:r>
      <w:r w:rsidR="00190CDF">
        <w:rPr>
          <w:rFonts w:cs="Arial"/>
        </w:rPr>
        <w:t>2020 r</w:t>
      </w:r>
      <w:r w:rsidR="00490BD6" w:rsidRPr="005F5A33">
        <w:rPr>
          <w:rFonts w:cs="Arial"/>
        </w:rPr>
        <w:t>. w porównaniu z</w:t>
      </w:r>
      <w:r w:rsidR="00FF5042" w:rsidRPr="005F5A33">
        <w:rPr>
          <w:rFonts w:cs="Arial"/>
        </w:rPr>
        <w:t> </w:t>
      </w:r>
      <w:r w:rsidR="00490BD6" w:rsidRPr="005F5A33">
        <w:rPr>
          <w:rFonts w:cs="Arial"/>
        </w:rPr>
        <w:t xml:space="preserve">poprzednim miesiącem </w:t>
      </w:r>
      <w:r w:rsidR="00DA6A41" w:rsidRPr="005F5A33">
        <w:rPr>
          <w:rFonts w:cs="Arial"/>
        </w:rPr>
        <w:t xml:space="preserve">odnotowano </w:t>
      </w:r>
      <w:r w:rsidR="00986627">
        <w:rPr>
          <w:rFonts w:cs="Arial"/>
        </w:rPr>
        <w:t>spadek</w:t>
      </w:r>
      <w:r w:rsidR="00D64C0D" w:rsidRPr="005F5A33">
        <w:rPr>
          <w:rFonts w:cs="Arial"/>
        </w:rPr>
        <w:t xml:space="preserve">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>etalicznej przez Internet</w:t>
      </w:r>
      <w:r w:rsidR="007044F5" w:rsidRPr="005F5A33">
        <w:rPr>
          <w:rFonts w:cs="Arial"/>
        </w:rPr>
        <w:t xml:space="preserve"> 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F234E8" w:rsidRPr="005F5A33">
        <w:rPr>
          <w:rFonts w:cs="Arial"/>
        </w:rPr>
        <w:t> </w:t>
      </w:r>
      <w:r w:rsidR="00986627">
        <w:rPr>
          <w:rFonts w:cs="Arial"/>
        </w:rPr>
        <w:t>4,1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681E58">
        <w:rPr>
          <w:rFonts w:cs="Arial"/>
        </w:rPr>
        <w:t xml:space="preserve">mniejszył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 </w:t>
      </w:r>
      <w:r w:rsidR="00681E58">
        <w:rPr>
          <w:rFonts w:cs="Arial"/>
        </w:rPr>
        <w:t>11</w:t>
      </w:r>
      <w:r w:rsidR="002F76DB" w:rsidRPr="005F5A33">
        <w:rPr>
          <w:rFonts w:cs="Arial"/>
        </w:rPr>
        <w:t>,</w:t>
      </w:r>
      <w:r w:rsidR="00681E58">
        <w:rPr>
          <w:rFonts w:cs="Arial"/>
        </w:rPr>
        <w:t>4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57ACD" w:rsidRPr="005F5A33">
        <w:rPr>
          <w:rFonts w:cs="Arial"/>
        </w:rPr>
        <w:t xml:space="preserve"> </w:t>
      </w:r>
      <w:r w:rsidR="00681E58">
        <w:rPr>
          <w:rFonts w:cs="Arial"/>
        </w:rPr>
        <w:t>listopadzie</w:t>
      </w:r>
      <w:r w:rsidR="00AA3132" w:rsidRPr="005F5A33">
        <w:rPr>
          <w:rFonts w:cs="Arial"/>
        </w:rPr>
        <w:t xml:space="preserve"> do </w:t>
      </w:r>
      <w:r w:rsidR="00681E58">
        <w:rPr>
          <w:rFonts w:cs="Arial"/>
        </w:rPr>
        <w:t>9,1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681E58">
        <w:rPr>
          <w:rFonts w:cs="Arial"/>
        </w:rPr>
        <w:t>grudniu</w:t>
      </w:r>
      <w:r w:rsidR="00397F66" w:rsidRPr="005F5A33">
        <w:rPr>
          <w:rFonts w:cs="Arial"/>
        </w:rPr>
        <w:t xml:space="preserve"> </w:t>
      </w:r>
      <w:r w:rsidR="00190CDF">
        <w:rPr>
          <w:rFonts w:cs="Arial"/>
        </w:rPr>
        <w:t>2020 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FE372C">
        <w:rPr>
          <w:rFonts w:cs="Arial"/>
        </w:rPr>
        <w:t xml:space="preserve">Spadek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</w:t>
      </w:r>
      <w:r w:rsidR="005A0FBE" w:rsidRPr="005F5A33">
        <w:rPr>
          <w:rFonts w:cs="Arial"/>
        </w:rPr>
        <w:br/>
      </w:r>
      <w:r w:rsidR="008E0771" w:rsidRPr="005F5A33">
        <w:rPr>
          <w:rFonts w:cs="Arial"/>
        </w:rPr>
        <w:t>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8641B0" w:rsidRPr="005F5A33">
        <w:rPr>
          <w:rFonts w:cs="Arial"/>
        </w:rPr>
        <w:t xml:space="preserve"> we wszystkich grupach </w:t>
      </w:r>
      <w:r w:rsidR="008641B0">
        <w:rPr>
          <w:rFonts w:cs="Arial"/>
        </w:rPr>
        <w:t xml:space="preserve">przy czym znaczący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 </w:t>
      </w:r>
      <w:r w:rsidR="00FE372C">
        <w:rPr>
          <w:rFonts w:cs="Arial"/>
        </w:rPr>
        <w:t>35</w:t>
      </w:r>
      <w:r w:rsidR="00E07336">
        <w:rPr>
          <w:rFonts w:cs="Arial"/>
        </w:rPr>
        <w:t>,4</w:t>
      </w:r>
      <w:r w:rsidR="00E07336" w:rsidRPr="00D47283">
        <w:rPr>
          <w:rFonts w:cs="Arial"/>
        </w:rPr>
        <w:t xml:space="preserve">% przed miesiącem do </w:t>
      </w:r>
      <w:r w:rsidR="00FE372C">
        <w:rPr>
          <w:rFonts w:cs="Arial"/>
        </w:rPr>
        <w:t>19,9</w:t>
      </w:r>
      <w:r w:rsidR="00E07336">
        <w:rPr>
          <w:rFonts w:cs="Arial"/>
        </w:rPr>
        <w:t>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E07336" w:rsidRPr="00D47283">
        <w:rPr>
          <w:rFonts w:cs="Arial"/>
        </w:rPr>
        <w:t>a także podmioty z  grup</w:t>
      </w:r>
      <w:r w:rsidR="00E07336">
        <w:rPr>
          <w:rFonts w:cs="Arial"/>
        </w:rPr>
        <w:t xml:space="preserve"> </w:t>
      </w:r>
      <w:r w:rsidR="00E07336" w:rsidRPr="00D47283">
        <w:rPr>
          <w:rFonts w:cs="Arial"/>
        </w:rPr>
        <w:t xml:space="preserve">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B0571C">
        <w:rPr>
          <w:rFonts w:cs="Arial"/>
        </w:rPr>
        <w:t> </w:t>
      </w:r>
      <w:r w:rsidR="004B18B7" w:rsidRPr="00D47283">
        <w:rPr>
          <w:rFonts w:cs="Arial"/>
        </w:rPr>
        <w:t>wyspecjalizowanych sklepach” (odpowiednio z </w:t>
      </w:r>
      <w:r w:rsidR="00FE372C">
        <w:rPr>
          <w:rFonts w:cs="Arial"/>
        </w:rPr>
        <w:t>38,1</w:t>
      </w:r>
      <w:r w:rsidR="008F0AB0">
        <w:rPr>
          <w:rFonts w:cs="Arial"/>
        </w:rPr>
        <w:t xml:space="preserve">% do </w:t>
      </w:r>
      <w:r w:rsidR="00FE372C">
        <w:rPr>
          <w:rFonts w:cs="Arial"/>
        </w:rPr>
        <w:t>27,8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 xml:space="preserve">)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FE372C">
        <w:rPr>
          <w:rFonts w:cs="Arial"/>
        </w:rPr>
        <w:t>22,5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FE372C">
        <w:rPr>
          <w:rFonts w:cs="Arial"/>
        </w:rPr>
        <w:t>15,2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E85F28" w:rsidRDefault="00E85F28" w:rsidP="00D97A4D">
      <w:pPr>
        <w:pStyle w:val="tytuwykresu"/>
      </w:pPr>
    </w:p>
    <w:p w:rsidR="00D62E4C" w:rsidRDefault="0089562D" w:rsidP="00D97A4D">
      <w:pPr>
        <w:pStyle w:val="tytuwykresu"/>
        <w:rPr>
          <w:shd w:val="clear" w:color="auto" w:fill="FFFFFF"/>
        </w:rPr>
      </w:pPr>
      <w:r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D4681A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E6B0C">
              <w:rPr>
                <w:rFonts w:cs="Arial"/>
                <w:color w:val="000000"/>
                <w:sz w:val="16"/>
                <w:szCs w:val="16"/>
              </w:rPr>
              <w:t>I</w:t>
            </w:r>
            <w:r w:rsidR="00F4609A"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80E5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D4681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64CEA">
              <w:rPr>
                <w:rFonts w:cs="Arial"/>
                <w:color w:val="000000"/>
                <w:sz w:val="16"/>
                <w:szCs w:val="16"/>
              </w:rPr>
              <w:t>-</w:t>
            </w:r>
            <w:r w:rsidR="00D4681A">
              <w:rPr>
                <w:rFonts w:cs="Arial"/>
                <w:color w:val="000000"/>
                <w:sz w:val="16"/>
                <w:szCs w:val="16"/>
              </w:rPr>
              <w:t>X</w:t>
            </w:r>
            <w:r w:rsidR="009E6B0C">
              <w:rPr>
                <w:rFonts w:cs="Arial"/>
                <w:color w:val="000000"/>
                <w:sz w:val="16"/>
                <w:szCs w:val="16"/>
              </w:rPr>
              <w:t>I</w:t>
            </w:r>
            <w:r w:rsidR="00F4609A">
              <w:rPr>
                <w:rFonts w:cs="Arial"/>
                <w:color w:val="000000"/>
                <w:sz w:val="16"/>
                <w:szCs w:val="16"/>
              </w:rPr>
              <w:t>I</w:t>
            </w:r>
            <w:r w:rsidR="00D4681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D4681A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F56091" w:rsidP="00464C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F4609A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D4681A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9E6B0C">
              <w:rPr>
                <w:rFonts w:cs="Arial"/>
                <w:sz w:val="16"/>
                <w:szCs w:val="16"/>
              </w:rPr>
              <w:t>I</w:t>
            </w:r>
            <w:r w:rsidR="00F4609A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C80E5E"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D4681A" w:rsidRDefault="0013244F" w:rsidP="00D4681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</w:t>
            </w:r>
            <w:r w:rsidR="00464CEA" w:rsidRPr="00D4681A">
              <w:rPr>
                <w:rFonts w:cs="Arial"/>
                <w:sz w:val="16"/>
                <w:szCs w:val="16"/>
              </w:rPr>
              <w:t>-</w:t>
            </w:r>
            <w:r w:rsidR="00D4681A" w:rsidRPr="00D4681A">
              <w:rPr>
                <w:rFonts w:cs="Arial"/>
                <w:sz w:val="16"/>
                <w:szCs w:val="16"/>
              </w:rPr>
              <w:t>X</w:t>
            </w:r>
            <w:r w:rsidR="009E6B0C">
              <w:rPr>
                <w:rFonts w:cs="Arial"/>
                <w:sz w:val="16"/>
                <w:szCs w:val="16"/>
              </w:rPr>
              <w:t>I</w:t>
            </w:r>
            <w:r w:rsidR="00F4609A">
              <w:rPr>
                <w:rFonts w:cs="Arial"/>
                <w:sz w:val="16"/>
                <w:szCs w:val="16"/>
              </w:rPr>
              <w:t>I</w:t>
            </w:r>
            <w:r w:rsidR="00D4681A" w:rsidRPr="00D4681A">
              <w:rPr>
                <w:rFonts w:cs="Arial"/>
                <w:sz w:val="16"/>
                <w:szCs w:val="16"/>
              </w:rPr>
              <w:t xml:space="preserve"> </w:t>
            </w:r>
            <w:r w:rsidRPr="00D4681A">
              <w:rPr>
                <w:rFonts w:cs="Arial"/>
                <w:sz w:val="16"/>
                <w:szCs w:val="16"/>
              </w:rPr>
              <w:t>201</w:t>
            </w:r>
            <w:r w:rsidR="006A08B5" w:rsidRPr="00D4681A">
              <w:rPr>
                <w:rFonts w:cs="Arial"/>
                <w:sz w:val="16"/>
                <w:szCs w:val="16"/>
              </w:rPr>
              <w:t>9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FB5B92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96,9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A21F6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FB5B92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87,7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A5" w:rsidRPr="00F156AE" w:rsidRDefault="00FB5B92" w:rsidP="005E628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90,1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FB5B92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98,1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766155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FB5B92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FB5B92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84,7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FB5B92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FB5B92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0A21F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FB5B92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34614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015A15" w:rsidRDefault="00015A15" w:rsidP="006F12AF">
      <w:pPr>
        <w:rPr>
          <w:color w:val="000000" w:themeColor="text1"/>
          <w:sz w:val="16"/>
          <w:szCs w:val="16"/>
        </w:rPr>
      </w:pPr>
    </w:p>
    <w:p w:rsidR="003E6A73" w:rsidRPr="00046A25" w:rsidRDefault="003E6A73" w:rsidP="003E6A73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3E6A73" w:rsidRPr="001F551D" w:rsidTr="00B3759A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E6A73" w:rsidRPr="001F551D" w:rsidTr="00B3759A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3E6A73" w:rsidRPr="001F551D" w:rsidRDefault="003E6A73" w:rsidP="00B3759A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E6A73" w:rsidRPr="001F551D" w:rsidRDefault="003E6A73" w:rsidP="00B3759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167547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E6A73" w:rsidRPr="001F551D" w:rsidRDefault="003E6A73" w:rsidP="00B3759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–</w:t>
            </w: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167547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3E6A73" w:rsidRPr="001F551D" w:rsidTr="00B3759A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E6A73" w:rsidRPr="001F551D" w:rsidRDefault="003E6A73" w:rsidP="00B3759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E6A73" w:rsidRPr="001F551D" w:rsidRDefault="00167547" w:rsidP="00B3759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346147">
              <w:rPr>
                <w:rFonts w:cs="Arial"/>
                <w:color w:val="000000"/>
                <w:sz w:val="16"/>
                <w:szCs w:val="16"/>
              </w:rPr>
              <w:t>I</w:t>
            </w:r>
            <w:r w:rsidR="003E6A73"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3E6A73">
              <w:rPr>
                <w:rFonts w:cs="Arial"/>
                <w:color w:val="000000"/>
                <w:sz w:val="16"/>
                <w:szCs w:val="16"/>
              </w:rPr>
              <w:t>20</w:t>
            </w:r>
            <w:r w:rsidR="003E6A73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E6A73" w:rsidRPr="001F551D" w:rsidRDefault="003E6A73" w:rsidP="00B3759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167547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19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E6A73" w:rsidRPr="00167547" w:rsidRDefault="00167547" w:rsidP="00B3759A">
            <w:pPr>
              <w:spacing w:after="0" w:line="240" w:lineRule="auto"/>
              <w:jc w:val="center"/>
              <w:rPr>
                <w:rFonts w:cs="Arial"/>
                <w:color w:val="000000"/>
                <w:spacing w:val="-2"/>
                <w:sz w:val="16"/>
                <w:szCs w:val="16"/>
              </w:rPr>
            </w:pPr>
            <w:r w:rsidRPr="00167547">
              <w:rPr>
                <w:rFonts w:cs="Arial"/>
                <w:color w:val="000000"/>
                <w:spacing w:val="-2"/>
                <w:sz w:val="16"/>
                <w:szCs w:val="16"/>
              </w:rPr>
              <w:t>I–</w:t>
            </w:r>
            <w:r w:rsidR="003E6A73" w:rsidRPr="00167547">
              <w:rPr>
                <w:rFonts w:cs="Arial"/>
                <w:color w:val="000000"/>
                <w:spacing w:val="-2"/>
                <w:sz w:val="16"/>
                <w:szCs w:val="16"/>
              </w:rPr>
              <w:t>X</w:t>
            </w:r>
            <w:r w:rsidRPr="00167547">
              <w:rPr>
                <w:rFonts w:cs="Arial"/>
                <w:color w:val="000000"/>
                <w:spacing w:val="-2"/>
                <w:sz w:val="16"/>
                <w:szCs w:val="16"/>
              </w:rPr>
              <w:t>II</w:t>
            </w:r>
            <w:r w:rsidR="003E6A73" w:rsidRPr="00167547">
              <w:rPr>
                <w:rFonts w:cs="Arial"/>
                <w:color w:val="000000"/>
                <w:spacing w:val="-2"/>
                <w:sz w:val="16"/>
                <w:szCs w:val="16"/>
              </w:rPr>
              <w:t xml:space="preserve"> 2019=100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E6A73" w:rsidRPr="001F551D" w:rsidRDefault="003E6A73" w:rsidP="00B3759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3E6A73" w:rsidRPr="001F551D" w:rsidTr="00B3759A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E6A73" w:rsidRPr="001F551D" w:rsidTr="00B3759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3E6A73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3E6A73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3E6A73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E6A73" w:rsidRPr="001F551D" w:rsidTr="00B3759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D0098B" w:rsidP="00B3759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</w:tr>
      <w:tr w:rsidR="003E6A73" w:rsidRPr="001F551D" w:rsidTr="00B3759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13,3</w:t>
            </w:r>
          </w:p>
        </w:tc>
      </w:tr>
      <w:tr w:rsidR="003E6A73" w:rsidRPr="001F551D" w:rsidTr="00B3759A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</w:t>
            </w:r>
          </w:p>
        </w:tc>
      </w:tr>
      <w:tr w:rsidR="003E6A73" w:rsidRPr="001F551D" w:rsidTr="00B3759A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3E6A73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3E6A73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3E6A73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3E6A73" w:rsidP="00B375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3E6A73" w:rsidRPr="001F551D" w:rsidTr="00B3759A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</w:tr>
      <w:tr w:rsidR="003E6A73" w:rsidRPr="001F551D" w:rsidTr="00B3759A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3E6A73" w:rsidRPr="001F551D" w:rsidTr="00B3759A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</w:tr>
      <w:tr w:rsidR="003E6A73" w:rsidRPr="001F551D" w:rsidTr="00B3759A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</w:tr>
      <w:tr w:rsidR="003E6A73" w:rsidRPr="001F551D" w:rsidTr="00B3759A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E6A73" w:rsidRPr="001F551D" w:rsidRDefault="003E6A73" w:rsidP="00B375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E6A73" w:rsidRPr="00F156AE" w:rsidRDefault="00D0098B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E6A73" w:rsidRPr="00F156AE" w:rsidRDefault="0095453F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E6A73" w:rsidRPr="00F156AE" w:rsidRDefault="00096744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E6A73" w:rsidRPr="001F551D" w:rsidRDefault="009B4DE7" w:rsidP="00B375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</w:t>
            </w:r>
          </w:p>
        </w:tc>
      </w:tr>
    </w:tbl>
    <w:p w:rsidR="00FB27F3" w:rsidRDefault="00147D0A" w:rsidP="00FB27F3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</w:t>
      </w:r>
      <w:r w:rsidR="00FB27F3" w:rsidRPr="00AE035E">
        <w:rPr>
          <w:sz w:val="16"/>
          <w:szCs w:val="16"/>
          <w:lang w:eastAsia="pl-PL"/>
        </w:rPr>
        <w:t>(.)</w:t>
      </w:r>
      <w:r w:rsidR="00FB27F3">
        <w:rPr>
          <w:sz w:val="16"/>
          <w:szCs w:val="16"/>
          <w:lang w:eastAsia="pl-PL"/>
        </w:rPr>
        <w:t xml:space="preserve"> Zupełny b</w:t>
      </w:r>
      <w:r w:rsidR="00FB27F3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872F9" w:rsidRDefault="007872F9" w:rsidP="00FB27F3">
      <w:pPr>
        <w:rPr>
          <w:color w:val="000000" w:themeColor="text1"/>
          <w:sz w:val="16"/>
          <w:szCs w:val="16"/>
        </w:rPr>
      </w:pPr>
    </w:p>
    <w:p w:rsidR="004639C1" w:rsidRDefault="004639C1" w:rsidP="00FB27F3">
      <w:pPr>
        <w:rPr>
          <w:color w:val="000000" w:themeColor="text1"/>
          <w:sz w:val="16"/>
          <w:szCs w:val="16"/>
        </w:rPr>
      </w:pPr>
    </w:p>
    <w:p w:rsidR="00B25EE8" w:rsidRPr="00FB27F3" w:rsidRDefault="00B25EE8" w:rsidP="00B82FB7">
      <w:pPr>
        <w:ind w:left="851" w:hanging="851"/>
        <w:rPr>
          <w:b/>
          <w:sz w:val="18"/>
          <w:szCs w:val="18"/>
          <w:lang w:eastAsia="pl-PL"/>
        </w:rPr>
      </w:pPr>
      <w:r w:rsidRPr="00FB27F3">
        <w:rPr>
          <w:b/>
          <w:sz w:val="18"/>
          <w:szCs w:val="18"/>
        </w:rPr>
        <w:lastRenderedPageBreak/>
        <w:t>Wykres 2</w:t>
      </w:r>
      <w:r w:rsidR="00976445" w:rsidRPr="00FB27F3">
        <w:rPr>
          <w:b/>
          <w:sz w:val="18"/>
          <w:szCs w:val="18"/>
        </w:rPr>
        <w:t>.</w:t>
      </w:r>
      <w:r w:rsidR="000A2607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Sprzedaż detaliczna towarów w</w:t>
      </w:r>
      <w:r w:rsidR="00D2265E">
        <w:rPr>
          <w:b/>
          <w:sz w:val="18"/>
          <w:szCs w:val="18"/>
          <w:shd w:val="clear" w:color="auto" w:fill="FFFFFF"/>
        </w:rPr>
        <w:t xml:space="preserve"> </w:t>
      </w:r>
      <w:r w:rsidR="00012239">
        <w:rPr>
          <w:b/>
          <w:sz w:val="18"/>
          <w:szCs w:val="18"/>
          <w:shd w:val="clear" w:color="auto" w:fill="FFFFFF"/>
        </w:rPr>
        <w:t>grudniu</w:t>
      </w:r>
      <w:r w:rsidR="009D6FE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 w:rsidR="009C2501" w:rsidRPr="00FB27F3">
        <w:rPr>
          <w:b/>
          <w:sz w:val="18"/>
          <w:szCs w:val="18"/>
          <w:shd w:val="clear" w:color="auto" w:fill="FFFFFF"/>
        </w:rPr>
        <w:t>20</w:t>
      </w:r>
      <w:r w:rsidR="00FF1A4B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r</w:t>
      </w:r>
      <w:r w:rsidR="006F2ACE" w:rsidRPr="00FB27F3">
        <w:rPr>
          <w:b/>
          <w:sz w:val="18"/>
          <w:szCs w:val="18"/>
          <w:shd w:val="clear" w:color="auto" w:fill="FFFFFF"/>
        </w:rPr>
        <w:t xml:space="preserve">. </w:t>
      </w:r>
      <w:r w:rsidR="00320FEE" w:rsidRPr="00FB27F3">
        <w:rPr>
          <w:b/>
          <w:sz w:val="18"/>
          <w:szCs w:val="18"/>
          <w:shd w:val="clear" w:color="auto" w:fill="FFFFFF"/>
        </w:rPr>
        <w:t>według rodzajów</w:t>
      </w:r>
      <w:r w:rsidR="00D90D7A" w:rsidRPr="00FB27F3">
        <w:rPr>
          <w:b/>
          <w:sz w:val="18"/>
          <w:szCs w:val="18"/>
          <w:shd w:val="clear" w:color="auto" w:fill="FFFFFF"/>
        </w:rPr>
        <w:t xml:space="preserve"> działalności przeds</w:t>
      </w:r>
      <w:r w:rsidR="00205C7E" w:rsidRPr="00FB27F3">
        <w:rPr>
          <w:b/>
          <w:sz w:val="18"/>
          <w:szCs w:val="18"/>
          <w:shd w:val="clear" w:color="auto" w:fill="FFFFFF"/>
        </w:rPr>
        <w:t>ię</w:t>
      </w:r>
      <w:r w:rsidR="00A01BD2" w:rsidRPr="00FB27F3">
        <w:rPr>
          <w:b/>
          <w:sz w:val="18"/>
          <w:szCs w:val="18"/>
          <w:shd w:val="clear" w:color="auto" w:fill="FFFFFF"/>
        </w:rPr>
        <w:t>b</w:t>
      </w:r>
      <w:r w:rsidR="00205C7E" w:rsidRPr="00FB27F3">
        <w:rPr>
          <w:b/>
          <w:sz w:val="18"/>
          <w:szCs w:val="18"/>
          <w:shd w:val="clear" w:color="auto" w:fill="FFFFFF"/>
        </w:rPr>
        <w:t>io</w:t>
      </w:r>
      <w:r w:rsidR="006812AE" w:rsidRPr="00FB27F3">
        <w:rPr>
          <w:b/>
          <w:sz w:val="18"/>
          <w:szCs w:val="18"/>
          <w:shd w:val="clear" w:color="auto" w:fill="FFFFFF"/>
        </w:rPr>
        <w:t>r</w:t>
      </w:r>
      <w:r w:rsidR="00D90D7A" w:rsidRPr="00FB27F3">
        <w:rPr>
          <w:b/>
          <w:sz w:val="18"/>
          <w:szCs w:val="18"/>
          <w:shd w:val="clear" w:color="auto" w:fill="FFFFFF"/>
        </w:rPr>
        <w:t>stwa</w:t>
      </w:r>
      <w:r w:rsidR="00375B9E" w:rsidRPr="00FB27F3">
        <w:rPr>
          <w:b/>
          <w:sz w:val="18"/>
          <w:szCs w:val="18"/>
          <w:shd w:val="clear" w:color="auto" w:fill="FFFFFF"/>
        </w:rPr>
        <w:t xml:space="preserve"> (</w:t>
      </w:r>
      <w:r w:rsidRPr="00FB27F3">
        <w:rPr>
          <w:b/>
          <w:sz w:val="18"/>
          <w:szCs w:val="18"/>
          <w:shd w:val="clear" w:color="auto" w:fill="FFFFFF"/>
        </w:rPr>
        <w:t>ceny stałe) – analogiczny okres roku poprzedniego=100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align>left</wp:align>
            </wp:positionH>
            <wp:positionV relativeFrom="margin">
              <wp:posOffset>577850</wp:posOffset>
            </wp:positionV>
            <wp:extent cx="5038725" cy="2673350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B23" w:rsidRDefault="007A6B23" w:rsidP="006F12AF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6F12AF" w:rsidRPr="00964F10" w:rsidRDefault="00616529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rightMargin">
                  <wp:posOffset>135254</wp:posOffset>
                </wp:positionH>
                <wp:positionV relativeFrom="paragraph">
                  <wp:posOffset>99786</wp:posOffset>
                </wp:positionV>
                <wp:extent cx="1790519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519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AA7242" w:rsidRDefault="00E52DC5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064088">
                              <w:rPr>
                                <w:b w:val="0"/>
                                <w:color w:val="001D77"/>
                              </w:rPr>
                              <w:t xml:space="preserve">grudniu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0D33AB">
                              <w:rPr>
                                <w:b w:val="0"/>
                                <w:color w:val="001D77"/>
                              </w:rPr>
                              <w:t xml:space="preserve">wzrost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sprzedaży detalicznej wyrównanej sezonowo o</w:t>
                            </w:r>
                            <w:r w:rsidR="00532C65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0D33AB">
                              <w:rPr>
                                <w:b w:val="0"/>
                                <w:color w:val="001D77"/>
                              </w:rPr>
                              <w:t>2,4</w:t>
                            </w:r>
                            <w:r w:rsidR="000A2F01">
                              <w:rPr>
                                <w:b w:val="0"/>
                                <w:color w:val="001D77"/>
                              </w:rPr>
                              <w:t>%</w:t>
                            </w:r>
                            <w:r w:rsidR="00EE34EB" w:rsidRPr="007B1A6C">
                              <w:rPr>
                                <w:b w:val="0"/>
                                <w:color w:val="FF0000"/>
                              </w:rPr>
                              <w:t xml:space="preserve"> 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 xml:space="preserve">w porównaniu </w:t>
                            </w:r>
                            <w:r w:rsidR="00EE34EB" w:rsidRPr="00AA7242">
                              <w:rPr>
                                <w:b w:val="0"/>
                                <w:color w:val="001D77"/>
                              </w:rPr>
                              <w:t>z</w:t>
                            </w:r>
                            <w:r w:rsidR="00AC6FF3" w:rsidRPr="00AA7242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8525FA" w:rsidRPr="00AA7242">
                              <w:rPr>
                                <w:b w:val="0"/>
                                <w:color w:val="001D77"/>
                              </w:rPr>
                              <w:t>poprzednim miesiącem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3498" id="Text Box 10" o:spid="_x0000_s1028" type="#_x0000_t202" style="position:absolute;margin-left:10.65pt;margin-top:7.85pt;width:141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ZvA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" filled="f" stroked="f">
                <v:textbox>
                  <w:txbxContent>
                    <w:p w:rsidR="00EE34EB" w:rsidRPr="00AA7242" w:rsidRDefault="00E52DC5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064088">
                        <w:rPr>
                          <w:b w:val="0"/>
                          <w:color w:val="001D77"/>
                        </w:rPr>
                        <w:t xml:space="preserve">grudniu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20</w:t>
                      </w:r>
                      <w:r w:rsidR="00EE34EB">
                        <w:rPr>
                          <w:b w:val="0"/>
                          <w:color w:val="001D77"/>
                        </w:rPr>
                        <w:t>20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0D33AB">
                        <w:rPr>
                          <w:b w:val="0"/>
                          <w:color w:val="001D77"/>
                        </w:rPr>
                        <w:t xml:space="preserve">wzrost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sprzedaży detalicznej wyrównanej sezonowo o</w:t>
                      </w:r>
                      <w:r w:rsidR="00532C65">
                        <w:rPr>
                          <w:b w:val="0"/>
                          <w:color w:val="001D77"/>
                        </w:rPr>
                        <w:t> </w:t>
                      </w:r>
                      <w:r w:rsidR="000D33AB">
                        <w:rPr>
                          <w:b w:val="0"/>
                          <w:color w:val="001D77"/>
                        </w:rPr>
                        <w:t>2,4</w:t>
                      </w:r>
                      <w:r w:rsidR="000A2F01">
                        <w:rPr>
                          <w:b w:val="0"/>
                          <w:color w:val="001D77"/>
                        </w:rPr>
                        <w:t>%</w:t>
                      </w:r>
                      <w:r w:rsidR="00EE34EB" w:rsidRPr="007B1A6C">
                        <w:rPr>
                          <w:b w:val="0"/>
                          <w:color w:val="FF0000"/>
                        </w:rPr>
                        <w:t xml:space="preserve"> </w:t>
                      </w:r>
                      <w:r w:rsidR="00EE34EB">
                        <w:rPr>
                          <w:b w:val="0"/>
                          <w:color w:val="001D77"/>
                        </w:rPr>
                        <w:t xml:space="preserve">w porównaniu </w:t>
                      </w:r>
                      <w:r w:rsidR="00EE34EB" w:rsidRPr="00AA7242">
                        <w:rPr>
                          <w:b w:val="0"/>
                          <w:color w:val="001D77"/>
                        </w:rPr>
                        <w:t>z</w:t>
                      </w:r>
                      <w:r w:rsidR="00AC6FF3" w:rsidRPr="00AA7242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8525FA" w:rsidRPr="00AA7242">
                        <w:rPr>
                          <w:b w:val="0"/>
                          <w:color w:val="001D77"/>
                        </w:rPr>
                        <w:t>poprzednim miesiącem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6B23" w:rsidRPr="004B18B7" w:rsidRDefault="007A6B23" w:rsidP="007A6B23">
      <w:pPr>
        <w:pStyle w:val="tytuwykresu"/>
        <w:spacing w:before="0"/>
        <w:rPr>
          <w:rFonts w:asciiTheme="majorHAnsi" w:hAnsiTheme="majorHAnsi"/>
          <w:b w:val="0"/>
          <w:noProof/>
          <w:lang w:eastAsia="pl-PL"/>
        </w:rPr>
      </w:pPr>
      <w:r w:rsidRPr="004B18B7">
        <w:rPr>
          <w:rFonts w:cs="Arial"/>
          <w:b w:val="0"/>
          <w:sz w:val="19"/>
          <w:szCs w:val="19"/>
        </w:rPr>
        <w:t>Po wyeliminowaniu wpływu czynników o charakterze sezonowym sprzeda</w:t>
      </w:r>
      <w:r w:rsidR="002F1D24">
        <w:rPr>
          <w:rFonts w:cs="Arial"/>
          <w:b w:val="0"/>
          <w:sz w:val="19"/>
          <w:szCs w:val="19"/>
        </w:rPr>
        <w:t>ż detaliczna w cenach stałych w</w:t>
      </w:r>
      <w:r w:rsidR="00E911D6">
        <w:rPr>
          <w:rFonts w:cs="Arial"/>
          <w:b w:val="0"/>
          <w:sz w:val="19"/>
          <w:szCs w:val="19"/>
        </w:rPr>
        <w:t xml:space="preserve"> </w:t>
      </w:r>
      <w:r w:rsidR="00064088">
        <w:rPr>
          <w:rFonts w:cs="Arial"/>
          <w:b w:val="0"/>
          <w:sz w:val="19"/>
          <w:szCs w:val="19"/>
        </w:rPr>
        <w:t>grudniu</w:t>
      </w:r>
      <w:r w:rsidR="00E911D6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2020 r. była </w:t>
      </w:r>
      <w:r w:rsidR="003E037E" w:rsidRPr="000A2F01">
        <w:rPr>
          <w:rFonts w:cs="Arial"/>
          <w:b w:val="0"/>
          <w:sz w:val="19"/>
          <w:szCs w:val="19"/>
        </w:rPr>
        <w:t xml:space="preserve">o </w:t>
      </w:r>
      <w:r w:rsidR="000D33AB">
        <w:rPr>
          <w:rFonts w:cs="Arial"/>
          <w:b w:val="0"/>
          <w:sz w:val="19"/>
          <w:szCs w:val="19"/>
        </w:rPr>
        <w:t>2,4</w:t>
      </w:r>
      <w:r w:rsidR="00D02C99" w:rsidRPr="00064088">
        <w:rPr>
          <w:rFonts w:cs="Arial"/>
          <w:b w:val="0"/>
          <w:sz w:val="19"/>
          <w:szCs w:val="19"/>
        </w:rPr>
        <w:t>%</w:t>
      </w:r>
      <w:r w:rsidRPr="00064088">
        <w:rPr>
          <w:rFonts w:cs="Arial"/>
          <w:b w:val="0"/>
          <w:color w:val="FF0000"/>
          <w:sz w:val="19"/>
          <w:szCs w:val="19"/>
        </w:rPr>
        <w:t xml:space="preserve"> </w:t>
      </w:r>
      <w:r w:rsidR="000D33AB" w:rsidRPr="000D33AB">
        <w:rPr>
          <w:rFonts w:cs="Arial"/>
          <w:b w:val="0"/>
          <w:sz w:val="19"/>
          <w:szCs w:val="19"/>
        </w:rPr>
        <w:t>wyższa</w:t>
      </w:r>
      <w:r w:rsidR="000D33AB">
        <w:rPr>
          <w:rFonts w:cs="Arial"/>
          <w:b w:val="0"/>
          <w:color w:val="FF000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w porównaniu z </w:t>
      </w:r>
      <w:r w:rsidR="00064088">
        <w:rPr>
          <w:rFonts w:cs="Arial"/>
          <w:b w:val="0"/>
          <w:sz w:val="19"/>
          <w:szCs w:val="19"/>
        </w:rPr>
        <w:t>listopadem</w:t>
      </w:r>
      <w:r w:rsidR="00616529" w:rsidRPr="004B18B7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 w:rsidR="003E037E" w:rsidRPr="004B18B7">
        <w:rPr>
          <w:rFonts w:cs="Arial"/>
          <w:b w:val="0"/>
          <w:sz w:val="19"/>
          <w:szCs w:val="19"/>
        </w:rPr>
        <w:t xml:space="preserve">20 </w:t>
      </w:r>
      <w:r w:rsidRPr="004B18B7">
        <w:rPr>
          <w:rFonts w:cs="Arial"/>
          <w:b w:val="0"/>
          <w:sz w:val="19"/>
          <w:szCs w:val="19"/>
        </w:rPr>
        <w:t>r.</w:t>
      </w:r>
      <w:r w:rsidR="00EE34EB"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532C65" w:rsidRDefault="00532C65" w:rsidP="006411E5">
      <w:pPr>
        <w:pStyle w:val="tytuwykresu"/>
        <w:ind w:left="851" w:hanging="851"/>
        <w:rPr>
          <w:shd w:val="clear" w:color="auto" w:fill="FFFFFF"/>
        </w:rPr>
      </w:pPr>
    </w:p>
    <w:p w:rsidR="00F63D84" w:rsidRDefault="00E5682A" w:rsidP="006411E5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8656" behindDoc="0" locked="0" layoutInCell="1" allowOverlap="1" wp14:anchorId="1B5B0C3E" wp14:editId="0EF16265">
            <wp:simplePos x="0" y="0"/>
            <wp:positionH relativeFrom="margin">
              <wp:align>right</wp:align>
            </wp:positionH>
            <wp:positionV relativeFrom="margin">
              <wp:posOffset>4712286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23" w:rsidRPr="003D7F37">
        <w:rPr>
          <w:shd w:val="clear" w:color="auto" w:fill="FFFFFF"/>
        </w:rPr>
        <w:t>Wykres 3</w:t>
      </w:r>
      <w:r w:rsidR="007A6B23">
        <w:rPr>
          <w:shd w:val="clear" w:color="auto" w:fill="FFFFFF"/>
        </w:rPr>
        <w:t xml:space="preserve">. </w:t>
      </w:r>
      <w:r w:rsidR="0047176B">
        <w:rPr>
          <w:shd w:val="clear" w:color="auto" w:fill="FFFFFF"/>
        </w:rPr>
        <w:t xml:space="preserve"> </w:t>
      </w:r>
      <w:r w:rsidR="007A6B23" w:rsidRPr="003D7F37">
        <w:rPr>
          <w:shd w:val="clear" w:color="auto" w:fill="FFFFFF"/>
        </w:rPr>
        <w:t>Sprzedaż detaliczna</w:t>
      </w:r>
      <w:r w:rsidR="007A6B23">
        <w:rPr>
          <w:shd w:val="clear" w:color="auto" w:fill="FFFFFF"/>
        </w:rPr>
        <w:t xml:space="preserve"> – dane wyrównane sezonowo i niewyrównane (</w:t>
      </w:r>
      <w:r w:rsidR="007A6B23" w:rsidRPr="003D7F37">
        <w:rPr>
          <w:shd w:val="clear" w:color="auto" w:fill="FFFFFF"/>
        </w:rPr>
        <w:t>cen</w:t>
      </w:r>
      <w:r w:rsidR="007A6B23">
        <w:rPr>
          <w:shd w:val="clear" w:color="auto" w:fill="FFFFFF"/>
        </w:rPr>
        <w:t>y</w:t>
      </w:r>
      <w:r w:rsidR="007A6B23" w:rsidRPr="003D7F37">
        <w:rPr>
          <w:shd w:val="clear" w:color="auto" w:fill="FFFFFF"/>
        </w:rPr>
        <w:t xml:space="preserve"> stał</w:t>
      </w:r>
      <w:r w:rsidR="007A6B23">
        <w:rPr>
          <w:shd w:val="clear" w:color="auto" w:fill="FFFFFF"/>
        </w:rPr>
        <w:t xml:space="preserve">e) – </w:t>
      </w:r>
      <w:r w:rsidR="007A6B23" w:rsidRPr="003D7F37">
        <w:rPr>
          <w:shd w:val="clear" w:color="auto" w:fill="FFFFFF"/>
        </w:rPr>
        <w:t>przeciętna miesięczna 2015=100</w:t>
      </w:r>
    </w:p>
    <w:p w:rsidR="00A71FE3" w:rsidRDefault="00A71FE3" w:rsidP="00E50819"/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AA7242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15321F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Rynek </w:t>
                        </w:r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w</w:t>
                        </w:r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</w:t>
                      </w:r>
                      <w:bookmarkStart w:id="1" w:name="_GoBack"/>
                      <w:bookmarkEnd w:id="1"/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 xml:space="preserve">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DF" w:rsidRDefault="001733DF" w:rsidP="000662E2">
      <w:pPr>
        <w:spacing w:after="0" w:line="240" w:lineRule="auto"/>
      </w:pPr>
      <w:r>
        <w:separator/>
      </w:r>
    </w:p>
  </w:endnote>
  <w:endnote w:type="continuationSeparator" w:id="0">
    <w:p w:rsidR="001733DF" w:rsidRDefault="001733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AA72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AA72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DF" w:rsidRDefault="001733DF" w:rsidP="000662E2">
      <w:pPr>
        <w:spacing w:after="0" w:line="240" w:lineRule="auto"/>
      </w:pPr>
      <w:r>
        <w:separator/>
      </w:r>
    </w:p>
  </w:footnote>
  <w:footnote w:type="continuationSeparator" w:id="0">
    <w:p w:rsidR="001733DF" w:rsidRDefault="001733DF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5pt;height:12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.25pt;height:122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A15"/>
    <w:rsid w:val="0001625A"/>
    <w:rsid w:val="00016341"/>
    <w:rsid w:val="00016E07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ABB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C90"/>
    <w:rsid w:val="000B6DA7"/>
    <w:rsid w:val="000B7F8D"/>
    <w:rsid w:val="000C0AF0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57B6"/>
    <w:rsid w:val="000D5F7C"/>
    <w:rsid w:val="000D6196"/>
    <w:rsid w:val="000D685D"/>
    <w:rsid w:val="000D6FD0"/>
    <w:rsid w:val="000D7C42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56D3"/>
    <w:rsid w:val="000E585A"/>
    <w:rsid w:val="000E67AF"/>
    <w:rsid w:val="000E790A"/>
    <w:rsid w:val="000F02F3"/>
    <w:rsid w:val="000F4225"/>
    <w:rsid w:val="000F6590"/>
    <w:rsid w:val="000F6662"/>
    <w:rsid w:val="000F6856"/>
    <w:rsid w:val="000F798E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F8A"/>
    <w:rsid w:val="001A2C3B"/>
    <w:rsid w:val="001A2C7F"/>
    <w:rsid w:val="001A480D"/>
    <w:rsid w:val="001A4860"/>
    <w:rsid w:val="001A4D4B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279F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5E48"/>
    <w:rsid w:val="00245FC2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35FC"/>
    <w:rsid w:val="002F3DE9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5B98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6650"/>
    <w:rsid w:val="003376FA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47"/>
    <w:rsid w:val="003461A3"/>
    <w:rsid w:val="003465A7"/>
    <w:rsid w:val="00347D72"/>
    <w:rsid w:val="00351723"/>
    <w:rsid w:val="00352278"/>
    <w:rsid w:val="003523B2"/>
    <w:rsid w:val="00352704"/>
    <w:rsid w:val="00353DCE"/>
    <w:rsid w:val="003545BF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31DC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543E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F77"/>
    <w:rsid w:val="00401548"/>
    <w:rsid w:val="00402609"/>
    <w:rsid w:val="00403D19"/>
    <w:rsid w:val="0040430D"/>
    <w:rsid w:val="0040584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2E7"/>
    <w:rsid w:val="004226A9"/>
    <w:rsid w:val="0042446D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37880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E39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849"/>
    <w:rsid w:val="00475C07"/>
    <w:rsid w:val="004765FF"/>
    <w:rsid w:val="00476D26"/>
    <w:rsid w:val="00476D82"/>
    <w:rsid w:val="00477705"/>
    <w:rsid w:val="00477D26"/>
    <w:rsid w:val="00481568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B27"/>
    <w:rsid w:val="00496B7D"/>
    <w:rsid w:val="00497CF5"/>
    <w:rsid w:val="004A0FCB"/>
    <w:rsid w:val="004A12CA"/>
    <w:rsid w:val="004A429C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540"/>
    <w:rsid w:val="00510BC5"/>
    <w:rsid w:val="00511235"/>
    <w:rsid w:val="00511294"/>
    <w:rsid w:val="00511F40"/>
    <w:rsid w:val="00513859"/>
    <w:rsid w:val="005151CB"/>
    <w:rsid w:val="00515DF5"/>
    <w:rsid w:val="00515FCF"/>
    <w:rsid w:val="005170C9"/>
    <w:rsid w:val="0052017D"/>
    <w:rsid w:val="005203F1"/>
    <w:rsid w:val="00521BC3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C65"/>
    <w:rsid w:val="00533305"/>
    <w:rsid w:val="00533632"/>
    <w:rsid w:val="00533C70"/>
    <w:rsid w:val="005367C9"/>
    <w:rsid w:val="00537887"/>
    <w:rsid w:val="00537E18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50618"/>
    <w:rsid w:val="00550FAF"/>
    <w:rsid w:val="0055140C"/>
    <w:rsid w:val="00551DD4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3817"/>
    <w:rsid w:val="00564B8C"/>
    <w:rsid w:val="005654AB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53A"/>
    <w:rsid w:val="005C5F08"/>
    <w:rsid w:val="005C6163"/>
    <w:rsid w:val="005C7225"/>
    <w:rsid w:val="005D01B3"/>
    <w:rsid w:val="005D0D5F"/>
    <w:rsid w:val="005D1E83"/>
    <w:rsid w:val="005D3184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5B01"/>
    <w:rsid w:val="005E628D"/>
    <w:rsid w:val="005E6A0B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F6"/>
    <w:rsid w:val="0062724C"/>
    <w:rsid w:val="0062734E"/>
    <w:rsid w:val="00630E43"/>
    <w:rsid w:val="00632060"/>
    <w:rsid w:val="006321E3"/>
    <w:rsid w:val="00632C04"/>
    <w:rsid w:val="00633014"/>
    <w:rsid w:val="00633959"/>
    <w:rsid w:val="00633D34"/>
    <w:rsid w:val="00634344"/>
    <w:rsid w:val="0063437B"/>
    <w:rsid w:val="00635FE6"/>
    <w:rsid w:val="00636F15"/>
    <w:rsid w:val="0063751F"/>
    <w:rsid w:val="00640E37"/>
    <w:rsid w:val="006411E5"/>
    <w:rsid w:val="006414A2"/>
    <w:rsid w:val="0064250A"/>
    <w:rsid w:val="006442AF"/>
    <w:rsid w:val="00644AAE"/>
    <w:rsid w:val="00645F68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015F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327D"/>
    <w:rsid w:val="00683E97"/>
    <w:rsid w:val="006842EC"/>
    <w:rsid w:val="00684787"/>
    <w:rsid w:val="00684C1D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BBA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287B"/>
    <w:rsid w:val="006D3C80"/>
    <w:rsid w:val="006D4054"/>
    <w:rsid w:val="006D430F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58B2"/>
    <w:rsid w:val="00725B6D"/>
    <w:rsid w:val="007262C1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ABF"/>
    <w:rsid w:val="00733D92"/>
    <w:rsid w:val="0073444B"/>
    <w:rsid w:val="00734727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54BB"/>
    <w:rsid w:val="00765FD3"/>
    <w:rsid w:val="00766155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77D05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A53"/>
    <w:rsid w:val="007A5262"/>
    <w:rsid w:val="007A5D44"/>
    <w:rsid w:val="007A6B23"/>
    <w:rsid w:val="007A7CE5"/>
    <w:rsid w:val="007B10DE"/>
    <w:rsid w:val="007B1A6C"/>
    <w:rsid w:val="007B2413"/>
    <w:rsid w:val="007B4C5A"/>
    <w:rsid w:val="007B4F5A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E92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CD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BC4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B99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7579"/>
    <w:rsid w:val="008377CC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59C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0771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27BA"/>
    <w:rsid w:val="00913B37"/>
    <w:rsid w:val="00914B36"/>
    <w:rsid w:val="00915F93"/>
    <w:rsid w:val="0091606D"/>
    <w:rsid w:val="00916593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97FA1"/>
    <w:rsid w:val="009A06B2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4DA2"/>
    <w:rsid w:val="009D5D6A"/>
    <w:rsid w:val="009D6FE2"/>
    <w:rsid w:val="009E0996"/>
    <w:rsid w:val="009E10BE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4DAF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528B"/>
    <w:rsid w:val="00A55512"/>
    <w:rsid w:val="00A55589"/>
    <w:rsid w:val="00A563F2"/>
    <w:rsid w:val="00A566E8"/>
    <w:rsid w:val="00A60261"/>
    <w:rsid w:val="00A622CB"/>
    <w:rsid w:val="00A63E05"/>
    <w:rsid w:val="00A63EA5"/>
    <w:rsid w:val="00A646AE"/>
    <w:rsid w:val="00A64EDE"/>
    <w:rsid w:val="00A6504B"/>
    <w:rsid w:val="00A665CE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3132"/>
    <w:rsid w:val="00AA4694"/>
    <w:rsid w:val="00AA4EA0"/>
    <w:rsid w:val="00AA5767"/>
    <w:rsid w:val="00AA6BF6"/>
    <w:rsid w:val="00AA6F55"/>
    <w:rsid w:val="00AA710D"/>
    <w:rsid w:val="00AA7242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11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71C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831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3136"/>
    <w:rsid w:val="00B9508C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4D07"/>
    <w:rsid w:val="00C15259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A8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B1B90"/>
    <w:rsid w:val="00CB1D64"/>
    <w:rsid w:val="00CB1FA3"/>
    <w:rsid w:val="00CB397A"/>
    <w:rsid w:val="00CB47B9"/>
    <w:rsid w:val="00CB4974"/>
    <w:rsid w:val="00CB51BB"/>
    <w:rsid w:val="00CB568E"/>
    <w:rsid w:val="00CB67F3"/>
    <w:rsid w:val="00CB694F"/>
    <w:rsid w:val="00CB7068"/>
    <w:rsid w:val="00CB72D2"/>
    <w:rsid w:val="00CB7CBB"/>
    <w:rsid w:val="00CC23F0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323D"/>
    <w:rsid w:val="00CD344C"/>
    <w:rsid w:val="00CD58B7"/>
    <w:rsid w:val="00CD66A4"/>
    <w:rsid w:val="00CE0430"/>
    <w:rsid w:val="00CE15B1"/>
    <w:rsid w:val="00CE40E1"/>
    <w:rsid w:val="00CE4FF0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2A2C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DC5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0BBF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25A6"/>
    <w:rsid w:val="00ED3690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F00351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11D3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7305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72C"/>
    <w:rsid w:val="00FE39D8"/>
    <w:rsid w:val="00FE3DCC"/>
    <w:rsid w:val="00FE4641"/>
    <w:rsid w:val="00FE7193"/>
    <w:rsid w:val="00FE7552"/>
    <w:rsid w:val="00FE7997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Arkusz1!$B$77:$C$124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Arkusz1!$D$77:$D$124</c:f>
              <c:numCache>
                <c:formatCode>General</c:formatCode>
                <c:ptCount val="48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  <c:pt idx="45">
                  <c:v>97.7</c:v>
                </c:pt>
                <c:pt idx="46">
                  <c:v>94.7</c:v>
                </c:pt>
                <c:pt idx="47">
                  <c:v>99.2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2098611168"/>
        <c:axId val="-2098607904"/>
      </c:barChart>
      <c:catAx>
        <c:axId val="-20986111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209860790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2098607904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9861116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952494061757718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3.780718336483932E-3"/>
                  <c:y val="2.215572222118403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92,1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228103339634532E-2"/>
                      <c:h val="7.8451381225802835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2"/>
              <c:layout>
                <c:manualLayout>
                  <c:x val="2.5204788909892416E-3"/>
                  <c:y val="-9.50081358595021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5204788909891957E-3"/>
                  <c:y val="-5.0805169543829904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2.5205781224415984E-3"/>
                  <c:y val="6.960742140011574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154478563525482E-2"/>
                      <c:h val="8.04357828193090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rodz_dział_miesiąc!$CA$4:$CA$11</c:f>
              <c:numCache>
                <c:formatCode>0.0</c:formatCode>
                <c:ptCount val="8"/>
                <c:pt idx="0">
                  <c:v>92.1</c:v>
                </c:pt>
                <c:pt idx="1">
                  <c:v>89.7</c:v>
                </c:pt>
                <c:pt idx="2">
                  <c:v>100.7</c:v>
                </c:pt>
                <c:pt idx="3">
                  <c:v>99.1</c:v>
                </c:pt>
                <c:pt idx="4">
                  <c:v>89.1</c:v>
                </c:pt>
                <c:pt idx="5">
                  <c:v>103.5</c:v>
                </c:pt>
                <c:pt idx="6">
                  <c:v>97.8</c:v>
                </c:pt>
                <c:pt idx="7">
                  <c:v>90.6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2098607360"/>
        <c:axId val="-2098605728"/>
      </c:barChart>
      <c:catAx>
        <c:axId val="-20986073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9860572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2098605728"/>
        <c:scaling>
          <c:orientation val="minMax"/>
          <c:max val="11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9860736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3.718854592785422E-2"/>
                  <c:y val="1.3483146067415731E-2"/>
                </c:manualLayout>
              </c:layout>
              <c:tx>
                <c:rich>
                  <a:bodyPr/>
                  <a:lstStyle/>
                  <a:p>
                    <a:fld id="{8A2D3D8D-BFEC-4557-8E4D-76B3F4343B90}" type="VALUE">
                      <a:rPr lang="en-US" sz="800" baseline="0">
                        <a:solidFill>
                          <a:srgbClr val="001D77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  <c:pt idx="93">
                  <c:v>130.19999999999999</c:v>
                </c:pt>
                <c:pt idx="94">
                  <c:v>123.3</c:v>
                </c:pt>
                <c:pt idx="95">
                  <c:v>147.5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2.7271600347093094E-2"/>
                  <c:y val="8.5393258426966295E-2"/>
                </c:manualLayout>
              </c:layout>
              <c:tx>
                <c:rich>
                  <a:bodyPr/>
                  <a:lstStyle/>
                  <a:p>
                    <a:fld id="{E19ECB2D-16DF-4120-8A19-3693191A5DEF}" type="VALUE">
                      <a:rPr lang="en-US" sz="800" baseline="0">
                        <a:solidFill>
                          <a:srgbClr val="339D68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  <c:pt idx="93">
                  <c:v>125.5</c:v>
                </c:pt>
                <c:pt idx="94">
                  <c:v>124.7</c:v>
                </c:pt>
                <c:pt idx="95">
                  <c:v>127.7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99309344"/>
        <c:axId val="-2032491040"/>
      </c:lineChart>
      <c:catAx>
        <c:axId val="-2099309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32491040"/>
        <c:crosses val="autoZero"/>
        <c:auto val="1"/>
        <c:lblAlgn val="ctr"/>
        <c:lblOffset val="100"/>
        <c:tickMarkSkip val="12"/>
        <c:noMultiLvlLbl val="0"/>
      </c:catAx>
      <c:valAx>
        <c:axId val="-203249104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9930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0.3793</cdr:x>
      <cdr:y>0.12732</cdr:y>
    </cdr:from>
    <cdr:to>
      <cdr:x>0.54948</cdr:x>
      <cdr:y>0.24703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911185" y="340360"/>
          <a:ext cx="857491" cy="3200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99,2</a:t>
          </a:r>
        </a:p>
      </cdr:txBody>
    </cdr:sp>
  </cdr:relSizeAnchor>
  <cdr:relSizeAnchor xmlns:cdr="http://schemas.openxmlformats.org/drawingml/2006/chartDrawing">
    <cdr:from>
      <cdr:x>0.40616</cdr:x>
      <cdr:y>0.23183</cdr:y>
    </cdr:from>
    <cdr:to>
      <cdr:x>0.44965</cdr:x>
      <cdr:y>0.32394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046528" y="619760"/>
          <a:ext cx="219151" cy="2462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0.06129</cdr:x>
      <cdr:y>0.33152</cdr:y>
    </cdr:from>
    <cdr:to>
      <cdr:x>1</cdr:x>
      <cdr:y>0.33152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8823" y="886269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2EED2-DB84-4C33-9D53-0F199C60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Biernat Jolanta</cp:lastModifiedBy>
  <cp:revision>9</cp:revision>
  <cp:lastPrinted>2020-11-20T12:47:00Z</cp:lastPrinted>
  <dcterms:created xsi:type="dcterms:W3CDTF">2021-01-21T08:39:00Z</dcterms:created>
  <dcterms:modified xsi:type="dcterms:W3CDTF">2021-01-21T10:33:00Z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