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FD11D4" w:rsidRDefault="00685123" w:rsidP="00685123">
      <w:pPr>
        <w:pStyle w:val="tytuinformacji"/>
      </w:pPr>
      <w:r w:rsidRPr="00FD11D4">
        <w:t>Wskaźniki cen towarów i usług konsumpcyjnych w</w:t>
      </w:r>
      <w:r w:rsidR="000B0BF7">
        <w:t>e</w:t>
      </w:r>
      <w:r w:rsidRPr="00FD11D4">
        <w:t> </w:t>
      </w:r>
      <w:r w:rsidR="000B0BF7">
        <w:t>wrześniu</w:t>
      </w:r>
      <w:r w:rsidR="007C161B" w:rsidRPr="00FD11D4">
        <w:t xml:space="preserve"> 2021</w:t>
      </w:r>
      <w:r w:rsidR="00EE696D" w:rsidRPr="00FD11D4">
        <w:t xml:space="preserve"> r.</w:t>
      </w:r>
    </w:p>
    <w:p w:rsidR="00AD4947" w:rsidRPr="00FD11D4" w:rsidRDefault="00AD4947" w:rsidP="00AD4947">
      <w:pPr>
        <w:pStyle w:val="tytuinformacji"/>
        <w:rPr>
          <w:sz w:val="32"/>
          <w:szCs w:val="32"/>
        </w:rPr>
      </w:pPr>
    </w:p>
    <w:p w:rsidR="00B37F5A" w:rsidRPr="00FD11D4" w:rsidRDefault="009E3F12" w:rsidP="00B37F5A">
      <w:pPr>
        <w:pStyle w:val="LID"/>
        <w:spacing w:after="0"/>
        <w:rPr>
          <w:lang w:eastAsia="en-GB"/>
        </w:rPr>
      </w:pPr>
      <w:r w:rsidRPr="00FD11D4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111E2CA" wp14:editId="66363F10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0C9" w:rsidRPr="00D538E4" w:rsidRDefault="000360C9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1C201512" wp14:editId="15D51062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5,9%</w:t>
                            </w:r>
                          </w:p>
                          <w:p w:rsidR="000360C9" w:rsidRDefault="000360C9" w:rsidP="00B37F5A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0360C9" w:rsidRDefault="000360C9" w:rsidP="00B37F5A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0360C9" w:rsidRPr="00D538E4" w:rsidRDefault="000360C9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0360C9" w:rsidRPr="00D538E4" w:rsidRDefault="000360C9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1C201512" wp14:editId="15D51062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5,9%</w:t>
                      </w:r>
                    </w:p>
                    <w:p w:rsidR="000360C9" w:rsidRDefault="000360C9" w:rsidP="00B37F5A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0360C9" w:rsidRDefault="000360C9" w:rsidP="00B37F5A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0360C9" w:rsidRPr="00D538E4" w:rsidRDefault="000360C9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5A" w:rsidRPr="00FD11D4">
        <w:rPr>
          <w:lang w:eastAsia="en-GB"/>
        </w:rPr>
        <w:t xml:space="preserve">Ceny towarów i </w:t>
      </w:r>
      <w:r w:rsidR="000B0BF7">
        <w:rPr>
          <w:lang w:eastAsia="en-GB"/>
        </w:rPr>
        <w:t>usług konsumpcyjnych we wrześniu</w:t>
      </w:r>
      <w:r w:rsidR="00B50A80" w:rsidRPr="00FD11D4">
        <w:rPr>
          <w:lang w:eastAsia="en-GB"/>
        </w:rPr>
        <w:t xml:space="preserve"> </w:t>
      </w:r>
      <w:r w:rsidR="000B0BF7">
        <w:rPr>
          <w:lang w:eastAsia="en-GB"/>
        </w:rPr>
        <w:br/>
      </w:r>
      <w:r w:rsidR="007C161B" w:rsidRPr="00FD11D4">
        <w:rPr>
          <w:lang w:eastAsia="en-GB"/>
        </w:rPr>
        <w:t>2021</w:t>
      </w:r>
      <w:r w:rsidR="00B37F5A" w:rsidRPr="00FD11D4">
        <w:rPr>
          <w:lang w:eastAsia="en-GB"/>
        </w:rPr>
        <w:t xml:space="preserve"> r. w porównaniu z analogiczny</w:t>
      </w:r>
      <w:r w:rsidR="009A1431" w:rsidRPr="00FD11D4">
        <w:rPr>
          <w:lang w:eastAsia="en-GB"/>
        </w:rPr>
        <w:t xml:space="preserve">m miesiącem ub. roku </w:t>
      </w:r>
      <w:r w:rsidR="00BC50F0" w:rsidRPr="00FD11D4">
        <w:rPr>
          <w:lang w:eastAsia="en-GB"/>
        </w:rPr>
        <w:t xml:space="preserve">wzrosły o </w:t>
      </w:r>
      <w:r w:rsidR="00163DB5">
        <w:rPr>
          <w:lang w:eastAsia="en-GB"/>
        </w:rPr>
        <w:t>5,9</w:t>
      </w:r>
      <w:r w:rsidR="00B37F5A" w:rsidRPr="00FD11D4">
        <w:rPr>
          <w:lang w:eastAsia="en-GB"/>
        </w:rPr>
        <w:t>% (przy wzroście ce</w:t>
      </w:r>
      <w:r w:rsidR="005C5EF8" w:rsidRPr="00FD11D4">
        <w:rPr>
          <w:lang w:eastAsia="en-GB"/>
        </w:rPr>
        <w:t>n usług – o 6,</w:t>
      </w:r>
      <w:r w:rsidR="00174616">
        <w:rPr>
          <w:lang w:eastAsia="en-GB"/>
        </w:rPr>
        <w:t>6</w:t>
      </w:r>
      <w:r w:rsidR="009A1431" w:rsidRPr="00FD11D4">
        <w:rPr>
          <w:lang w:eastAsia="en-GB"/>
        </w:rPr>
        <w:t xml:space="preserve">% </w:t>
      </w:r>
      <w:r w:rsidR="005C5EF8" w:rsidRPr="00FD11D4">
        <w:rPr>
          <w:lang w:eastAsia="en-GB"/>
        </w:rPr>
        <w:t>i </w:t>
      </w:r>
      <w:r w:rsidR="00B97175">
        <w:rPr>
          <w:lang w:eastAsia="en-GB"/>
        </w:rPr>
        <w:t>towarów – o 5,6</w:t>
      </w:r>
      <w:r w:rsidR="00B37F5A" w:rsidRPr="00FD11D4">
        <w:rPr>
          <w:lang w:eastAsia="en-GB"/>
        </w:rPr>
        <w:t>%).</w:t>
      </w:r>
    </w:p>
    <w:p w:rsidR="00370D51" w:rsidRPr="00FD11D4" w:rsidRDefault="00B37F5A" w:rsidP="00B37F5A">
      <w:pPr>
        <w:pStyle w:val="LID"/>
        <w:spacing w:before="0" w:after="0"/>
        <w:rPr>
          <w:lang w:eastAsia="en-GB"/>
        </w:rPr>
      </w:pPr>
      <w:r w:rsidRPr="00FD11D4">
        <w:rPr>
          <w:lang w:eastAsia="en-GB"/>
        </w:rPr>
        <w:t>W stosunku do poprzedniego miesiąca ce</w:t>
      </w:r>
      <w:r w:rsidR="005C5EF8" w:rsidRPr="00FD11D4">
        <w:rPr>
          <w:lang w:eastAsia="en-GB"/>
        </w:rPr>
        <w:t>ny towarów i </w:t>
      </w:r>
      <w:r w:rsidRPr="00FD11D4">
        <w:rPr>
          <w:lang w:eastAsia="en-GB"/>
        </w:rPr>
        <w:t xml:space="preserve">usług </w:t>
      </w:r>
      <w:r w:rsidR="00163DB5">
        <w:rPr>
          <w:lang w:eastAsia="en-GB"/>
        </w:rPr>
        <w:t>wzrosły o 0,7</w:t>
      </w:r>
      <w:r w:rsidRPr="00FD11D4">
        <w:rPr>
          <w:lang w:eastAsia="en-GB"/>
        </w:rPr>
        <w:t>% (</w:t>
      </w:r>
      <w:r w:rsidR="00B97175">
        <w:rPr>
          <w:lang w:eastAsia="en-GB"/>
        </w:rPr>
        <w:t xml:space="preserve">w tym </w:t>
      </w:r>
      <w:r w:rsidR="00163DB5">
        <w:rPr>
          <w:lang w:eastAsia="en-GB"/>
        </w:rPr>
        <w:t>usług – o 0,8</w:t>
      </w:r>
      <w:r w:rsidR="00C07C7D">
        <w:rPr>
          <w:lang w:eastAsia="en-GB"/>
        </w:rPr>
        <w:t>% i towarów</w:t>
      </w:r>
      <w:r w:rsidR="009A1431" w:rsidRPr="00FD11D4">
        <w:rPr>
          <w:lang w:eastAsia="en-GB"/>
        </w:rPr>
        <w:t xml:space="preserve"> </w:t>
      </w:r>
      <w:r w:rsidR="00B97175">
        <w:rPr>
          <w:lang w:eastAsia="en-GB"/>
        </w:rPr>
        <w:br/>
        <w:t>– o 0,6</w:t>
      </w:r>
      <w:r w:rsidR="00BC50F0" w:rsidRPr="00FD11D4">
        <w:rPr>
          <w:lang w:eastAsia="en-GB"/>
        </w:rPr>
        <w:t>%).</w:t>
      </w:r>
    </w:p>
    <w:p w:rsidR="00370D51" w:rsidRPr="00FD11D4" w:rsidRDefault="00370D51" w:rsidP="00370D51">
      <w:pPr>
        <w:pStyle w:val="LID"/>
        <w:spacing w:before="0" w:after="0"/>
      </w:pPr>
    </w:p>
    <w:p w:rsidR="00370D51" w:rsidRPr="00FD11D4" w:rsidRDefault="00370D51" w:rsidP="00370D51">
      <w:pPr>
        <w:pStyle w:val="LID"/>
        <w:spacing w:before="0" w:after="0"/>
      </w:pPr>
    </w:p>
    <w:p w:rsidR="009E3F12" w:rsidRPr="00FD11D4" w:rsidRDefault="009E3F12" w:rsidP="00164CEA">
      <w:pPr>
        <w:spacing w:before="0" w:after="100"/>
        <w:rPr>
          <w:highlight w:val="yellow"/>
        </w:rPr>
      </w:pPr>
    </w:p>
    <w:p w:rsidR="00C27D75" w:rsidRPr="00FD11D4" w:rsidRDefault="00AD4947" w:rsidP="00260F39">
      <w:pPr>
        <w:pStyle w:val="tytuwykresu"/>
        <w:spacing w:after="0"/>
        <w:rPr>
          <w:bCs/>
          <w:shd w:val="clear" w:color="auto" w:fill="FFFFFF"/>
        </w:rPr>
      </w:pPr>
      <w:r w:rsidRPr="00FD11D4">
        <w:t>Tablica 1.</w:t>
      </w:r>
      <w:r w:rsidRPr="00FD11D4">
        <w:rPr>
          <w:shd w:val="clear" w:color="auto" w:fill="FFFFFF"/>
        </w:rPr>
        <w:t xml:space="preserve"> </w:t>
      </w:r>
      <w:r w:rsidRPr="00FD11D4">
        <w:rPr>
          <w:bCs/>
          <w:shd w:val="clear" w:color="auto" w:fill="FFFFFF"/>
        </w:rPr>
        <w:t>Wskaźniki cen towarów i usług konsumpcyjnych w</w:t>
      </w:r>
      <w:r w:rsidR="0050612B">
        <w:rPr>
          <w:bCs/>
          <w:shd w:val="clear" w:color="auto" w:fill="FFFFFF"/>
        </w:rPr>
        <w:t>e</w:t>
      </w:r>
      <w:r w:rsidRPr="00FD11D4">
        <w:rPr>
          <w:bCs/>
          <w:shd w:val="clear" w:color="auto" w:fill="FFFFFF"/>
        </w:rPr>
        <w:t xml:space="preserve"> </w:t>
      </w:r>
      <w:r w:rsidR="0050612B">
        <w:rPr>
          <w:bCs/>
          <w:shd w:val="clear" w:color="auto" w:fill="FFFFFF"/>
        </w:rPr>
        <w:t>wrześniu</w:t>
      </w:r>
      <w:r w:rsidR="00260F39" w:rsidRPr="00FD11D4">
        <w:rPr>
          <w:bCs/>
          <w:shd w:val="clear" w:color="auto" w:fill="FFFFFF"/>
        </w:rPr>
        <w:t xml:space="preserve"> </w:t>
      </w:r>
      <w:r w:rsidR="007C161B" w:rsidRPr="00FD11D4">
        <w:t>2021</w:t>
      </w:r>
      <w:r w:rsidRPr="00FD11D4">
        <w:t> </w:t>
      </w:r>
      <w:r w:rsidRPr="00FD11D4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851"/>
        <w:gridCol w:w="850"/>
        <w:gridCol w:w="779"/>
        <w:gridCol w:w="780"/>
        <w:gridCol w:w="1083"/>
        <w:gridCol w:w="855"/>
      </w:tblGrid>
      <w:tr w:rsidR="006C7F66" w:rsidRPr="00FD11D4" w:rsidTr="001F2320">
        <w:trPr>
          <w:cantSplit/>
          <w:trHeight w:val="367"/>
        </w:trPr>
        <w:tc>
          <w:tcPr>
            <w:tcW w:w="2235" w:type="dxa"/>
            <w:vMerge w:val="restart"/>
            <w:vAlign w:val="center"/>
          </w:tcPr>
          <w:p w:rsidR="006C7F66" w:rsidRPr="00FD11D4" w:rsidRDefault="006C7F66" w:rsidP="008840FA">
            <w:pPr>
              <w:keepNext/>
              <w:tabs>
                <w:tab w:val="right" w:leader="dot" w:pos="4139"/>
              </w:tabs>
              <w:spacing w:before="6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551" w:type="dxa"/>
            <w:gridSpan w:val="3"/>
            <w:vAlign w:val="center"/>
          </w:tcPr>
          <w:p w:rsidR="006C7F66" w:rsidRPr="008840FA" w:rsidRDefault="006C7F66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40F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09 2021</w:t>
            </w:r>
          </w:p>
        </w:tc>
        <w:tc>
          <w:tcPr>
            <w:tcW w:w="1559" w:type="dxa"/>
            <w:gridSpan w:val="2"/>
          </w:tcPr>
          <w:p w:rsidR="006C7F66" w:rsidRPr="008840FA" w:rsidRDefault="006C7F66" w:rsidP="004A5B48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3 kw. 2021</w:t>
            </w:r>
          </w:p>
        </w:tc>
        <w:tc>
          <w:tcPr>
            <w:tcW w:w="1083" w:type="dxa"/>
          </w:tcPr>
          <w:p w:rsidR="006C7F66" w:rsidRPr="008840FA" w:rsidRDefault="006C7F66" w:rsidP="004A5B48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01-09 2021</w:t>
            </w:r>
          </w:p>
        </w:tc>
        <w:tc>
          <w:tcPr>
            <w:tcW w:w="855" w:type="dxa"/>
            <w:vMerge w:val="restart"/>
            <w:vAlign w:val="center"/>
          </w:tcPr>
          <w:p w:rsidR="006C7F66" w:rsidRPr="008840FA" w:rsidRDefault="006C7F66" w:rsidP="00AF6AEA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40FA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6C7F66" w:rsidRPr="008840FA" w:rsidRDefault="006C7F66" w:rsidP="008840FA">
            <w:pPr>
              <w:keepNext/>
              <w:tabs>
                <w:tab w:val="right" w:leader="dot" w:pos="4139"/>
              </w:tabs>
              <w:spacing w:before="6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40FA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08 2021=</w:t>
            </w:r>
            <w:r w:rsidRPr="008840FA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1F2320" w:rsidRPr="00FD11D4" w:rsidTr="001F2320">
        <w:trPr>
          <w:cantSplit/>
          <w:trHeight w:val="588"/>
        </w:trPr>
        <w:tc>
          <w:tcPr>
            <w:tcW w:w="2235" w:type="dxa"/>
            <w:vMerge/>
            <w:tcBorders>
              <w:bottom w:val="single" w:sz="12" w:space="0" w:color="212492"/>
            </w:tcBorders>
            <w:vAlign w:val="center"/>
          </w:tcPr>
          <w:p w:rsidR="000360C9" w:rsidRPr="00FD11D4" w:rsidRDefault="000360C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0360C9" w:rsidRPr="008840FA" w:rsidRDefault="000360C9" w:rsidP="00D51212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40F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09 2020=</w:t>
            </w:r>
            <w:r w:rsidRPr="008840F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0360C9" w:rsidRPr="008840FA" w:rsidRDefault="000360C9" w:rsidP="00D51212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40F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 2020=</w:t>
            </w:r>
            <w:r w:rsidRPr="008840F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0360C9" w:rsidRPr="008840FA" w:rsidRDefault="000360C9" w:rsidP="00D51212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840F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08 2021=</w:t>
            </w:r>
            <w:r w:rsidRPr="008840F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779" w:type="dxa"/>
            <w:tcBorders>
              <w:bottom w:val="single" w:sz="12" w:space="0" w:color="212492"/>
            </w:tcBorders>
            <w:vAlign w:val="center"/>
          </w:tcPr>
          <w:p w:rsidR="000360C9" w:rsidRPr="008840FA" w:rsidRDefault="006C7F66" w:rsidP="00D51212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3 </w:t>
            </w: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kw. 2020</w:t>
            </w:r>
          </w:p>
        </w:tc>
        <w:tc>
          <w:tcPr>
            <w:tcW w:w="780" w:type="dxa"/>
            <w:tcBorders>
              <w:bottom w:val="single" w:sz="12" w:space="0" w:color="212492"/>
            </w:tcBorders>
            <w:vAlign w:val="center"/>
          </w:tcPr>
          <w:p w:rsidR="000360C9" w:rsidRPr="008840FA" w:rsidRDefault="006C7F66" w:rsidP="00D51212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kw. 202</w:t>
            </w:r>
            <w:r w:rsidR="001F232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3" w:type="dxa"/>
            <w:tcBorders>
              <w:bottom w:val="single" w:sz="12" w:space="0" w:color="212492"/>
            </w:tcBorders>
            <w:vAlign w:val="center"/>
          </w:tcPr>
          <w:p w:rsidR="000360C9" w:rsidRPr="008840FA" w:rsidRDefault="000360C9" w:rsidP="00D51212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01-09 2020=</w:t>
            </w: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5" w:type="dxa"/>
            <w:vMerge/>
            <w:tcBorders>
              <w:bottom w:val="single" w:sz="12" w:space="0" w:color="212492"/>
            </w:tcBorders>
            <w:vAlign w:val="center"/>
          </w:tcPr>
          <w:p w:rsidR="000360C9" w:rsidRPr="008840FA" w:rsidRDefault="000360C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1AB5" w:rsidRPr="00FD11D4" w:rsidRDefault="00981AB5" w:rsidP="008840FA">
            <w:pPr>
              <w:keepNext/>
              <w:keepLines/>
              <w:tabs>
                <w:tab w:val="right" w:leader="dot" w:pos="4156"/>
              </w:tabs>
              <w:spacing w:before="0" w:after="0" w:line="200" w:lineRule="exact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  <w:rPr>
                <w:b/>
              </w:rPr>
            </w:pPr>
            <w:r w:rsidRPr="004A397A">
              <w:rPr>
                <w:b/>
              </w:rPr>
              <w:t>105,9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  <w:rPr>
                <w:b/>
              </w:rPr>
            </w:pPr>
            <w:r w:rsidRPr="004A397A">
              <w:rPr>
                <w:b/>
              </w:rPr>
              <w:t>105,5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1AB5" w:rsidRDefault="00981AB5" w:rsidP="008840FA">
            <w:pPr>
              <w:spacing w:line="200" w:lineRule="exact"/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4A397A">
              <w:rPr>
                <w:b/>
              </w:rPr>
              <w:t>100,7</w:t>
            </w:r>
          </w:p>
        </w:tc>
        <w:tc>
          <w:tcPr>
            <w:tcW w:w="77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1AB5" w:rsidRPr="00981AB5" w:rsidRDefault="00981AB5" w:rsidP="00981AB5">
            <w:pPr>
              <w:jc w:val="right"/>
              <w:rPr>
                <w:b/>
              </w:rPr>
            </w:pPr>
            <w:r w:rsidRPr="00981AB5">
              <w:rPr>
                <w:b/>
              </w:rPr>
              <w:t>105,4</w:t>
            </w:r>
          </w:p>
        </w:tc>
        <w:tc>
          <w:tcPr>
            <w:tcW w:w="78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1AB5" w:rsidRPr="00981AB5" w:rsidRDefault="00981AB5" w:rsidP="00981AB5">
            <w:pPr>
              <w:jc w:val="right"/>
              <w:rPr>
                <w:b/>
              </w:rPr>
            </w:pPr>
            <w:r w:rsidRPr="00981AB5">
              <w:rPr>
                <w:b/>
              </w:rPr>
              <w:t>101,0</w:t>
            </w:r>
          </w:p>
        </w:tc>
        <w:tc>
          <w:tcPr>
            <w:tcW w:w="108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1AB5" w:rsidRDefault="00981AB5" w:rsidP="008840FA">
            <w:pPr>
              <w:spacing w:line="200" w:lineRule="exact"/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7D3EDC">
              <w:rPr>
                <w:b/>
              </w:rPr>
              <w:t>104,2</w:t>
            </w:r>
          </w:p>
        </w:tc>
        <w:tc>
          <w:tcPr>
            <w:tcW w:w="85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1AB5" w:rsidRPr="00FD11D4" w:rsidRDefault="00981AB5" w:rsidP="008840FA">
            <w:pPr>
              <w:spacing w:line="20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FD11D4" w:rsidRDefault="00981AB5" w:rsidP="008840FA">
            <w:pPr>
              <w:keepNext/>
              <w:keepLines/>
              <w:tabs>
                <w:tab w:val="right" w:leader="dot" w:pos="4156"/>
              </w:tabs>
              <w:spacing w:before="0" w:after="0" w:line="200" w:lineRule="exact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104,4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104,5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100,1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A03C3B" w:rsidRDefault="00981AB5" w:rsidP="00981AB5">
            <w:pPr>
              <w:jc w:val="right"/>
            </w:pPr>
            <w:r w:rsidRPr="00A03C3B">
              <w:t>103,8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62449" w:rsidRDefault="00981AB5" w:rsidP="00981AB5">
            <w:pPr>
              <w:jc w:val="right"/>
            </w:pPr>
            <w:r w:rsidRPr="00762449">
              <w:t>99,8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102,0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0,03</w:t>
            </w: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FD11D4" w:rsidRDefault="00981AB5" w:rsidP="008840FA">
            <w:pPr>
              <w:keepNext/>
              <w:keepLines/>
              <w:tabs>
                <w:tab w:val="right" w:leader="dot" w:pos="4156"/>
              </w:tabs>
              <w:spacing w:before="0" w:after="0" w:line="200" w:lineRule="exact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102,1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102,1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100,1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A03C3B" w:rsidRDefault="00981AB5" w:rsidP="00981AB5">
            <w:pPr>
              <w:jc w:val="right"/>
            </w:pPr>
            <w:r w:rsidRPr="00A03C3B">
              <w:t>101,8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62449" w:rsidRDefault="00981AB5" w:rsidP="00981AB5">
            <w:pPr>
              <w:jc w:val="right"/>
            </w:pPr>
            <w:r w:rsidRPr="00762449">
              <w:t>100,4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102,0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0,01</w:t>
            </w: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FD11D4" w:rsidRDefault="00981AB5" w:rsidP="008840FA">
            <w:pPr>
              <w:tabs>
                <w:tab w:val="right" w:leader="dot" w:pos="4156"/>
              </w:tabs>
              <w:spacing w:line="20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100,5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100,2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103,1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A03C3B" w:rsidRDefault="00981AB5" w:rsidP="00981AB5">
            <w:pPr>
              <w:jc w:val="right"/>
            </w:pPr>
            <w:r w:rsidRPr="00A03C3B">
              <w:t>99,9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62449" w:rsidRDefault="00981AB5" w:rsidP="00981AB5">
            <w:pPr>
              <w:jc w:val="right"/>
            </w:pPr>
            <w:r w:rsidRPr="00762449">
              <w:t>97,1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99,1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0,12</w:t>
            </w: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FD11D4" w:rsidRDefault="00981AB5" w:rsidP="008840FA">
            <w:pPr>
              <w:keepNext/>
              <w:keepLines/>
              <w:tabs>
                <w:tab w:val="right" w:leader="dot" w:pos="4156"/>
              </w:tabs>
              <w:spacing w:before="0" w:after="0" w:line="200" w:lineRule="exact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</w:t>
            </w: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</w:t>
            </w: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gii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107,2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106,4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100,6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A03C3B" w:rsidRDefault="00981AB5" w:rsidP="00981AB5">
            <w:pPr>
              <w:jc w:val="right"/>
            </w:pPr>
            <w:r w:rsidRPr="00A03C3B">
              <w:t>106,8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62449" w:rsidRDefault="00981AB5" w:rsidP="00981AB5">
            <w:pPr>
              <w:jc w:val="right"/>
            </w:pPr>
            <w:r w:rsidRPr="00762449">
              <w:t>101,3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106,4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0,13</w:t>
            </w: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FD11D4" w:rsidRDefault="00981AB5" w:rsidP="008840FA">
            <w:pPr>
              <w:tabs>
                <w:tab w:val="right" w:leader="dot" w:pos="4156"/>
              </w:tabs>
              <w:spacing w:before="0" w:after="40" w:line="200" w:lineRule="exact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gospoda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stwa domowego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103,8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103,4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100,7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A03C3B" w:rsidRDefault="00981AB5" w:rsidP="00981AB5">
            <w:pPr>
              <w:jc w:val="right"/>
            </w:pPr>
            <w:r w:rsidRPr="00A03C3B">
              <w:t>103,5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62449" w:rsidRDefault="00981AB5" w:rsidP="00981AB5">
            <w:pPr>
              <w:jc w:val="right"/>
            </w:pPr>
            <w:r w:rsidRPr="00762449">
              <w:t>101,3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102,7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0,04</w:t>
            </w: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FD11D4" w:rsidRDefault="00981AB5" w:rsidP="008840FA">
            <w:pPr>
              <w:tabs>
                <w:tab w:val="right" w:leader="dot" w:pos="4156"/>
              </w:tabs>
              <w:spacing w:line="200" w:lineRule="exact"/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103,1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102,9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100,4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A03C3B" w:rsidRDefault="00981AB5" w:rsidP="00981AB5">
            <w:pPr>
              <w:jc w:val="right"/>
            </w:pPr>
            <w:r w:rsidRPr="00A03C3B">
              <w:t>103,0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62449" w:rsidRDefault="00981AB5" w:rsidP="00981AB5">
            <w:pPr>
              <w:jc w:val="right"/>
            </w:pPr>
            <w:r w:rsidRPr="00762449">
              <w:t>101,3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103,3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0,02</w:t>
            </w: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FD11D4" w:rsidRDefault="00981AB5" w:rsidP="008840FA">
            <w:pPr>
              <w:tabs>
                <w:tab w:val="right" w:leader="dot" w:pos="4156"/>
              </w:tabs>
              <w:spacing w:line="200" w:lineRule="exact"/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118,5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116,9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101,2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A03C3B" w:rsidRDefault="00981AB5" w:rsidP="00981AB5">
            <w:pPr>
              <w:jc w:val="right"/>
            </w:pPr>
            <w:r w:rsidRPr="00A03C3B">
              <w:t>118,3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62449" w:rsidRDefault="00981AB5" w:rsidP="00981AB5">
            <w:pPr>
              <w:jc w:val="right"/>
            </w:pPr>
            <w:r w:rsidRPr="00762449">
              <w:t>104,7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111,5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0,12</w:t>
            </w: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FD11D4" w:rsidRDefault="00981AB5" w:rsidP="008840FA">
            <w:pPr>
              <w:tabs>
                <w:tab w:val="right" w:leader="dot" w:pos="4156"/>
              </w:tabs>
              <w:spacing w:line="200" w:lineRule="exact"/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105,3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106,0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102,3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A03C3B" w:rsidRDefault="00981AB5" w:rsidP="00981AB5">
            <w:pPr>
              <w:jc w:val="right"/>
            </w:pPr>
            <w:r w:rsidRPr="00A03C3B">
              <w:t>104,4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62449" w:rsidRDefault="00981AB5" w:rsidP="00981AB5">
            <w:pPr>
              <w:jc w:val="right"/>
            </w:pPr>
            <w:r w:rsidRPr="00762449">
              <w:t>100,6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105,5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0,12</w:t>
            </w: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FD11D4" w:rsidRDefault="00981AB5" w:rsidP="008840FA">
            <w:pPr>
              <w:tabs>
                <w:tab w:val="right" w:leader="dot" w:pos="4156"/>
              </w:tabs>
              <w:spacing w:line="200" w:lineRule="exact"/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104,8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104,5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100,0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A03C3B" w:rsidRDefault="00981AB5" w:rsidP="00981AB5">
            <w:pPr>
              <w:jc w:val="right"/>
            </w:pPr>
            <w:r w:rsidRPr="00A03C3B">
              <w:t>105,4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62449" w:rsidRDefault="00981AB5" w:rsidP="00981AB5">
            <w:pPr>
              <w:jc w:val="right"/>
            </w:pPr>
            <w:r w:rsidRPr="00762449">
              <w:t>101,7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105,0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0,00</w:t>
            </w: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FD11D4" w:rsidRDefault="00981AB5" w:rsidP="008840FA">
            <w:pPr>
              <w:tabs>
                <w:tab w:val="right" w:leader="dot" w:pos="4156"/>
              </w:tabs>
              <w:spacing w:line="200" w:lineRule="exact"/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104,3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103,0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102,0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A03C3B" w:rsidRDefault="00981AB5" w:rsidP="00981AB5">
            <w:pPr>
              <w:jc w:val="right"/>
            </w:pPr>
            <w:r w:rsidRPr="00A03C3B">
              <w:t>104,6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62449" w:rsidRDefault="00981AB5" w:rsidP="00981AB5">
            <w:pPr>
              <w:jc w:val="right"/>
            </w:pPr>
            <w:r w:rsidRPr="00762449">
              <w:t>100,8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105,2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0,02</w:t>
            </w:r>
          </w:p>
        </w:tc>
      </w:tr>
      <w:tr w:rsidR="00981AB5" w:rsidRPr="00FD11D4" w:rsidTr="00981AB5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FD11D4" w:rsidRDefault="00981AB5" w:rsidP="008840FA">
            <w:pPr>
              <w:tabs>
                <w:tab w:val="right" w:leader="dot" w:pos="4156"/>
              </w:tabs>
              <w:spacing w:line="200" w:lineRule="exact"/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107,0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105,9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100,8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A03C3B" w:rsidRDefault="00981AB5" w:rsidP="00981AB5">
            <w:pPr>
              <w:jc w:val="right"/>
            </w:pPr>
            <w:r w:rsidRPr="00A03C3B">
              <w:t>106,6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62449" w:rsidRDefault="00981AB5" w:rsidP="00981AB5">
            <w:pPr>
              <w:jc w:val="right"/>
            </w:pPr>
            <w:r w:rsidRPr="00762449">
              <w:t>102,7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105,5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0,04</w:t>
            </w:r>
          </w:p>
        </w:tc>
      </w:tr>
      <w:tr w:rsidR="00981AB5" w:rsidRPr="00FD11D4" w:rsidTr="00981AB5">
        <w:trPr>
          <w:cantSplit/>
          <w:trHeight w:val="445"/>
        </w:trPr>
        <w:tc>
          <w:tcPr>
            <w:tcW w:w="2235" w:type="dxa"/>
            <w:tcBorders>
              <w:top w:val="single" w:sz="4" w:space="0" w:color="212492"/>
              <w:bottom w:val="nil"/>
            </w:tcBorders>
            <w:vAlign w:val="center"/>
          </w:tcPr>
          <w:p w:rsidR="00981AB5" w:rsidRPr="00FD11D4" w:rsidRDefault="00981AB5" w:rsidP="008840FA">
            <w:pPr>
              <w:tabs>
                <w:tab w:val="right" w:leader="dot" w:pos="4156"/>
              </w:tabs>
              <w:spacing w:line="200" w:lineRule="exact"/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102,6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101,7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981AB5" w:rsidRPr="004A397A" w:rsidRDefault="00981AB5" w:rsidP="008840FA">
            <w:pPr>
              <w:spacing w:line="200" w:lineRule="exact"/>
              <w:jc w:val="right"/>
            </w:pPr>
            <w:r w:rsidRPr="004A397A">
              <w:t>100,3</w:t>
            </w:r>
          </w:p>
        </w:tc>
        <w:tc>
          <w:tcPr>
            <w:tcW w:w="779" w:type="dxa"/>
            <w:tcBorders>
              <w:top w:val="single" w:sz="4" w:space="0" w:color="212492"/>
              <w:bottom w:val="nil"/>
            </w:tcBorders>
            <w:vAlign w:val="center"/>
          </w:tcPr>
          <w:p w:rsidR="00981AB5" w:rsidRDefault="00981AB5" w:rsidP="00981AB5">
            <w:pPr>
              <w:jc w:val="right"/>
            </w:pPr>
            <w:r w:rsidRPr="00A03C3B">
              <w:t>101,9</w:t>
            </w:r>
          </w:p>
        </w:tc>
        <w:tc>
          <w:tcPr>
            <w:tcW w:w="780" w:type="dxa"/>
            <w:tcBorders>
              <w:top w:val="single" w:sz="4" w:space="0" w:color="212492"/>
              <w:bottom w:val="nil"/>
            </w:tcBorders>
            <w:vAlign w:val="center"/>
          </w:tcPr>
          <w:p w:rsidR="00981AB5" w:rsidRDefault="00981AB5" w:rsidP="00981AB5">
            <w:pPr>
              <w:jc w:val="right"/>
            </w:pPr>
            <w:r w:rsidRPr="00762449">
              <w:t>101,0</w:t>
            </w:r>
          </w:p>
        </w:tc>
        <w:tc>
          <w:tcPr>
            <w:tcW w:w="1083" w:type="dxa"/>
            <w:tcBorders>
              <w:top w:val="single" w:sz="4" w:space="0" w:color="212492"/>
              <w:bottom w:val="nil"/>
            </w:tcBorders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102,0</w:t>
            </w:r>
          </w:p>
        </w:tc>
        <w:tc>
          <w:tcPr>
            <w:tcW w:w="855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981AB5" w:rsidRPr="007D3EDC" w:rsidRDefault="00981AB5" w:rsidP="008840FA">
            <w:pPr>
              <w:spacing w:line="200" w:lineRule="exact"/>
              <w:jc w:val="right"/>
            </w:pPr>
            <w:r w:rsidRPr="007D3EDC">
              <w:t>0,02</w:t>
            </w:r>
          </w:p>
        </w:tc>
      </w:tr>
    </w:tbl>
    <w:p w:rsidR="00A07F00" w:rsidRPr="00FD11D4" w:rsidRDefault="00292DBF" w:rsidP="00E37F13">
      <w:pPr>
        <w:pStyle w:val="Nagwek1"/>
        <w:spacing w:before="480" w:line="240" w:lineRule="exact"/>
      </w:pPr>
      <w:r w:rsidRPr="00FD11D4">
        <w:rPr>
          <w:shd w:val="clear" w:color="auto" w:fill="FFFFFF"/>
        </w:rPr>
        <w:lastRenderedPageBreak/>
        <w:t>Wpływ</w:t>
      </w:r>
      <w:r w:rsidR="00A07F00" w:rsidRPr="00FD11D4">
        <w:rPr>
          <w:shd w:val="clear" w:color="auto" w:fill="FFFFFF"/>
        </w:rPr>
        <w:t xml:space="preserve"> zmian cen na wskaźnik</w:t>
      </w:r>
      <w:r w:rsidR="00B97152" w:rsidRPr="00FD11D4">
        <w:rPr>
          <w:shd w:val="clear" w:color="auto" w:fill="FFFFFF"/>
        </w:rPr>
        <w:t xml:space="preserve"> cen</w:t>
      </w:r>
      <w:r w:rsidR="00A07F00" w:rsidRPr="00FD11D4">
        <w:rPr>
          <w:shd w:val="clear" w:color="auto" w:fill="FFFFFF"/>
        </w:rPr>
        <w:t xml:space="preserve"> towarów i usług konsumpcyjnych ogółem</w:t>
      </w:r>
    </w:p>
    <w:p w:rsidR="00C23F3B" w:rsidRPr="00556BF8" w:rsidRDefault="00A07F00" w:rsidP="00C23F3B">
      <w:pPr>
        <w:spacing w:before="0" w:after="0"/>
      </w:pPr>
      <w:r w:rsidRPr="00556BF8">
        <w:rPr>
          <w:spacing w:val="-4"/>
        </w:rPr>
        <w:t>W</w:t>
      </w:r>
      <w:r w:rsidR="007D3EDC">
        <w:rPr>
          <w:spacing w:val="-4"/>
        </w:rPr>
        <w:t>e</w:t>
      </w:r>
      <w:r w:rsidRPr="00556BF8">
        <w:rPr>
          <w:spacing w:val="-4"/>
        </w:rPr>
        <w:t xml:space="preserve"> </w:t>
      </w:r>
      <w:r w:rsidR="007D3EDC">
        <w:rPr>
          <w:spacing w:val="-4"/>
        </w:rPr>
        <w:t>wrześniu</w:t>
      </w:r>
      <w:r w:rsidRPr="00556BF8">
        <w:rPr>
          <w:spacing w:val="-4"/>
        </w:rPr>
        <w:t xml:space="preserve"> br. w porównaniu z poprzednim miesiącem największy wpływ na wskaźnik cen </w:t>
      </w:r>
      <w:r w:rsidR="00917CCF" w:rsidRPr="00556BF8">
        <w:rPr>
          <w:spacing w:val="-4"/>
        </w:rPr>
        <w:br/>
      </w:r>
      <w:r w:rsidRPr="00556BF8">
        <w:rPr>
          <w:spacing w:val="-4"/>
        </w:rPr>
        <w:t xml:space="preserve">towarów i usług konsumpcyjnych ogółem miały </w:t>
      </w:r>
      <w:r w:rsidR="00DF5C74" w:rsidRPr="00556BF8">
        <w:rPr>
          <w:spacing w:val="-4"/>
        </w:rPr>
        <w:t xml:space="preserve">wyższe </w:t>
      </w:r>
      <w:r w:rsidR="00CF4349" w:rsidRPr="00556BF8">
        <w:rPr>
          <w:spacing w:val="-4"/>
        </w:rPr>
        <w:t>ceny</w:t>
      </w:r>
      <w:r w:rsidR="001E3F14" w:rsidRPr="00556BF8">
        <w:rPr>
          <w:spacing w:val="-4"/>
        </w:rPr>
        <w:t xml:space="preserve"> </w:t>
      </w:r>
      <w:r w:rsidR="006E1F27" w:rsidRPr="00556BF8">
        <w:rPr>
          <w:spacing w:val="-4"/>
        </w:rPr>
        <w:t xml:space="preserve">w zakresie </w:t>
      </w:r>
      <w:r w:rsidR="0098788B" w:rsidRPr="00556BF8">
        <w:rPr>
          <w:spacing w:val="-4"/>
        </w:rPr>
        <w:t>mieszkania</w:t>
      </w:r>
      <w:r w:rsidR="00DF5C74" w:rsidRPr="00556BF8">
        <w:rPr>
          <w:spacing w:val="-4"/>
        </w:rPr>
        <w:t xml:space="preserve"> </w:t>
      </w:r>
      <w:r w:rsidR="00C662A5" w:rsidRPr="00556BF8">
        <w:rPr>
          <w:spacing w:val="-4"/>
        </w:rPr>
        <w:t>(</w:t>
      </w:r>
      <w:r w:rsidR="0022312E" w:rsidRPr="00556BF8">
        <w:rPr>
          <w:spacing w:val="-4"/>
        </w:rPr>
        <w:t xml:space="preserve">o </w:t>
      </w:r>
      <w:r w:rsidR="00F93908">
        <w:rPr>
          <w:spacing w:val="-4"/>
        </w:rPr>
        <w:t>0,7</w:t>
      </w:r>
      <w:r w:rsidR="0022312E" w:rsidRPr="00556BF8">
        <w:rPr>
          <w:spacing w:val="-4"/>
        </w:rPr>
        <w:t>%)</w:t>
      </w:r>
      <w:r w:rsidR="00387B0E">
        <w:rPr>
          <w:spacing w:val="-4"/>
        </w:rPr>
        <w:t xml:space="preserve">, </w:t>
      </w:r>
      <w:r w:rsidR="0098788B" w:rsidRPr="00556BF8">
        <w:rPr>
          <w:spacing w:val="-4"/>
        </w:rPr>
        <w:t>transportu (o 1</w:t>
      </w:r>
      <w:r w:rsidR="00D329DC" w:rsidRPr="00556BF8">
        <w:rPr>
          <w:spacing w:val="-4"/>
        </w:rPr>
        <w:t>,</w:t>
      </w:r>
      <w:r w:rsidR="00F93908">
        <w:rPr>
          <w:spacing w:val="-4"/>
        </w:rPr>
        <w:t>2</w:t>
      </w:r>
      <w:r w:rsidR="00DF5C74" w:rsidRPr="00556BF8">
        <w:rPr>
          <w:spacing w:val="-4"/>
        </w:rPr>
        <w:t>%)</w:t>
      </w:r>
      <w:r w:rsidRPr="00556BF8">
        <w:rPr>
          <w:spacing w:val="-4"/>
        </w:rPr>
        <w:t>,</w:t>
      </w:r>
      <w:r w:rsidR="00387B0E">
        <w:rPr>
          <w:spacing w:val="-4"/>
        </w:rPr>
        <w:t xml:space="preserve"> odzieży i obuwia (o 3,1%) oraz łączności (o 2,3%)</w:t>
      </w:r>
      <w:r w:rsidRPr="00556BF8">
        <w:rPr>
          <w:spacing w:val="-4"/>
        </w:rPr>
        <w:t xml:space="preserve"> które</w:t>
      </w:r>
      <w:r w:rsidR="00CF4349" w:rsidRPr="00556BF8">
        <w:rPr>
          <w:spacing w:val="-4"/>
        </w:rPr>
        <w:t xml:space="preserve"> </w:t>
      </w:r>
      <w:r w:rsidR="00DF5C74" w:rsidRPr="00556BF8">
        <w:rPr>
          <w:spacing w:val="-4"/>
        </w:rPr>
        <w:t>podwyższyły</w:t>
      </w:r>
      <w:r w:rsidR="00CF4349" w:rsidRPr="00556BF8">
        <w:rPr>
          <w:spacing w:val="-4"/>
        </w:rPr>
        <w:t xml:space="preserve"> </w:t>
      </w:r>
      <w:r w:rsidR="002133F1" w:rsidRPr="00556BF8">
        <w:rPr>
          <w:spacing w:val="-4"/>
        </w:rPr>
        <w:t xml:space="preserve">ten wskaźnik </w:t>
      </w:r>
      <w:r w:rsidR="00393E03" w:rsidRPr="00556BF8">
        <w:rPr>
          <w:spacing w:val="-4"/>
        </w:rPr>
        <w:t xml:space="preserve">odpowiednio </w:t>
      </w:r>
      <w:r w:rsidR="002133F1" w:rsidRPr="00556BF8">
        <w:rPr>
          <w:spacing w:val="-4"/>
        </w:rPr>
        <w:t xml:space="preserve">o </w:t>
      </w:r>
      <w:r w:rsidR="00CF4349" w:rsidRPr="00556BF8">
        <w:rPr>
          <w:spacing w:val="-4"/>
        </w:rPr>
        <w:t>0,</w:t>
      </w:r>
      <w:r w:rsidR="00F93908">
        <w:rPr>
          <w:spacing w:val="-4"/>
        </w:rPr>
        <w:t>17</w:t>
      </w:r>
      <w:r w:rsidR="00393E03" w:rsidRPr="00556BF8">
        <w:rPr>
          <w:spacing w:val="-4"/>
        </w:rPr>
        <w:t xml:space="preserve"> </w:t>
      </w:r>
      <w:r w:rsidRPr="00556BF8">
        <w:rPr>
          <w:spacing w:val="-4"/>
        </w:rPr>
        <w:t>p. proc</w:t>
      </w:r>
      <w:r w:rsidR="00432D34" w:rsidRPr="00556BF8">
        <w:rPr>
          <w:spacing w:val="-4"/>
        </w:rPr>
        <w:t xml:space="preserve"> i </w:t>
      </w:r>
      <w:r w:rsidR="00FE4BB2">
        <w:rPr>
          <w:spacing w:val="-4"/>
        </w:rPr>
        <w:t xml:space="preserve">po </w:t>
      </w:r>
      <w:r w:rsidR="00432D34" w:rsidRPr="00556BF8">
        <w:rPr>
          <w:spacing w:val="-4"/>
        </w:rPr>
        <w:t>0,</w:t>
      </w:r>
      <w:r w:rsidR="00F93908">
        <w:rPr>
          <w:spacing w:val="-4"/>
        </w:rPr>
        <w:t>12</w:t>
      </w:r>
      <w:r w:rsidR="00393E03" w:rsidRPr="00556BF8">
        <w:rPr>
          <w:spacing w:val="-4"/>
        </w:rPr>
        <w:t xml:space="preserve"> p. proc</w:t>
      </w:r>
      <w:r w:rsidRPr="00556BF8">
        <w:rPr>
          <w:spacing w:val="-4"/>
        </w:rPr>
        <w:t>.</w:t>
      </w:r>
      <w:r w:rsidR="00DA2264" w:rsidRPr="00556BF8">
        <w:t xml:space="preserve"> </w:t>
      </w:r>
    </w:p>
    <w:p w:rsidR="00A55B73" w:rsidRPr="00FD11D4" w:rsidRDefault="00A07F00" w:rsidP="00934246">
      <w:pPr>
        <w:spacing w:before="0" w:after="0"/>
        <w:rPr>
          <w:spacing w:val="-2"/>
        </w:rPr>
      </w:pPr>
      <w:r w:rsidRPr="00556BF8">
        <w:t xml:space="preserve">W porównaniu z miesiącem analogicznym poprzedniego roku wyższe ceny </w:t>
      </w:r>
      <w:r w:rsidR="00AF7617" w:rsidRPr="00556BF8">
        <w:t>w zakresie tran</w:t>
      </w:r>
      <w:r w:rsidR="00AF7617" w:rsidRPr="00556BF8">
        <w:t>s</w:t>
      </w:r>
      <w:r w:rsidR="00AF7617" w:rsidRPr="00556BF8">
        <w:t xml:space="preserve">portu </w:t>
      </w:r>
      <w:r w:rsidRPr="00556BF8">
        <w:t>(o </w:t>
      </w:r>
      <w:r w:rsidR="00D25F19">
        <w:t>18,5</w:t>
      </w:r>
      <w:r w:rsidR="00674A8B" w:rsidRPr="00556BF8">
        <w:t>%)</w:t>
      </w:r>
      <w:r w:rsidR="00FE4BB2">
        <w:t>,</w:t>
      </w:r>
      <w:r w:rsidRPr="00556BF8">
        <w:t xml:space="preserve"> </w:t>
      </w:r>
      <w:r w:rsidR="00FD6659" w:rsidRPr="00556BF8">
        <w:t>mieszkania</w:t>
      </w:r>
      <w:r w:rsidR="00F20A4B" w:rsidRPr="00556BF8">
        <w:t xml:space="preserve"> (o 6</w:t>
      </w:r>
      <w:r w:rsidR="00AF7617" w:rsidRPr="00556BF8">
        <w:t>,</w:t>
      </w:r>
      <w:r w:rsidR="00D25F19">
        <w:t>4</w:t>
      </w:r>
      <w:r w:rsidR="003A0271" w:rsidRPr="00556BF8">
        <w:t xml:space="preserve">%) </w:t>
      </w:r>
      <w:r w:rsidR="00FE4BB2">
        <w:t xml:space="preserve">oraz żywności (o 4,2%) </w:t>
      </w:r>
      <w:r w:rsidRPr="00556BF8">
        <w:t>pod</w:t>
      </w:r>
      <w:r w:rsidRPr="00556BF8">
        <w:softHyphen/>
        <w:t>nio</w:t>
      </w:r>
      <w:r w:rsidR="00445F90" w:rsidRPr="00556BF8">
        <w:t>sły</w:t>
      </w:r>
      <w:r w:rsidR="003A4977" w:rsidRPr="00556BF8">
        <w:t xml:space="preserve"> ten wskaźnik odp</w:t>
      </w:r>
      <w:r w:rsidR="003A4977" w:rsidRPr="00556BF8">
        <w:t>o</w:t>
      </w:r>
      <w:r w:rsidR="003A4977" w:rsidRPr="00556BF8">
        <w:t>wiednio o 1,</w:t>
      </w:r>
      <w:r w:rsidR="00D25F19">
        <w:t>65</w:t>
      </w:r>
      <w:r w:rsidRPr="00556BF8">
        <w:t xml:space="preserve"> p. proc.</w:t>
      </w:r>
      <w:r w:rsidR="00454E65">
        <w:t>,</w:t>
      </w:r>
      <w:r w:rsidR="0066616C" w:rsidRPr="00556BF8">
        <w:t> </w:t>
      </w:r>
      <w:r w:rsidR="00445F90" w:rsidRPr="00556BF8">
        <w:t>1,</w:t>
      </w:r>
      <w:r w:rsidR="00D25F19">
        <w:t>60</w:t>
      </w:r>
      <w:r w:rsidR="0066616C" w:rsidRPr="00556BF8">
        <w:t> </w:t>
      </w:r>
      <w:r w:rsidR="003A0271" w:rsidRPr="00556BF8">
        <w:t>p. proc.</w:t>
      </w:r>
      <w:r w:rsidR="00454E65">
        <w:t xml:space="preserve"> i 1,03 </w:t>
      </w:r>
      <w:r w:rsidR="00454E65" w:rsidRPr="00556BF8">
        <w:t>p. proc.</w:t>
      </w:r>
    </w:p>
    <w:p w:rsidR="00934246" w:rsidRPr="00FD11D4" w:rsidRDefault="00934246" w:rsidP="00934246">
      <w:pPr>
        <w:spacing w:before="0" w:after="0"/>
        <w:rPr>
          <w:b/>
          <w:spacing w:val="-2"/>
          <w:sz w:val="18"/>
        </w:rPr>
      </w:pPr>
    </w:p>
    <w:p w:rsidR="001D1175" w:rsidRDefault="001D1175" w:rsidP="0080551D">
      <w:pPr>
        <w:pStyle w:val="tytuwykresu"/>
        <w:ind w:left="794" w:hanging="794"/>
      </w:pPr>
    </w:p>
    <w:p w:rsidR="00A07F00" w:rsidRDefault="00682593" w:rsidP="0080551D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77024" behindDoc="0" locked="0" layoutInCell="1" allowOverlap="1" wp14:anchorId="2E131230" wp14:editId="2CAD7908">
            <wp:simplePos x="0" y="0"/>
            <wp:positionH relativeFrom="column">
              <wp:posOffset>-41275</wp:posOffset>
            </wp:positionH>
            <wp:positionV relativeFrom="paragraph">
              <wp:posOffset>415925</wp:posOffset>
            </wp:positionV>
            <wp:extent cx="5124450" cy="2743200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FD11D4">
        <w:t xml:space="preserve">Wykres </w:t>
      </w:r>
      <w:r w:rsidR="00761070" w:rsidRPr="00FD11D4">
        <w:t>1</w:t>
      </w:r>
      <w:r w:rsidR="00A07F00" w:rsidRPr="00FD11D4">
        <w:t>.</w:t>
      </w:r>
      <w:r w:rsidR="00A07F00" w:rsidRPr="00FD11D4">
        <w:rPr>
          <w:shd w:val="clear" w:color="auto" w:fill="FFFFFF"/>
        </w:rPr>
        <w:t xml:space="preserve"> Wpływ zmian cen wybranych grup towarów i usług konsumpcyjnych w</w:t>
      </w:r>
      <w:r w:rsidR="00D25F19">
        <w:rPr>
          <w:shd w:val="clear" w:color="auto" w:fill="FFFFFF"/>
        </w:rPr>
        <w:t>e</w:t>
      </w:r>
      <w:r w:rsidR="00A07F00" w:rsidRPr="00FD11D4">
        <w:rPr>
          <w:shd w:val="clear" w:color="auto" w:fill="FFFFFF"/>
        </w:rPr>
        <w:t xml:space="preserve"> </w:t>
      </w:r>
      <w:r w:rsidR="00D25F19">
        <w:rPr>
          <w:shd w:val="clear" w:color="auto" w:fill="FFFFFF"/>
        </w:rPr>
        <w:t>wrześniu</w:t>
      </w:r>
      <w:r w:rsidR="00E23761" w:rsidRPr="00FD11D4">
        <w:rPr>
          <w:shd w:val="clear" w:color="auto" w:fill="FFFFFF"/>
        </w:rPr>
        <w:t xml:space="preserve"> </w:t>
      </w:r>
      <w:r w:rsidR="005432E5" w:rsidRPr="00FD11D4">
        <w:rPr>
          <w:shd w:val="clear" w:color="auto" w:fill="FFFFFF"/>
        </w:rPr>
        <w:t>2021</w:t>
      </w:r>
      <w:r w:rsidR="00A07F00" w:rsidRPr="00FD11D4">
        <w:rPr>
          <w:shd w:val="clear" w:color="auto" w:fill="FFFFFF"/>
        </w:rPr>
        <w:t xml:space="preserve"> r.</w:t>
      </w:r>
      <w:r w:rsidR="00A07F00" w:rsidRPr="00FD11D4">
        <w:rPr>
          <w:noProof/>
          <w:shd w:val="clear" w:color="auto" w:fill="FFFFFF"/>
          <w:lang w:eastAsia="pl-PL"/>
        </w:rPr>
        <w:t xml:space="preserve"> </w:t>
      </w:r>
      <w:r w:rsidR="0051646A" w:rsidRPr="00FD11D4">
        <w:rPr>
          <w:noProof/>
          <w:shd w:val="clear" w:color="auto" w:fill="FFFFFF"/>
          <w:lang w:eastAsia="pl-PL"/>
        </w:rPr>
        <w:br/>
        <w:t>(z</w:t>
      </w:r>
      <w:r w:rsidR="0051646A" w:rsidRPr="00FD11D4">
        <w:rPr>
          <w:shd w:val="clear" w:color="auto" w:fill="FFFFFF"/>
        </w:rPr>
        <w:t xml:space="preserve">miana w p. proc. </w:t>
      </w:r>
      <w:r w:rsidR="0051646A" w:rsidRPr="0024644E">
        <w:rPr>
          <w:shd w:val="clear" w:color="auto" w:fill="FFFFFF"/>
        </w:rPr>
        <w:t>do okresu poprzedniego)</w:t>
      </w:r>
    </w:p>
    <w:p w:rsidR="00682593" w:rsidRDefault="00682593" w:rsidP="00682593">
      <w:pPr>
        <w:pStyle w:val="tytuwykresu"/>
        <w:ind w:left="794" w:hanging="794"/>
        <w:jc w:val="center"/>
        <w:rPr>
          <w:shd w:val="clear" w:color="auto" w:fill="FFFFFF"/>
        </w:rPr>
      </w:pPr>
    </w:p>
    <w:p w:rsidR="00A55B73" w:rsidRPr="00FD11D4" w:rsidRDefault="00A55B73" w:rsidP="00234969">
      <w:pPr>
        <w:spacing w:before="0" w:after="160"/>
        <w:rPr>
          <w:b/>
          <w:spacing w:val="-2"/>
          <w:sz w:val="18"/>
        </w:rPr>
      </w:pPr>
    </w:p>
    <w:p w:rsidR="00D11CF3" w:rsidRPr="008544D0" w:rsidRDefault="00B32730" w:rsidP="008544D0">
      <w:pPr>
        <w:spacing w:before="0" w:after="160" w:line="259" w:lineRule="auto"/>
        <w:ind w:left="822" w:hanging="822"/>
        <w:rPr>
          <w:b/>
          <w:spacing w:val="-2"/>
          <w:sz w:val="18"/>
        </w:rPr>
      </w:pPr>
      <w:r w:rsidRPr="008544D0">
        <w:rPr>
          <w:noProof/>
          <w:spacing w:val="-2"/>
          <w:lang w:val="en-GB" w:eastAsia="en-GB"/>
        </w:rPr>
        <w:drawing>
          <wp:anchor distT="0" distB="0" distL="114300" distR="114300" simplePos="0" relativeHeight="251776000" behindDoc="0" locked="0" layoutInCell="1" allowOverlap="1" wp14:anchorId="092C5188" wp14:editId="04409405">
            <wp:simplePos x="0" y="0"/>
            <wp:positionH relativeFrom="column">
              <wp:posOffset>-8890</wp:posOffset>
            </wp:positionH>
            <wp:positionV relativeFrom="paragraph">
              <wp:posOffset>486410</wp:posOffset>
            </wp:positionV>
            <wp:extent cx="5124450" cy="32340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8544D0">
        <w:rPr>
          <w:b/>
          <w:spacing w:val="-2"/>
          <w:sz w:val="18"/>
        </w:rPr>
        <w:t xml:space="preserve">Wykres 2. System wag stosowany w obliczeniach wskaźników cen towarów </w:t>
      </w:r>
      <w:r w:rsidR="0022272D" w:rsidRPr="008544D0">
        <w:rPr>
          <w:b/>
          <w:spacing w:val="-2"/>
          <w:sz w:val="18"/>
        </w:rPr>
        <w:t>i usług konsumpcyjnych w 202</w:t>
      </w:r>
      <w:r w:rsidRPr="008544D0">
        <w:rPr>
          <w:b/>
          <w:spacing w:val="-2"/>
          <w:sz w:val="18"/>
        </w:rPr>
        <w:t>1</w:t>
      </w:r>
      <w:r w:rsidR="005F4399" w:rsidRPr="008544D0">
        <w:rPr>
          <w:b/>
          <w:spacing w:val="-2"/>
          <w:sz w:val="18"/>
        </w:rPr>
        <w:t xml:space="preserve"> r.</w:t>
      </w:r>
    </w:p>
    <w:p w:rsidR="0022272D" w:rsidRPr="00FD11D4" w:rsidRDefault="0022272D">
      <w:pPr>
        <w:spacing w:before="0" w:after="160" w:line="259" w:lineRule="auto"/>
        <w:rPr>
          <w:b/>
          <w:spacing w:val="-2"/>
          <w:sz w:val="18"/>
        </w:rPr>
      </w:pPr>
    </w:p>
    <w:p w:rsidR="00A55B73" w:rsidRPr="00FD11D4" w:rsidRDefault="00A55B73">
      <w:pPr>
        <w:spacing w:before="0" w:after="160" w:line="259" w:lineRule="auto"/>
        <w:rPr>
          <w:b/>
          <w:spacing w:val="-2"/>
          <w:sz w:val="18"/>
        </w:rPr>
      </w:pPr>
      <w:r w:rsidRPr="00FD11D4">
        <w:br w:type="page"/>
      </w:r>
    </w:p>
    <w:p w:rsidR="003A440F" w:rsidRDefault="008B3AB6" w:rsidP="00F161AC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280035</wp:posOffset>
            </wp:positionV>
            <wp:extent cx="5122545" cy="2522220"/>
            <wp:effectExtent l="0" t="0" r="1905" b="1143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3A440F" w:rsidRPr="00FD11D4">
        <w:t xml:space="preserve">Wykres </w:t>
      </w:r>
      <w:r w:rsidR="00CF08EF" w:rsidRPr="00FD11D4">
        <w:t>3</w:t>
      </w:r>
      <w:r w:rsidR="003A440F" w:rsidRPr="00FD11D4">
        <w:t>.</w:t>
      </w:r>
      <w:r w:rsidR="003A440F" w:rsidRPr="00FD11D4">
        <w:rPr>
          <w:shd w:val="clear" w:color="auto" w:fill="FFFFFF"/>
        </w:rPr>
        <w:t xml:space="preserve"> </w:t>
      </w:r>
      <w:r w:rsidR="00AC3E42" w:rsidRPr="00FD11D4">
        <w:rPr>
          <w:shd w:val="clear" w:color="auto" w:fill="FFFFFF"/>
        </w:rPr>
        <w:t>Zmiany cen towarów i usług konsumpcyjnych w stosun</w:t>
      </w:r>
      <w:r w:rsidR="009E79F7" w:rsidRPr="00FD11D4">
        <w:rPr>
          <w:shd w:val="clear" w:color="auto" w:fill="FFFFFF"/>
        </w:rPr>
        <w:t>ku do okresu poprzedniego (w %)</w:t>
      </w:r>
    </w:p>
    <w:p w:rsidR="006715EE" w:rsidRPr="00FD11D4" w:rsidRDefault="006715EE" w:rsidP="00D4654D">
      <w:pPr>
        <w:pStyle w:val="tytuwykresu"/>
      </w:pPr>
    </w:p>
    <w:p w:rsidR="00034160" w:rsidRDefault="00266A77" w:rsidP="00751D7D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418382</wp:posOffset>
            </wp:positionV>
            <wp:extent cx="5122545" cy="2602865"/>
            <wp:effectExtent l="0" t="0" r="0" b="0"/>
            <wp:wrapSquare wrapText="bothSides"/>
            <wp:docPr id="36" name="Wykres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9E3F12" w:rsidRPr="00FD11D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2880" behindDoc="1" locked="0" layoutInCell="1" allowOverlap="1" wp14:anchorId="33210A56" wp14:editId="15965EA2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0C9" w:rsidRPr="00F96C68" w:rsidRDefault="000360C9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e wrześniu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2021 r. wskaźnik cen towarów i usług ko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sumpcyjnych znalazł się p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wyżej górnej granicy odchyleń od celu inflacyjnego określ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nego przez Radę Polityki Pi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Pr="00F96C6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niężnej (2,5% +/- 1 p. proc.)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5pt;margin-top:320.25pt;width:135.85pt;height:107.7pt;z-index:-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0360C9" w:rsidRPr="00F96C68" w:rsidRDefault="000360C9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</w:pP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e wrześniu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2021 r. wskaźnik cen towarów i usług ko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sumpcyjnych znalazł się p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wyżej górnej granicy odchyleń od celu inflacyjnego określ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nego przez Radę Polityki Pi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Pr="00F96C68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niężnej (2,5% +/- 1 p. proc.)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FD11D4">
        <w:t xml:space="preserve">Wykres </w:t>
      </w:r>
      <w:r w:rsidR="00CF08EF" w:rsidRPr="00FD11D4">
        <w:t>4</w:t>
      </w:r>
      <w:r w:rsidR="00034160" w:rsidRPr="00FD11D4">
        <w:t>.</w:t>
      </w:r>
      <w:r w:rsidR="00034160" w:rsidRPr="00FD11D4">
        <w:rPr>
          <w:shd w:val="clear" w:color="auto" w:fill="FFFFFF"/>
        </w:rPr>
        <w:t xml:space="preserve"> </w:t>
      </w:r>
      <w:r w:rsidR="00D076D6">
        <w:rPr>
          <w:shd w:val="clear" w:color="auto" w:fill="FFFFFF"/>
        </w:rPr>
        <w:t>Zmiany cen</w:t>
      </w:r>
      <w:r w:rsidR="00751D7D" w:rsidRPr="00FD11D4">
        <w:rPr>
          <w:shd w:val="clear" w:color="auto" w:fill="FFFFFF"/>
        </w:rPr>
        <w:t xml:space="preserve"> towarów i usług konsumpcyjnych w stosunku do analogicznego okresu roku poprzedniego (w %)</w:t>
      </w:r>
    </w:p>
    <w:p w:rsidR="00367ACC" w:rsidRPr="00FD11D4" w:rsidRDefault="00367ACC" w:rsidP="006233B9">
      <w:pPr>
        <w:rPr>
          <w:sz w:val="18"/>
          <w:highlight w:val="yellow"/>
        </w:rPr>
      </w:pPr>
    </w:p>
    <w:p w:rsidR="00E01E27" w:rsidRPr="00FD11D4" w:rsidRDefault="00D65F2C" w:rsidP="008434BA">
      <w:pPr>
        <w:pStyle w:val="tytuwykresu"/>
        <w:ind w:left="794" w:hanging="794"/>
        <w:rPr>
          <w:bCs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537108</wp:posOffset>
            </wp:positionV>
            <wp:extent cx="5122545" cy="2471420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763" w:rsidRPr="00FD11D4">
        <w:t xml:space="preserve">Wykres </w:t>
      </w:r>
      <w:r w:rsidR="00CF08EF" w:rsidRPr="00FD11D4">
        <w:t>5</w:t>
      </w:r>
      <w:r w:rsidR="00883763" w:rsidRPr="00FD11D4">
        <w:t>.</w:t>
      </w:r>
      <w:r w:rsidR="00883763" w:rsidRPr="00FD11D4">
        <w:rPr>
          <w:shd w:val="clear" w:color="auto" w:fill="FFFFFF"/>
        </w:rPr>
        <w:t xml:space="preserve"> </w:t>
      </w:r>
      <w:r w:rsidR="00751D7D" w:rsidRPr="00FD11D4">
        <w:rPr>
          <w:bCs/>
          <w:shd w:val="clear" w:color="auto" w:fill="FFFFFF"/>
        </w:rPr>
        <w:t>Zmiany cen według wskaźnika cen towarów i usług konsumpcyjnych (CPI) oraz zharmon</w:t>
      </w:r>
      <w:r w:rsidR="00751D7D" w:rsidRPr="00FD11D4">
        <w:rPr>
          <w:bCs/>
          <w:shd w:val="clear" w:color="auto" w:fill="FFFFFF"/>
        </w:rPr>
        <w:t>i</w:t>
      </w:r>
      <w:r w:rsidR="00751D7D" w:rsidRPr="00FD11D4">
        <w:rPr>
          <w:bCs/>
          <w:shd w:val="clear" w:color="auto" w:fill="FFFFFF"/>
        </w:rPr>
        <w:t xml:space="preserve">zowanego wskaźnika cen konsumpcyjnych (HICP) w stosunku do analogicznego okresu </w:t>
      </w:r>
      <w:r w:rsidR="00F70C4A" w:rsidRPr="00FD11D4">
        <w:rPr>
          <w:bCs/>
          <w:shd w:val="clear" w:color="auto" w:fill="FFFFFF"/>
        </w:rPr>
        <w:br/>
      </w:r>
      <w:r w:rsidR="00751D7D" w:rsidRPr="00FD11D4">
        <w:rPr>
          <w:bCs/>
          <w:shd w:val="clear" w:color="auto" w:fill="FFFFFF"/>
        </w:rPr>
        <w:t>roku poprzedniego (w %)</w:t>
      </w:r>
    </w:p>
    <w:p w:rsidR="00516A50" w:rsidRPr="00FD11D4" w:rsidRDefault="00820461" w:rsidP="00AA451B">
      <w:pPr>
        <w:pStyle w:val="tytuwykresu"/>
        <w:rPr>
          <w:bCs/>
          <w:shd w:val="clear" w:color="auto" w:fill="FFFFFF"/>
        </w:rPr>
      </w:pPr>
      <w:r w:rsidRPr="00FD11D4">
        <w:rPr>
          <w:highlight w:val="yellow"/>
        </w:rPr>
        <w:br w:type="page"/>
      </w:r>
      <w:r w:rsidR="00516A50" w:rsidRPr="00FD11D4">
        <w:lastRenderedPageBreak/>
        <w:t xml:space="preserve">Tablica </w:t>
      </w:r>
      <w:r w:rsidR="00CF08EF" w:rsidRPr="00FD11D4">
        <w:t>2</w:t>
      </w:r>
      <w:r w:rsidR="00516A50" w:rsidRPr="00FD11D4">
        <w:t>.</w:t>
      </w:r>
      <w:r w:rsidR="00516A50" w:rsidRPr="00FD11D4">
        <w:rPr>
          <w:shd w:val="clear" w:color="auto" w:fill="FFFFFF"/>
        </w:rPr>
        <w:t xml:space="preserve"> </w:t>
      </w:r>
      <w:r w:rsidR="00516A50" w:rsidRPr="00FD11D4">
        <w:rPr>
          <w:bCs/>
          <w:shd w:val="clear" w:color="auto" w:fill="FFFFFF"/>
        </w:rPr>
        <w:t>Wskaźniki cen t</w:t>
      </w:r>
      <w:r w:rsidR="00475E6F">
        <w:rPr>
          <w:bCs/>
          <w:shd w:val="clear" w:color="auto" w:fill="FFFFFF"/>
        </w:rPr>
        <w:t>owarów i usług konsumpcyjnych we wrześniu</w:t>
      </w:r>
      <w:r w:rsidR="00F70C4A" w:rsidRPr="00FD11D4">
        <w:rPr>
          <w:bCs/>
          <w:shd w:val="clear" w:color="auto" w:fill="FFFFFF"/>
        </w:rPr>
        <w:t xml:space="preserve"> </w:t>
      </w:r>
      <w:r w:rsidR="00751D7D" w:rsidRPr="00FD11D4">
        <w:t>2021</w:t>
      </w:r>
      <w:r w:rsidR="00516A50" w:rsidRPr="00FD11D4">
        <w:t> </w:t>
      </w:r>
      <w:r w:rsidR="00516A50" w:rsidRPr="00FD11D4">
        <w:rPr>
          <w:bCs/>
          <w:shd w:val="clear" w:color="auto" w:fill="FFFFFF"/>
        </w:rPr>
        <w:t>r.</w:t>
      </w:r>
    </w:p>
    <w:p w:rsidR="00DE775D" w:rsidRPr="00FD11D4" w:rsidRDefault="00DE775D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850"/>
        <w:gridCol w:w="638"/>
        <w:gridCol w:w="638"/>
        <w:gridCol w:w="1134"/>
      </w:tblGrid>
      <w:tr w:rsidR="00190F6E" w:rsidRPr="00FD11D4" w:rsidTr="000D50F8">
        <w:trPr>
          <w:trHeight w:val="315"/>
          <w:tblHeader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81AB5" w:rsidRPr="00FD11D4" w:rsidRDefault="00981AB5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981AB5" w:rsidRPr="00FD11D4" w:rsidRDefault="00981AB5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09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981AB5" w:rsidRPr="00FD11D4" w:rsidRDefault="00591176" w:rsidP="000D50F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36753">
              <w:rPr>
                <w:rFonts w:eastAsia="Times New Roman" w:cs="Calibri"/>
                <w:sz w:val="16"/>
                <w:szCs w:val="16"/>
                <w:lang w:eastAsia="pl-PL"/>
              </w:rPr>
              <w:t>3 kw. 2021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81AB5" w:rsidRPr="00FD11D4" w:rsidRDefault="00981AB5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01-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09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07680B" w:rsidRPr="00FD11D4" w:rsidTr="000D50F8">
        <w:trPr>
          <w:trHeight w:val="465"/>
          <w:tblHeader/>
        </w:trPr>
        <w:tc>
          <w:tcPr>
            <w:tcW w:w="3261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91176" w:rsidRPr="00FD11D4" w:rsidRDefault="00591176" w:rsidP="00591176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1176" w:rsidRPr="00FD11D4" w:rsidRDefault="00591176" w:rsidP="0059117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09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2020=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1176" w:rsidRPr="00FD11D4" w:rsidRDefault="00591176" w:rsidP="0059117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 2020=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1176" w:rsidRPr="00FD11D4" w:rsidRDefault="00591176" w:rsidP="0059117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08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2021=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591176" w:rsidRPr="008840FA" w:rsidRDefault="00591176" w:rsidP="0059117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3 </w:t>
            </w: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kw. 2020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591176" w:rsidRPr="008840FA" w:rsidRDefault="00591176" w:rsidP="0059117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8840F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kw. 202</w:t>
            </w: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1176" w:rsidRPr="00FD11D4" w:rsidRDefault="00591176" w:rsidP="0059117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01-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09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2020= 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DA423B" w:rsidRPr="00FD11D4" w:rsidTr="00DA423B">
        <w:trPr>
          <w:trHeight w:val="456"/>
        </w:trPr>
        <w:tc>
          <w:tcPr>
            <w:tcW w:w="326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85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5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638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638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DA423B" w:rsidRPr="00FD11D4" w:rsidTr="00DA423B">
        <w:trPr>
          <w:trHeight w:val="453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93,1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121,5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31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DA423B" w:rsidRPr="00FD11D4" w:rsidTr="00DA423B">
        <w:trPr>
          <w:trHeight w:val="476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28C8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Jogurt, śmietana, napoje i desery mleczne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6374CA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6374CA" w:rsidRDefault="00DA423B" w:rsidP="006374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374C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DA423B" w:rsidRPr="00FD11D4" w:rsidTr="00DA423B">
        <w:trPr>
          <w:trHeight w:val="36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127,9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</w:tr>
      <w:tr w:rsidR="00DA423B" w:rsidRPr="00FD11D4" w:rsidTr="00DA423B">
        <w:trPr>
          <w:trHeight w:val="20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DA423B" w:rsidRPr="00FD11D4" w:rsidTr="00DA423B">
        <w:trPr>
          <w:trHeight w:val="26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DA423B" w:rsidRPr="00FD11D4" w:rsidTr="00DA423B">
        <w:trPr>
          <w:trHeight w:val="259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DA423B" w:rsidRPr="00FD11D4" w:rsidTr="00DA423B">
        <w:trPr>
          <w:trHeight w:val="43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DA423B" w:rsidRPr="00FD11D4" w:rsidTr="00DA423B">
        <w:trPr>
          <w:trHeight w:val="284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46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DA423B" w:rsidRPr="00FD11D4" w:rsidTr="00DA423B">
        <w:trPr>
          <w:trHeight w:val="272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DA423B" w:rsidRPr="00FD11D4" w:rsidTr="00DA423B">
        <w:trPr>
          <w:trHeight w:val="46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DA423B" w:rsidRPr="00FD11D4" w:rsidTr="00DA423B">
        <w:trPr>
          <w:trHeight w:val="274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111,5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117,9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115,1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119,0</w:t>
            </w:r>
          </w:p>
        </w:tc>
      </w:tr>
      <w:tr w:rsidR="00DA423B" w:rsidRPr="00FD11D4" w:rsidTr="00DA423B">
        <w:trPr>
          <w:trHeight w:val="46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121,3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037A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037A8" w:rsidRDefault="00DA423B" w:rsidP="004037A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037A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91,5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532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DA423B" w:rsidRPr="00FD11D4" w:rsidTr="00DA423B">
        <w:trPr>
          <w:trHeight w:val="300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111,1</w:t>
            </w:r>
          </w:p>
        </w:tc>
      </w:tr>
      <w:tr w:rsidR="00DA423B" w:rsidRPr="00FD11D4" w:rsidTr="00DA423B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112,5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bookmarkStart w:id="0" w:name="_GoBack"/>
        <w:bookmarkEnd w:id="0"/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423B" w:rsidRPr="00FD11D4" w:rsidTr="00DA423B">
        <w:trPr>
          <w:trHeight w:val="434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ind w:left="17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</w:tr>
      <w:tr w:rsidR="00DA423B" w:rsidRPr="00FD11D4" w:rsidTr="00DA423B">
        <w:trPr>
          <w:trHeight w:val="39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</w:tr>
      <w:tr w:rsidR="00DA423B" w:rsidRPr="00FD11D4" w:rsidTr="00DA423B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DA423B" w:rsidRPr="00FD11D4" w:rsidTr="00DA423B">
        <w:trPr>
          <w:trHeight w:val="45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DA423B" w:rsidRPr="00FD11D4" w:rsidRDefault="00DA423B" w:rsidP="00475E6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D50747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5074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nil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nil"/>
              <w:right w:val="single" w:sz="8" w:space="0" w:color="001D77"/>
            </w:tcBorders>
            <w:vAlign w:val="center"/>
          </w:tcPr>
          <w:p w:rsidR="00DA423B" w:rsidRPr="00DA423B" w:rsidRDefault="00DA423B" w:rsidP="00DA423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A423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DA423B" w:rsidRPr="00475E6F" w:rsidRDefault="00DA423B" w:rsidP="00475E6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75E6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120,1</w:t>
            </w:r>
          </w:p>
        </w:tc>
      </w:tr>
    </w:tbl>
    <w:p w:rsidR="009E3FA7" w:rsidRPr="00FD11D4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9F5CBC" w:rsidRPr="00FD11D4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eastAsia="pl-PL"/>
        </w:rPr>
      </w:pPr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9"/>
          <w:szCs w:val="19"/>
          <w:lang w:val="pl-PL"/>
        </w:rPr>
      </w:pPr>
      <w:r w:rsidRPr="00FD11D4">
        <w:rPr>
          <w:rFonts w:ascii="Fira Sans" w:hAnsi="Fira Sans"/>
          <w:color w:val="222222"/>
          <w:sz w:val="19"/>
          <w:szCs w:val="19"/>
          <w:lang w:val="pl-PL"/>
        </w:rPr>
        <w:t xml:space="preserve">Zalecenia na czas kryzysu związanego z pandemią COVID-19 rekomendowane przez Eurostat dotyczące wskaźników cen konsumpcyjnych oraz systemu wag prezentowane są pod linkiem </w:t>
      </w:r>
      <w:hyperlink r:id="rId18" w:history="1">
        <w:r w:rsidRPr="00FD11D4">
          <w:rPr>
            <w:rStyle w:val="Hipercze"/>
            <w:rFonts w:ascii="Fira Sans" w:hAnsi="Fira Sans"/>
            <w:sz w:val="19"/>
            <w:szCs w:val="19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9F5CBC" w:rsidRPr="00FD11D4" w:rsidRDefault="009F5CBC" w:rsidP="001F6707">
      <w:pPr>
        <w:spacing w:before="240" w:after="160" w:line="259" w:lineRule="auto"/>
        <w:rPr>
          <w:color w:val="222222"/>
          <w:szCs w:val="19"/>
        </w:rPr>
      </w:pPr>
    </w:p>
    <w:p w:rsidR="001163D3" w:rsidRDefault="001163D3" w:rsidP="009F5CBC">
      <w:pPr>
        <w:spacing w:before="0" w:after="160" w:line="259" w:lineRule="auto"/>
        <w:rPr>
          <w:color w:val="222222"/>
          <w:szCs w:val="19"/>
        </w:rPr>
      </w:pPr>
    </w:p>
    <w:p w:rsidR="009F5CBC" w:rsidRPr="00FD11D4" w:rsidRDefault="009F5CBC" w:rsidP="009F5CBC">
      <w:pPr>
        <w:spacing w:before="0" w:after="160" w:line="259" w:lineRule="auto"/>
        <w:rPr>
          <w:noProof/>
          <w:szCs w:val="19"/>
          <w:highlight w:val="yellow"/>
          <w:lang w:eastAsia="pl-PL"/>
        </w:rPr>
        <w:sectPr w:rsidR="009F5CBC" w:rsidRPr="00FD11D4" w:rsidSect="00EF7B3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D11D4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</w:t>
      </w:r>
      <w:r w:rsidRPr="00FD11D4">
        <w:rPr>
          <w:color w:val="222222"/>
          <w:szCs w:val="19"/>
        </w:rPr>
        <w:t>a</w:t>
      </w:r>
      <w:r w:rsidRPr="00FD11D4">
        <w:rPr>
          <w:color w:val="222222"/>
          <w:szCs w:val="19"/>
        </w:rPr>
        <w:t>nych opublikowanych przez GUS prosimy o zamieszczenie informacji: „Opracowanie własne na podstawie danych GUS”.</w:t>
      </w:r>
    </w:p>
    <w:p w:rsidR="000470AA" w:rsidRPr="00FD11D4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83763" w:rsidRPr="00FD11D4" w:rsidTr="00EE696D">
        <w:trPr>
          <w:trHeight w:val="1912"/>
        </w:trPr>
        <w:tc>
          <w:tcPr>
            <w:tcW w:w="4379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BA0B97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942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D11D4">
              <w:rPr>
                <w:rFonts w:cs="Arial"/>
                <w:color w:val="000000" w:themeColor="text1"/>
                <w:sz w:val="20"/>
              </w:rPr>
              <w:br/>
            </w:r>
            <w:r w:rsidRPr="00FD11D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:rsidR="00883763" w:rsidRPr="00FD11D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FD11D4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D11D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D11D4" w:rsidRDefault="000470AA" w:rsidP="000470AA">
            <w:pPr>
              <w:rPr>
                <w:b/>
                <w:sz w:val="20"/>
              </w:rPr>
            </w:pPr>
            <w:r w:rsidRPr="00FD11D4">
              <w:rPr>
                <w:b/>
                <w:sz w:val="20"/>
              </w:rPr>
              <w:t xml:space="preserve">Wydział Współpracy z Mediami </w:t>
            </w:r>
          </w:p>
          <w:p w:rsidR="000470AA" w:rsidRPr="00FD11D4" w:rsidRDefault="00DE775D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T</w:t>
            </w:r>
            <w:r w:rsidR="000470AA" w:rsidRPr="00FD11D4">
              <w:rPr>
                <w:sz w:val="20"/>
              </w:rPr>
              <w:t>el:</w:t>
            </w:r>
            <w:r w:rsidR="000470AA" w:rsidRPr="00FD11D4">
              <w:rPr>
                <w:b/>
                <w:sz w:val="20"/>
              </w:rPr>
              <w:t xml:space="preserve"> </w:t>
            </w:r>
            <w:r w:rsidR="00097840" w:rsidRPr="00FD11D4">
              <w:rPr>
                <w:sz w:val="20"/>
              </w:rPr>
              <w:t>22 608 34 91, 22</w:t>
            </w:r>
            <w:r w:rsidR="000470AA" w:rsidRPr="00FD11D4">
              <w:rPr>
                <w:sz w:val="20"/>
              </w:rPr>
              <w:t xml:space="preserve"> 608 38 04 </w:t>
            </w:r>
          </w:p>
          <w:p w:rsidR="000470AA" w:rsidRPr="001D0172" w:rsidRDefault="000470AA" w:rsidP="000470AA">
            <w:pPr>
              <w:rPr>
                <w:sz w:val="18"/>
                <w:lang w:val="en-GB"/>
              </w:rPr>
            </w:pPr>
            <w:r w:rsidRPr="001D0172">
              <w:rPr>
                <w:b/>
                <w:sz w:val="20"/>
                <w:lang w:val="en-GB"/>
              </w:rPr>
              <w:t xml:space="preserve">e-mail: </w:t>
            </w:r>
            <w:hyperlink r:id="rId23" w:history="1">
              <w:r w:rsidRPr="001D0172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1D0172" w:rsidRDefault="000470AA" w:rsidP="000470AA">
            <w:pPr>
              <w:rPr>
                <w:sz w:val="18"/>
                <w:lang w:val="en-GB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1113CE2B" wp14:editId="3FD9036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sz w:val="20"/>
              </w:rPr>
              <w:t>www.stat.gov.pl</w:t>
            </w:r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0364D167" wp14:editId="4DC2125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sz w:val="20"/>
              </w:rPr>
              <w:t>@GUS_STAT</w:t>
            </w:r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29477199" wp14:editId="34DDBF1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@</w:t>
            </w:r>
            <w:proofErr w:type="spellStart"/>
            <w:r w:rsidRPr="00FD11D4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FD11D4" w:rsidRDefault="009E3F12" w:rsidP="00E76D26">
      <w:pPr>
        <w:rPr>
          <w:sz w:val="18"/>
        </w:rPr>
      </w:pPr>
      <w:r w:rsidRPr="00FD11D4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9F7C9C4" wp14:editId="72042ED4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0C9" w:rsidRDefault="000360C9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0360C9" w:rsidRPr="006761A7" w:rsidRDefault="000360C9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0360C9" w:rsidRPr="006761A7" w:rsidRDefault="000360C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0360C9" w:rsidRPr="006761A7" w:rsidRDefault="000360C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0360C9" w:rsidRPr="00E233EA" w:rsidRDefault="000360C9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360C9" w:rsidRPr="00E233EA" w:rsidRDefault="000360C9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0360C9" w:rsidRPr="006761A7" w:rsidRDefault="000360C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0360C9" w:rsidRPr="006761A7" w:rsidRDefault="000360C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0360C9" w:rsidRPr="006761A7" w:rsidRDefault="000360C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0360C9" w:rsidRPr="006761A7" w:rsidRDefault="000360C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0360C9" w:rsidRPr="006761A7" w:rsidRDefault="000360C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0360C9" w:rsidRPr="006761A7" w:rsidRDefault="000360C9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360C9" w:rsidRDefault="000360C9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0360C9" w:rsidRPr="006761A7" w:rsidRDefault="000360C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0360C9" w:rsidRPr="00566A43" w:rsidRDefault="000360C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Pr="00566A4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0360C9" w:rsidRDefault="000360C9" w:rsidP="00883763">
                      <w:pPr>
                        <w:rPr>
                          <w:b/>
                        </w:rPr>
                      </w:pPr>
                    </w:p>
                    <w:p w:rsidR="000360C9" w:rsidRPr="006761A7" w:rsidRDefault="000360C9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0360C9" w:rsidRPr="006761A7" w:rsidRDefault="000360C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0360C9" w:rsidRPr="006761A7" w:rsidRDefault="000360C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0360C9" w:rsidRPr="00E233EA" w:rsidRDefault="000360C9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360C9" w:rsidRPr="00E233EA" w:rsidRDefault="000360C9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0360C9" w:rsidRPr="006761A7" w:rsidRDefault="000360C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0360C9" w:rsidRPr="006761A7" w:rsidRDefault="000360C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0360C9" w:rsidRPr="006761A7" w:rsidRDefault="000360C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0360C9" w:rsidRPr="006761A7" w:rsidRDefault="000360C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0360C9" w:rsidRPr="006761A7" w:rsidRDefault="000360C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0360C9" w:rsidRPr="006761A7" w:rsidRDefault="000360C9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360C9" w:rsidRDefault="000360C9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0360C9" w:rsidRPr="006761A7" w:rsidRDefault="000360C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0360C9" w:rsidRPr="00566A43" w:rsidRDefault="000360C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Pr="00566A4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D11D4" w:rsidSect="00EF7B36">
      <w:headerReference w:type="default" r:id="rId45"/>
      <w:footerReference w:type="default" r:id="rId46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C9" w:rsidRDefault="000360C9" w:rsidP="000662E2">
      <w:pPr>
        <w:spacing w:after="0" w:line="240" w:lineRule="auto"/>
      </w:pPr>
      <w:r>
        <w:separator/>
      </w:r>
    </w:p>
  </w:endnote>
  <w:endnote w:type="continuationSeparator" w:id="0">
    <w:p w:rsidR="000360C9" w:rsidRDefault="000360C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3465"/>
      <w:docPartObj>
        <w:docPartGallery w:val="Page Numbers (Bottom of Page)"/>
        <w:docPartUnique/>
      </w:docPartObj>
    </w:sdtPr>
    <w:sdtContent>
      <w:p w:rsidR="000360C9" w:rsidRDefault="000360C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4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957311"/>
      <w:docPartObj>
        <w:docPartGallery w:val="Page Numbers (Bottom of Page)"/>
        <w:docPartUnique/>
      </w:docPartObj>
    </w:sdtPr>
    <w:sdtContent>
      <w:p w:rsidR="000360C9" w:rsidRDefault="000360C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4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0360C9" w:rsidRDefault="000360C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4B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C9" w:rsidRDefault="000360C9" w:rsidP="000662E2">
      <w:pPr>
        <w:spacing w:after="0" w:line="240" w:lineRule="auto"/>
      </w:pPr>
      <w:r>
        <w:separator/>
      </w:r>
    </w:p>
  </w:footnote>
  <w:footnote w:type="continuationSeparator" w:id="0">
    <w:p w:rsidR="000360C9" w:rsidRDefault="000360C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C9" w:rsidRDefault="000360C9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E3FCAB" wp14:editId="3760E2F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112D9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0360C9" w:rsidRDefault="000360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C9" w:rsidRDefault="000360C9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AF01C70" wp14:editId="087FAE16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BEE7965"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463AB7" wp14:editId="1247453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60C9" w:rsidRPr="003C6C8D" w:rsidRDefault="000360C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360C9" w:rsidRPr="003C6C8D" w:rsidRDefault="000360C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502F8C">
      <w:rPr>
        <w:noProof/>
        <w:lang w:val="en-GB" w:eastAsia="en-GB"/>
      </w:rPr>
      <w:drawing>
        <wp:inline distT="0" distB="0" distL="0" distR="0" wp14:anchorId="53371470" wp14:editId="0317F524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0360C9" w:rsidRDefault="000360C9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924217F" wp14:editId="0A25E08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0C9" w:rsidRPr="00C97596" w:rsidRDefault="000360C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15.10.2021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0360C9" w:rsidRPr="00C97596" w:rsidRDefault="000360C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15.10.2021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C9" w:rsidRDefault="000360C9">
    <w:pPr>
      <w:pStyle w:val="Nagwek"/>
    </w:pPr>
  </w:p>
  <w:p w:rsidR="000360C9" w:rsidRDefault="000360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6pt;visibility:visible" o:bullet="t">
        <v:imagedata r:id="rId1" o:title=""/>
      </v:shape>
    </w:pict>
  </w:numPicBullet>
  <w:numPicBullet w:numPicBulletId="1">
    <w:pict>
      <v:shape id="_x0000_i1029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34160"/>
    <w:rsid w:val="000360C9"/>
    <w:rsid w:val="0004015D"/>
    <w:rsid w:val="0004582E"/>
    <w:rsid w:val="0004646A"/>
    <w:rsid w:val="000470AA"/>
    <w:rsid w:val="00047AB1"/>
    <w:rsid w:val="00050FFF"/>
    <w:rsid w:val="000539AA"/>
    <w:rsid w:val="00057CA1"/>
    <w:rsid w:val="000662E2"/>
    <w:rsid w:val="00066883"/>
    <w:rsid w:val="00066C18"/>
    <w:rsid w:val="00074DD8"/>
    <w:rsid w:val="0007680B"/>
    <w:rsid w:val="000769B6"/>
    <w:rsid w:val="000800B4"/>
    <w:rsid w:val="000806F7"/>
    <w:rsid w:val="0009317E"/>
    <w:rsid w:val="00095882"/>
    <w:rsid w:val="00097840"/>
    <w:rsid w:val="000A057E"/>
    <w:rsid w:val="000A4BF7"/>
    <w:rsid w:val="000A6963"/>
    <w:rsid w:val="000A7F1A"/>
    <w:rsid w:val="000B0727"/>
    <w:rsid w:val="000B0BF7"/>
    <w:rsid w:val="000B1008"/>
    <w:rsid w:val="000B6497"/>
    <w:rsid w:val="000C135D"/>
    <w:rsid w:val="000D0E2A"/>
    <w:rsid w:val="000D1D43"/>
    <w:rsid w:val="000D1E25"/>
    <w:rsid w:val="000D225C"/>
    <w:rsid w:val="000D2A5C"/>
    <w:rsid w:val="000D50F8"/>
    <w:rsid w:val="000E0918"/>
    <w:rsid w:val="000F0AF2"/>
    <w:rsid w:val="000F710F"/>
    <w:rsid w:val="001011C3"/>
    <w:rsid w:val="00110D87"/>
    <w:rsid w:val="001149A1"/>
    <w:rsid w:val="00114DB9"/>
    <w:rsid w:val="00116087"/>
    <w:rsid w:val="001163D3"/>
    <w:rsid w:val="001179CF"/>
    <w:rsid w:val="00130296"/>
    <w:rsid w:val="001317AE"/>
    <w:rsid w:val="00132297"/>
    <w:rsid w:val="001335DA"/>
    <w:rsid w:val="00135B65"/>
    <w:rsid w:val="00142037"/>
    <w:rsid w:val="001423B6"/>
    <w:rsid w:val="001448A7"/>
    <w:rsid w:val="00146621"/>
    <w:rsid w:val="001539C9"/>
    <w:rsid w:val="001600F9"/>
    <w:rsid w:val="00161CD3"/>
    <w:rsid w:val="00162325"/>
    <w:rsid w:val="00163DB5"/>
    <w:rsid w:val="00164CEA"/>
    <w:rsid w:val="001660CA"/>
    <w:rsid w:val="00170D13"/>
    <w:rsid w:val="00174616"/>
    <w:rsid w:val="00190F6E"/>
    <w:rsid w:val="001951DA"/>
    <w:rsid w:val="001A2CB5"/>
    <w:rsid w:val="001A4B7F"/>
    <w:rsid w:val="001A78D0"/>
    <w:rsid w:val="001B0E45"/>
    <w:rsid w:val="001B3CA7"/>
    <w:rsid w:val="001C3269"/>
    <w:rsid w:val="001C53BA"/>
    <w:rsid w:val="001C585D"/>
    <w:rsid w:val="001D0172"/>
    <w:rsid w:val="001D1175"/>
    <w:rsid w:val="001D1DB4"/>
    <w:rsid w:val="001D5C9E"/>
    <w:rsid w:val="001D669C"/>
    <w:rsid w:val="001E1D94"/>
    <w:rsid w:val="001E3F14"/>
    <w:rsid w:val="001E764C"/>
    <w:rsid w:val="001E7DBB"/>
    <w:rsid w:val="001F2320"/>
    <w:rsid w:val="001F25B6"/>
    <w:rsid w:val="001F284F"/>
    <w:rsid w:val="001F60D1"/>
    <w:rsid w:val="001F6707"/>
    <w:rsid w:val="0020009D"/>
    <w:rsid w:val="00201740"/>
    <w:rsid w:val="002069C0"/>
    <w:rsid w:val="00206F09"/>
    <w:rsid w:val="00213150"/>
    <w:rsid w:val="002133F1"/>
    <w:rsid w:val="002147B5"/>
    <w:rsid w:val="00220482"/>
    <w:rsid w:val="0022272D"/>
    <w:rsid w:val="0022312E"/>
    <w:rsid w:val="00234969"/>
    <w:rsid w:val="00236165"/>
    <w:rsid w:val="002412BC"/>
    <w:rsid w:val="0024644E"/>
    <w:rsid w:val="00247B43"/>
    <w:rsid w:val="002574F9"/>
    <w:rsid w:val="00260F39"/>
    <w:rsid w:val="00262B61"/>
    <w:rsid w:val="0026302B"/>
    <w:rsid w:val="00266A77"/>
    <w:rsid w:val="002724FF"/>
    <w:rsid w:val="00275491"/>
    <w:rsid w:val="00275FA6"/>
    <w:rsid w:val="00276811"/>
    <w:rsid w:val="00276C9A"/>
    <w:rsid w:val="00282699"/>
    <w:rsid w:val="00284859"/>
    <w:rsid w:val="00286FC8"/>
    <w:rsid w:val="00290CB6"/>
    <w:rsid w:val="002926DF"/>
    <w:rsid w:val="00292DBF"/>
    <w:rsid w:val="00296697"/>
    <w:rsid w:val="002A2C38"/>
    <w:rsid w:val="002A36C0"/>
    <w:rsid w:val="002A4D80"/>
    <w:rsid w:val="002A7E9B"/>
    <w:rsid w:val="002B0472"/>
    <w:rsid w:val="002B6B12"/>
    <w:rsid w:val="002C4289"/>
    <w:rsid w:val="002C4659"/>
    <w:rsid w:val="002C6053"/>
    <w:rsid w:val="002D0020"/>
    <w:rsid w:val="002D0170"/>
    <w:rsid w:val="002D24A5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27D10"/>
    <w:rsid w:val="00331616"/>
    <w:rsid w:val="00332320"/>
    <w:rsid w:val="003417F1"/>
    <w:rsid w:val="00347D72"/>
    <w:rsid w:val="00350088"/>
    <w:rsid w:val="00350757"/>
    <w:rsid w:val="003544CF"/>
    <w:rsid w:val="00357611"/>
    <w:rsid w:val="0036186D"/>
    <w:rsid w:val="00367237"/>
    <w:rsid w:val="00367ACC"/>
    <w:rsid w:val="0037077F"/>
    <w:rsid w:val="00370D51"/>
    <w:rsid w:val="00372411"/>
    <w:rsid w:val="00372E66"/>
    <w:rsid w:val="00373882"/>
    <w:rsid w:val="003751B5"/>
    <w:rsid w:val="003843DB"/>
    <w:rsid w:val="00384BFA"/>
    <w:rsid w:val="00387B0E"/>
    <w:rsid w:val="003901AC"/>
    <w:rsid w:val="0039174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A7048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F4C97"/>
    <w:rsid w:val="003F60EB"/>
    <w:rsid w:val="003F7FE6"/>
    <w:rsid w:val="00400193"/>
    <w:rsid w:val="004037A8"/>
    <w:rsid w:val="00407024"/>
    <w:rsid w:val="004212E7"/>
    <w:rsid w:val="0042446D"/>
    <w:rsid w:val="00427BF8"/>
    <w:rsid w:val="00430B36"/>
    <w:rsid w:val="00431C02"/>
    <w:rsid w:val="00432D34"/>
    <w:rsid w:val="00437395"/>
    <w:rsid w:val="00445047"/>
    <w:rsid w:val="00445F90"/>
    <w:rsid w:val="00450616"/>
    <w:rsid w:val="00454E14"/>
    <w:rsid w:val="00454E65"/>
    <w:rsid w:val="004566AB"/>
    <w:rsid w:val="00456C2F"/>
    <w:rsid w:val="0045762F"/>
    <w:rsid w:val="00457C6C"/>
    <w:rsid w:val="004601AC"/>
    <w:rsid w:val="00463E39"/>
    <w:rsid w:val="0046537F"/>
    <w:rsid w:val="004657FC"/>
    <w:rsid w:val="00467DDF"/>
    <w:rsid w:val="004728C8"/>
    <w:rsid w:val="004733F6"/>
    <w:rsid w:val="00474E69"/>
    <w:rsid w:val="00475E6F"/>
    <w:rsid w:val="00477F80"/>
    <w:rsid w:val="00491B74"/>
    <w:rsid w:val="00493217"/>
    <w:rsid w:val="004957AB"/>
    <w:rsid w:val="0049621B"/>
    <w:rsid w:val="0049705B"/>
    <w:rsid w:val="004A397A"/>
    <w:rsid w:val="004A5B48"/>
    <w:rsid w:val="004B2EAB"/>
    <w:rsid w:val="004C1895"/>
    <w:rsid w:val="004C4610"/>
    <w:rsid w:val="004C6D40"/>
    <w:rsid w:val="004E1912"/>
    <w:rsid w:val="004F0C3C"/>
    <w:rsid w:val="004F63FC"/>
    <w:rsid w:val="00501F76"/>
    <w:rsid w:val="00502E6F"/>
    <w:rsid w:val="00502F8C"/>
    <w:rsid w:val="00505A92"/>
    <w:rsid w:val="0050612B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21A2"/>
    <w:rsid w:val="00552484"/>
    <w:rsid w:val="00556BF8"/>
    <w:rsid w:val="00556CF1"/>
    <w:rsid w:val="00562A3A"/>
    <w:rsid w:val="00564C34"/>
    <w:rsid w:val="00564DC8"/>
    <w:rsid w:val="00566A43"/>
    <w:rsid w:val="00571BA5"/>
    <w:rsid w:val="005762A7"/>
    <w:rsid w:val="0058676C"/>
    <w:rsid w:val="005877DE"/>
    <w:rsid w:val="00591176"/>
    <w:rsid w:val="005916D7"/>
    <w:rsid w:val="00593CF4"/>
    <w:rsid w:val="005A047A"/>
    <w:rsid w:val="005A2784"/>
    <w:rsid w:val="005A4A2A"/>
    <w:rsid w:val="005A698C"/>
    <w:rsid w:val="005B029C"/>
    <w:rsid w:val="005C1AF8"/>
    <w:rsid w:val="005C5EF8"/>
    <w:rsid w:val="005D1BCF"/>
    <w:rsid w:val="005D1C04"/>
    <w:rsid w:val="005D470D"/>
    <w:rsid w:val="005E0799"/>
    <w:rsid w:val="005E2757"/>
    <w:rsid w:val="005E782A"/>
    <w:rsid w:val="005F0177"/>
    <w:rsid w:val="005F4399"/>
    <w:rsid w:val="005F5A80"/>
    <w:rsid w:val="006044FF"/>
    <w:rsid w:val="00607CC5"/>
    <w:rsid w:val="00612A16"/>
    <w:rsid w:val="006149F0"/>
    <w:rsid w:val="00615A26"/>
    <w:rsid w:val="006233B9"/>
    <w:rsid w:val="00627D73"/>
    <w:rsid w:val="00631666"/>
    <w:rsid w:val="00631DAD"/>
    <w:rsid w:val="00633014"/>
    <w:rsid w:val="0063437B"/>
    <w:rsid w:val="00635568"/>
    <w:rsid w:val="006374CA"/>
    <w:rsid w:val="00643286"/>
    <w:rsid w:val="006476FF"/>
    <w:rsid w:val="00647A3A"/>
    <w:rsid w:val="0066542B"/>
    <w:rsid w:val="0066616C"/>
    <w:rsid w:val="006673CA"/>
    <w:rsid w:val="006715EE"/>
    <w:rsid w:val="00673C26"/>
    <w:rsid w:val="0067430E"/>
    <w:rsid w:val="00674A8B"/>
    <w:rsid w:val="006812AF"/>
    <w:rsid w:val="00682537"/>
    <w:rsid w:val="00682593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4251"/>
    <w:rsid w:val="006A4686"/>
    <w:rsid w:val="006B0E9E"/>
    <w:rsid w:val="006B208D"/>
    <w:rsid w:val="006B20B4"/>
    <w:rsid w:val="006B5AE4"/>
    <w:rsid w:val="006B7686"/>
    <w:rsid w:val="006C1539"/>
    <w:rsid w:val="006C7F66"/>
    <w:rsid w:val="006D086E"/>
    <w:rsid w:val="006D1507"/>
    <w:rsid w:val="006D37E6"/>
    <w:rsid w:val="006D4054"/>
    <w:rsid w:val="006D6B72"/>
    <w:rsid w:val="006E02EC"/>
    <w:rsid w:val="006E0402"/>
    <w:rsid w:val="006E1F27"/>
    <w:rsid w:val="00701C5E"/>
    <w:rsid w:val="007034D7"/>
    <w:rsid w:val="00704D66"/>
    <w:rsid w:val="007059D5"/>
    <w:rsid w:val="007162EB"/>
    <w:rsid w:val="007211B1"/>
    <w:rsid w:val="0072400B"/>
    <w:rsid w:val="00724688"/>
    <w:rsid w:val="00732168"/>
    <w:rsid w:val="0073223D"/>
    <w:rsid w:val="007324DB"/>
    <w:rsid w:val="00733D55"/>
    <w:rsid w:val="007364D7"/>
    <w:rsid w:val="00746187"/>
    <w:rsid w:val="00751D7D"/>
    <w:rsid w:val="00752A67"/>
    <w:rsid w:val="00761070"/>
    <w:rsid w:val="007624DC"/>
    <w:rsid w:val="0076254F"/>
    <w:rsid w:val="00777CA3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B2CB7"/>
    <w:rsid w:val="007B3BF3"/>
    <w:rsid w:val="007B4A2D"/>
    <w:rsid w:val="007B6CD6"/>
    <w:rsid w:val="007B74D8"/>
    <w:rsid w:val="007C161B"/>
    <w:rsid w:val="007D3319"/>
    <w:rsid w:val="007D335D"/>
    <w:rsid w:val="007D3EDC"/>
    <w:rsid w:val="007E184E"/>
    <w:rsid w:val="007E1C44"/>
    <w:rsid w:val="007E3314"/>
    <w:rsid w:val="007E4B03"/>
    <w:rsid w:val="007F324B"/>
    <w:rsid w:val="007F4D36"/>
    <w:rsid w:val="00802A9A"/>
    <w:rsid w:val="0080551D"/>
    <w:rsid w:val="0080553C"/>
    <w:rsid w:val="00805B46"/>
    <w:rsid w:val="008153B3"/>
    <w:rsid w:val="00820461"/>
    <w:rsid w:val="00820B10"/>
    <w:rsid w:val="0082498D"/>
    <w:rsid w:val="00825DC2"/>
    <w:rsid w:val="00831172"/>
    <w:rsid w:val="00834AD3"/>
    <w:rsid w:val="008362A4"/>
    <w:rsid w:val="00836753"/>
    <w:rsid w:val="008378E7"/>
    <w:rsid w:val="0083798B"/>
    <w:rsid w:val="008434BA"/>
    <w:rsid w:val="00843795"/>
    <w:rsid w:val="0084421C"/>
    <w:rsid w:val="00847F0F"/>
    <w:rsid w:val="00852448"/>
    <w:rsid w:val="00854143"/>
    <w:rsid w:val="008544D0"/>
    <w:rsid w:val="008552EE"/>
    <w:rsid w:val="00874A1E"/>
    <w:rsid w:val="0088258A"/>
    <w:rsid w:val="008832C4"/>
    <w:rsid w:val="00883763"/>
    <w:rsid w:val="008840FA"/>
    <w:rsid w:val="008850FF"/>
    <w:rsid w:val="00886332"/>
    <w:rsid w:val="00891A48"/>
    <w:rsid w:val="00897D11"/>
    <w:rsid w:val="008A26D9"/>
    <w:rsid w:val="008A78B9"/>
    <w:rsid w:val="008A7FA1"/>
    <w:rsid w:val="008B0AF7"/>
    <w:rsid w:val="008B22DF"/>
    <w:rsid w:val="008B3AB6"/>
    <w:rsid w:val="008B4AE0"/>
    <w:rsid w:val="008B565B"/>
    <w:rsid w:val="008B6B9C"/>
    <w:rsid w:val="008B7301"/>
    <w:rsid w:val="008C0C29"/>
    <w:rsid w:val="008C7A01"/>
    <w:rsid w:val="008D368B"/>
    <w:rsid w:val="008D6D8B"/>
    <w:rsid w:val="008E5CBF"/>
    <w:rsid w:val="008F07F6"/>
    <w:rsid w:val="008F3638"/>
    <w:rsid w:val="008F4441"/>
    <w:rsid w:val="008F557F"/>
    <w:rsid w:val="008F6F31"/>
    <w:rsid w:val="008F74DF"/>
    <w:rsid w:val="008F7D3F"/>
    <w:rsid w:val="009011AC"/>
    <w:rsid w:val="00905229"/>
    <w:rsid w:val="009127BA"/>
    <w:rsid w:val="00916782"/>
    <w:rsid w:val="00917264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5EE"/>
    <w:rsid w:val="00953676"/>
    <w:rsid w:val="00953726"/>
    <w:rsid w:val="009555D4"/>
    <w:rsid w:val="009630F7"/>
    <w:rsid w:val="00964D8C"/>
    <w:rsid w:val="009661AB"/>
    <w:rsid w:val="009705EE"/>
    <w:rsid w:val="00971217"/>
    <w:rsid w:val="00977927"/>
    <w:rsid w:val="0098135C"/>
    <w:rsid w:val="0098156A"/>
    <w:rsid w:val="00981AB5"/>
    <w:rsid w:val="00984363"/>
    <w:rsid w:val="0098788B"/>
    <w:rsid w:val="00990133"/>
    <w:rsid w:val="00991BAC"/>
    <w:rsid w:val="009927CE"/>
    <w:rsid w:val="009963D7"/>
    <w:rsid w:val="009A1431"/>
    <w:rsid w:val="009A3154"/>
    <w:rsid w:val="009A3998"/>
    <w:rsid w:val="009A4F1C"/>
    <w:rsid w:val="009A6EA0"/>
    <w:rsid w:val="009B1399"/>
    <w:rsid w:val="009B1E14"/>
    <w:rsid w:val="009B2E0E"/>
    <w:rsid w:val="009B746F"/>
    <w:rsid w:val="009B76FA"/>
    <w:rsid w:val="009C1335"/>
    <w:rsid w:val="009C1AB2"/>
    <w:rsid w:val="009C2037"/>
    <w:rsid w:val="009C3469"/>
    <w:rsid w:val="009C375D"/>
    <w:rsid w:val="009C50CF"/>
    <w:rsid w:val="009C5407"/>
    <w:rsid w:val="009C55D4"/>
    <w:rsid w:val="009C7251"/>
    <w:rsid w:val="009E0C86"/>
    <w:rsid w:val="009E1FE1"/>
    <w:rsid w:val="009E2E91"/>
    <w:rsid w:val="009E3BF4"/>
    <w:rsid w:val="009E3F12"/>
    <w:rsid w:val="009E3FA7"/>
    <w:rsid w:val="009E410D"/>
    <w:rsid w:val="009E79F7"/>
    <w:rsid w:val="009F0CD2"/>
    <w:rsid w:val="009F403C"/>
    <w:rsid w:val="009F5461"/>
    <w:rsid w:val="009F5815"/>
    <w:rsid w:val="009F5CBC"/>
    <w:rsid w:val="00A03DB9"/>
    <w:rsid w:val="00A04E4F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70EBF"/>
    <w:rsid w:val="00A712C4"/>
    <w:rsid w:val="00A810F9"/>
    <w:rsid w:val="00A86ECC"/>
    <w:rsid w:val="00A86FCC"/>
    <w:rsid w:val="00A93892"/>
    <w:rsid w:val="00AA0891"/>
    <w:rsid w:val="00AA13BD"/>
    <w:rsid w:val="00AA14BB"/>
    <w:rsid w:val="00AA451B"/>
    <w:rsid w:val="00AA710D"/>
    <w:rsid w:val="00AB6D25"/>
    <w:rsid w:val="00AC155F"/>
    <w:rsid w:val="00AC1AFD"/>
    <w:rsid w:val="00AC3E42"/>
    <w:rsid w:val="00AD0B4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6AEA"/>
    <w:rsid w:val="00AF7617"/>
    <w:rsid w:val="00B05BC8"/>
    <w:rsid w:val="00B06265"/>
    <w:rsid w:val="00B115AB"/>
    <w:rsid w:val="00B11B69"/>
    <w:rsid w:val="00B14952"/>
    <w:rsid w:val="00B210CA"/>
    <w:rsid w:val="00B25DCD"/>
    <w:rsid w:val="00B31E5A"/>
    <w:rsid w:val="00B322EC"/>
    <w:rsid w:val="00B32730"/>
    <w:rsid w:val="00B37F5A"/>
    <w:rsid w:val="00B40DD0"/>
    <w:rsid w:val="00B5056F"/>
    <w:rsid w:val="00B50A80"/>
    <w:rsid w:val="00B609CE"/>
    <w:rsid w:val="00B63C9E"/>
    <w:rsid w:val="00B653AB"/>
    <w:rsid w:val="00B65F9E"/>
    <w:rsid w:val="00B66B19"/>
    <w:rsid w:val="00B70FDA"/>
    <w:rsid w:val="00B74022"/>
    <w:rsid w:val="00B853EC"/>
    <w:rsid w:val="00B86E2F"/>
    <w:rsid w:val="00B914E9"/>
    <w:rsid w:val="00B93713"/>
    <w:rsid w:val="00B94737"/>
    <w:rsid w:val="00B94D9A"/>
    <w:rsid w:val="00B956EE"/>
    <w:rsid w:val="00B97152"/>
    <w:rsid w:val="00B97175"/>
    <w:rsid w:val="00B97C47"/>
    <w:rsid w:val="00BA0B97"/>
    <w:rsid w:val="00BA1932"/>
    <w:rsid w:val="00BA2BA1"/>
    <w:rsid w:val="00BA3562"/>
    <w:rsid w:val="00BA5A42"/>
    <w:rsid w:val="00BA7A76"/>
    <w:rsid w:val="00BB4773"/>
    <w:rsid w:val="00BB4F09"/>
    <w:rsid w:val="00BB63A9"/>
    <w:rsid w:val="00BC1505"/>
    <w:rsid w:val="00BC17C7"/>
    <w:rsid w:val="00BC50F0"/>
    <w:rsid w:val="00BD4CA6"/>
    <w:rsid w:val="00BD4E33"/>
    <w:rsid w:val="00BD71BA"/>
    <w:rsid w:val="00BE09A5"/>
    <w:rsid w:val="00BE4B65"/>
    <w:rsid w:val="00C00EDA"/>
    <w:rsid w:val="00C030DE"/>
    <w:rsid w:val="00C07C7D"/>
    <w:rsid w:val="00C11EFD"/>
    <w:rsid w:val="00C22105"/>
    <w:rsid w:val="00C23F3B"/>
    <w:rsid w:val="00C244B6"/>
    <w:rsid w:val="00C27D75"/>
    <w:rsid w:val="00C35869"/>
    <w:rsid w:val="00C3702F"/>
    <w:rsid w:val="00C4301D"/>
    <w:rsid w:val="00C4500A"/>
    <w:rsid w:val="00C45479"/>
    <w:rsid w:val="00C55C91"/>
    <w:rsid w:val="00C56E95"/>
    <w:rsid w:val="00C62E44"/>
    <w:rsid w:val="00C64A37"/>
    <w:rsid w:val="00C64C70"/>
    <w:rsid w:val="00C662A5"/>
    <w:rsid w:val="00C7158E"/>
    <w:rsid w:val="00C72186"/>
    <w:rsid w:val="00C7218F"/>
    <w:rsid w:val="00C7250B"/>
    <w:rsid w:val="00C7346B"/>
    <w:rsid w:val="00C73B5E"/>
    <w:rsid w:val="00C77C0E"/>
    <w:rsid w:val="00C8000E"/>
    <w:rsid w:val="00C83D7C"/>
    <w:rsid w:val="00C91687"/>
    <w:rsid w:val="00C924A8"/>
    <w:rsid w:val="00C92AF8"/>
    <w:rsid w:val="00C945FE"/>
    <w:rsid w:val="00C950B4"/>
    <w:rsid w:val="00C96FAA"/>
    <w:rsid w:val="00C97A04"/>
    <w:rsid w:val="00CA107B"/>
    <w:rsid w:val="00CA37A0"/>
    <w:rsid w:val="00CA484D"/>
    <w:rsid w:val="00CA4FB6"/>
    <w:rsid w:val="00CA5FC4"/>
    <w:rsid w:val="00CB565C"/>
    <w:rsid w:val="00CB6F15"/>
    <w:rsid w:val="00CC739E"/>
    <w:rsid w:val="00CD1E2E"/>
    <w:rsid w:val="00CD2371"/>
    <w:rsid w:val="00CD32D0"/>
    <w:rsid w:val="00CD58B7"/>
    <w:rsid w:val="00CD77D9"/>
    <w:rsid w:val="00CD7CB6"/>
    <w:rsid w:val="00CE019A"/>
    <w:rsid w:val="00CE52F0"/>
    <w:rsid w:val="00CF031B"/>
    <w:rsid w:val="00CF08EF"/>
    <w:rsid w:val="00CF4099"/>
    <w:rsid w:val="00CF4349"/>
    <w:rsid w:val="00CF4C96"/>
    <w:rsid w:val="00CF729B"/>
    <w:rsid w:val="00D00796"/>
    <w:rsid w:val="00D02D2C"/>
    <w:rsid w:val="00D03342"/>
    <w:rsid w:val="00D066F3"/>
    <w:rsid w:val="00D076D6"/>
    <w:rsid w:val="00D11CF3"/>
    <w:rsid w:val="00D20C21"/>
    <w:rsid w:val="00D23F61"/>
    <w:rsid w:val="00D25F19"/>
    <w:rsid w:val="00D261A2"/>
    <w:rsid w:val="00D27CD4"/>
    <w:rsid w:val="00D329DC"/>
    <w:rsid w:val="00D3418B"/>
    <w:rsid w:val="00D372FB"/>
    <w:rsid w:val="00D37A41"/>
    <w:rsid w:val="00D4654D"/>
    <w:rsid w:val="00D50747"/>
    <w:rsid w:val="00D51212"/>
    <w:rsid w:val="00D51EA1"/>
    <w:rsid w:val="00D538E4"/>
    <w:rsid w:val="00D616D2"/>
    <w:rsid w:val="00D63B5F"/>
    <w:rsid w:val="00D65F2C"/>
    <w:rsid w:val="00D7066F"/>
    <w:rsid w:val="00D70EF7"/>
    <w:rsid w:val="00D75C17"/>
    <w:rsid w:val="00D815F5"/>
    <w:rsid w:val="00D8397C"/>
    <w:rsid w:val="00D83D64"/>
    <w:rsid w:val="00D83F2F"/>
    <w:rsid w:val="00D84DE7"/>
    <w:rsid w:val="00D94EED"/>
    <w:rsid w:val="00D96026"/>
    <w:rsid w:val="00DA0243"/>
    <w:rsid w:val="00DA2264"/>
    <w:rsid w:val="00DA423B"/>
    <w:rsid w:val="00DA433C"/>
    <w:rsid w:val="00DA4531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775D"/>
    <w:rsid w:val="00DF5C74"/>
    <w:rsid w:val="00DF712D"/>
    <w:rsid w:val="00E01436"/>
    <w:rsid w:val="00E01E27"/>
    <w:rsid w:val="00E045BD"/>
    <w:rsid w:val="00E17A9F"/>
    <w:rsid w:val="00E17B77"/>
    <w:rsid w:val="00E22635"/>
    <w:rsid w:val="00E23337"/>
    <w:rsid w:val="00E23761"/>
    <w:rsid w:val="00E24032"/>
    <w:rsid w:val="00E259EA"/>
    <w:rsid w:val="00E27E85"/>
    <w:rsid w:val="00E303FF"/>
    <w:rsid w:val="00E30793"/>
    <w:rsid w:val="00E32061"/>
    <w:rsid w:val="00E37F13"/>
    <w:rsid w:val="00E4151F"/>
    <w:rsid w:val="00E41FCF"/>
    <w:rsid w:val="00E42FF9"/>
    <w:rsid w:val="00E4714C"/>
    <w:rsid w:val="00E51AEB"/>
    <w:rsid w:val="00E522A7"/>
    <w:rsid w:val="00E52D65"/>
    <w:rsid w:val="00E532B8"/>
    <w:rsid w:val="00E53DE0"/>
    <w:rsid w:val="00E54452"/>
    <w:rsid w:val="00E616DF"/>
    <w:rsid w:val="00E6377C"/>
    <w:rsid w:val="00E664C5"/>
    <w:rsid w:val="00E66A5B"/>
    <w:rsid w:val="00E671A2"/>
    <w:rsid w:val="00E67C66"/>
    <w:rsid w:val="00E70563"/>
    <w:rsid w:val="00E70D5C"/>
    <w:rsid w:val="00E729E3"/>
    <w:rsid w:val="00E76D26"/>
    <w:rsid w:val="00E87FB4"/>
    <w:rsid w:val="00E95BE5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C30DD"/>
    <w:rsid w:val="00ED24F1"/>
    <w:rsid w:val="00ED55C0"/>
    <w:rsid w:val="00ED5A3D"/>
    <w:rsid w:val="00ED63E8"/>
    <w:rsid w:val="00ED682B"/>
    <w:rsid w:val="00EE41D5"/>
    <w:rsid w:val="00EE696D"/>
    <w:rsid w:val="00EF6301"/>
    <w:rsid w:val="00EF7B36"/>
    <w:rsid w:val="00F027A2"/>
    <w:rsid w:val="00F037A4"/>
    <w:rsid w:val="00F04C11"/>
    <w:rsid w:val="00F0593C"/>
    <w:rsid w:val="00F06F36"/>
    <w:rsid w:val="00F07B22"/>
    <w:rsid w:val="00F12FEC"/>
    <w:rsid w:val="00F161AC"/>
    <w:rsid w:val="00F1770E"/>
    <w:rsid w:val="00F20A4B"/>
    <w:rsid w:val="00F26013"/>
    <w:rsid w:val="00F27C8F"/>
    <w:rsid w:val="00F30A0C"/>
    <w:rsid w:val="00F32749"/>
    <w:rsid w:val="00F3314D"/>
    <w:rsid w:val="00F34A33"/>
    <w:rsid w:val="00F37172"/>
    <w:rsid w:val="00F42DB8"/>
    <w:rsid w:val="00F4477E"/>
    <w:rsid w:val="00F455A2"/>
    <w:rsid w:val="00F45717"/>
    <w:rsid w:val="00F479EB"/>
    <w:rsid w:val="00F52335"/>
    <w:rsid w:val="00F65EEC"/>
    <w:rsid w:val="00F6637E"/>
    <w:rsid w:val="00F67D8F"/>
    <w:rsid w:val="00F70C4A"/>
    <w:rsid w:val="00F739B3"/>
    <w:rsid w:val="00F7414E"/>
    <w:rsid w:val="00F74897"/>
    <w:rsid w:val="00F74B10"/>
    <w:rsid w:val="00F74FFC"/>
    <w:rsid w:val="00F75C6D"/>
    <w:rsid w:val="00F80247"/>
    <w:rsid w:val="00F802BE"/>
    <w:rsid w:val="00F80E93"/>
    <w:rsid w:val="00F81CC7"/>
    <w:rsid w:val="00F823A8"/>
    <w:rsid w:val="00F86024"/>
    <w:rsid w:val="00F8611A"/>
    <w:rsid w:val="00F86C02"/>
    <w:rsid w:val="00F90A0D"/>
    <w:rsid w:val="00F90BB1"/>
    <w:rsid w:val="00F92824"/>
    <w:rsid w:val="00F93908"/>
    <w:rsid w:val="00F93CA3"/>
    <w:rsid w:val="00F96C68"/>
    <w:rsid w:val="00FA4663"/>
    <w:rsid w:val="00FA4EC6"/>
    <w:rsid w:val="00FA5128"/>
    <w:rsid w:val="00FB42D4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E4BB2"/>
    <w:rsid w:val="00FF00AF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711,pojecie.html" TargetMode="External"/><Relationship Id="rId42" Type="http://schemas.openxmlformats.org/officeDocument/2006/relationships/hyperlink" Target="http://stat.gov.pl/obszary-tematyczne/ceny-handel/ceny/" TargetMode="External"/><Relationship Id="rId47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ceny-handel/ceny/" TargetMode="External"/><Relationship Id="rId38" Type="http://schemas.openxmlformats.org/officeDocument/2006/relationships/hyperlink" Target="http://swaid.stat.gov.pl/SitePagesDBW/Ceny.aspx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hyperlink" Target="http://stat.gov.pl/sygnalne/informacje-sygnalne/" TargetMode="External"/><Relationship Id="rId40" Type="http://schemas.openxmlformats.org/officeDocument/2006/relationships/hyperlink" Target="https://bdl.stat.gov.pl/BDL/start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stat.gov.pl/sygnalne/komunikaty-i-obwieszczenia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hyperlink" Target="https://bdl.stat.gov.pl/BDL/start" TargetMode="External"/><Relationship Id="rId44" Type="http://schemas.openxmlformats.org/officeDocument/2006/relationships/hyperlink" Target="http://stat.gov.pl/metainformacje/slownik-pojec/pojecia-stosowane-w-statystyce-publicznej/32,pojeci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footer" Target="footer2.xml"/><Relationship Id="rId27" Type="http://schemas.openxmlformats.org/officeDocument/2006/relationships/hyperlink" Target="http://stat.gov.pl/sygnalne/komunikaty-i-obwieszczenia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2,pojecie.html" TargetMode="External"/><Relationship Id="rId43" Type="http://schemas.openxmlformats.org/officeDocument/2006/relationships/hyperlink" Target="http://stat.gov.pl/metainformacje/slownik-pojec/pojecia-stosowane-w-statystyce-publicznej/711,pojecie.html" TargetMode="Externa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VMFGUS09\HU\cenydet\dyskf\ROBOCZY\Ula\Ci&#261;gutka_pier_str\WST_2021\WYKRESY\09_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VMFGUS09\HU\cenydet\dyskf\ROBOCZY\Ula\Ci&#261;gutka_pier_str\WST_2021\WYKRESY\09_202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VMFGUS09\HU\cenydet\dyskf\ROBOCZY\Ula\Ci&#261;gutka_pier_str\WST_2021\WYKRESY\09_2021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VMFGUS09\HU\cenydet\dyskf\ROBOCZY\Ula\Ci&#261;gutka_pier_str\WST_2021\WYKRESY\09_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269426217556138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WPŁYWY!$A$3:$A$12</c:f>
              <c:strCache>
                <c:ptCount val="10"/>
                <c:pt idx="0">
                  <c:v>Mięso</c:v>
                </c:pt>
                <c:pt idx="1">
                  <c:v>Owoce</c:v>
                </c:pt>
                <c:pt idx="2">
                  <c:v>Turystyka zorganizowana</c:v>
                </c:pt>
                <c:pt idx="3">
                  <c:v>Obuwie</c:v>
                </c:pt>
                <c:pt idx="4">
                  <c:v>Gastronomia</c:v>
                </c:pt>
                <c:pt idx="5">
                  <c:v>Warzywa</c:v>
                </c:pt>
                <c:pt idx="6">
                  <c:v>Odzież</c:v>
                </c:pt>
                <c:pt idx="7">
                  <c:v>Nośniki energii</c:v>
                </c:pt>
                <c:pt idx="8">
                  <c:v>Usługi telekomunikacyjne</c:v>
                </c:pt>
                <c:pt idx="9">
                  <c:v>Paliwa do prywatnych środków transportu</c:v>
                </c:pt>
              </c:strCache>
            </c:strRef>
          </c:cat>
          <c:val>
            <c:numRef>
              <c:f>WPŁYWY!$C$3:$C$12</c:f>
              <c:numCache>
                <c:formatCode>0.00</c:formatCode>
                <c:ptCount val="10"/>
                <c:pt idx="0">
                  <c:v>-0.06</c:v>
                </c:pt>
                <c:pt idx="1">
                  <c:v>-0.04</c:v>
                </c:pt>
                <c:pt idx="2">
                  <c:v>-0.03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0.09</c:v>
                </c:pt>
                <c:pt idx="7">
                  <c:v>0.09</c:v>
                </c:pt>
                <c:pt idx="8">
                  <c:v>0.12</c:v>
                </c:pt>
                <c:pt idx="9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2951168"/>
        <c:axId val="105877504"/>
      </c:barChart>
      <c:catAx>
        <c:axId val="102951168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5877504"/>
        <c:crossesAt val="0"/>
        <c:auto val="1"/>
        <c:lblAlgn val="ctr"/>
        <c:lblOffset val="100"/>
        <c:tickMarkSkip val="1"/>
        <c:noMultiLvlLbl val="0"/>
      </c:catAx>
      <c:valAx>
        <c:axId val="105877504"/>
        <c:scaling>
          <c:orientation val="minMax"/>
          <c:max val="0.15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2951168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720807723504626"/>
          <c:y val="0"/>
          <c:w val="0.58530647639467726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WAG'!$I$2:$I$13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5892480"/>
        <c:axId val="106235392"/>
      </c:barChart>
      <c:catAx>
        <c:axId val="105892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06235392"/>
        <c:crosses val="autoZero"/>
        <c:auto val="0"/>
        <c:lblAlgn val="ctr"/>
        <c:lblOffset val="100"/>
        <c:noMultiLvlLbl val="0"/>
      </c:catAx>
      <c:valAx>
        <c:axId val="106235392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317083774494438"/>
              <c:y val="0.94758159647872409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058924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 algn="just"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5294194584918237E-2"/>
                  <c:y val="-1.3542434839149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8851215557891683E-2"/>
                  <c:y val="-1.60866221027508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0203063125848579E-2"/>
                  <c:y val="-3.9472766055300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4217903405436161E-3"/>
                  <c:y val="-3.443474399536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5596905444461774E-2"/>
                  <c:y val="-3.70705172427464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273601572693263E-2"/>
                  <c:y val="5.0749314962413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4226561377294949E-2"/>
                  <c:y val="-2.351321290446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2040664618799757E-2"/>
                  <c:y val="-2.0253917447926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031667032657629E-2"/>
                  <c:y val="4.088793731507089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'M-1'!$B$50:$B$70</c:f>
              <c:strCache>
                <c:ptCount val="21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'M-1'!$C$50:$C$70</c:f>
              <c:numCache>
                <c:formatCode>0.0</c:formatCode>
                <c:ptCount val="21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  <c:pt idx="19">
                  <c:v>0.3</c:v>
                </c:pt>
                <c:pt idx="20">
                  <c:v>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296064"/>
        <c:axId val="106297600"/>
      </c:lineChart>
      <c:dateAx>
        <c:axId val="1062960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6297600"/>
        <c:crossesAt val="0"/>
        <c:auto val="0"/>
        <c:lblOffset val="100"/>
        <c:baseTimeUnit val="days"/>
      </c:dateAx>
      <c:valAx>
        <c:axId val="106297600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6296064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20"/>
            <c:bubble3D val="0"/>
          </c:dPt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1709026313734673E-2"/>
                  <c:y val="3.2442129629629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063207620832355E-2"/>
                  <c:y val="2.75902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713691143757735E-2"/>
                  <c:y val="4.760715596083546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132534706869431E-2"/>
                  <c:y val="9.492232597541510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6.9233489842188802E-3"/>
                  <c:y val="4.0146653317769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3633169360505973E-2"/>
                  <c:y val="1.735091569547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0813617552900757E-2"/>
                  <c:y val="-1.28386559709399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(+FE)'!$B$50:$B$70</c:f>
              <c:strCache>
                <c:ptCount val="21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'M-12 (+FE)'!$C$50:$C$70</c:f>
              <c:numCache>
                <c:formatCode>0.0</c:formatCode>
                <c:ptCount val="21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652416"/>
        <c:axId val="106653952"/>
      </c:lineChart>
      <c:dateAx>
        <c:axId val="10665241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6653952"/>
        <c:crossesAt val="0"/>
        <c:auto val="0"/>
        <c:lblOffset val="100"/>
        <c:baseTimeUnit val="days"/>
      </c:dateAx>
      <c:valAx>
        <c:axId val="10665395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665241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m-12'!$B$51:$B$71</c:f>
              <c:strCache>
                <c:ptCount val="21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'CPI_HICP m-12'!$C$51:$C$71</c:f>
              <c:numCache>
                <c:formatCode>0.0</c:formatCode>
                <c:ptCount val="21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m-12'!$B$51:$B$71</c:f>
              <c:strCache>
                <c:ptCount val="21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'CPI_HICP m-12'!$E$51:$E$70</c:f>
              <c:numCache>
                <c:formatCode>0.0</c:formatCode>
                <c:ptCount val="20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  <c:pt idx="18">
                  <c:v>4.7</c:v>
                </c:pt>
                <c:pt idx="19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819584"/>
        <c:axId val="106821120"/>
      </c:lineChart>
      <c:catAx>
        <c:axId val="10681958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682112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6821120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6819584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05996375684"/>
          <c:y val="0.64490333492486096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0.93147</cdr:y>
    </cdr:from>
    <cdr:to>
      <cdr:x>0.56265</cdr:x>
      <cdr:y>0.98531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55146" y="2349375"/>
          <a:ext cx="2527054" cy="1358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0.56026</cdr:x>
      <cdr:y>0.9339</cdr:y>
    </cdr:from>
    <cdr:to>
      <cdr:x>0.92965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869948" y="2355501"/>
          <a:ext cx="1892226" cy="1449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0.55932</cdr:x>
      <cdr:y>0.86697</cdr:y>
    </cdr:from>
    <cdr:to>
      <cdr:x>0.55932</cdr:x>
      <cdr:y>0.93971</cdr:y>
    </cdr:to>
    <cdr:cxnSp macro="">
      <cdr:nvCxnSpPr>
        <cdr:cNvPr id="6" name="Łącznik prosty 5"/>
        <cdr:cNvCxnSpPr/>
      </cdr:nvCxnSpPr>
      <cdr:spPr bwMode="auto">
        <a:xfrm xmlns:a="http://schemas.openxmlformats.org/drawingml/2006/main">
          <a:off x="2865158" y="2186687"/>
          <a:ext cx="0" cy="183466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0.06866</cdr:x>
      <cdr:y>0.55012</cdr:y>
    </cdr:from>
    <cdr:to>
      <cdr:x>0.92777</cdr:x>
      <cdr:y>0.55067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>
          <a:off x="351692" y="1431892"/>
          <a:ext cx="4400852" cy="142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0.06913</cdr:x>
      <cdr:y>0.42441</cdr:y>
    </cdr:from>
    <cdr:to>
      <cdr:x>0.92345</cdr:x>
      <cdr:y>0.42609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4132" y="1104680"/>
          <a:ext cx="4376304" cy="437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0.9287</cdr:y>
    </cdr:from>
    <cdr:to>
      <cdr:x>0.55979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1" y="2417275"/>
          <a:ext cx="2510098" cy="1855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0.34792</cdr:x>
      <cdr:y>0.36043</cdr:y>
    </cdr:from>
    <cdr:to>
      <cdr:x>0.64896</cdr:x>
      <cdr:y>0.4243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782211" y="938151"/>
          <a:ext cx="1542091" cy="1662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0.34822</cdr:x>
      <cdr:y>0.67593</cdr:y>
    </cdr:from>
    <cdr:to>
      <cdr:x>0.64917</cdr:x>
      <cdr:y>0.74367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783797" y="1759355"/>
          <a:ext cx="1541629" cy="1763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0.70474</cdr:x>
      <cdr:y>0.55205</cdr:y>
    </cdr:from>
    <cdr:to>
      <cdr:x>0.89625</cdr:x>
      <cdr:y>0.61821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10062" y="1436914"/>
          <a:ext cx="981019" cy="172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0.55937</cdr:x>
      <cdr:y>0.92745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865422" y="2414027"/>
          <a:ext cx="1891527" cy="1888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0.55953</cdr:x>
      <cdr:y>0.86802</cdr:y>
    </cdr:from>
    <cdr:to>
      <cdr:x>0.55953</cdr:x>
      <cdr:y>0.9385</cdr:y>
    </cdr:to>
    <cdr:cxnSp macro="">
      <cdr:nvCxnSpPr>
        <cdr:cNvPr id="12" name="Łącznik prosty 11"/>
        <cdr:cNvCxnSpPr/>
      </cdr:nvCxnSpPr>
      <cdr:spPr bwMode="auto">
        <a:xfrm xmlns:a="http://schemas.openxmlformats.org/drawingml/2006/main">
          <a:off x="2866236" y="2259328"/>
          <a:ext cx="0" cy="183466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0.0712</cdr:x>
      <cdr:y>0.67621</cdr:y>
    </cdr:from>
    <cdr:to>
      <cdr:x>0.92451</cdr:x>
      <cdr:y>0.67824</cdr:y>
    </cdr:to>
    <cdr:sp macro="" textlink="">
      <cdr:nvSpPr>
        <cdr:cNvPr id="17" name="Łącznik prosty 16"/>
        <cdr:cNvSpPr/>
      </cdr:nvSpPr>
      <cdr:spPr bwMode="auto">
        <a:xfrm xmlns:a="http://schemas.openxmlformats.org/drawingml/2006/main" flipV="1">
          <a:off x="364703" y="1760087"/>
          <a:ext cx="4371150" cy="528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0.91757</cdr:y>
    </cdr:from>
    <cdr:to>
      <cdr:x>0.56122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683" y="2267712"/>
          <a:ext cx="2541191" cy="1803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0.55884</cdr:x>
      <cdr:y>0.85562</cdr:y>
    </cdr:from>
    <cdr:to>
      <cdr:x>0.55884</cdr:x>
      <cdr:y>0.92986</cdr:y>
    </cdr:to>
    <cdr:cxnSp macro="">
      <cdr:nvCxnSpPr>
        <cdr:cNvPr id="3" name="Łącznik prosty 2"/>
        <cdr:cNvCxnSpPr/>
      </cdr:nvCxnSpPr>
      <cdr:spPr bwMode="auto">
        <a:xfrm xmlns:a="http://schemas.openxmlformats.org/drawingml/2006/main">
          <a:off x="2862672" y="2114596"/>
          <a:ext cx="0" cy="183479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0.55937</cdr:x>
      <cdr:y>0.92314</cdr:y>
    </cdr:from>
    <cdr:to>
      <cdr:x>0.93229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865422" y="2281473"/>
          <a:ext cx="1910281" cy="1899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D5C06B-3F58-4508-ADC6-1EC2593B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7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3</cp:revision>
  <cp:lastPrinted>2021-06-14T12:53:00Z</cp:lastPrinted>
  <dcterms:created xsi:type="dcterms:W3CDTF">2021-08-11T14:12:00Z</dcterms:created>
  <dcterms:modified xsi:type="dcterms:W3CDTF">2021-10-14T18:19:00Z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