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FD11D4" w:rsidRDefault="00685123" w:rsidP="00685123">
      <w:pPr>
        <w:pStyle w:val="tytuinformacji"/>
      </w:pPr>
      <w:bookmarkStart w:id="0" w:name="_GoBack"/>
      <w:r w:rsidRPr="00FD11D4">
        <w:t xml:space="preserve">Wskaźniki cen towarów i usług konsumpcyjnych </w:t>
      </w:r>
      <w:bookmarkEnd w:id="0"/>
      <w:r w:rsidRPr="00FD11D4">
        <w:t>w </w:t>
      </w:r>
      <w:r w:rsidR="00B74022" w:rsidRPr="00FD11D4">
        <w:t>maju</w:t>
      </w:r>
      <w:r w:rsidR="007C161B" w:rsidRPr="00FD11D4">
        <w:t xml:space="preserve"> 2021</w:t>
      </w:r>
      <w:r w:rsidR="00EE696D" w:rsidRPr="00FD11D4">
        <w:t xml:space="preserve"> r.</w:t>
      </w:r>
    </w:p>
    <w:p w:rsidR="00AD4947" w:rsidRPr="00FD11D4" w:rsidRDefault="00AD4947" w:rsidP="00AD4947">
      <w:pPr>
        <w:pStyle w:val="tytuinformacji"/>
        <w:rPr>
          <w:sz w:val="32"/>
          <w:szCs w:val="32"/>
        </w:rPr>
      </w:pPr>
    </w:p>
    <w:p w:rsidR="00B37F5A" w:rsidRPr="00FD11D4" w:rsidRDefault="009E3F12" w:rsidP="00B37F5A">
      <w:pPr>
        <w:pStyle w:val="LID"/>
        <w:spacing w:after="0"/>
        <w:rPr>
          <w:lang w:eastAsia="en-GB"/>
        </w:rPr>
      </w:pPr>
      <w:r w:rsidRPr="00FD11D4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7B250EE" wp14:editId="7ED77BCB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1D4" w:rsidRPr="00D538E4" w:rsidRDefault="00FD11D4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857B514" wp14:editId="47CA8FEA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4,7%</w:t>
                            </w:r>
                          </w:p>
                          <w:p w:rsidR="00FD11D4" w:rsidRDefault="00FD11D4" w:rsidP="00B37F5A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FD11D4" w:rsidRDefault="00FD11D4" w:rsidP="00B37F5A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FD11D4" w:rsidRPr="00D538E4" w:rsidRDefault="00FD11D4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250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FD11D4" w:rsidRPr="00D538E4" w:rsidRDefault="00FD11D4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857B514" wp14:editId="47CA8FEA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4,7%</w:t>
                      </w:r>
                    </w:p>
                    <w:p w:rsidR="00FD11D4" w:rsidRDefault="00FD11D4" w:rsidP="00B37F5A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FD11D4" w:rsidRDefault="00FD11D4" w:rsidP="00B37F5A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FD11D4" w:rsidRPr="00D538E4" w:rsidRDefault="00FD11D4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F5A" w:rsidRPr="00FD11D4">
        <w:rPr>
          <w:lang w:eastAsia="en-GB"/>
        </w:rPr>
        <w:t xml:space="preserve">Ceny towarów i </w:t>
      </w:r>
      <w:r w:rsidR="00B74022" w:rsidRPr="00FD11D4">
        <w:rPr>
          <w:lang w:eastAsia="en-GB"/>
        </w:rPr>
        <w:t>usług konsumpcyjnych w maju</w:t>
      </w:r>
      <w:r w:rsidR="00B50A80" w:rsidRPr="00FD11D4">
        <w:rPr>
          <w:lang w:eastAsia="en-GB"/>
        </w:rPr>
        <w:t xml:space="preserve"> </w:t>
      </w:r>
      <w:r w:rsidR="007C161B" w:rsidRPr="00FD11D4">
        <w:rPr>
          <w:lang w:eastAsia="en-GB"/>
        </w:rPr>
        <w:t>2021</w:t>
      </w:r>
      <w:r w:rsidR="00B37F5A" w:rsidRPr="00FD11D4">
        <w:rPr>
          <w:lang w:eastAsia="en-GB"/>
        </w:rPr>
        <w:t xml:space="preserve"> r. w porównaniu z analogiczny</w:t>
      </w:r>
      <w:r w:rsidR="009A1431" w:rsidRPr="00FD11D4">
        <w:rPr>
          <w:lang w:eastAsia="en-GB"/>
        </w:rPr>
        <w:t xml:space="preserve">m miesiącem ub. roku </w:t>
      </w:r>
      <w:r w:rsidR="00BC50F0" w:rsidRPr="00FD11D4">
        <w:rPr>
          <w:lang w:eastAsia="en-GB"/>
        </w:rPr>
        <w:t xml:space="preserve">wzrosły o </w:t>
      </w:r>
      <w:r w:rsidR="00631DAD" w:rsidRPr="00FD11D4">
        <w:rPr>
          <w:lang w:eastAsia="en-GB"/>
        </w:rPr>
        <w:t>4,7</w:t>
      </w:r>
      <w:r w:rsidR="00B37F5A" w:rsidRPr="00FD11D4">
        <w:rPr>
          <w:lang w:eastAsia="en-GB"/>
        </w:rPr>
        <w:t>% (przy wzroście ce</w:t>
      </w:r>
      <w:r w:rsidR="005C5EF8" w:rsidRPr="00FD11D4">
        <w:rPr>
          <w:lang w:eastAsia="en-GB"/>
        </w:rPr>
        <w:t>n usług – o 6,</w:t>
      </w:r>
      <w:r w:rsidR="009F0CD2" w:rsidRPr="00FD11D4">
        <w:rPr>
          <w:lang w:eastAsia="en-GB"/>
        </w:rPr>
        <w:t>8</w:t>
      </w:r>
      <w:r w:rsidR="009A1431" w:rsidRPr="00FD11D4">
        <w:rPr>
          <w:lang w:eastAsia="en-GB"/>
        </w:rPr>
        <w:t xml:space="preserve">% </w:t>
      </w:r>
      <w:r w:rsidR="005C5EF8" w:rsidRPr="00FD11D4">
        <w:rPr>
          <w:lang w:eastAsia="en-GB"/>
        </w:rPr>
        <w:t>i </w:t>
      </w:r>
      <w:r w:rsidR="00B74022" w:rsidRPr="00FD11D4">
        <w:rPr>
          <w:lang w:eastAsia="en-GB"/>
        </w:rPr>
        <w:t>towarów – o 4,1</w:t>
      </w:r>
      <w:r w:rsidR="00B37F5A" w:rsidRPr="00FD11D4">
        <w:rPr>
          <w:lang w:eastAsia="en-GB"/>
        </w:rPr>
        <w:t>%).</w:t>
      </w:r>
    </w:p>
    <w:p w:rsidR="00370D51" w:rsidRPr="00FD11D4" w:rsidRDefault="00B37F5A" w:rsidP="00B37F5A">
      <w:pPr>
        <w:pStyle w:val="LID"/>
        <w:spacing w:before="0" w:after="0"/>
        <w:rPr>
          <w:lang w:eastAsia="en-GB"/>
        </w:rPr>
      </w:pPr>
      <w:r w:rsidRPr="00FD11D4">
        <w:rPr>
          <w:lang w:eastAsia="en-GB"/>
        </w:rPr>
        <w:t>W stosunku do poprzedniego miesiąca ce</w:t>
      </w:r>
      <w:r w:rsidR="005C5EF8" w:rsidRPr="00FD11D4">
        <w:rPr>
          <w:lang w:eastAsia="en-GB"/>
        </w:rPr>
        <w:t>ny towarów i </w:t>
      </w:r>
      <w:r w:rsidRPr="00FD11D4">
        <w:rPr>
          <w:lang w:eastAsia="en-GB"/>
        </w:rPr>
        <w:t xml:space="preserve">usług </w:t>
      </w:r>
      <w:r w:rsidR="00B74022" w:rsidRPr="00FD11D4">
        <w:rPr>
          <w:lang w:eastAsia="en-GB"/>
        </w:rPr>
        <w:t>wzrosły o 0,3</w:t>
      </w:r>
      <w:r w:rsidRPr="00FD11D4">
        <w:rPr>
          <w:lang w:eastAsia="en-GB"/>
        </w:rPr>
        <w:t>% (</w:t>
      </w:r>
      <w:r w:rsidR="009A1431" w:rsidRPr="00FD11D4">
        <w:rPr>
          <w:lang w:eastAsia="en-GB"/>
        </w:rPr>
        <w:t xml:space="preserve">w tym towarów i usług </w:t>
      </w:r>
      <w:r w:rsidR="001D669C" w:rsidRPr="00FD11D4">
        <w:rPr>
          <w:lang w:eastAsia="en-GB"/>
        </w:rPr>
        <w:t>p</w:t>
      </w:r>
      <w:r w:rsidR="009A1431" w:rsidRPr="00FD11D4">
        <w:rPr>
          <w:lang w:eastAsia="en-GB"/>
        </w:rPr>
        <w:t>o 0,3</w:t>
      </w:r>
      <w:r w:rsidR="00BC50F0" w:rsidRPr="00FD11D4">
        <w:rPr>
          <w:lang w:eastAsia="en-GB"/>
        </w:rPr>
        <w:t>%).</w:t>
      </w:r>
    </w:p>
    <w:p w:rsidR="00370D51" w:rsidRPr="00FD11D4" w:rsidRDefault="00370D51" w:rsidP="00370D51">
      <w:pPr>
        <w:pStyle w:val="LID"/>
        <w:spacing w:before="0" w:after="0"/>
      </w:pPr>
    </w:p>
    <w:p w:rsidR="00370D51" w:rsidRPr="00FD11D4" w:rsidRDefault="00370D51" w:rsidP="00370D51">
      <w:pPr>
        <w:pStyle w:val="LID"/>
        <w:spacing w:before="0" w:after="0"/>
      </w:pPr>
    </w:p>
    <w:p w:rsidR="009E3F12" w:rsidRPr="00FD11D4" w:rsidRDefault="009E3F12" w:rsidP="00164CEA">
      <w:pPr>
        <w:spacing w:before="0" w:after="100"/>
        <w:rPr>
          <w:highlight w:val="yellow"/>
        </w:rPr>
      </w:pPr>
    </w:p>
    <w:p w:rsidR="00C27D75" w:rsidRPr="00FD11D4" w:rsidRDefault="00AD4947" w:rsidP="00260F39">
      <w:pPr>
        <w:pStyle w:val="tytuwykresu"/>
        <w:spacing w:after="0"/>
        <w:rPr>
          <w:bCs/>
          <w:shd w:val="clear" w:color="auto" w:fill="FFFFFF"/>
        </w:rPr>
      </w:pPr>
      <w:r w:rsidRPr="00FD11D4">
        <w:t>Tablica 1.</w:t>
      </w:r>
      <w:r w:rsidRPr="00FD11D4">
        <w:rPr>
          <w:shd w:val="clear" w:color="auto" w:fill="FFFFFF"/>
        </w:rPr>
        <w:t xml:space="preserve"> </w:t>
      </w:r>
      <w:r w:rsidRPr="00FD11D4">
        <w:rPr>
          <w:bCs/>
          <w:shd w:val="clear" w:color="auto" w:fill="FFFFFF"/>
        </w:rPr>
        <w:t xml:space="preserve">Wskaźniki cen towarów i usług konsumpcyjnych w </w:t>
      </w:r>
      <w:r w:rsidR="00327D10" w:rsidRPr="00FD11D4">
        <w:rPr>
          <w:bCs/>
          <w:shd w:val="clear" w:color="auto" w:fill="FFFFFF"/>
        </w:rPr>
        <w:t>maju</w:t>
      </w:r>
      <w:r w:rsidR="00260F39" w:rsidRPr="00FD11D4">
        <w:rPr>
          <w:bCs/>
          <w:shd w:val="clear" w:color="auto" w:fill="FFFFFF"/>
        </w:rPr>
        <w:t xml:space="preserve"> </w:t>
      </w:r>
      <w:r w:rsidR="007C161B" w:rsidRPr="00FD11D4">
        <w:t>2021</w:t>
      </w:r>
      <w:r w:rsidRPr="00FD11D4">
        <w:t> </w:t>
      </w:r>
      <w:r w:rsidRPr="00FD11D4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260F39" w:rsidRPr="00FD11D4" w:rsidTr="00CF4349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260F39" w:rsidRPr="00FD11D4" w:rsidRDefault="006B7686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055" w:type="dxa"/>
          </w:tcPr>
          <w:p w:rsidR="00260F39" w:rsidRPr="00FD11D4" w:rsidRDefault="006B768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01-05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945" w:type="dxa"/>
            <w:vMerge w:val="restart"/>
            <w:vAlign w:val="center"/>
          </w:tcPr>
          <w:p w:rsidR="00260F39" w:rsidRPr="00D20C21" w:rsidRDefault="00260F3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260F39" w:rsidRPr="00FD11D4" w:rsidRDefault="000769B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04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CF4349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327D1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953726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04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260F39" w:rsidRPr="00FD11D4" w:rsidRDefault="006B7686" w:rsidP="006B7686">
            <w:pPr>
              <w:keepNext/>
              <w:tabs>
                <w:tab w:val="right" w:leader="dot" w:pos="4139"/>
              </w:tabs>
              <w:spacing w:after="0"/>
              <w:ind w:right="-108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01-05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FD11D4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FD11D4" w:rsidRDefault="00327D10" w:rsidP="00CD7CB6">
            <w:pPr>
              <w:jc w:val="right"/>
              <w:rPr>
                <w:b/>
              </w:rPr>
            </w:pPr>
            <w:r w:rsidRPr="00FD11D4">
              <w:rPr>
                <w:b/>
              </w:rPr>
              <w:t>104,7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FD11D4" w:rsidRDefault="00D372FB" w:rsidP="00B63C9E">
            <w:pPr>
              <w:jc w:val="right"/>
              <w:rPr>
                <w:b/>
              </w:rPr>
            </w:pPr>
            <w:r w:rsidRPr="00FD11D4">
              <w:rPr>
                <w:b/>
              </w:rPr>
              <w:t>103,9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  <w:rPr>
                <w:b/>
              </w:rPr>
            </w:pPr>
            <w:r w:rsidRPr="00FD11D4">
              <w:rPr>
                <w:b/>
              </w:rPr>
              <w:t>100,3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  <w:rPr>
                <w:b/>
              </w:rPr>
            </w:pPr>
            <w:r w:rsidRPr="00FD11D4">
              <w:rPr>
                <w:b/>
              </w:rPr>
              <w:t>103,5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63C9E" w:rsidRPr="00FD11D4" w:rsidRDefault="00B63C9E" w:rsidP="00CF434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327D10" w:rsidP="00CD7CB6">
            <w:pPr>
              <w:jc w:val="right"/>
            </w:pPr>
            <w:r w:rsidRPr="00FD11D4"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104,9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</w:pPr>
            <w:r w:rsidRPr="00FD11D4">
              <w:t>101,0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275491" w:rsidP="00B63C9E">
            <w:pPr>
              <w:jc w:val="right"/>
            </w:pPr>
            <w:r w:rsidRPr="00FD11D4">
              <w:t>0,16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FD11D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327D10" w:rsidP="00CD7CB6">
            <w:pPr>
              <w:jc w:val="right"/>
            </w:pPr>
            <w:r w:rsidRPr="00FD11D4">
              <w:t>101,8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</w:pPr>
            <w:r w:rsidRPr="00FD11D4">
              <w:t>102,2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0,01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327D10" w:rsidP="00CD7CB6">
            <w:pPr>
              <w:jc w:val="right"/>
            </w:pPr>
            <w:r w:rsidRPr="00FD11D4">
              <w:t>100,8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102,1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</w:pPr>
            <w:r w:rsidRPr="00FD11D4">
              <w:t>98,5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0,01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106,0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104,3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106,3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0,07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6900F6">
            <w:pPr>
              <w:tabs>
                <w:tab w:val="right" w:leader="dot" w:pos="4156"/>
              </w:tabs>
              <w:spacing w:before="0" w:after="40"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103,0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102,0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100,5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</w:pPr>
            <w:r w:rsidRPr="00FD11D4">
              <w:t>102,3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0,03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102,6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372FB" w:rsidP="00B63C9E">
            <w:pPr>
              <w:jc w:val="right"/>
            </w:pPr>
            <w:r w:rsidRPr="00FD11D4">
              <w:t>101,3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100,6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FC0106" w:rsidP="00B63C9E">
            <w:pPr>
              <w:jc w:val="right"/>
            </w:pPr>
            <w:r w:rsidRPr="00FD11D4">
              <w:t>103,7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0,03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119,5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C83D7C" w:rsidP="00B63C9E">
            <w:pPr>
              <w:jc w:val="right"/>
            </w:pPr>
            <w:r w:rsidRPr="00FD11D4">
              <w:t>109,9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9630F7" w:rsidP="00CD7CB6">
            <w:pPr>
              <w:jc w:val="right"/>
            </w:pPr>
            <w:r w:rsidRPr="00FD11D4">
              <w:t>99,6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0769B6" w:rsidP="00B63C9E">
            <w:pPr>
              <w:jc w:val="right"/>
            </w:pPr>
            <w:r w:rsidRPr="00FD11D4">
              <w:t>106,6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-0,0</w:t>
            </w:r>
            <w:r w:rsidR="00B63C9E" w:rsidRPr="00FD11D4">
              <w:t>4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106</w:t>
            </w:r>
            <w:r w:rsidR="00B63C9E" w:rsidRPr="00FD11D4">
              <w:t>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C83D7C" w:rsidP="00B63C9E">
            <w:pPr>
              <w:jc w:val="right"/>
            </w:pPr>
            <w:r w:rsidRPr="00FD11D4">
              <w:t>103</w:t>
            </w:r>
            <w:r w:rsidR="00B63C9E" w:rsidRPr="00FD11D4">
              <w:t>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3A3927" w:rsidP="00CD7CB6">
            <w:pPr>
              <w:jc w:val="right"/>
            </w:pPr>
            <w:r w:rsidRPr="00FD11D4">
              <w:t>99,1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106,5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-0,05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562A3A" w:rsidP="00CD7CB6">
            <w:pPr>
              <w:jc w:val="right"/>
            </w:pPr>
            <w:r w:rsidRPr="00FD11D4">
              <w:t>105,7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C83D7C" w:rsidP="00B63C9E">
            <w:pPr>
              <w:jc w:val="right"/>
            </w:pPr>
            <w:r w:rsidRPr="00FD11D4">
              <w:t>102,8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3A3927" w:rsidP="00CD7CB6">
            <w:pPr>
              <w:jc w:val="right"/>
            </w:pPr>
            <w:r w:rsidRPr="00FD11D4"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0769B6" w:rsidP="00B63C9E">
            <w:pPr>
              <w:jc w:val="right"/>
            </w:pPr>
            <w:r w:rsidRPr="00FD11D4">
              <w:t>104,7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0,02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FA4663" w:rsidP="00CD7CB6">
            <w:pPr>
              <w:jc w:val="right"/>
            </w:pPr>
            <w:r w:rsidRPr="00FD11D4">
              <w:t>105,8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100,8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3A3927" w:rsidP="00CD7CB6">
            <w:pPr>
              <w:jc w:val="right"/>
            </w:pPr>
            <w:r w:rsidRPr="00FD11D4"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105,5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B63C9E">
            <w:pPr>
              <w:jc w:val="right"/>
            </w:pPr>
            <w:r w:rsidRPr="00FD11D4">
              <w:t>0,00</w:t>
            </w:r>
          </w:p>
        </w:tc>
      </w:tr>
      <w:tr w:rsidR="00B63C9E" w:rsidRPr="00FD11D4" w:rsidTr="00B63C9E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FA4663" w:rsidP="00CD7CB6">
            <w:pPr>
              <w:jc w:val="right"/>
            </w:pPr>
            <w:r w:rsidRPr="00FD11D4">
              <w:t>105,0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C83D7C" w:rsidP="00B63C9E">
            <w:pPr>
              <w:jc w:val="right"/>
            </w:pPr>
            <w:r w:rsidRPr="00FD11D4">
              <w:t>102</w:t>
            </w:r>
            <w:r w:rsidR="00B63C9E" w:rsidRPr="00FD11D4">
              <w:t>,3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3A3927" w:rsidP="00CD7CB6">
            <w:pPr>
              <w:jc w:val="right"/>
            </w:pPr>
            <w:r w:rsidRPr="00FD11D4">
              <w:t>100,9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3C9E" w:rsidRPr="00FD11D4" w:rsidRDefault="000769B6" w:rsidP="00B63C9E">
            <w:pPr>
              <w:jc w:val="right"/>
            </w:pPr>
            <w:r w:rsidRPr="00FD11D4">
              <w:t>104,9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3C9E" w:rsidRPr="00FD11D4" w:rsidRDefault="00DE1402" w:rsidP="00B63C9E">
            <w:pPr>
              <w:jc w:val="right"/>
            </w:pPr>
            <w:r w:rsidRPr="00FD11D4">
              <w:t>0,04</w:t>
            </w:r>
          </w:p>
        </w:tc>
      </w:tr>
      <w:tr w:rsidR="00B63C9E" w:rsidRPr="00FD11D4" w:rsidTr="00B63C9E">
        <w:trPr>
          <w:cantSplit/>
          <w:trHeight w:val="445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FD11D4" w:rsidRDefault="00B63C9E" w:rsidP="00CF434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FD11D4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FD11D4" w:rsidRDefault="00FA4663" w:rsidP="00CD7CB6">
            <w:pPr>
              <w:jc w:val="right"/>
            </w:pPr>
            <w:r w:rsidRPr="00FD11D4">
              <w:t>101,6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FD11D4" w:rsidRDefault="00C83D7C" w:rsidP="00B63C9E">
            <w:pPr>
              <w:jc w:val="right"/>
            </w:pPr>
            <w:r w:rsidRPr="00FD11D4">
              <w:t>100,4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FD11D4" w:rsidRDefault="003A3927" w:rsidP="00CD7CB6">
            <w:pPr>
              <w:jc w:val="right"/>
            </w:pPr>
            <w:r w:rsidRPr="00FD11D4"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center"/>
          </w:tcPr>
          <w:p w:rsidR="00B63C9E" w:rsidRPr="00FD11D4" w:rsidRDefault="000769B6" w:rsidP="00B63C9E">
            <w:pPr>
              <w:jc w:val="right"/>
            </w:pPr>
            <w:r w:rsidRPr="00FD11D4">
              <w:t>102,2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63C9E" w:rsidRPr="00FD11D4" w:rsidRDefault="00984363" w:rsidP="00B63C9E">
            <w:pPr>
              <w:jc w:val="right"/>
            </w:pPr>
            <w:r w:rsidRPr="00FD11D4">
              <w:t>0,02</w:t>
            </w:r>
          </w:p>
        </w:tc>
      </w:tr>
    </w:tbl>
    <w:p w:rsidR="00A07F00" w:rsidRPr="00FD11D4" w:rsidRDefault="00292DBF" w:rsidP="00E37F13">
      <w:pPr>
        <w:pStyle w:val="Nagwek1"/>
        <w:spacing w:before="480" w:line="240" w:lineRule="exact"/>
      </w:pPr>
      <w:r w:rsidRPr="00FD11D4">
        <w:rPr>
          <w:shd w:val="clear" w:color="auto" w:fill="FFFFFF"/>
        </w:rPr>
        <w:lastRenderedPageBreak/>
        <w:t>Wpływ</w:t>
      </w:r>
      <w:r w:rsidR="00A07F00" w:rsidRPr="00FD11D4">
        <w:rPr>
          <w:shd w:val="clear" w:color="auto" w:fill="FFFFFF"/>
        </w:rPr>
        <w:t xml:space="preserve"> zmian cen na wskaźnik</w:t>
      </w:r>
      <w:r w:rsidR="00B97152" w:rsidRPr="00FD11D4">
        <w:rPr>
          <w:shd w:val="clear" w:color="auto" w:fill="FFFFFF"/>
        </w:rPr>
        <w:t xml:space="preserve"> cen</w:t>
      </w:r>
      <w:r w:rsidR="00A07F00" w:rsidRPr="00FD11D4">
        <w:rPr>
          <w:shd w:val="clear" w:color="auto" w:fill="FFFFFF"/>
        </w:rPr>
        <w:t xml:space="preserve"> towarów i usług konsumpcyjnych ogółem</w:t>
      </w:r>
    </w:p>
    <w:p w:rsidR="00C23F3B" w:rsidRPr="00FD11D4" w:rsidRDefault="00A07F00" w:rsidP="00C23F3B">
      <w:pPr>
        <w:spacing w:before="0" w:after="0"/>
        <w:rPr>
          <w:spacing w:val="-2"/>
        </w:rPr>
      </w:pPr>
      <w:r w:rsidRPr="00FD11D4">
        <w:rPr>
          <w:spacing w:val="-2"/>
        </w:rPr>
        <w:t xml:space="preserve">W </w:t>
      </w:r>
      <w:r w:rsidR="00372E66" w:rsidRPr="00FD11D4">
        <w:rPr>
          <w:spacing w:val="-2"/>
        </w:rPr>
        <w:t>maju</w:t>
      </w:r>
      <w:r w:rsidRPr="00FD11D4">
        <w:rPr>
          <w:spacing w:val="-2"/>
        </w:rPr>
        <w:t xml:space="preserve"> br. w porównaniu z poprzednim miesiącem największy wpływ na wskaźnik cen </w:t>
      </w:r>
      <w:r w:rsidR="00917CCF" w:rsidRPr="00FD11D4">
        <w:rPr>
          <w:spacing w:val="-2"/>
        </w:rPr>
        <w:br/>
      </w:r>
      <w:r w:rsidRPr="00FD11D4">
        <w:rPr>
          <w:spacing w:val="-2"/>
        </w:rPr>
        <w:t xml:space="preserve">towarów i usług konsumpcyjnych ogółem miały </w:t>
      </w:r>
      <w:r w:rsidR="00DF5C74" w:rsidRPr="00FD11D4">
        <w:rPr>
          <w:spacing w:val="-2"/>
        </w:rPr>
        <w:t xml:space="preserve">wyższe </w:t>
      </w:r>
      <w:r w:rsidR="00CF4349" w:rsidRPr="00FD11D4">
        <w:rPr>
          <w:spacing w:val="-2"/>
        </w:rPr>
        <w:t>ceny</w:t>
      </w:r>
      <w:r w:rsidR="00DF5C74" w:rsidRPr="00FD11D4">
        <w:rPr>
          <w:spacing w:val="-2"/>
        </w:rPr>
        <w:t xml:space="preserve"> żywności </w:t>
      </w:r>
      <w:r w:rsidR="00C662A5" w:rsidRPr="00FD11D4">
        <w:rPr>
          <w:spacing w:val="-2"/>
        </w:rPr>
        <w:t>(</w:t>
      </w:r>
      <w:r w:rsidR="0022312E" w:rsidRPr="00FD11D4">
        <w:rPr>
          <w:spacing w:val="-2"/>
        </w:rPr>
        <w:t xml:space="preserve">o </w:t>
      </w:r>
      <w:r w:rsidR="00EB485C" w:rsidRPr="00FD11D4">
        <w:rPr>
          <w:spacing w:val="-2"/>
        </w:rPr>
        <w:t>0</w:t>
      </w:r>
      <w:r w:rsidR="00F34A33" w:rsidRPr="00FD11D4">
        <w:rPr>
          <w:spacing w:val="-2"/>
        </w:rPr>
        <w:t>,6</w:t>
      </w:r>
      <w:r w:rsidR="0022312E" w:rsidRPr="00FD11D4">
        <w:rPr>
          <w:spacing w:val="-2"/>
        </w:rPr>
        <w:t>%)</w:t>
      </w:r>
      <w:r w:rsidR="00EB485C" w:rsidRPr="00FD11D4">
        <w:rPr>
          <w:spacing w:val="-2"/>
        </w:rPr>
        <w:t xml:space="preserve"> oraz w zakresie </w:t>
      </w:r>
      <w:r w:rsidR="00783B68" w:rsidRPr="00FD11D4">
        <w:rPr>
          <w:spacing w:val="-2"/>
        </w:rPr>
        <w:t>mieszkania</w:t>
      </w:r>
      <w:r w:rsidR="00EB485C" w:rsidRPr="00FD11D4">
        <w:rPr>
          <w:spacing w:val="-2"/>
        </w:rPr>
        <w:t xml:space="preserve"> (o 0</w:t>
      </w:r>
      <w:r w:rsidR="00D329DC" w:rsidRPr="00FD11D4">
        <w:rPr>
          <w:spacing w:val="-2"/>
        </w:rPr>
        <w:t>,</w:t>
      </w:r>
      <w:r w:rsidR="00783B68" w:rsidRPr="00FD11D4">
        <w:rPr>
          <w:spacing w:val="-2"/>
        </w:rPr>
        <w:t>4</w:t>
      </w:r>
      <w:r w:rsidR="00DF5C74" w:rsidRPr="00FD11D4">
        <w:rPr>
          <w:spacing w:val="-2"/>
        </w:rPr>
        <w:t>%)</w:t>
      </w:r>
      <w:r w:rsidRPr="00FD11D4">
        <w:rPr>
          <w:spacing w:val="-2"/>
        </w:rPr>
        <w:t>, które</w:t>
      </w:r>
      <w:r w:rsidR="00CF4349" w:rsidRPr="00FD11D4">
        <w:rPr>
          <w:spacing w:val="-2"/>
        </w:rPr>
        <w:t xml:space="preserve"> </w:t>
      </w:r>
      <w:r w:rsidR="00DF5C74" w:rsidRPr="00FD11D4">
        <w:rPr>
          <w:spacing w:val="-2"/>
        </w:rPr>
        <w:t>podwyższyły</w:t>
      </w:r>
      <w:r w:rsidR="00CF4349" w:rsidRPr="00FD11D4">
        <w:rPr>
          <w:spacing w:val="-2"/>
        </w:rPr>
        <w:t xml:space="preserve"> </w:t>
      </w:r>
      <w:r w:rsidR="002133F1" w:rsidRPr="00FD11D4">
        <w:rPr>
          <w:spacing w:val="-2"/>
        </w:rPr>
        <w:t xml:space="preserve">ten wskaźnik </w:t>
      </w:r>
      <w:r w:rsidR="00393E03" w:rsidRPr="00FD11D4">
        <w:rPr>
          <w:spacing w:val="-2"/>
        </w:rPr>
        <w:t xml:space="preserve">odpowiednio </w:t>
      </w:r>
      <w:r w:rsidR="002133F1" w:rsidRPr="00FD11D4">
        <w:rPr>
          <w:spacing w:val="-2"/>
        </w:rPr>
        <w:t xml:space="preserve">o </w:t>
      </w:r>
      <w:r w:rsidR="00CF4349" w:rsidRPr="00FD11D4">
        <w:rPr>
          <w:spacing w:val="-2"/>
        </w:rPr>
        <w:t>0,</w:t>
      </w:r>
      <w:r w:rsidR="00EB485C" w:rsidRPr="00FD11D4">
        <w:rPr>
          <w:spacing w:val="-2"/>
        </w:rPr>
        <w:t>16</w:t>
      </w:r>
      <w:r w:rsidR="00393E03" w:rsidRPr="00FD11D4">
        <w:rPr>
          <w:spacing w:val="-2"/>
        </w:rPr>
        <w:t xml:space="preserve"> </w:t>
      </w:r>
      <w:r w:rsidRPr="00FD11D4">
        <w:rPr>
          <w:spacing w:val="-2"/>
        </w:rPr>
        <w:t>p. proc</w:t>
      </w:r>
      <w:r w:rsidR="00432D34" w:rsidRPr="00FD11D4">
        <w:rPr>
          <w:spacing w:val="-2"/>
        </w:rPr>
        <w:t xml:space="preserve"> i 0,</w:t>
      </w:r>
      <w:r w:rsidR="00783B68" w:rsidRPr="00FD11D4">
        <w:rPr>
          <w:spacing w:val="-2"/>
        </w:rPr>
        <w:t>10</w:t>
      </w:r>
      <w:r w:rsidR="00393E03" w:rsidRPr="00FD11D4">
        <w:rPr>
          <w:spacing w:val="-2"/>
        </w:rPr>
        <w:t xml:space="preserve"> p. proc</w:t>
      </w:r>
      <w:r w:rsidRPr="00FD11D4">
        <w:rPr>
          <w:spacing w:val="-2"/>
        </w:rPr>
        <w:t>.</w:t>
      </w:r>
      <w:r w:rsidR="00DA2264" w:rsidRPr="00FD11D4">
        <w:rPr>
          <w:spacing w:val="-2"/>
        </w:rPr>
        <w:t xml:space="preserve"> </w:t>
      </w:r>
      <w:r w:rsidR="00DA2264" w:rsidRPr="00FD11D4">
        <w:t xml:space="preserve">Niższe ceny w zakresie łączności </w:t>
      </w:r>
      <w:r w:rsidR="00DA2264" w:rsidRPr="00FD11D4">
        <w:rPr>
          <w:spacing w:val="-2"/>
        </w:rPr>
        <w:t xml:space="preserve">(o 0,9%) </w:t>
      </w:r>
      <w:r w:rsidR="007B4A2D" w:rsidRPr="00FD11D4">
        <w:rPr>
          <w:spacing w:val="-2"/>
        </w:rPr>
        <w:t xml:space="preserve">oraz transportu (o 0,4%) </w:t>
      </w:r>
      <w:r w:rsidR="00DA2264" w:rsidRPr="00FD11D4">
        <w:t xml:space="preserve">obniżyły ten wskaźnik </w:t>
      </w:r>
      <w:r w:rsidR="007B4A2D" w:rsidRPr="00FD11D4">
        <w:t xml:space="preserve">odpowiednio </w:t>
      </w:r>
      <w:r w:rsidR="00DA2264" w:rsidRPr="00FD11D4">
        <w:t>o 0,0</w:t>
      </w:r>
      <w:r w:rsidR="007B4A2D" w:rsidRPr="00FD11D4">
        <w:t>5</w:t>
      </w:r>
      <w:r w:rsidR="00DA2264" w:rsidRPr="00FD11D4">
        <w:t xml:space="preserve"> p. proc</w:t>
      </w:r>
      <w:r w:rsidR="007B4A2D" w:rsidRPr="00FD11D4">
        <w:t xml:space="preserve"> i 0,04 p. proc</w:t>
      </w:r>
      <w:r w:rsidR="00DA2264" w:rsidRPr="00FD11D4">
        <w:t>.</w:t>
      </w:r>
    </w:p>
    <w:p w:rsidR="00A55B73" w:rsidRPr="00FD11D4" w:rsidRDefault="00A07F00" w:rsidP="00934246">
      <w:pPr>
        <w:spacing w:before="0" w:after="0"/>
        <w:rPr>
          <w:spacing w:val="-2"/>
        </w:rPr>
      </w:pPr>
      <w:r w:rsidRPr="00FD11D4">
        <w:rPr>
          <w:spacing w:val="-2"/>
        </w:rPr>
        <w:t xml:space="preserve">W porównaniu z miesiącem analogicznym poprzedniego roku wyższe ceny </w:t>
      </w:r>
      <w:r w:rsidR="00AF7617" w:rsidRPr="00FD11D4">
        <w:rPr>
          <w:spacing w:val="-2"/>
        </w:rPr>
        <w:t xml:space="preserve">w zakresie transportu </w:t>
      </w:r>
      <w:r w:rsidRPr="00FD11D4">
        <w:rPr>
          <w:spacing w:val="-2"/>
        </w:rPr>
        <w:t>(o </w:t>
      </w:r>
      <w:r w:rsidR="00D329DC" w:rsidRPr="00FD11D4">
        <w:rPr>
          <w:spacing w:val="-2"/>
        </w:rPr>
        <w:t>19,5</w:t>
      </w:r>
      <w:r w:rsidR="00674A8B" w:rsidRPr="00FD11D4">
        <w:rPr>
          <w:spacing w:val="-2"/>
        </w:rPr>
        <w:t xml:space="preserve">%) </w:t>
      </w:r>
      <w:r w:rsidRPr="00FD11D4">
        <w:rPr>
          <w:spacing w:val="-2"/>
        </w:rPr>
        <w:t xml:space="preserve">oraz </w:t>
      </w:r>
      <w:r w:rsidR="00FD6659" w:rsidRPr="00FD11D4">
        <w:rPr>
          <w:spacing w:val="-2"/>
        </w:rPr>
        <w:t>mieszkania</w:t>
      </w:r>
      <w:r w:rsidR="00AF7617" w:rsidRPr="00FD11D4">
        <w:rPr>
          <w:spacing w:val="-2"/>
        </w:rPr>
        <w:t xml:space="preserve"> (o 5,</w:t>
      </w:r>
      <w:r w:rsidR="00CD32D0" w:rsidRPr="00FD11D4">
        <w:rPr>
          <w:spacing w:val="-2"/>
        </w:rPr>
        <w:t>3</w:t>
      </w:r>
      <w:r w:rsidR="003A0271" w:rsidRPr="00FD11D4">
        <w:rPr>
          <w:spacing w:val="-2"/>
        </w:rPr>
        <w:t xml:space="preserve">%) </w:t>
      </w:r>
      <w:r w:rsidRPr="00FD11D4">
        <w:rPr>
          <w:spacing w:val="-2"/>
        </w:rPr>
        <w:t>pod</w:t>
      </w:r>
      <w:r w:rsidRPr="00FD11D4">
        <w:rPr>
          <w:spacing w:val="-2"/>
        </w:rPr>
        <w:softHyphen/>
        <w:t>nio</w:t>
      </w:r>
      <w:r w:rsidR="00445F90" w:rsidRPr="00FD11D4">
        <w:rPr>
          <w:spacing w:val="-2"/>
        </w:rPr>
        <w:t>sły</w:t>
      </w:r>
      <w:r w:rsidR="003A4977" w:rsidRPr="00FD11D4">
        <w:rPr>
          <w:spacing w:val="-2"/>
        </w:rPr>
        <w:t xml:space="preserve"> ten wskaźnik odpowiednio o 1,</w:t>
      </w:r>
      <w:r w:rsidR="00D03342" w:rsidRPr="00FD11D4">
        <w:rPr>
          <w:spacing w:val="-2"/>
        </w:rPr>
        <w:t>62</w:t>
      </w:r>
      <w:r w:rsidRPr="00FD11D4">
        <w:rPr>
          <w:spacing w:val="-2"/>
        </w:rPr>
        <w:t xml:space="preserve"> p. proc.</w:t>
      </w:r>
      <w:r w:rsidR="0066616C" w:rsidRPr="00FD11D4">
        <w:rPr>
          <w:spacing w:val="-2"/>
        </w:rPr>
        <w:t xml:space="preserve"> i </w:t>
      </w:r>
      <w:r w:rsidR="00445F90" w:rsidRPr="00FD11D4">
        <w:rPr>
          <w:spacing w:val="-2"/>
        </w:rPr>
        <w:t>1,</w:t>
      </w:r>
      <w:r w:rsidR="00D03342" w:rsidRPr="00FD11D4">
        <w:rPr>
          <w:spacing w:val="-2"/>
        </w:rPr>
        <w:t>32</w:t>
      </w:r>
      <w:r w:rsidR="0066616C" w:rsidRPr="00FD11D4">
        <w:rPr>
          <w:spacing w:val="-2"/>
        </w:rPr>
        <w:t> </w:t>
      </w:r>
      <w:r w:rsidR="003A0271" w:rsidRPr="00FD11D4">
        <w:rPr>
          <w:spacing w:val="-2"/>
        </w:rPr>
        <w:t>p. proc.</w:t>
      </w:r>
    </w:p>
    <w:p w:rsidR="00934246" w:rsidRPr="00FD11D4" w:rsidRDefault="00934246" w:rsidP="00934246">
      <w:pPr>
        <w:spacing w:before="0" w:after="0"/>
        <w:rPr>
          <w:b/>
          <w:spacing w:val="-2"/>
          <w:sz w:val="18"/>
        </w:rPr>
      </w:pPr>
    </w:p>
    <w:p w:rsidR="00A07F00" w:rsidRPr="00FD11D4" w:rsidRDefault="001E764C" w:rsidP="0080551D">
      <w:pPr>
        <w:pStyle w:val="tytuwykresu"/>
        <w:ind w:left="794" w:hanging="794"/>
        <w:rPr>
          <w:shd w:val="clear" w:color="auto" w:fill="FFFFFF"/>
        </w:rPr>
      </w:pPr>
      <w:r w:rsidRPr="00FD11D4"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 wp14:anchorId="2BB529F0" wp14:editId="60169428">
            <wp:simplePos x="0" y="0"/>
            <wp:positionH relativeFrom="column">
              <wp:posOffset>3810</wp:posOffset>
            </wp:positionH>
            <wp:positionV relativeFrom="paragraph">
              <wp:posOffset>472440</wp:posOffset>
            </wp:positionV>
            <wp:extent cx="5122545" cy="214185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D11D4">
        <w:t xml:space="preserve">Wykres </w:t>
      </w:r>
      <w:r w:rsidR="00761070" w:rsidRPr="00FD11D4">
        <w:t>1</w:t>
      </w:r>
      <w:r w:rsidR="00A07F00" w:rsidRPr="00FD11D4">
        <w:t>.</w:t>
      </w:r>
      <w:r w:rsidR="00A07F00" w:rsidRPr="00FD11D4">
        <w:rPr>
          <w:shd w:val="clear" w:color="auto" w:fill="FFFFFF"/>
        </w:rPr>
        <w:t xml:space="preserve"> Wpływ zmian cen wybranych grup towarów i usług konsumpcyjnych w </w:t>
      </w:r>
      <w:r w:rsidR="00E23761" w:rsidRPr="00FD11D4">
        <w:rPr>
          <w:shd w:val="clear" w:color="auto" w:fill="FFFFFF"/>
        </w:rPr>
        <w:t xml:space="preserve">maju </w:t>
      </w:r>
      <w:r w:rsidR="005432E5" w:rsidRPr="00FD11D4">
        <w:rPr>
          <w:shd w:val="clear" w:color="auto" w:fill="FFFFFF"/>
        </w:rPr>
        <w:t>2021</w:t>
      </w:r>
      <w:r w:rsidR="00A07F00" w:rsidRPr="00FD11D4">
        <w:rPr>
          <w:shd w:val="clear" w:color="auto" w:fill="FFFFFF"/>
        </w:rPr>
        <w:t xml:space="preserve"> r.</w:t>
      </w:r>
      <w:r w:rsidR="00A07F00" w:rsidRPr="00FD11D4">
        <w:rPr>
          <w:noProof/>
          <w:shd w:val="clear" w:color="auto" w:fill="FFFFFF"/>
          <w:lang w:eastAsia="pl-PL"/>
        </w:rPr>
        <w:t xml:space="preserve"> </w:t>
      </w:r>
      <w:r w:rsidR="0051646A" w:rsidRPr="00FD11D4">
        <w:rPr>
          <w:noProof/>
          <w:shd w:val="clear" w:color="auto" w:fill="FFFFFF"/>
          <w:lang w:eastAsia="pl-PL"/>
        </w:rPr>
        <w:br/>
        <w:t>(z</w:t>
      </w:r>
      <w:r w:rsidR="0051646A" w:rsidRPr="00FD11D4">
        <w:rPr>
          <w:shd w:val="clear" w:color="auto" w:fill="FFFFFF"/>
        </w:rPr>
        <w:t>miana w p. proc. do okresu poprzedniego)</w:t>
      </w:r>
    </w:p>
    <w:p w:rsidR="00A55B73" w:rsidRPr="00FD11D4" w:rsidRDefault="00A55B73" w:rsidP="007B2CB7">
      <w:pPr>
        <w:spacing w:before="0" w:after="160" w:line="259" w:lineRule="auto"/>
        <w:rPr>
          <w:b/>
          <w:spacing w:val="-2"/>
          <w:sz w:val="18"/>
        </w:rPr>
      </w:pPr>
    </w:p>
    <w:p w:rsidR="00D11CF3" w:rsidRPr="00FD11D4" w:rsidRDefault="00B32730" w:rsidP="0080551D">
      <w:pPr>
        <w:spacing w:before="0" w:after="160" w:line="259" w:lineRule="auto"/>
        <w:ind w:left="794" w:hanging="794"/>
        <w:rPr>
          <w:b/>
          <w:spacing w:val="-2"/>
          <w:sz w:val="18"/>
        </w:rPr>
      </w:pPr>
      <w:r w:rsidRPr="00FD11D4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D3EB6AB" wp14:editId="49F2ACCA">
            <wp:simplePos x="0" y="0"/>
            <wp:positionH relativeFrom="column">
              <wp:posOffset>-8890</wp:posOffset>
            </wp:positionH>
            <wp:positionV relativeFrom="paragraph">
              <wp:posOffset>486410</wp:posOffset>
            </wp:positionV>
            <wp:extent cx="5124450" cy="323405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FD11D4">
        <w:rPr>
          <w:b/>
          <w:spacing w:val="-2"/>
          <w:sz w:val="18"/>
        </w:rPr>
        <w:t xml:space="preserve">Wykres 2. System wag stosowany w obliczeniach wskaźników cen towarów </w:t>
      </w:r>
      <w:r w:rsidR="00A51BB2" w:rsidRPr="00FD11D4">
        <w:rPr>
          <w:b/>
          <w:spacing w:val="-2"/>
          <w:sz w:val="18"/>
        </w:rPr>
        <w:br/>
      </w:r>
      <w:r w:rsidR="0022272D" w:rsidRPr="00FD11D4">
        <w:rPr>
          <w:b/>
          <w:spacing w:val="-2"/>
          <w:sz w:val="18"/>
        </w:rPr>
        <w:t>i usług konsumpcyjnych w 202</w:t>
      </w:r>
      <w:r w:rsidRPr="00FD11D4">
        <w:rPr>
          <w:b/>
          <w:spacing w:val="-2"/>
          <w:sz w:val="18"/>
        </w:rPr>
        <w:t>1</w:t>
      </w:r>
      <w:r w:rsidR="005F4399" w:rsidRPr="00FD11D4">
        <w:rPr>
          <w:b/>
          <w:spacing w:val="-2"/>
          <w:sz w:val="18"/>
        </w:rPr>
        <w:t xml:space="preserve"> r.</w:t>
      </w:r>
    </w:p>
    <w:p w:rsidR="0022272D" w:rsidRPr="00FD11D4" w:rsidRDefault="0022272D">
      <w:pPr>
        <w:spacing w:before="0" w:after="160" w:line="259" w:lineRule="auto"/>
        <w:rPr>
          <w:b/>
          <w:spacing w:val="-2"/>
          <w:sz w:val="18"/>
        </w:rPr>
      </w:pPr>
    </w:p>
    <w:p w:rsidR="00A55B73" w:rsidRPr="00FD11D4" w:rsidRDefault="00A55B73">
      <w:pPr>
        <w:spacing w:before="0" w:after="160" w:line="259" w:lineRule="auto"/>
        <w:rPr>
          <w:b/>
          <w:spacing w:val="-2"/>
          <w:sz w:val="18"/>
        </w:rPr>
      </w:pPr>
      <w:r w:rsidRPr="00FD11D4">
        <w:br w:type="page"/>
      </w:r>
    </w:p>
    <w:p w:rsidR="003A440F" w:rsidRPr="00FD11D4" w:rsidRDefault="00917264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FD11D4">
        <w:rPr>
          <w:noProof/>
          <w:lang w:eastAsia="pl-PL"/>
        </w:rPr>
        <w:lastRenderedPageBreak/>
        <w:drawing>
          <wp:anchor distT="0" distB="0" distL="114300" distR="114300" simplePos="0" relativeHeight="251778048" behindDoc="0" locked="0" layoutInCell="1" allowOverlap="1" wp14:anchorId="7DDBA615" wp14:editId="6E7F78A0">
            <wp:simplePos x="0" y="0"/>
            <wp:positionH relativeFrom="column">
              <wp:posOffset>3810</wp:posOffset>
            </wp:positionH>
            <wp:positionV relativeFrom="paragraph">
              <wp:posOffset>242570</wp:posOffset>
            </wp:positionV>
            <wp:extent cx="5122545" cy="2496185"/>
            <wp:effectExtent l="0" t="0" r="1905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FD11D4">
        <w:t xml:space="preserve">Wykres </w:t>
      </w:r>
      <w:r w:rsidR="00CF08EF" w:rsidRPr="00FD11D4">
        <w:t>3</w:t>
      </w:r>
      <w:r w:rsidR="003A440F" w:rsidRPr="00FD11D4">
        <w:t>.</w:t>
      </w:r>
      <w:r w:rsidR="003A440F" w:rsidRPr="00FD11D4">
        <w:rPr>
          <w:shd w:val="clear" w:color="auto" w:fill="FFFFFF"/>
        </w:rPr>
        <w:t xml:space="preserve"> </w:t>
      </w:r>
      <w:r w:rsidR="00AC3E42" w:rsidRPr="00FD11D4">
        <w:rPr>
          <w:shd w:val="clear" w:color="auto" w:fill="FFFFFF"/>
        </w:rPr>
        <w:t>Zmiany cen towarów i usług konsumpcyjnych w stosun</w:t>
      </w:r>
      <w:r w:rsidR="009E79F7" w:rsidRPr="00FD11D4">
        <w:rPr>
          <w:shd w:val="clear" w:color="auto" w:fill="FFFFFF"/>
        </w:rPr>
        <w:t>ku do okresu poprzedniego (w %)</w:t>
      </w:r>
    </w:p>
    <w:p w:rsidR="006715EE" w:rsidRPr="00FD11D4" w:rsidRDefault="006715EE" w:rsidP="00D4654D">
      <w:pPr>
        <w:pStyle w:val="tytuwykresu"/>
      </w:pPr>
    </w:p>
    <w:p w:rsidR="00034160" w:rsidRPr="00FD11D4" w:rsidRDefault="00367ACC" w:rsidP="00751D7D">
      <w:pPr>
        <w:pStyle w:val="tytuwykresu"/>
        <w:ind w:left="794" w:hanging="794"/>
        <w:rPr>
          <w:shd w:val="clear" w:color="auto" w:fill="FFFFFF"/>
        </w:rPr>
      </w:pPr>
      <w:r w:rsidRPr="00FD11D4">
        <w:rPr>
          <w:noProof/>
          <w:lang w:eastAsia="pl-PL"/>
        </w:rPr>
        <w:drawing>
          <wp:anchor distT="0" distB="0" distL="114300" distR="114300" simplePos="0" relativeHeight="251666944" behindDoc="0" locked="0" layoutInCell="1" allowOverlap="1" wp14:anchorId="2B437BDA" wp14:editId="56F3190F">
            <wp:simplePos x="0" y="0"/>
            <wp:positionH relativeFrom="column">
              <wp:posOffset>0</wp:posOffset>
            </wp:positionH>
            <wp:positionV relativeFrom="paragraph">
              <wp:posOffset>382905</wp:posOffset>
            </wp:positionV>
            <wp:extent cx="5110480" cy="2580005"/>
            <wp:effectExtent l="0" t="0" r="0" b="0"/>
            <wp:wrapSquare wrapText="bothSides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E3F12" w:rsidRPr="00FD11D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47153D80" wp14:editId="14E5244E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1D4" w:rsidRPr="00BF2F65" w:rsidRDefault="00FD11D4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maju</w:t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 r. wskaźnik cen towarów i usług konsumpcyjnych znalazł się powyżej górnej granicy odchyleń od celu inflacyjnego określonego przez Radę Poli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tyki Pieniężnej (2,5% +/- 1 p. </w:t>
                            </w:r>
                            <w:r w:rsidRPr="00206F0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3D80" id="Text Box 25" o:spid="_x0000_s1027" type="#_x0000_t202" style="position:absolute;left:0;text-align:left;margin-left:415pt;margin-top:320.25pt;width:135.85pt;height:107.7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FD11D4" w:rsidRPr="00BF2F65" w:rsidRDefault="00FD11D4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maju</w:t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 r. wskaźnik cen towarów i usług konsumpcyjnych znalazł się powyżej górnej granicy odchyleń od celu inflacyjnego określonego przez Radę Poli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tyki Pieniężnej (2,5% +/- 1 p. </w:t>
                      </w:r>
                      <w:r w:rsidRPr="00206F0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FD11D4">
        <w:t xml:space="preserve">Wykres </w:t>
      </w:r>
      <w:r w:rsidR="00CF08EF" w:rsidRPr="00FD11D4">
        <w:t>4</w:t>
      </w:r>
      <w:r w:rsidR="00034160" w:rsidRPr="00FD11D4">
        <w:t>.</w:t>
      </w:r>
      <w:r w:rsidR="00034160" w:rsidRPr="00FD11D4">
        <w:rPr>
          <w:shd w:val="clear" w:color="auto" w:fill="FFFFFF"/>
        </w:rPr>
        <w:t xml:space="preserve"> </w:t>
      </w:r>
      <w:r w:rsidR="00751D7D" w:rsidRPr="00FD11D4">
        <w:rPr>
          <w:shd w:val="clear" w:color="auto" w:fill="FFFFFF"/>
        </w:rPr>
        <w:t>Zmiany ceny towarów i usług konsumpcyjnych w stosunku do analogicznego okresu roku poprzedniego (w %)</w:t>
      </w:r>
    </w:p>
    <w:p w:rsidR="00367ACC" w:rsidRPr="00FD11D4" w:rsidRDefault="00367ACC" w:rsidP="00034160">
      <w:pPr>
        <w:spacing w:before="0" w:after="160" w:line="259" w:lineRule="auto"/>
        <w:rPr>
          <w:sz w:val="18"/>
          <w:highlight w:val="yellow"/>
        </w:rPr>
      </w:pPr>
    </w:p>
    <w:p w:rsidR="00430B36" w:rsidRPr="00FD11D4" w:rsidRDefault="00883763" w:rsidP="00AA451B">
      <w:pPr>
        <w:pStyle w:val="tytuwykresu"/>
        <w:ind w:left="794" w:hanging="794"/>
        <w:rPr>
          <w:bCs/>
          <w:shd w:val="clear" w:color="auto" w:fill="FFFFFF"/>
        </w:rPr>
      </w:pPr>
      <w:r w:rsidRPr="00FD11D4">
        <w:t xml:space="preserve">Wykres </w:t>
      </w:r>
      <w:r w:rsidR="00CF08EF" w:rsidRPr="00FD11D4">
        <w:t>5</w:t>
      </w:r>
      <w:r w:rsidRPr="00FD11D4">
        <w:t>.</w:t>
      </w:r>
      <w:r w:rsidRPr="00FD11D4">
        <w:rPr>
          <w:shd w:val="clear" w:color="auto" w:fill="FFFFFF"/>
        </w:rPr>
        <w:t xml:space="preserve"> </w:t>
      </w:r>
      <w:r w:rsidR="00751D7D" w:rsidRPr="00FD11D4">
        <w:rPr>
          <w:bCs/>
          <w:shd w:val="clear" w:color="auto" w:fill="FFFFFF"/>
        </w:rPr>
        <w:t xml:space="preserve">Zmiany cen według wskaźnika cen towarów i usług konsumpcyjnych (CPI) oraz zharmonizowanego wskaźnika cen konsumpcyjnych (HICP) w stosunku do analogicznego okresu </w:t>
      </w:r>
      <w:r w:rsidR="00F70C4A" w:rsidRPr="00FD11D4">
        <w:rPr>
          <w:bCs/>
          <w:shd w:val="clear" w:color="auto" w:fill="FFFFFF"/>
        </w:rPr>
        <w:br/>
      </w:r>
      <w:r w:rsidR="00751D7D" w:rsidRPr="00FD11D4">
        <w:rPr>
          <w:bCs/>
          <w:shd w:val="clear" w:color="auto" w:fill="FFFFFF"/>
        </w:rPr>
        <w:t>roku poprzedniego (w %)</w:t>
      </w:r>
    </w:p>
    <w:p w:rsidR="00516A50" w:rsidRPr="00FD11D4" w:rsidRDefault="00F70C4A" w:rsidP="00AA451B">
      <w:pPr>
        <w:pStyle w:val="tytuwykresu"/>
        <w:rPr>
          <w:bCs/>
          <w:shd w:val="clear" w:color="auto" w:fill="FFFFFF"/>
        </w:rPr>
      </w:pPr>
      <w:r w:rsidRPr="00FD11D4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AE7EC8" wp14:editId="02428C36">
                <wp:simplePos x="0" y="0"/>
                <wp:positionH relativeFrom="column">
                  <wp:posOffset>3461385</wp:posOffset>
                </wp:positionH>
                <wp:positionV relativeFrom="paragraph">
                  <wp:posOffset>2318385</wp:posOffset>
                </wp:positionV>
                <wp:extent cx="1315720" cy="207645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11D4" w:rsidRDefault="00FD11D4" w:rsidP="0035008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7EC8" id="pole tekstowe 1" o:spid="_x0000_s1028" type="#_x0000_t202" style="position:absolute;margin-left:272.55pt;margin-top:182.55pt;width:103.6pt;height:16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" filled="f" stroked="f">
                <v:textbox>
                  <w:txbxContent>
                    <w:p w:rsidR="00FD11D4" w:rsidRDefault="00FD11D4" w:rsidP="0035008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1D4">
        <w:rPr>
          <w:noProof/>
          <w:lang w:eastAsia="pl-PL"/>
        </w:rPr>
        <w:drawing>
          <wp:anchor distT="0" distB="0" distL="114300" distR="114300" simplePos="0" relativeHeight="251635199" behindDoc="0" locked="0" layoutInCell="1" allowOverlap="1" wp14:anchorId="4E09A704" wp14:editId="63593585">
            <wp:simplePos x="0" y="0"/>
            <wp:positionH relativeFrom="column">
              <wp:posOffset>8255</wp:posOffset>
            </wp:positionH>
            <wp:positionV relativeFrom="paragraph">
              <wp:posOffset>6350</wp:posOffset>
            </wp:positionV>
            <wp:extent cx="5118735" cy="2515870"/>
            <wp:effectExtent l="0" t="0" r="0" b="0"/>
            <wp:wrapSquare wrapText="bothSides"/>
            <wp:docPr id="54" name="Wykres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61" w:rsidRPr="00FD11D4">
        <w:rPr>
          <w:highlight w:val="yellow"/>
        </w:rPr>
        <w:br w:type="page"/>
      </w:r>
      <w:r w:rsidR="00516A50" w:rsidRPr="00FD11D4">
        <w:lastRenderedPageBreak/>
        <w:t xml:space="preserve">Tablica </w:t>
      </w:r>
      <w:r w:rsidR="00CF08EF" w:rsidRPr="00FD11D4">
        <w:t>2</w:t>
      </w:r>
      <w:r w:rsidR="00516A50" w:rsidRPr="00FD11D4">
        <w:t>.</w:t>
      </w:r>
      <w:r w:rsidR="00516A50" w:rsidRPr="00FD11D4">
        <w:rPr>
          <w:shd w:val="clear" w:color="auto" w:fill="FFFFFF"/>
        </w:rPr>
        <w:t xml:space="preserve"> </w:t>
      </w:r>
      <w:r w:rsidR="00516A50" w:rsidRPr="00FD11D4">
        <w:rPr>
          <w:bCs/>
          <w:shd w:val="clear" w:color="auto" w:fill="FFFFFF"/>
        </w:rPr>
        <w:t xml:space="preserve">Wskaźniki cen towarów i usług konsumpcyjnych w </w:t>
      </w:r>
      <w:r w:rsidRPr="00FD11D4">
        <w:rPr>
          <w:bCs/>
          <w:shd w:val="clear" w:color="auto" w:fill="FFFFFF"/>
        </w:rPr>
        <w:t xml:space="preserve">maju </w:t>
      </w:r>
      <w:r w:rsidR="00751D7D" w:rsidRPr="00FD11D4">
        <w:t>2021</w:t>
      </w:r>
      <w:r w:rsidR="00516A50" w:rsidRPr="00FD11D4">
        <w:t> </w:t>
      </w:r>
      <w:r w:rsidR="00516A50" w:rsidRPr="00FD11D4">
        <w:rPr>
          <w:bCs/>
          <w:shd w:val="clear" w:color="auto" w:fill="FFFFFF"/>
        </w:rPr>
        <w:t>r.</w:t>
      </w:r>
    </w:p>
    <w:p w:rsidR="00DE775D" w:rsidRPr="00FD11D4" w:rsidRDefault="00DE775D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05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04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9661AB" w:rsidRPr="00FD11D4" w:rsidTr="009661AB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701C5E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9661AB" w:rsidRPr="00FD11D4" w:rsidTr="009661AB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FD11D4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661AB" w:rsidRPr="00FD11D4" w:rsidTr="009661AB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9661AB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</w:tr>
      <w:tr w:rsidR="009661AB" w:rsidRPr="00FD11D4" w:rsidTr="009661AB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701C5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</w:tr>
      <w:tr w:rsidR="009661AB" w:rsidRPr="00FD11D4" w:rsidTr="009661AB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9661AB" w:rsidRPr="00FD11D4" w:rsidTr="009661AB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661AB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661AB" w:rsidRPr="00FD11D4" w:rsidTr="009661AB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661AB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661AB" w:rsidRPr="00FD11D4" w:rsidTr="009661AB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</w:tr>
      <w:tr w:rsidR="009661AB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9661AB" w:rsidRPr="00FD11D4" w:rsidTr="009661AB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FD11D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</w:tr>
      <w:tr w:rsidR="009661AB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9661AB" w:rsidRPr="00FD11D4" w:rsidTr="009661AB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left="17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9661AB" w:rsidRPr="00FD11D4" w:rsidTr="009661AB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9661AB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9661AB" w:rsidRPr="00FD11D4" w:rsidTr="009661AB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9661AB" w:rsidRPr="00FD11D4" w:rsidRDefault="009661AB" w:rsidP="00AE6B8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1AB" w:rsidRPr="00FD11D4" w:rsidRDefault="009661AB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685123" w:rsidRPr="00FD11D4" w:rsidRDefault="00A55B73" w:rsidP="00883763">
      <w:pPr>
        <w:spacing w:before="0" w:after="160" w:line="259" w:lineRule="auto"/>
        <w:rPr>
          <w:noProof/>
          <w:sz w:val="16"/>
          <w:szCs w:val="16"/>
          <w:lang w:eastAsia="pl-PL"/>
        </w:rPr>
      </w:pPr>
      <w:r w:rsidRPr="00FD11D4">
        <w:rPr>
          <w:noProof/>
          <w:sz w:val="24"/>
          <w:szCs w:val="24"/>
          <w:vertAlign w:val="superscript"/>
          <w:lang w:eastAsia="pl-PL"/>
        </w:rPr>
        <w:t xml:space="preserve">u </w:t>
      </w:r>
      <w:r w:rsidR="008B0AF7" w:rsidRPr="00FD11D4">
        <w:rPr>
          <w:noProof/>
          <w:sz w:val="24"/>
          <w:szCs w:val="24"/>
          <w:vertAlign w:val="superscript"/>
          <w:lang w:eastAsia="pl-PL"/>
        </w:rPr>
        <w:t xml:space="preserve"> </w:t>
      </w:r>
      <w:r w:rsidR="008B0AF7" w:rsidRPr="00FD11D4">
        <w:rPr>
          <w:noProof/>
          <w:sz w:val="16"/>
          <w:szCs w:val="16"/>
          <w:lang w:eastAsia="pl-PL"/>
        </w:rPr>
        <w:t>Udział danych szacowanych dla agregatu powyżej 50%</w:t>
      </w:r>
    </w:p>
    <w:p w:rsidR="009F5CBC" w:rsidRPr="00FD11D4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eastAsia="pl-PL"/>
        </w:rPr>
      </w:pPr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9"/>
          <w:szCs w:val="19"/>
          <w:lang w:val="pl-PL"/>
        </w:rPr>
      </w:pPr>
      <w:r w:rsidRPr="00FD11D4">
        <w:rPr>
          <w:rFonts w:ascii="Fira Sans" w:hAnsi="Fira Sans"/>
          <w:color w:val="222222"/>
          <w:sz w:val="19"/>
          <w:szCs w:val="19"/>
          <w:lang w:val="pl-PL"/>
        </w:rPr>
        <w:t xml:space="preserve">Zalecenia na czas kryzysu związanego z pandemią COVID-19 rekomendowane przez Eurostat dotyczące wskaźników cen konsumpcyjnych oraz systemu wag prezentowane są pod linkiem </w:t>
      </w:r>
      <w:hyperlink r:id="rId17" w:history="1">
        <w:r w:rsidRPr="00BA65E1">
          <w:rPr>
            <w:rStyle w:val="Hipercze"/>
            <w:rFonts w:ascii="Fira Sans" w:hAnsi="Fira Sans"/>
            <w:color w:val="001D77"/>
            <w:sz w:val="19"/>
            <w:szCs w:val="19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9F5CBC" w:rsidRPr="00FD11D4" w:rsidRDefault="009F5CBC" w:rsidP="009F5CBC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9F5CBC" w:rsidRPr="00FD11D4" w:rsidRDefault="009F5CBC" w:rsidP="001F6707">
      <w:pPr>
        <w:spacing w:before="240" w:after="160" w:line="259" w:lineRule="auto"/>
        <w:rPr>
          <w:color w:val="222222"/>
          <w:szCs w:val="19"/>
        </w:rPr>
      </w:pPr>
    </w:p>
    <w:p w:rsidR="009F5CBC" w:rsidRPr="00FD11D4" w:rsidRDefault="009F5CBC" w:rsidP="009F5CBC">
      <w:pPr>
        <w:spacing w:before="0" w:after="160" w:line="259" w:lineRule="auto"/>
        <w:rPr>
          <w:noProof/>
          <w:szCs w:val="19"/>
          <w:highlight w:val="yellow"/>
          <w:lang w:eastAsia="pl-PL"/>
        </w:rPr>
        <w:sectPr w:rsidR="009F5CBC" w:rsidRPr="00FD11D4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D11D4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FD11D4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D11D4" w:rsidTr="00EE696D">
        <w:trPr>
          <w:trHeight w:val="1912"/>
        </w:trPr>
        <w:tc>
          <w:tcPr>
            <w:tcW w:w="4379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BA0B97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FD11D4" w:rsidRDefault="00BA0B97" w:rsidP="00BA0B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FD11D4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D11D4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D11D4">
              <w:rPr>
                <w:rFonts w:cs="Arial"/>
                <w:color w:val="000000" w:themeColor="text1"/>
                <w:sz w:val="20"/>
              </w:rPr>
              <w:br/>
            </w:r>
            <w:r w:rsidRPr="00FD11D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D11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BA0B97" w:rsidRPr="00FD11D4" w:rsidRDefault="00BA0B97" w:rsidP="00BA0B97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FD11D4">
              <w:rPr>
                <w:rFonts w:ascii="Fira Sans" w:hAnsi="Fira Sans" w:cs="Arial"/>
                <w:color w:val="000000" w:themeColor="text1"/>
                <w:sz w:val="20"/>
              </w:rPr>
              <w:t>Tel: 695 255 011</w:t>
            </w:r>
          </w:p>
          <w:p w:rsidR="00883763" w:rsidRPr="00FD11D4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FD11D4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D11D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D11D4" w:rsidRDefault="000470AA" w:rsidP="000470AA">
            <w:pPr>
              <w:rPr>
                <w:b/>
                <w:sz w:val="20"/>
              </w:rPr>
            </w:pPr>
            <w:r w:rsidRPr="00FD11D4">
              <w:rPr>
                <w:b/>
                <w:sz w:val="20"/>
              </w:rPr>
              <w:t xml:space="preserve">Wydział Współpracy z Mediami </w:t>
            </w:r>
          </w:p>
          <w:p w:rsidR="000470AA" w:rsidRPr="00FD11D4" w:rsidRDefault="00DE775D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T</w:t>
            </w:r>
            <w:r w:rsidR="000470AA" w:rsidRPr="00FD11D4">
              <w:rPr>
                <w:sz w:val="20"/>
              </w:rPr>
              <w:t>el:</w:t>
            </w:r>
            <w:r w:rsidR="000470AA" w:rsidRPr="00FD11D4">
              <w:rPr>
                <w:b/>
                <w:sz w:val="20"/>
              </w:rPr>
              <w:t xml:space="preserve"> </w:t>
            </w:r>
            <w:r w:rsidR="00097840" w:rsidRPr="00FD11D4">
              <w:rPr>
                <w:sz w:val="20"/>
              </w:rPr>
              <w:t>22 608 34 91, 22</w:t>
            </w:r>
            <w:r w:rsidR="000470AA" w:rsidRPr="00FD11D4">
              <w:rPr>
                <w:sz w:val="20"/>
              </w:rPr>
              <w:t xml:space="preserve"> 608 38 04 </w:t>
            </w:r>
          </w:p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b/>
                <w:sz w:val="20"/>
              </w:rPr>
              <w:t xml:space="preserve">e-mail: </w:t>
            </w:r>
            <w:hyperlink r:id="rId22" w:history="1">
              <w:r w:rsidRPr="00FD11D4">
                <w:rPr>
                  <w:rStyle w:val="Hipercze"/>
                  <w:rFonts w:cstheme="minorBidi"/>
                  <w:b/>
                  <w:color w:val="auto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06723D4" wp14:editId="3FD6672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www.stat.gov.pl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F40865C" wp14:editId="096F319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sz w:val="20"/>
              </w:rPr>
              <w:t>@GUS_STAT</w:t>
            </w:r>
          </w:p>
        </w:tc>
      </w:tr>
      <w:tr w:rsidR="000470AA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D11D4" w:rsidRDefault="000470AA" w:rsidP="000470AA">
            <w:pPr>
              <w:rPr>
                <w:sz w:val="18"/>
              </w:rPr>
            </w:pPr>
            <w:r w:rsidRPr="00FD11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9CD5FB8" wp14:editId="26DDD9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D11D4" w:rsidRDefault="000470AA" w:rsidP="000470AA">
            <w:pPr>
              <w:rPr>
                <w:sz w:val="20"/>
              </w:rPr>
            </w:pPr>
            <w:r w:rsidRPr="00FD11D4">
              <w:rPr>
                <w:sz w:val="20"/>
              </w:rPr>
              <w:t>@GlownyUrzadStatystyczny</w:t>
            </w:r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7F6A424" wp14:editId="3C03BE5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1D4" w:rsidRDefault="00FD11D4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FD11D4" w:rsidRPr="006761A7" w:rsidRDefault="00FD11D4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FD11D4" w:rsidRPr="00E233EA" w:rsidRDefault="00FD11D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11D4" w:rsidRPr="00E233EA" w:rsidRDefault="00FD11D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FD11D4" w:rsidRPr="006761A7" w:rsidRDefault="00FD11D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D11D4" w:rsidRDefault="00FD11D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D11D4" w:rsidRPr="006761A7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D11D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FD11D4" w:rsidRPr="00566A43" w:rsidRDefault="00637B7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FD11D4" w:rsidRPr="00566A4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A424" id="_x0000_s1029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FD11D4" w:rsidRDefault="00FD11D4" w:rsidP="00883763">
                      <w:pPr>
                        <w:rPr>
                          <w:b/>
                        </w:rPr>
                      </w:pPr>
                    </w:p>
                    <w:p w:rsidR="00FD11D4" w:rsidRPr="006761A7" w:rsidRDefault="00FD11D4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FD11D4" w:rsidRPr="00E233EA" w:rsidRDefault="00FD11D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D11D4" w:rsidRPr="00E233EA" w:rsidRDefault="00FD11D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FD11D4" w:rsidRPr="006761A7" w:rsidRDefault="00FD11D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D11D4" w:rsidRDefault="00FD11D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D11D4" w:rsidRPr="006761A7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FD11D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FD11D4" w:rsidRPr="00566A43" w:rsidRDefault="00637B71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FD11D4" w:rsidRPr="00566A4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71" w:rsidRDefault="00637B71" w:rsidP="000662E2">
      <w:pPr>
        <w:spacing w:after="0" w:line="240" w:lineRule="auto"/>
      </w:pPr>
      <w:r>
        <w:separator/>
      </w:r>
    </w:p>
  </w:endnote>
  <w:endnote w:type="continuationSeparator" w:id="0">
    <w:p w:rsidR="00637B71" w:rsidRDefault="00637B7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913465"/>
      <w:docPartObj>
        <w:docPartGallery w:val="Page Numbers (Bottom of Page)"/>
        <w:docPartUnique/>
      </w:docPartObj>
    </w:sdtPr>
    <w:sdtEndPr/>
    <w:sdtContent>
      <w:p w:rsidR="00FD11D4" w:rsidRDefault="00FD11D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5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957311"/>
      <w:docPartObj>
        <w:docPartGallery w:val="Page Numbers (Bottom of Page)"/>
        <w:docPartUnique/>
      </w:docPartObj>
    </w:sdtPr>
    <w:sdtEndPr/>
    <w:sdtContent>
      <w:p w:rsidR="00FD11D4" w:rsidRDefault="00FD11D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D11D4" w:rsidRDefault="00FD11D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5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71" w:rsidRDefault="00637B71" w:rsidP="000662E2">
      <w:pPr>
        <w:spacing w:after="0" w:line="240" w:lineRule="auto"/>
      </w:pPr>
      <w:r>
        <w:separator/>
      </w:r>
    </w:p>
  </w:footnote>
  <w:footnote w:type="continuationSeparator" w:id="0">
    <w:p w:rsidR="00637B71" w:rsidRDefault="00637B7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D4" w:rsidRDefault="00FD11D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F1791C" wp14:editId="2EBFE404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B0261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D11D4" w:rsidRDefault="00FD11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D4" w:rsidRDefault="00FD11D4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29B33D0" wp14:editId="671F7B8A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08D47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D35A30" wp14:editId="7037C35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11D4" w:rsidRPr="003C6C8D" w:rsidRDefault="00FD11D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35A30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D11D4" w:rsidRPr="003C6C8D" w:rsidRDefault="00FD11D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502F8C">
      <w:rPr>
        <w:noProof/>
        <w:lang w:eastAsia="pl-PL"/>
      </w:rPr>
      <w:drawing>
        <wp:inline distT="0" distB="0" distL="0" distR="0" wp14:anchorId="264DF3FE" wp14:editId="179615D7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FD11D4" w:rsidRDefault="00FD11D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3D0A647" wp14:editId="2687F57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11D4" w:rsidRPr="00C97596" w:rsidRDefault="00FD11D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0A6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D11D4" w:rsidRPr="00C97596" w:rsidRDefault="00FD11D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D4" w:rsidRDefault="00FD11D4">
    <w:pPr>
      <w:pStyle w:val="Nagwek"/>
    </w:pPr>
  </w:p>
  <w:p w:rsidR="00FD11D4" w:rsidRDefault="00FD11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95pt;height:125pt;visibility:visible" o:bullet="t">
        <v:imagedata r:id="rId1" o:title=""/>
      </v:shape>
    </w:pict>
  </w:numPicBullet>
  <w:numPicBullet w:numPicBulletId="1">
    <w:pict>
      <v:shape id="_x0000_i1043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289"/>
    <w:rsid w:val="002C4659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91B74"/>
    <w:rsid w:val="00493217"/>
    <w:rsid w:val="004957AB"/>
    <w:rsid w:val="0049621B"/>
    <w:rsid w:val="0049705B"/>
    <w:rsid w:val="004B2EAB"/>
    <w:rsid w:val="004C1895"/>
    <w:rsid w:val="004C4610"/>
    <w:rsid w:val="004C6D40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31DAD"/>
    <w:rsid w:val="00633014"/>
    <w:rsid w:val="0063437B"/>
    <w:rsid w:val="00637B71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701C5E"/>
    <w:rsid w:val="007034D7"/>
    <w:rsid w:val="007059D5"/>
    <w:rsid w:val="007162EB"/>
    <w:rsid w:val="007211B1"/>
    <w:rsid w:val="0072400B"/>
    <w:rsid w:val="00724688"/>
    <w:rsid w:val="007324DB"/>
    <w:rsid w:val="00733D55"/>
    <w:rsid w:val="007364D7"/>
    <w:rsid w:val="00746187"/>
    <w:rsid w:val="00751D7D"/>
    <w:rsid w:val="00752A67"/>
    <w:rsid w:val="00761070"/>
    <w:rsid w:val="0076254F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53B3"/>
    <w:rsid w:val="00820461"/>
    <w:rsid w:val="00820B10"/>
    <w:rsid w:val="0082498D"/>
    <w:rsid w:val="00825DC2"/>
    <w:rsid w:val="00831172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A65E1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702F"/>
    <w:rsid w:val="00C4500A"/>
    <w:rsid w:val="00C45479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17A9F"/>
    <w:rsid w:val="00E17B77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26E7C8-D8A3-4241-9867-F26CF0D1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0" Type="http://schemas.openxmlformats.org/officeDocument/2006/relationships/header" Target="header2.xml"/><Relationship Id="rId41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WPŁYWY!$A$1:$A$8</c:f>
              <c:strCache>
                <c:ptCount val="8"/>
                <c:pt idx="0">
                  <c:v>Paliwa do prywatnych środków transportu</c:v>
                </c:pt>
                <c:pt idx="1">
                  <c:v>Usługi telekomunikacyjne</c:v>
                </c:pt>
                <c:pt idx="2">
                  <c:v>Warzywa</c:v>
                </c:pt>
                <c:pt idx="3">
                  <c:v>Usługi związane z kulturą</c:v>
                </c:pt>
                <c:pt idx="4">
                  <c:v>Nośniki energii</c:v>
                </c:pt>
                <c:pt idx="5">
                  <c:v>Gastronomia</c:v>
                </c:pt>
                <c:pt idx="6">
                  <c:v>Owoce</c:v>
                </c:pt>
                <c:pt idx="7">
                  <c:v>Mięso</c:v>
                </c:pt>
              </c:strCache>
            </c:strRef>
          </c:cat>
          <c:val>
            <c:numRef>
              <c:f>WPŁYWY!$C$1:$C$8</c:f>
              <c:numCache>
                <c:formatCode>0.00</c:formatCode>
                <c:ptCount val="8"/>
                <c:pt idx="0">
                  <c:v>-0.05</c:v>
                </c:pt>
                <c:pt idx="1">
                  <c:v>-0.04</c:v>
                </c:pt>
                <c:pt idx="2">
                  <c:v>-0.02</c:v>
                </c:pt>
                <c:pt idx="3">
                  <c:v>0.02</c:v>
                </c:pt>
                <c:pt idx="4">
                  <c:v>0.02</c:v>
                </c:pt>
                <c:pt idx="5">
                  <c:v>0.03</c:v>
                </c:pt>
                <c:pt idx="6">
                  <c:v>0.06</c:v>
                </c:pt>
                <c:pt idx="7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2706272"/>
        <c:axId val="1282699200"/>
      </c:barChart>
      <c:catAx>
        <c:axId val="128270627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699200"/>
        <c:crossesAt val="0"/>
        <c:auto val="1"/>
        <c:lblAlgn val="ctr"/>
        <c:lblOffset val="200"/>
        <c:tickMarkSkip val="1"/>
        <c:noMultiLvlLbl val="0"/>
      </c:catAx>
      <c:valAx>
        <c:axId val="1282699200"/>
        <c:scaling>
          <c:orientation val="minMax"/>
          <c:max val="0.1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706272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20807723504626"/>
          <c:y val="0"/>
          <c:w val="0.58530647639467726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WAG'!$I$2:$I$13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2706816"/>
        <c:axId val="1282695392"/>
      </c:barChart>
      <c:catAx>
        <c:axId val="128270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282695392"/>
        <c:crosses val="autoZero"/>
        <c:auto val="0"/>
        <c:lblAlgn val="ctr"/>
        <c:lblOffset val="100"/>
        <c:noMultiLvlLbl val="0"/>
      </c:catAx>
      <c:valAx>
        <c:axId val="128269539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2827068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7296445032454E-2"/>
                  <c:y val="-1.3542585025387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1134436235769789E-4"/>
                  <c:y val="-3.4434715053144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8884084801899673E-2"/>
                  <c:y val="-4.4416452050898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9259892363591E-2"/>
                  <c:y val="-3.6299489043098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230864096349807E-2"/>
                  <c:y val="-2.545153654246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1251132670916136E-2"/>
                  <c:y val="3.1841903945592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'M-1'!$C$50:$C$66</c:f>
              <c:numCache>
                <c:formatCode>0.0</c:formatCode>
                <c:ptCount val="17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2697024"/>
        <c:axId val="1282707360"/>
      </c:lineChart>
      <c:dateAx>
        <c:axId val="128269702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707360"/>
        <c:crossesAt val="0"/>
        <c:auto val="0"/>
        <c:lblOffset val="100"/>
        <c:baseTimeUnit val="days"/>
      </c:dateAx>
      <c:valAx>
        <c:axId val="1282707360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697024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238772091861E-2"/>
          <c:y val="4.8511533892376182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294678205787156E-2"/>
                  <c:y val="-2.02110083529791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'M-12 (+FE)'!$C$50:$C$66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82708448"/>
        <c:axId val="1282699744"/>
      </c:lineChart>
      <c:dateAx>
        <c:axId val="12827084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699744"/>
        <c:crossesAt val="0"/>
        <c:auto val="0"/>
        <c:lblOffset val="100"/>
        <c:baseTimeUnit val="days"/>
      </c:dateAx>
      <c:valAx>
        <c:axId val="128269974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2827084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m-12'!$B$51:$B$67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'CPI_HICP m-12'!$C$51:$C$67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m-12'!$B$51:$B$67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'CPI_HICP m-12'!$E$51:$E$66</c:f>
              <c:numCache>
                <c:formatCode>0.0</c:formatCode>
                <c:ptCount val="16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82708992"/>
        <c:axId val="1282709536"/>
      </c:lineChart>
      <c:catAx>
        <c:axId val="128270899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827095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282709536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8270899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9001178794972693"/>
          <c:y val="0.6494882485979004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0.06669</cdr:x>
      <cdr:y>0.92877</cdr:y>
    </cdr:from>
    <cdr:to>
      <cdr:x>0.67381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41644" y="2318382"/>
          <a:ext cx="3109965" cy="1581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0.67577</cdr:x>
      <cdr:y>0.92414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461657" y="2306824"/>
          <a:ext cx="1304103" cy="167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0.67448</cdr:x>
      <cdr:y>0.86508</cdr:y>
    </cdr:from>
    <cdr:to>
      <cdr:x>0.6746</cdr:x>
      <cdr:y>0.94631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799286" y="2374870"/>
          <a:ext cx="676" cy="22299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0.61926</cdr:y>
    </cdr:from>
    <cdr:to>
      <cdr:x>0.92118</cdr:x>
      <cdr:y>0.62248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2402" y="1597688"/>
          <a:ext cx="4365251" cy="831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0.92314</cdr:x>
      <cdr:y>0.29405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7018" y="751169"/>
          <a:ext cx="4360683" cy="74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0.92877</cdr:y>
    </cdr:from>
    <cdr:to>
      <cdr:x>0.67638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6610" y="2396231"/>
          <a:ext cx="3100024" cy="18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0.26731</cdr:x>
      <cdr:y>0.21484</cdr:y>
    </cdr:from>
    <cdr:to>
      <cdr:x>0.56735</cdr:x>
      <cdr:y>0.29374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366239" y="554350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0.26751</cdr:x>
      <cdr:y>0.62013</cdr:y>
    </cdr:from>
    <cdr:to>
      <cdr:x>0.5487</cdr:x>
      <cdr:y>0.69902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367246" y="1600107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0.67528</cdr:x>
      <cdr:y>0.8773</cdr:y>
    </cdr:from>
    <cdr:to>
      <cdr:x>0.67543</cdr:x>
      <cdr:y>0.95684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3451021" y="2263449"/>
          <a:ext cx="767" cy="2052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n w="9525" cap="rnd">
              <a:solidFill>
                <a:schemeClr val="tx1"/>
              </a:solidFill>
              <a:round/>
            </a:ln>
          </a:endParaRPr>
        </a:p>
      </cdr:txBody>
    </cdr:sp>
  </cdr:relSizeAnchor>
  <cdr:relSizeAnchor xmlns:cdr="http://schemas.openxmlformats.org/drawingml/2006/chartDrawing">
    <cdr:from>
      <cdr:x>0.67442</cdr:x>
      <cdr:y>0.92877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446586" y="2396231"/>
          <a:ext cx="1299160" cy="18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2624" y="78731"/>
          <a:ext cx="3598" cy="86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0.67539</cdr:x>
      <cdr:y>0.85218</cdr:y>
    </cdr:from>
    <cdr:to>
      <cdr:x>0.67575</cdr:x>
      <cdr:y>0.93577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3457143" y="2143966"/>
          <a:ext cx="1855" cy="21030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tx1"/>
          </a:solidFill>
          <a:prstDash val="solid"/>
          <a:bevel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0.67431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434" y="2314550"/>
          <a:ext cx="3118175" cy="177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5797F-8DCA-4C0B-A4F7-5D3F8ACA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maju 2021 r.</dc:title>
  <dc:subject>Wskaźniki cen towarów i usług konsumpcyjnych</dc:subject>
  <dc:creator>Główny Urząd Statystyczny</dc:creator>
  <cp:keywords>inflacja; wskaźniki cen towarów i usług konsumpcyjnych; ceny detaliczne; ceny konsumpcyjne; ceny towarów i usług; żywność; system wag; coicop; hicp; cpi</cp:keywords>
  <cp:lastPrinted>2021-06-14T12:53:00Z</cp:lastPrinted>
  <dcterms:created xsi:type="dcterms:W3CDTF">2021-06-14T12:52:00Z</dcterms:created>
  <dcterms:modified xsi:type="dcterms:W3CDTF">2021-06-15T05:54:00Z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