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drawings/drawing1.xml" ContentType="application/vnd.openxmlformats-officedocument.drawingml.chartshapes+xml"/>
  <Override PartName="/word/charts/chart4.xml" ContentType="application/vnd.openxmlformats-officedocument.drawingml.chart+xml"/>
  <Override PartName="/word/drawings/drawing2.xml" ContentType="application/vnd.openxmlformats-officedocument.drawingml.chartshapes+xml"/>
  <Override PartName="/word/charts/chart5.xml" ContentType="application/vnd.openxmlformats-officedocument.drawingml.chart+xml"/>
  <Override PartName="/word/drawings/drawing3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522" w:rsidRPr="00B24B6C" w:rsidRDefault="00685123" w:rsidP="003047EF">
      <w:pPr>
        <w:pStyle w:val="tytuinformacji"/>
      </w:pPr>
      <w:r w:rsidRPr="00B24B6C">
        <w:t>Wskaźniki cen towarów i usług konsumpcyjnych w</w:t>
      </w:r>
      <w:r w:rsidR="00A90732" w:rsidRPr="00B24B6C">
        <w:t> </w:t>
      </w:r>
      <w:r w:rsidR="00DE4262">
        <w:t>marcu</w:t>
      </w:r>
      <w:r w:rsidR="00A90732" w:rsidRPr="00B24B6C">
        <w:t xml:space="preserve"> </w:t>
      </w:r>
      <w:r w:rsidR="00DE4262">
        <w:t>2021</w:t>
      </w:r>
      <w:r w:rsidR="00EE696D" w:rsidRPr="00B24B6C">
        <w:t xml:space="preserve"> r.</w:t>
      </w:r>
    </w:p>
    <w:p w:rsidR="00DA0C7E" w:rsidRPr="00B24B6C" w:rsidRDefault="00DA0C7E" w:rsidP="003047EF">
      <w:pPr>
        <w:pStyle w:val="tytuinformacji"/>
        <w:rPr>
          <w:sz w:val="19"/>
          <w:szCs w:val="19"/>
          <w:highlight w:val="yellow"/>
        </w:rPr>
      </w:pPr>
    </w:p>
    <w:p w:rsidR="0061655B" w:rsidRPr="00D2668A" w:rsidRDefault="006F52A0" w:rsidP="00CF08EF">
      <w:pPr>
        <w:pStyle w:val="LID"/>
        <w:rPr>
          <w:noProof w:val="0"/>
        </w:rPr>
      </w:pPr>
      <w:r>
        <w:rPr>
          <w:noProof w:val="0"/>
          <w:spacing w:val="-4"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6" type="#_x0000_t202" style="position:absolute;margin-left:0;margin-top:8.1pt;width:2in;height:96.15pt;z-index:251772928;visibility:visible;mso-wrap-distance-top:3.6pt;mso-wrap-distance-bottom:3.6pt;mso-position-horizontal:lef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xJ6KAIAACM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" fillcolor="#001d77" stroked="f">
            <v:textbox style="mso-next-textbox:#Pole tekstowe 2">
              <w:txbxContent>
                <w:p w:rsidR="00413FD5" w:rsidRPr="00216F18" w:rsidRDefault="00413FD5" w:rsidP="00D538E4">
                  <w:pPr>
                    <w:spacing w:after="0" w:line="240" w:lineRule="auto"/>
                    <w:rPr>
                      <w:rFonts w:ascii="Fira Sans SemiBold" w:hAnsi="Fira Sans SemiBold"/>
                      <w:color w:val="FFFFFF" w:themeColor="background1"/>
                      <w:sz w:val="72"/>
                    </w:rPr>
                  </w:pPr>
                  <w:r w:rsidRPr="00C61795">
                    <w:rPr>
                      <w:rFonts w:asciiTheme="minorHAnsi" w:hAnsiTheme="minorHAnsi"/>
                      <w:b/>
                      <w:noProof/>
                      <w:color w:val="001D77"/>
                      <w:sz w:val="22"/>
                      <w:lang w:eastAsia="pl-PL"/>
                    </w:rPr>
                    <w:drawing>
                      <wp:inline distT="0" distB="0" distL="0" distR="0" wp14:anchorId="7BFD9AC8" wp14:editId="4B27EFF4">
                        <wp:extent cx="334645" cy="334645"/>
                        <wp:effectExtent l="0" t="0" r="8255" b="8255"/>
                        <wp:docPr id="2" name="Obraz 3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3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4645" cy="3346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61795">
                    <w:rPr>
                      <w:noProof/>
                      <w:color w:val="001D77"/>
                      <w:lang w:eastAsia="pl-PL"/>
                    </w:rPr>
                    <w:t xml:space="preserve"> </w:t>
                  </w:r>
                  <w:r w:rsidRPr="00216F18">
                    <w:rPr>
                      <w:rFonts w:ascii="Fira Sans SemiBold" w:hAnsi="Fira Sans SemiBold"/>
                      <w:color w:val="FFFFFF" w:themeColor="background1"/>
                      <w:sz w:val="72"/>
                    </w:rPr>
                    <w:t>3,2%</w:t>
                  </w:r>
                </w:p>
                <w:p w:rsidR="00413FD5" w:rsidRPr="00216F18" w:rsidRDefault="00413FD5" w:rsidP="00A27522">
                  <w:pPr>
                    <w:pStyle w:val="tekstnaniebieskimtle"/>
                  </w:pPr>
                  <w:r w:rsidRPr="00216F18">
                    <w:t xml:space="preserve">wzrost w porównaniu </w:t>
                  </w:r>
                </w:p>
                <w:p w:rsidR="00413FD5" w:rsidRPr="00216F18" w:rsidRDefault="00413FD5" w:rsidP="00A27522">
                  <w:pPr>
                    <w:pStyle w:val="tekstnaniebieskimtle"/>
                  </w:pPr>
                  <w:r w:rsidRPr="00216F18">
                    <w:t xml:space="preserve">z analogicznym miesiącem </w:t>
                  </w:r>
                </w:p>
                <w:p w:rsidR="00413FD5" w:rsidRPr="00D538E4" w:rsidRDefault="00413FD5" w:rsidP="00A27522">
                  <w:pPr>
                    <w:pStyle w:val="tekstnaniebieskimtle"/>
                    <w:rPr>
                      <w:color w:val="FFFFFF" w:themeColor="background1"/>
                      <w:sz w:val="18"/>
                      <w:szCs w:val="20"/>
                    </w:rPr>
                  </w:pPr>
                  <w:r w:rsidRPr="00216F18">
                    <w:t>poprzedniego roku</w:t>
                  </w:r>
                </w:p>
              </w:txbxContent>
            </v:textbox>
            <w10:wrap type="square" anchorx="margin"/>
          </v:shape>
        </w:pict>
      </w:r>
      <w:r w:rsidR="00D538E4" w:rsidRPr="000242DA">
        <w:rPr>
          <w:noProof w:val="0"/>
          <w:spacing w:val="-4"/>
        </w:rPr>
        <w:t>Ceny t</w:t>
      </w:r>
      <w:r w:rsidR="00A27522" w:rsidRPr="000242DA">
        <w:rPr>
          <w:noProof w:val="0"/>
          <w:spacing w:val="-4"/>
        </w:rPr>
        <w:t>o</w:t>
      </w:r>
      <w:r w:rsidR="00E24A25" w:rsidRPr="000242DA">
        <w:rPr>
          <w:noProof w:val="0"/>
          <w:spacing w:val="-4"/>
        </w:rPr>
        <w:t xml:space="preserve">warów i usług konsumpcyjnych w </w:t>
      </w:r>
      <w:r w:rsidR="000242DA" w:rsidRPr="000242DA">
        <w:rPr>
          <w:noProof w:val="0"/>
          <w:spacing w:val="-4"/>
        </w:rPr>
        <w:t>marcu</w:t>
      </w:r>
      <w:r w:rsidR="00E24A25" w:rsidRPr="000242DA">
        <w:rPr>
          <w:noProof w:val="0"/>
          <w:spacing w:val="-4"/>
        </w:rPr>
        <w:t xml:space="preserve"> </w:t>
      </w:r>
      <w:r w:rsidR="000242DA" w:rsidRPr="000242DA">
        <w:rPr>
          <w:noProof w:val="0"/>
          <w:spacing w:val="-4"/>
        </w:rPr>
        <w:t>2021</w:t>
      </w:r>
      <w:r w:rsidR="000F2650" w:rsidRPr="000242DA">
        <w:rPr>
          <w:noProof w:val="0"/>
          <w:spacing w:val="-4"/>
        </w:rPr>
        <w:t xml:space="preserve"> r. </w:t>
      </w:r>
      <w:r w:rsidR="00E24A25" w:rsidRPr="000242DA">
        <w:rPr>
          <w:noProof w:val="0"/>
          <w:spacing w:val="-4"/>
        </w:rPr>
        <w:t>w porównaniu z analo</w:t>
      </w:r>
      <w:r w:rsidR="00E24A25" w:rsidRPr="000242DA">
        <w:rPr>
          <w:noProof w:val="0"/>
          <w:spacing w:val="-4"/>
        </w:rPr>
        <w:softHyphen/>
        <w:t>gicznym miesiącem ub. roku wzro</w:t>
      </w:r>
      <w:r w:rsidR="00D2668A" w:rsidRPr="000242DA">
        <w:rPr>
          <w:noProof w:val="0"/>
          <w:spacing w:val="-4"/>
        </w:rPr>
        <w:t xml:space="preserve">sły </w:t>
      </w:r>
      <w:r w:rsidR="00D2668A" w:rsidRPr="001C593F">
        <w:rPr>
          <w:noProof w:val="0"/>
          <w:spacing w:val="-4"/>
        </w:rPr>
        <w:t>o </w:t>
      </w:r>
      <w:r w:rsidR="000242DA" w:rsidRPr="001C593F">
        <w:rPr>
          <w:noProof w:val="0"/>
          <w:spacing w:val="-4"/>
        </w:rPr>
        <w:t>3,2</w:t>
      </w:r>
      <w:r w:rsidR="00371BCE">
        <w:rPr>
          <w:noProof w:val="0"/>
          <w:spacing w:val="-4"/>
        </w:rPr>
        <w:t xml:space="preserve">% (przy wzroście cen usług </w:t>
      </w:r>
      <w:r w:rsidR="00E24A25" w:rsidRPr="001C593F">
        <w:rPr>
          <w:noProof w:val="0"/>
          <w:spacing w:val="-4"/>
        </w:rPr>
        <w:t xml:space="preserve">o </w:t>
      </w:r>
      <w:r w:rsidR="000242DA" w:rsidRPr="001C593F">
        <w:rPr>
          <w:noProof w:val="0"/>
          <w:spacing w:val="-4"/>
        </w:rPr>
        <w:t>7,3</w:t>
      </w:r>
      <w:r w:rsidR="00145121" w:rsidRPr="001C593F">
        <w:rPr>
          <w:noProof w:val="0"/>
          <w:spacing w:val="-4"/>
        </w:rPr>
        <w:t xml:space="preserve">% </w:t>
      </w:r>
      <w:r w:rsidR="00371BCE">
        <w:rPr>
          <w:noProof w:val="0"/>
          <w:spacing w:val="-4"/>
        </w:rPr>
        <w:t xml:space="preserve">i towarów </w:t>
      </w:r>
      <w:r w:rsidR="00E24A25" w:rsidRPr="001C593F">
        <w:rPr>
          <w:noProof w:val="0"/>
          <w:spacing w:val="-4"/>
        </w:rPr>
        <w:t xml:space="preserve">o </w:t>
      </w:r>
      <w:r w:rsidR="000242DA" w:rsidRPr="001C593F">
        <w:rPr>
          <w:noProof w:val="0"/>
          <w:spacing w:val="-4"/>
        </w:rPr>
        <w:t>1</w:t>
      </w:r>
      <w:r w:rsidR="00005FA6" w:rsidRPr="001C593F">
        <w:rPr>
          <w:noProof w:val="0"/>
          <w:spacing w:val="-4"/>
        </w:rPr>
        <w:t>,9</w:t>
      </w:r>
      <w:r w:rsidR="00E24A25" w:rsidRPr="001C593F">
        <w:rPr>
          <w:noProof w:val="0"/>
          <w:spacing w:val="-4"/>
        </w:rPr>
        <w:t>%).</w:t>
      </w:r>
      <w:r w:rsidR="0000260E" w:rsidRPr="001C593F">
        <w:rPr>
          <w:noProof w:val="0"/>
        </w:rPr>
        <w:br/>
      </w:r>
      <w:r w:rsidR="00E24A25" w:rsidRPr="001C593F">
        <w:rPr>
          <w:noProof w:val="0"/>
        </w:rPr>
        <w:t xml:space="preserve">W stosunku do poprzedniego miesiąca ceny towarów i usług wzrosły </w:t>
      </w:r>
      <w:r w:rsidR="006D6B72" w:rsidRPr="001C593F">
        <w:rPr>
          <w:noProof w:val="0"/>
        </w:rPr>
        <w:t>o</w:t>
      </w:r>
      <w:r w:rsidR="00D538E4" w:rsidRPr="001C593F">
        <w:rPr>
          <w:noProof w:val="0"/>
        </w:rPr>
        <w:t xml:space="preserve"> </w:t>
      </w:r>
      <w:r w:rsidR="001C593F" w:rsidRPr="001C593F">
        <w:rPr>
          <w:noProof w:val="0"/>
        </w:rPr>
        <w:t>1,0</w:t>
      </w:r>
      <w:r w:rsidR="00D538E4" w:rsidRPr="001C593F">
        <w:rPr>
          <w:noProof w:val="0"/>
        </w:rPr>
        <w:t>% (w tym</w:t>
      </w:r>
      <w:r w:rsidR="00AA569E" w:rsidRPr="001C593F">
        <w:rPr>
          <w:noProof w:val="0"/>
        </w:rPr>
        <w:t xml:space="preserve"> </w:t>
      </w:r>
      <w:r w:rsidR="00005FA6" w:rsidRPr="001C593F">
        <w:rPr>
          <w:noProof w:val="0"/>
        </w:rPr>
        <w:t xml:space="preserve">towarów </w:t>
      </w:r>
      <w:r w:rsidR="00D538E4" w:rsidRPr="001C593F">
        <w:rPr>
          <w:noProof w:val="0"/>
        </w:rPr>
        <w:t>o </w:t>
      </w:r>
      <w:r w:rsidR="001C593F" w:rsidRPr="001C593F">
        <w:rPr>
          <w:noProof w:val="0"/>
        </w:rPr>
        <w:t>1</w:t>
      </w:r>
      <w:r w:rsidR="00AA569E" w:rsidRPr="001C593F">
        <w:rPr>
          <w:noProof w:val="0"/>
        </w:rPr>
        <w:t>,</w:t>
      </w:r>
      <w:r w:rsidR="001C593F" w:rsidRPr="001C593F">
        <w:rPr>
          <w:noProof w:val="0"/>
        </w:rPr>
        <w:t>0</w:t>
      </w:r>
      <w:r w:rsidR="00D538E4" w:rsidRPr="001C593F">
        <w:rPr>
          <w:noProof w:val="0"/>
        </w:rPr>
        <w:t>%</w:t>
      </w:r>
      <w:r w:rsidR="00371BCE">
        <w:rPr>
          <w:noProof w:val="0"/>
        </w:rPr>
        <w:t xml:space="preserve"> i usług o </w:t>
      </w:r>
      <w:r w:rsidR="001C593F" w:rsidRPr="001C593F">
        <w:rPr>
          <w:noProof w:val="0"/>
        </w:rPr>
        <w:t>0,8%</w:t>
      </w:r>
      <w:r w:rsidR="009B2242" w:rsidRPr="001C593F">
        <w:rPr>
          <w:noProof w:val="0"/>
        </w:rPr>
        <w:t>).</w:t>
      </w:r>
      <w:r w:rsidR="00D2668A" w:rsidRPr="00DE4262">
        <w:rPr>
          <w:noProof w:val="0"/>
          <w:highlight w:val="yellow"/>
        </w:rPr>
        <w:br/>
      </w:r>
    </w:p>
    <w:p w:rsidR="00A27522" w:rsidRPr="00B24B6C" w:rsidRDefault="00A27522" w:rsidP="00CF08EF">
      <w:pPr>
        <w:pStyle w:val="LID"/>
        <w:rPr>
          <w:noProof w:val="0"/>
          <w:highlight w:val="yellow"/>
        </w:rPr>
      </w:pPr>
    </w:p>
    <w:tbl>
      <w:tblPr>
        <w:tblStyle w:val="Siatkatabelijasna11"/>
        <w:tblpPr w:leftFromText="141" w:rightFromText="141" w:vertAnchor="text" w:horzAnchor="margin" w:tblpY="876"/>
        <w:tblW w:w="80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798"/>
        <w:gridCol w:w="877"/>
        <w:gridCol w:w="877"/>
        <w:gridCol w:w="876"/>
        <w:gridCol w:w="881"/>
        <w:gridCol w:w="881"/>
        <w:gridCol w:w="878"/>
      </w:tblGrid>
      <w:tr w:rsidR="002619FD" w:rsidRPr="00502F8C" w:rsidTr="00A47161">
        <w:trPr>
          <w:cantSplit/>
          <w:trHeight w:val="367"/>
        </w:trPr>
        <w:tc>
          <w:tcPr>
            <w:tcW w:w="2798" w:type="dxa"/>
            <w:vMerge w:val="restart"/>
            <w:vAlign w:val="center"/>
          </w:tcPr>
          <w:p w:rsidR="002619FD" w:rsidRPr="00502F8C" w:rsidRDefault="002619FD" w:rsidP="00A47161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ascii="Fira Sans" w:hAnsi="Fira Sans" w:cs="Arial"/>
                <w:b/>
                <w:bCs w:val="0"/>
                <w:color w:val="000000" w:themeColor="text1"/>
                <w:sz w:val="16"/>
                <w:szCs w:val="16"/>
              </w:rPr>
            </w:pPr>
            <w:r w:rsidRPr="00502F8C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WYSZCZEGÓLNIENIE</w:t>
            </w:r>
          </w:p>
        </w:tc>
        <w:tc>
          <w:tcPr>
            <w:tcW w:w="2630" w:type="dxa"/>
            <w:gridSpan w:val="3"/>
            <w:vAlign w:val="center"/>
          </w:tcPr>
          <w:p w:rsidR="002619FD" w:rsidRPr="00502F8C" w:rsidRDefault="002619FD" w:rsidP="00A47161">
            <w:pPr>
              <w:pStyle w:val="Nagwek3"/>
              <w:spacing w:before="120" w:after="12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III 2021</w:t>
            </w:r>
          </w:p>
        </w:tc>
        <w:tc>
          <w:tcPr>
            <w:tcW w:w="1762" w:type="dxa"/>
            <w:gridSpan w:val="2"/>
            <w:vAlign w:val="center"/>
          </w:tcPr>
          <w:p w:rsidR="002619FD" w:rsidRPr="00502F8C" w:rsidRDefault="002619FD" w:rsidP="00A47161">
            <w:pPr>
              <w:pStyle w:val="Nagwek3"/>
              <w:spacing w:before="120" w:after="12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I-III 2021</w:t>
            </w:r>
          </w:p>
        </w:tc>
        <w:tc>
          <w:tcPr>
            <w:tcW w:w="878" w:type="dxa"/>
            <w:vMerge w:val="restart"/>
            <w:vAlign w:val="center"/>
          </w:tcPr>
          <w:p w:rsidR="002619FD" w:rsidRPr="00502F8C" w:rsidRDefault="002619FD" w:rsidP="00A47161">
            <w:pPr>
              <w:pStyle w:val="Nagwek1"/>
              <w:tabs>
                <w:tab w:val="right" w:leader="dot" w:pos="4139"/>
              </w:tabs>
              <w:spacing w:before="120" w:line="240" w:lineRule="exact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  <w:r w:rsidRPr="00502F8C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WPŁYW ZMIAN</w:t>
            </w:r>
          </w:p>
          <w:p w:rsidR="002619FD" w:rsidRPr="00502F8C" w:rsidRDefault="002619FD" w:rsidP="00A47161">
            <w:pPr>
              <w:pStyle w:val="Nagwek1"/>
              <w:tabs>
                <w:tab w:val="right" w:leader="dot" w:pos="4139"/>
              </w:tabs>
              <w:spacing w:before="120" w:line="240" w:lineRule="exact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II 2021</w:t>
            </w:r>
            <w:r w:rsidRPr="00502F8C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=</w:t>
            </w:r>
            <w:r w:rsidRPr="00502F8C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br/>
              <w:t>=100</w:t>
            </w:r>
          </w:p>
        </w:tc>
      </w:tr>
      <w:tr w:rsidR="002619FD" w:rsidRPr="00502F8C" w:rsidTr="00A47161">
        <w:trPr>
          <w:cantSplit/>
          <w:trHeight w:val="57"/>
        </w:trPr>
        <w:tc>
          <w:tcPr>
            <w:tcW w:w="2798" w:type="dxa"/>
            <w:vMerge/>
            <w:tcBorders>
              <w:bottom w:val="single" w:sz="12" w:space="0" w:color="212492"/>
            </w:tcBorders>
            <w:vAlign w:val="center"/>
          </w:tcPr>
          <w:p w:rsidR="002619FD" w:rsidRPr="00502F8C" w:rsidRDefault="002619FD" w:rsidP="00A47161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877" w:type="dxa"/>
            <w:tcBorders>
              <w:bottom w:val="single" w:sz="12" w:space="0" w:color="212492"/>
            </w:tcBorders>
            <w:vAlign w:val="center"/>
          </w:tcPr>
          <w:p w:rsidR="002619FD" w:rsidRPr="00502F8C" w:rsidRDefault="002619FD" w:rsidP="00A47161">
            <w:pPr>
              <w:pStyle w:val="Nagwek3"/>
              <w:spacing w:before="120" w:after="12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III 2020</w:t>
            </w:r>
            <w:r w:rsidRPr="00502F8C">
              <w:rPr>
                <w:rFonts w:ascii="Fira Sans" w:hAnsi="Fira Sans"/>
                <w:color w:val="000000" w:themeColor="text1"/>
                <w:sz w:val="16"/>
                <w:szCs w:val="16"/>
              </w:rPr>
              <w:t>=</w:t>
            </w:r>
            <w:r w:rsidRPr="00502F8C">
              <w:rPr>
                <w:rFonts w:ascii="Fira Sans" w:hAnsi="Fira Sans"/>
                <w:color w:val="000000" w:themeColor="text1"/>
                <w:sz w:val="16"/>
                <w:szCs w:val="16"/>
              </w:rPr>
              <w:br/>
              <w:t>=100</w:t>
            </w:r>
          </w:p>
        </w:tc>
        <w:tc>
          <w:tcPr>
            <w:tcW w:w="877" w:type="dxa"/>
            <w:tcBorders>
              <w:bottom w:val="single" w:sz="12" w:space="0" w:color="212492"/>
            </w:tcBorders>
            <w:vAlign w:val="center"/>
          </w:tcPr>
          <w:p w:rsidR="002619FD" w:rsidRPr="00502F8C" w:rsidRDefault="002619FD" w:rsidP="00A47161">
            <w:pPr>
              <w:pStyle w:val="Nagwek3"/>
              <w:spacing w:before="120" w:after="12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XII 2020</w:t>
            </w:r>
            <w:r w:rsidRPr="00502F8C">
              <w:rPr>
                <w:rFonts w:ascii="Fira Sans" w:hAnsi="Fira Sans"/>
                <w:color w:val="000000" w:themeColor="text1"/>
                <w:sz w:val="16"/>
                <w:szCs w:val="16"/>
              </w:rPr>
              <w:t>=</w:t>
            </w:r>
            <w:r w:rsidRPr="00502F8C">
              <w:rPr>
                <w:rFonts w:ascii="Fira Sans" w:hAnsi="Fira Sans"/>
                <w:color w:val="000000" w:themeColor="text1"/>
                <w:sz w:val="16"/>
                <w:szCs w:val="16"/>
              </w:rPr>
              <w:br/>
              <w:t>=100</w:t>
            </w:r>
          </w:p>
        </w:tc>
        <w:tc>
          <w:tcPr>
            <w:tcW w:w="876" w:type="dxa"/>
            <w:tcBorders>
              <w:bottom w:val="single" w:sz="12" w:space="0" w:color="212492"/>
            </w:tcBorders>
            <w:vAlign w:val="center"/>
          </w:tcPr>
          <w:p w:rsidR="002619FD" w:rsidRPr="00502F8C" w:rsidRDefault="002619FD" w:rsidP="00A47161">
            <w:pPr>
              <w:pStyle w:val="Nagwek3"/>
              <w:spacing w:before="120" w:after="12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II 2021</w:t>
            </w:r>
            <w:r w:rsidRPr="00502F8C">
              <w:rPr>
                <w:rFonts w:ascii="Fira Sans" w:hAnsi="Fira Sans"/>
                <w:color w:val="000000" w:themeColor="text1"/>
                <w:sz w:val="16"/>
                <w:szCs w:val="16"/>
              </w:rPr>
              <w:t>=</w:t>
            </w:r>
            <w:r w:rsidRPr="00502F8C">
              <w:rPr>
                <w:rFonts w:ascii="Fira Sans" w:hAnsi="Fira Sans"/>
                <w:color w:val="000000" w:themeColor="text1"/>
                <w:sz w:val="16"/>
                <w:szCs w:val="16"/>
              </w:rPr>
              <w:br/>
              <w:t>=100</w:t>
            </w:r>
          </w:p>
        </w:tc>
        <w:tc>
          <w:tcPr>
            <w:tcW w:w="881" w:type="dxa"/>
            <w:tcBorders>
              <w:bottom w:val="single" w:sz="12" w:space="0" w:color="212492"/>
            </w:tcBorders>
            <w:vAlign w:val="center"/>
          </w:tcPr>
          <w:p w:rsidR="002619FD" w:rsidRPr="00502F8C" w:rsidRDefault="002619FD" w:rsidP="00A47161">
            <w:pPr>
              <w:pStyle w:val="Nagwek3"/>
              <w:spacing w:before="120" w:after="12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I-III 2020</w:t>
            </w:r>
            <w:r w:rsidRPr="00502F8C">
              <w:rPr>
                <w:rFonts w:ascii="Fira Sans" w:hAnsi="Fira Sans"/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881" w:type="dxa"/>
            <w:tcBorders>
              <w:bottom w:val="single" w:sz="12" w:space="0" w:color="212492"/>
            </w:tcBorders>
            <w:vAlign w:val="center"/>
          </w:tcPr>
          <w:p w:rsidR="002619FD" w:rsidRPr="00502F8C" w:rsidRDefault="002619FD" w:rsidP="00A47161">
            <w:pPr>
              <w:pStyle w:val="Nagwek3"/>
              <w:spacing w:before="120" w:after="12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X-XII 2020</w:t>
            </w:r>
            <w:r w:rsidRPr="00502F8C">
              <w:rPr>
                <w:rFonts w:ascii="Fira Sans" w:hAnsi="Fira Sans"/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878" w:type="dxa"/>
            <w:vMerge/>
            <w:tcBorders>
              <w:bottom w:val="single" w:sz="12" w:space="0" w:color="212492"/>
            </w:tcBorders>
            <w:vAlign w:val="center"/>
          </w:tcPr>
          <w:p w:rsidR="002619FD" w:rsidRPr="00502F8C" w:rsidRDefault="002619FD" w:rsidP="00A47161">
            <w:pPr>
              <w:pStyle w:val="Nagwek3"/>
              <w:spacing w:before="120" w:after="12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026F64" w:rsidRPr="00502F8C" w:rsidTr="00026F64">
        <w:trPr>
          <w:cantSplit/>
          <w:trHeight w:val="57"/>
        </w:trPr>
        <w:tc>
          <w:tcPr>
            <w:tcW w:w="2798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026F64" w:rsidRPr="00502F8C" w:rsidRDefault="00026F64" w:rsidP="00A47161">
            <w:pPr>
              <w:pStyle w:val="Nagwek5"/>
              <w:tabs>
                <w:tab w:val="right" w:leader="dot" w:pos="4156"/>
              </w:tabs>
              <w:spacing w:before="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 w:rsidRPr="00502F8C"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877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026F64" w:rsidRPr="00777295" w:rsidRDefault="00026F64" w:rsidP="00026F64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777295">
              <w:rPr>
                <w:rFonts w:cs="Arial"/>
                <w:b/>
                <w:color w:val="000000" w:themeColor="text1"/>
                <w:sz w:val="16"/>
                <w:szCs w:val="16"/>
              </w:rPr>
              <w:t>103,2</w:t>
            </w:r>
          </w:p>
        </w:tc>
        <w:tc>
          <w:tcPr>
            <w:tcW w:w="877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026F64" w:rsidRPr="00026F64" w:rsidRDefault="00026F64" w:rsidP="00026F64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026F64">
              <w:rPr>
                <w:rFonts w:cs="Arial"/>
                <w:b/>
                <w:color w:val="000000" w:themeColor="text1"/>
                <w:sz w:val="16"/>
                <w:szCs w:val="16"/>
              </w:rPr>
              <w:t>102,8</w:t>
            </w:r>
          </w:p>
        </w:tc>
        <w:tc>
          <w:tcPr>
            <w:tcW w:w="876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026F64" w:rsidRPr="00777295" w:rsidRDefault="00026F64" w:rsidP="00026F64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777295">
              <w:rPr>
                <w:rFonts w:cs="Arial"/>
                <w:b/>
                <w:color w:val="000000" w:themeColor="text1"/>
                <w:sz w:val="16"/>
                <w:szCs w:val="16"/>
              </w:rPr>
              <w:t>101,0</w:t>
            </w:r>
          </w:p>
        </w:tc>
        <w:tc>
          <w:tcPr>
            <w:tcW w:w="881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026F64" w:rsidRPr="00026F64" w:rsidRDefault="00026F64" w:rsidP="00026F64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026F64">
              <w:rPr>
                <w:rFonts w:cs="Arial"/>
                <w:b/>
                <w:color w:val="000000" w:themeColor="text1"/>
                <w:sz w:val="16"/>
                <w:szCs w:val="16"/>
              </w:rPr>
              <w:t>102,7</w:t>
            </w:r>
          </w:p>
        </w:tc>
        <w:tc>
          <w:tcPr>
            <w:tcW w:w="881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026F64" w:rsidRPr="00026F64" w:rsidRDefault="00026F64" w:rsidP="00026F64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026F64">
              <w:rPr>
                <w:rFonts w:cs="Arial"/>
                <w:b/>
                <w:color w:val="000000" w:themeColor="text1"/>
                <w:sz w:val="16"/>
                <w:szCs w:val="16"/>
              </w:rPr>
              <w:t>102,1</w:t>
            </w:r>
          </w:p>
        </w:tc>
        <w:tc>
          <w:tcPr>
            <w:tcW w:w="878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026F64" w:rsidRPr="00026F64" w:rsidRDefault="00026F64" w:rsidP="00026F64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026F64">
              <w:rPr>
                <w:rFonts w:cs="Arial"/>
                <w:b/>
                <w:color w:val="000000" w:themeColor="text1"/>
                <w:sz w:val="16"/>
                <w:szCs w:val="16"/>
              </w:rPr>
              <w:t>x</w:t>
            </w:r>
          </w:p>
        </w:tc>
      </w:tr>
      <w:tr w:rsidR="00026F64" w:rsidRPr="00502F8C" w:rsidTr="00026F64">
        <w:trPr>
          <w:cantSplit/>
          <w:trHeight w:val="57"/>
        </w:trPr>
        <w:tc>
          <w:tcPr>
            <w:tcW w:w="279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026F64" w:rsidRPr="00502F8C" w:rsidRDefault="00026F64" w:rsidP="00A47161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502F8C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Ż</w:t>
            </w:r>
            <w:r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 xml:space="preserve">ywność i napoje </w:t>
            </w:r>
            <w:r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br/>
              <w:t>bezalkoholowe</w:t>
            </w:r>
          </w:p>
        </w:tc>
        <w:tc>
          <w:tcPr>
            <w:tcW w:w="87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026F64" w:rsidRPr="00026F64" w:rsidRDefault="00026F64" w:rsidP="00026F64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26F64">
              <w:rPr>
                <w:rFonts w:cs="Arial"/>
                <w:color w:val="000000" w:themeColor="text1"/>
                <w:sz w:val="16"/>
                <w:szCs w:val="16"/>
              </w:rPr>
              <w:t>100,5</w:t>
            </w:r>
          </w:p>
        </w:tc>
        <w:tc>
          <w:tcPr>
            <w:tcW w:w="87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026F64" w:rsidRPr="00026F64" w:rsidRDefault="00026F64" w:rsidP="00026F64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26F64">
              <w:rPr>
                <w:rFonts w:cs="Arial"/>
                <w:color w:val="000000" w:themeColor="text1"/>
                <w:sz w:val="16"/>
                <w:szCs w:val="16"/>
              </w:rPr>
              <w:t>103,3</w:t>
            </w:r>
          </w:p>
        </w:tc>
        <w:tc>
          <w:tcPr>
            <w:tcW w:w="876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026F64" w:rsidRPr="00026F64" w:rsidRDefault="00026F64" w:rsidP="00026F64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26F64">
              <w:rPr>
                <w:rFonts w:cs="Arial"/>
                <w:color w:val="000000" w:themeColor="text1"/>
                <w:sz w:val="16"/>
                <w:szCs w:val="16"/>
              </w:rPr>
              <w:t>100,7</w:t>
            </w:r>
          </w:p>
        </w:tc>
        <w:tc>
          <w:tcPr>
            <w:tcW w:w="88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026F64" w:rsidRPr="00026F64" w:rsidRDefault="00026F64" w:rsidP="00026F64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26F64">
              <w:rPr>
                <w:rFonts w:cs="Arial"/>
                <w:color w:val="000000" w:themeColor="text1"/>
                <w:sz w:val="16"/>
                <w:szCs w:val="16"/>
              </w:rPr>
              <w:t>100,6</w:t>
            </w:r>
          </w:p>
        </w:tc>
        <w:tc>
          <w:tcPr>
            <w:tcW w:w="881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026F64" w:rsidRPr="00026F64" w:rsidRDefault="00026F64" w:rsidP="00026F64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26F64">
              <w:rPr>
                <w:rFonts w:cs="Arial"/>
                <w:color w:val="000000" w:themeColor="text1"/>
                <w:sz w:val="16"/>
                <w:szCs w:val="16"/>
              </w:rPr>
              <w:t>102,5</w:t>
            </w:r>
          </w:p>
        </w:tc>
        <w:tc>
          <w:tcPr>
            <w:tcW w:w="87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026F64" w:rsidRPr="00026F64" w:rsidRDefault="00026F64" w:rsidP="00026F64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26F64">
              <w:rPr>
                <w:rFonts w:cs="Arial"/>
                <w:color w:val="000000" w:themeColor="text1"/>
                <w:sz w:val="16"/>
                <w:szCs w:val="16"/>
              </w:rPr>
              <w:t>0,20</w:t>
            </w:r>
          </w:p>
        </w:tc>
      </w:tr>
      <w:tr w:rsidR="00026F64" w:rsidRPr="00502F8C" w:rsidTr="00026F64">
        <w:trPr>
          <w:cantSplit/>
          <w:trHeight w:val="57"/>
        </w:trPr>
        <w:tc>
          <w:tcPr>
            <w:tcW w:w="279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026F64" w:rsidRPr="00502F8C" w:rsidRDefault="00026F64" w:rsidP="00A47161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502F8C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 xml:space="preserve">Napoje alkoholowe </w:t>
            </w:r>
            <w:r w:rsidRPr="00502F8C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br/>
              <w:t>i wyroby tytoniowe</w:t>
            </w:r>
          </w:p>
        </w:tc>
        <w:tc>
          <w:tcPr>
            <w:tcW w:w="87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026F64" w:rsidRPr="00026F64" w:rsidRDefault="00026F64" w:rsidP="00026F64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26F64">
              <w:rPr>
                <w:rFonts w:cs="Arial"/>
                <w:color w:val="000000" w:themeColor="text1"/>
                <w:sz w:val="16"/>
                <w:szCs w:val="16"/>
              </w:rPr>
              <w:t>102,1</w:t>
            </w:r>
          </w:p>
        </w:tc>
        <w:tc>
          <w:tcPr>
            <w:tcW w:w="87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026F64" w:rsidRPr="00026F64" w:rsidRDefault="00026F64" w:rsidP="00026F64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26F64">
              <w:rPr>
                <w:rFonts w:cs="Arial"/>
                <w:color w:val="000000" w:themeColor="text1"/>
                <w:sz w:val="16"/>
                <w:szCs w:val="16"/>
              </w:rPr>
              <w:t>101,2</w:t>
            </w:r>
          </w:p>
        </w:tc>
        <w:tc>
          <w:tcPr>
            <w:tcW w:w="876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026F64" w:rsidRPr="00026F64" w:rsidRDefault="00026F64" w:rsidP="00026F64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26F64">
              <w:rPr>
                <w:rFonts w:cs="Arial"/>
                <w:color w:val="000000" w:themeColor="text1"/>
                <w:sz w:val="16"/>
                <w:szCs w:val="16"/>
              </w:rPr>
              <w:t>100,4</w:t>
            </w:r>
          </w:p>
        </w:tc>
        <w:tc>
          <w:tcPr>
            <w:tcW w:w="88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026F64" w:rsidRPr="00026F64" w:rsidRDefault="00026F64" w:rsidP="00026F64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26F64">
              <w:rPr>
                <w:rFonts w:cs="Arial"/>
                <w:color w:val="000000" w:themeColor="text1"/>
                <w:sz w:val="16"/>
                <w:szCs w:val="16"/>
              </w:rPr>
              <w:t>102,5</w:t>
            </w:r>
          </w:p>
        </w:tc>
        <w:tc>
          <w:tcPr>
            <w:tcW w:w="881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026F64" w:rsidRPr="00026F64" w:rsidRDefault="00026F64" w:rsidP="00026F64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26F64">
              <w:rPr>
                <w:rFonts w:cs="Arial"/>
                <w:color w:val="000000" w:themeColor="text1"/>
                <w:sz w:val="16"/>
                <w:szCs w:val="16"/>
              </w:rPr>
              <w:t>100,8</w:t>
            </w:r>
          </w:p>
        </w:tc>
        <w:tc>
          <w:tcPr>
            <w:tcW w:w="87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026F64" w:rsidRPr="00026F64" w:rsidRDefault="00026F64" w:rsidP="00026F64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26F64">
              <w:rPr>
                <w:rFonts w:cs="Arial"/>
                <w:color w:val="000000" w:themeColor="text1"/>
                <w:sz w:val="16"/>
                <w:szCs w:val="16"/>
              </w:rPr>
              <w:t>0,03</w:t>
            </w:r>
          </w:p>
        </w:tc>
      </w:tr>
      <w:tr w:rsidR="00026F64" w:rsidRPr="00502F8C" w:rsidTr="00026F64">
        <w:trPr>
          <w:cantSplit/>
          <w:trHeight w:val="57"/>
        </w:trPr>
        <w:tc>
          <w:tcPr>
            <w:tcW w:w="279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026F64" w:rsidRPr="00502F8C" w:rsidRDefault="00026F64" w:rsidP="00A47161">
            <w:pPr>
              <w:tabs>
                <w:tab w:val="right" w:leader="dot" w:pos="4156"/>
              </w:tabs>
              <w:contextualSpacing/>
              <w:rPr>
                <w:color w:val="000000" w:themeColor="text1"/>
                <w:sz w:val="16"/>
                <w:szCs w:val="16"/>
                <w:lang w:val="en-US"/>
              </w:rPr>
            </w:pPr>
            <w:r w:rsidRPr="00502F8C">
              <w:rPr>
                <w:rFonts w:cstheme="majorBidi"/>
                <w:bCs/>
                <w:color w:val="000000" w:themeColor="text1"/>
                <w:sz w:val="16"/>
                <w:szCs w:val="16"/>
              </w:rPr>
              <w:t>Odzież i obuwie</w:t>
            </w:r>
          </w:p>
        </w:tc>
        <w:tc>
          <w:tcPr>
            <w:tcW w:w="87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026F64" w:rsidRPr="00026F64" w:rsidRDefault="00026F64" w:rsidP="00026F64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26F64">
              <w:rPr>
                <w:rFonts w:cs="Arial"/>
                <w:color w:val="000000" w:themeColor="text1"/>
                <w:sz w:val="16"/>
                <w:szCs w:val="16"/>
              </w:rPr>
              <w:t>98,6</w:t>
            </w:r>
          </w:p>
        </w:tc>
        <w:tc>
          <w:tcPr>
            <w:tcW w:w="87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026F64" w:rsidRPr="00026F64" w:rsidRDefault="00026F64" w:rsidP="00026F64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26F64">
              <w:rPr>
                <w:rFonts w:cs="Arial"/>
                <w:color w:val="000000" w:themeColor="text1"/>
                <w:sz w:val="16"/>
                <w:szCs w:val="16"/>
              </w:rPr>
              <w:t>99,4</w:t>
            </w:r>
          </w:p>
        </w:tc>
        <w:tc>
          <w:tcPr>
            <w:tcW w:w="876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026F64" w:rsidRPr="00026F64" w:rsidRDefault="00026F64" w:rsidP="00026F64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26F64">
              <w:rPr>
                <w:rFonts w:cs="Arial"/>
                <w:color w:val="000000" w:themeColor="text1"/>
                <w:sz w:val="16"/>
                <w:szCs w:val="16"/>
              </w:rPr>
              <w:t>104,1</w:t>
            </w:r>
          </w:p>
        </w:tc>
        <w:tc>
          <w:tcPr>
            <w:tcW w:w="88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026F64" w:rsidRPr="00026F64" w:rsidRDefault="00026F64" w:rsidP="00026F64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26F64">
              <w:rPr>
                <w:rFonts w:cs="Arial"/>
                <w:color w:val="000000" w:themeColor="text1"/>
                <w:sz w:val="16"/>
                <w:szCs w:val="16"/>
              </w:rPr>
              <w:t>97,3</w:t>
            </w:r>
          </w:p>
        </w:tc>
        <w:tc>
          <w:tcPr>
            <w:tcW w:w="881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026F64" w:rsidRPr="00026F64" w:rsidRDefault="00026F64" w:rsidP="00026F64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26F64">
              <w:rPr>
                <w:rFonts w:cs="Arial"/>
                <w:color w:val="000000" w:themeColor="text1"/>
                <w:sz w:val="16"/>
                <w:szCs w:val="16"/>
              </w:rPr>
              <w:t>95,6</w:t>
            </w:r>
          </w:p>
        </w:tc>
        <w:tc>
          <w:tcPr>
            <w:tcW w:w="87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026F64" w:rsidRPr="00026F64" w:rsidRDefault="00026F64" w:rsidP="00026F64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26F64">
              <w:rPr>
                <w:rFonts w:cs="Arial"/>
                <w:color w:val="000000" w:themeColor="text1"/>
                <w:sz w:val="16"/>
                <w:szCs w:val="16"/>
              </w:rPr>
              <w:t>0,16</w:t>
            </w:r>
          </w:p>
        </w:tc>
      </w:tr>
      <w:tr w:rsidR="00026F64" w:rsidRPr="00502F8C" w:rsidTr="00026F64">
        <w:trPr>
          <w:cantSplit/>
          <w:trHeight w:val="57"/>
        </w:trPr>
        <w:tc>
          <w:tcPr>
            <w:tcW w:w="279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026F64" w:rsidRPr="00502F8C" w:rsidRDefault="00026F64" w:rsidP="00A47161">
            <w:pPr>
              <w:pStyle w:val="Nagwek2"/>
              <w:tabs>
                <w:tab w:val="right" w:leader="dot" w:pos="4156"/>
              </w:tabs>
              <w:spacing w:before="0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502F8C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Użytkowanie mieszkania </w:t>
            </w:r>
            <w:r w:rsidRPr="00502F8C">
              <w:rPr>
                <w:rFonts w:ascii="Fira Sans" w:hAnsi="Fira Sans"/>
                <w:color w:val="000000" w:themeColor="text1"/>
                <w:sz w:val="16"/>
                <w:szCs w:val="16"/>
              </w:rPr>
              <w:br/>
              <w:t>lub domu i nośniki energii</w:t>
            </w:r>
          </w:p>
        </w:tc>
        <w:tc>
          <w:tcPr>
            <w:tcW w:w="87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026F64" w:rsidRPr="00026F64" w:rsidRDefault="00026F64" w:rsidP="00026F64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26F64">
              <w:rPr>
                <w:rFonts w:cs="Arial"/>
                <w:color w:val="000000" w:themeColor="text1"/>
                <w:sz w:val="16"/>
                <w:szCs w:val="16"/>
              </w:rPr>
              <w:t>106,0</w:t>
            </w:r>
          </w:p>
        </w:tc>
        <w:tc>
          <w:tcPr>
            <w:tcW w:w="87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026F64" w:rsidRPr="00026F64" w:rsidRDefault="00026F64" w:rsidP="00026F64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26F64">
              <w:rPr>
                <w:rFonts w:cs="Arial"/>
                <w:color w:val="000000" w:themeColor="text1"/>
                <w:sz w:val="16"/>
                <w:szCs w:val="16"/>
              </w:rPr>
              <w:t>103,6</w:t>
            </w:r>
          </w:p>
        </w:tc>
        <w:tc>
          <w:tcPr>
            <w:tcW w:w="876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026F64" w:rsidRPr="00026F64" w:rsidRDefault="00026F64" w:rsidP="00026F64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26F64">
              <w:rPr>
                <w:rFonts w:cs="Arial"/>
                <w:color w:val="000000" w:themeColor="text1"/>
                <w:sz w:val="16"/>
                <w:szCs w:val="16"/>
              </w:rPr>
              <w:t>100,2</w:t>
            </w:r>
          </w:p>
        </w:tc>
        <w:tc>
          <w:tcPr>
            <w:tcW w:w="88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026F64" w:rsidRPr="00026F64" w:rsidRDefault="00026F64" w:rsidP="00026F64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26F64">
              <w:rPr>
                <w:rFonts w:cs="Arial"/>
                <w:color w:val="000000" w:themeColor="text1"/>
                <w:sz w:val="16"/>
                <w:szCs w:val="16"/>
              </w:rPr>
              <w:t>106,6</w:t>
            </w:r>
          </w:p>
        </w:tc>
        <w:tc>
          <w:tcPr>
            <w:tcW w:w="881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026F64" w:rsidRPr="00026F64" w:rsidRDefault="00026F64" w:rsidP="00026F64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26F64">
              <w:rPr>
                <w:rFonts w:cs="Arial"/>
                <w:color w:val="000000" w:themeColor="text1"/>
                <w:sz w:val="16"/>
                <w:szCs w:val="16"/>
              </w:rPr>
              <w:t>103,6</w:t>
            </w:r>
          </w:p>
        </w:tc>
        <w:tc>
          <w:tcPr>
            <w:tcW w:w="87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026F64" w:rsidRPr="00026F64" w:rsidRDefault="00026F64" w:rsidP="00026F64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26F64">
              <w:rPr>
                <w:rFonts w:cs="Arial"/>
                <w:color w:val="000000" w:themeColor="text1"/>
                <w:sz w:val="16"/>
                <w:szCs w:val="16"/>
              </w:rPr>
              <w:t>0,04</w:t>
            </w:r>
          </w:p>
        </w:tc>
      </w:tr>
      <w:tr w:rsidR="00026F64" w:rsidRPr="00502F8C" w:rsidTr="00026F64">
        <w:trPr>
          <w:cantSplit/>
          <w:trHeight w:val="57"/>
        </w:trPr>
        <w:tc>
          <w:tcPr>
            <w:tcW w:w="279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026F64" w:rsidRPr="00502F8C" w:rsidRDefault="00026F64" w:rsidP="00A47161">
            <w:pPr>
              <w:tabs>
                <w:tab w:val="right" w:leader="dot" w:pos="4156"/>
              </w:tabs>
              <w:spacing w:before="40" w:after="40"/>
              <w:rPr>
                <w:rFonts w:cstheme="majorBidi"/>
                <w:bCs/>
                <w:color w:val="000000" w:themeColor="text1"/>
                <w:sz w:val="16"/>
                <w:szCs w:val="16"/>
              </w:rPr>
            </w:pPr>
            <w:r>
              <w:rPr>
                <w:rFonts w:cstheme="majorBidi"/>
                <w:bCs/>
                <w:color w:val="000000" w:themeColor="text1"/>
                <w:sz w:val="16"/>
                <w:szCs w:val="16"/>
              </w:rPr>
              <w:t>Wyposażenie mieszkania i prowa</w:t>
            </w:r>
            <w:r>
              <w:rPr>
                <w:rFonts w:cstheme="majorBidi"/>
                <w:bCs/>
                <w:color w:val="000000" w:themeColor="text1"/>
                <w:sz w:val="16"/>
                <w:szCs w:val="16"/>
              </w:rPr>
              <w:softHyphen/>
            </w:r>
            <w:r w:rsidRPr="00502F8C">
              <w:rPr>
                <w:rFonts w:cstheme="majorBidi"/>
                <w:bCs/>
                <w:color w:val="000000" w:themeColor="text1"/>
                <w:sz w:val="16"/>
                <w:szCs w:val="16"/>
              </w:rPr>
              <w:t>dzenie gospodarstwa domowego</w:t>
            </w:r>
          </w:p>
        </w:tc>
        <w:tc>
          <w:tcPr>
            <w:tcW w:w="87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026F64" w:rsidRPr="00026F64" w:rsidRDefault="00026F64" w:rsidP="00026F64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26F64">
              <w:rPr>
                <w:rFonts w:cs="Arial"/>
                <w:color w:val="000000" w:themeColor="text1"/>
                <w:sz w:val="16"/>
                <w:szCs w:val="16"/>
              </w:rPr>
              <w:t>101,9</w:t>
            </w:r>
          </w:p>
        </w:tc>
        <w:tc>
          <w:tcPr>
            <w:tcW w:w="87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026F64" w:rsidRPr="00026F64" w:rsidRDefault="00026F64" w:rsidP="00026F64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26F64">
              <w:rPr>
                <w:rFonts w:cs="Arial"/>
                <w:color w:val="000000" w:themeColor="text1"/>
                <w:sz w:val="16"/>
                <w:szCs w:val="16"/>
              </w:rPr>
              <w:t>100,5</w:t>
            </w:r>
          </w:p>
        </w:tc>
        <w:tc>
          <w:tcPr>
            <w:tcW w:w="876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026F64" w:rsidRPr="00026F64" w:rsidRDefault="00026F64" w:rsidP="00026F64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26F64">
              <w:rPr>
                <w:rFonts w:cs="Arial"/>
                <w:color w:val="000000" w:themeColor="text1"/>
                <w:sz w:val="16"/>
                <w:szCs w:val="16"/>
              </w:rPr>
              <w:t>100,1</w:t>
            </w:r>
          </w:p>
        </w:tc>
        <w:tc>
          <w:tcPr>
            <w:tcW w:w="88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026F64" w:rsidRPr="00026F64" w:rsidRDefault="00026F64" w:rsidP="00026F64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26F64">
              <w:rPr>
                <w:rFonts w:cs="Arial"/>
                <w:color w:val="000000" w:themeColor="text1"/>
                <w:sz w:val="16"/>
                <w:szCs w:val="16"/>
              </w:rPr>
              <w:t>101,9</w:t>
            </w:r>
          </w:p>
        </w:tc>
        <w:tc>
          <w:tcPr>
            <w:tcW w:w="881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026F64" w:rsidRPr="00026F64" w:rsidRDefault="00026F64" w:rsidP="00026F64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26F64">
              <w:rPr>
                <w:rFonts w:cs="Arial"/>
                <w:color w:val="000000" w:themeColor="text1"/>
                <w:sz w:val="16"/>
                <w:szCs w:val="16"/>
              </w:rPr>
              <w:t>100,4</w:t>
            </w:r>
          </w:p>
        </w:tc>
        <w:tc>
          <w:tcPr>
            <w:tcW w:w="87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026F64" w:rsidRPr="00026F64" w:rsidRDefault="00026F64" w:rsidP="00026F64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26F64">
              <w:rPr>
                <w:rFonts w:cs="Arial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026F64" w:rsidRPr="00FC303F" w:rsidTr="00026F64">
        <w:trPr>
          <w:cantSplit/>
          <w:trHeight w:val="57"/>
        </w:trPr>
        <w:tc>
          <w:tcPr>
            <w:tcW w:w="279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026F64" w:rsidRPr="00FC303F" w:rsidRDefault="00026F64" w:rsidP="00A47161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</w:rPr>
            </w:pPr>
            <w:r w:rsidRPr="00FC303F">
              <w:rPr>
                <w:rFonts w:cstheme="majorBidi"/>
                <w:bCs/>
                <w:color w:val="000000" w:themeColor="text1"/>
                <w:sz w:val="16"/>
                <w:szCs w:val="16"/>
              </w:rPr>
              <w:t xml:space="preserve">Zdrowie </w:t>
            </w:r>
          </w:p>
        </w:tc>
        <w:tc>
          <w:tcPr>
            <w:tcW w:w="87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026F64" w:rsidRPr="00026F64" w:rsidRDefault="00026F64" w:rsidP="00026F64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26F64">
              <w:rPr>
                <w:rFonts w:cs="Arial"/>
                <w:color w:val="000000" w:themeColor="text1"/>
                <w:sz w:val="16"/>
                <w:szCs w:val="16"/>
              </w:rPr>
              <w:t>103,7</w:t>
            </w:r>
          </w:p>
        </w:tc>
        <w:tc>
          <w:tcPr>
            <w:tcW w:w="87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026F64" w:rsidRPr="00026F64" w:rsidRDefault="00026F64" w:rsidP="00026F64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26F64">
              <w:rPr>
                <w:rFonts w:cs="Arial"/>
                <w:color w:val="000000" w:themeColor="text1"/>
                <w:sz w:val="16"/>
                <w:szCs w:val="16"/>
              </w:rPr>
              <w:t>100,5</w:t>
            </w:r>
          </w:p>
        </w:tc>
        <w:tc>
          <w:tcPr>
            <w:tcW w:w="876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026F64" w:rsidRPr="00026F64" w:rsidRDefault="00026F64" w:rsidP="00026F64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26F64">
              <w:rPr>
                <w:rFonts w:cs="Arial"/>
                <w:color w:val="000000" w:themeColor="text1"/>
                <w:sz w:val="16"/>
                <w:szCs w:val="16"/>
              </w:rPr>
              <w:t>99,9</w:t>
            </w:r>
          </w:p>
        </w:tc>
        <w:tc>
          <w:tcPr>
            <w:tcW w:w="88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026F64" w:rsidRPr="00026F64" w:rsidRDefault="00026F64" w:rsidP="00026F64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26F64">
              <w:rPr>
                <w:rFonts w:cs="Arial"/>
                <w:color w:val="000000" w:themeColor="text1"/>
                <w:sz w:val="16"/>
                <w:szCs w:val="16"/>
              </w:rPr>
              <w:t>104,2</w:t>
            </w:r>
          </w:p>
        </w:tc>
        <w:tc>
          <w:tcPr>
            <w:tcW w:w="881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026F64" w:rsidRPr="00026F64" w:rsidRDefault="00026F64" w:rsidP="00026F64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26F64">
              <w:rPr>
                <w:rFonts w:cs="Arial"/>
                <w:color w:val="000000" w:themeColor="text1"/>
                <w:sz w:val="16"/>
                <w:szCs w:val="16"/>
              </w:rPr>
              <w:t>100,5</w:t>
            </w:r>
          </w:p>
        </w:tc>
        <w:tc>
          <w:tcPr>
            <w:tcW w:w="87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026F64" w:rsidRPr="00026F64" w:rsidRDefault="00026F64" w:rsidP="00026F64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26F64">
              <w:rPr>
                <w:rFonts w:cs="Arial"/>
                <w:color w:val="000000" w:themeColor="text1"/>
                <w:sz w:val="16"/>
                <w:szCs w:val="16"/>
              </w:rPr>
              <w:t>-0,01</w:t>
            </w:r>
          </w:p>
        </w:tc>
      </w:tr>
      <w:tr w:rsidR="00026F64" w:rsidRPr="00502F8C" w:rsidTr="00026F64">
        <w:trPr>
          <w:cantSplit/>
          <w:trHeight w:val="57"/>
        </w:trPr>
        <w:tc>
          <w:tcPr>
            <w:tcW w:w="279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026F64" w:rsidRPr="00502F8C" w:rsidRDefault="00026F64" w:rsidP="00A47161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</w:rPr>
            </w:pPr>
            <w:r w:rsidRPr="00502F8C">
              <w:rPr>
                <w:rFonts w:cstheme="majorBidi"/>
                <w:bCs/>
                <w:color w:val="000000" w:themeColor="text1"/>
                <w:sz w:val="16"/>
                <w:szCs w:val="16"/>
              </w:rPr>
              <w:t>Transport</w:t>
            </w:r>
          </w:p>
        </w:tc>
        <w:tc>
          <w:tcPr>
            <w:tcW w:w="87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026F64" w:rsidRPr="00026F64" w:rsidRDefault="00026F64" w:rsidP="00026F64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26F64">
              <w:rPr>
                <w:rFonts w:cs="Arial"/>
                <w:color w:val="000000" w:themeColor="text1"/>
                <w:sz w:val="16"/>
                <w:szCs w:val="16"/>
              </w:rPr>
              <w:t>105,4</w:t>
            </w:r>
          </w:p>
        </w:tc>
        <w:tc>
          <w:tcPr>
            <w:tcW w:w="87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026F64" w:rsidRPr="00026F64" w:rsidRDefault="00026F64" w:rsidP="00026F64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26F64">
              <w:rPr>
                <w:rFonts w:cs="Arial"/>
                <w:color w:val="000000" w:themeColor="text1"/>
                <w:sz w:val="16"/>
                <w:szCs w:val="16"/>
              </w:rPr>
              <w:t>107,7</w:t>
            </w:r>
          </w:p>
        </w:tc>
        <w:tc>
          <w:tcPr>
            <w:tcW w:w="876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026F64" w:rsidRPr="00026F64" w:rsidRDefault="00026F64" w:rsidP="00026F64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26F64">
              <w:rPr>
                <w:rFonts w:cs="Arial"/>
                <w:color w:val="000000" w:themeColor="text1"/>
                <w:sz w:val="16"/>
                <w:szCs w:val="16"/>
              </w:rPr>
              <w:t>104,1</w:t>
            </w:r>
          </w:p>
        </w:tc>
        <w:tc>
          <w:tcPr>
            <w:tcW w:w="88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026F64" w:rsidRPr="00026F64" w:rsidRDefault="00026F64" w:rsidP="00026F64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26F64">
              <w:rPr>
                <w:rFonts w:cs="Arial"/>
                <w:color w:val="000000" w:themeColor="text1"/>
                <w:sz w:val="16"/>
                <w:szCs w:val="16"/>
              </w:rPr>
              <w:t>99,9</w:t>
            </w:r>
          </w:p>
        </w:tc>
        <w:tc>
          <w:tcPr>
            <w:tcW w:w="881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026F64" w:rsidRPr="00026F64" w:rsidRDefault="00026F64" w:rsidP="00026F64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26F64">
              <w:rPr>
                <w:rFonts w:cs="Arial"/>
                <w:color w:val="000000" w:themeColor="text1"/>
                <w:sz w:val="16"/>
                <w:szCs w:val="16"/>
              </w:rPr>
              <w:t>105,6</w:t>
            </w:r>
          </w:p>
        </w:tc>
        <w:tc>
          <w:tcPr>
            <w:tcW w:w="87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026F64" w:rsidRPr="00026F64" w:rsidRDefault="00026F64" w:rsidP="00026F64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26F64">
              <w:rPr>
                <w:rFonts w:cs="Arial"/>
                <w:color w:val="000000" w:themeColor="text1"/>
                <w:sz w:val="16"/>
                <w:szCs w:val="16"/>
              </w:rPr>
              <w:t>0,38</w:t>
            </w:r>
          </w:p>
        </w:tc>
      </w:tr>
      <w:tr w:rsidR="00026F64" w:rsidRPr="00502F8C" w:rsidTr="00026F64">
        <w:trPr>
          <w:cantSplit/>
          <w:trHeight w:val="57"/>
        </w:trPr>
        <w:tc>
          <w:tcPr>
            <w:tcW w:w="279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026F64" w:rsidRPr="00502F8C" w:rsidRDefault="00026F64" w:rsidP="00A47161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</w:rPr>
            </w:pPr>
            <w:r w:rsidRPr="00502F8C">
              <w:rPr>
                <w:rFonts w:cstheme="majorBidi"/>
                <w:bCs/>
                <w:color w:val="000000" w:themeColor="text1"/>
                <w:sz w:val="16"/>
                <w:szCs w:val="16"/>
              </w:rPr>
              <w:t>Łączność</w:t>
            </w:r>
          </w:p>
        </w:tc>
        <w:tc>
          <w:tcPr>
            <w:tcW w:w="87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026F64" w:rsidRPr="00026F64" w:rsidRDefault="00026F64" w:rsidP="00026F64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26F64">
              <w:rPr>
                <w:rFonts w:cs="Arial"/>
                <w:color w:val="000000" w:themeColor="text1"/>
                <w:sz w:val="16"/>
                <w:szCs w:val="16"/>
              </w:rPr>
              <w:t>107,4</w:t>
            </w:r>
          </w:p>
        </w:tc>
        <w:tc>
          <w:tcPr>
            <w:tcW w:w="87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026F64" w:rsidRPr="00026F64" w:rsidRDefault="00026F64" w:rsidP="00026F64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26F64">
              <w:rPr>
                <w:rFonts w:cs="Arial"/>
                <w:color w:val="000000" w:themeColor="text1"/>
                <w:sz w:val="16"/>
                <w:szCs w:val="16"/>
              </w:rPr>
              <w:t>103,9</w:t>
            </w:r>
          </w:p>
        </w:tc>
        <w:tc>
          <w:tcPr>
            <w:tcW w:w="876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026F64" w:rsidRPr="00026F64" w:rsidRDefault="00026F64" w:rsidP="00026F64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26F64">
              <w:rPr>
                <w:rFonts w:cs="Arial"/>
                <w:color w:val="000000" w:themeColor="text1"/>
                <w:sz w:val="16"/>
                <w:szCs w:val="16"/>
              </w:rPr>
              <w:t>102,6</w:t>
            </w:r>
          </w:p>
        </w:tc>
        <w:tc>
          <w:tcPr>
            <w:tcW w:w="88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026F64" w:rsidRPr="00026F64" w:rsidRDefault="00026F64" w:rsidP="00026F64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26F64">
              <w:rPr>
                <w:rFonts w:cs="Arial"/>
                <w:color w:val="000000" w:themeColor="text1"/>
                <w:sz w:val="16"/>
                <w:szCs w:val="16"/>
              </w:rPr>
              <w:t>106,1</w:t>
            </w:r>
          </w:p>
        </w:tc>
        <w:tc>
          <w:tcPr>
            <w:tcW w:w="881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026F64" w:rsidRPr="00026F64" w:rsidRDefault="00026F64" w:rsidP="00026F64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26F64">
              <w:rPr>
                <w:rFonts w:cs="Arial"/>
                <w:color w:val="000000" w:themeColor="text1"/>
                <w:sz w:val="16"/>
                <w:szCs w:val="16"/>
              </w:rPr>
              <w:t>102,0</w:t>
            </w:r>
          </w:p>
        </w:tc>
        <w:tc>
          <w:tcPr>
            <w:tcW w:w="87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026F64" w:rsidRPr="00026F64" w:rsidRDefault="00026F64" w:rsidP="00026F64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26F64">
              <w:rPr>
                <w:rFonts w:cs="Arial"/>
                <w:color w:val="000000" w:themeColor="text1"/>
                <w:sz w:val="16"/>
                <w:szCs w:val="16"/>
              </w:rPr>
              <w:t>0,13</w:t>
            </w:r>
          </w:p>
        </w:tc>
      </w:tr>
      <w:tr w:rsidR="00026F64" w:rsidRPr="00502F8C" w:rsidTr="00026F64">
        <w:trPr>
          <w:cantSplit/>
          <w:trHeight w:val="57"/>
        </w:trPr>
        <w:tc>
          <w:tcPr>
            <w:tcW w:w="279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026F64" w:rsidRPr="00502F8C" w:rsidRDefault="00026F64" w:rsidP="00A47161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</w:rPr>
            </w:pPr>
            <w:r w:rsidRPr="00502F8C">
              <w:rPr>
                <w:rFonts w:cstheme="majorBidi"/>
                <w:bCs/>
                <w:color w:val="000000" w:themeColor="text1"/>
                <w:sz w:val="16"/>
                <w:szCs w:val="16"/>
              </w:rPr>
              <w:t>Rekreacja i kultura</w:t>
            </w:r>
          </w:p>
        </w:tc>
        <w:tc>
          <w:tcPr>
            <w:tcW w:w="87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026F64" w:rsidRPr="00026F64" w:rsidRDefault="00026F64" w:rsidP="00026F64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26F64">
              <w:rPr>
                <w:rFonts w:cs="Arial"/>
                <w:color w:val="000000" w:themeColor="text1"/>
                <w:sz w:val="16"/>
                <w:szCs w:val="16"/>
              </w:rPr>
              <w:t>104,9</w:t>
            </w:r>
          </w:p>
        </w:tc>
        <w:tc>
          <w:tcPr>
            <w:tcW w:w="87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026F64" w:rsidRPr="00026F64" w:rsidRDefault="00026F64" w:rsidP="00026F64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26F64">
              <w:rPr>
                <w:rFonts w:cs="Arial"/>
                <w:color w:val="000000" w:themeColor="text1"/>
                <w:sz w:val="16"/>
                <w:szCs w:val="16"/>
              </w:rPr>
              <w:t>102,2</w:t>
            </w:r>
          </w:p>
        </w:tc>
        <w:tc>
          <w:tcPr>
            <w:tcW w:w="876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026F64" w:rsidRPr="00026F64" w:rsidRDefault="00026F64" w:rsidP="00026F64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26F64">
              <w:rPr>
                <w:rFonts w:cs="Arial"/>
                <w:color w:val="000000" w:themeColor="text1"/>
                <w:sz w:val="16"/>
                <w:szCs w:val="16"/>
              </w:rPr>
              <w:t>100,6</w:t>
            </w:r>
          </w:p>
        </w:tc>
        <w:tc>
          <w:tcPr>
            <w:tcW w:w="88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026F64" w:rsidRPr="00026F64" w:rsidRDefault="00026F64" w:rsidP="00026F64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26F64">
              <w:rPr>
                <w:rFonts w:cs="Arial"/>
                <w:color w:val="000000" w:themeColor="text1"/>
                <w:sz w:val="16"/>
                <w:szCs w:val="16"/>
              </w:rPr>
              <w:t>104,2</w:t>
            </w:r>
          </w:p>
        </w:tc>
        <w:tc>
          <w:tcPr>
            <w:tcW w:w="881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026F64" w:rsidRPr="00026F64" w:rsidRDefault="00026F64" w:rsidP="00026F64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26F64">
              <w:rPr>
                <w:rFonts w:cs="Arial"/>
                <w:color w:val="000000" w:themeColor="text1"/>
                <w:sz w:val="16"/>
                <w:szCs w:val="16"/>
              </w:rPr>
              <w:t>101,7</w:t>
            </w:r>
          </w:p>
        </w:tc>
        <w:tc>
          <w:tcPr>
            <w:tcW w:w="87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026F64" w:rsidRPr="00026F64" w:rsidRDefault="00026F64" w:rsidP="00026F64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26F64">
              <w:rPr>
                <w:rFonts w:cs="Arial"/>
                <w:color w:val="000000" w:themeColor="text1"/>
                <w:sz w:val="16"/>
                <w:szCs w:val="16"/>
              </w:rPr>
              <w:t>0,04</w:t>
            </w:r>
          </w:p>
        </w:tc>
      </w:tr>
      <w:tr w:rsidR="00026F64" w:rsidRPr="00502F8C" w:rsidTr="00026F64">
        <w:trPr>
          <w:cantSplit/>
          <w:trHeight w:val="57"/>
        </w:trPr>
        <w:tc>
          <w:tcPr>
            <w:tcW w:w="279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026F64" w:rsidRPr="00502F8C" w:rsidRDefault="00026F64" w:rsidP="00A47161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</w:rPr>
            </w:pPr>
            <w:r w:rsidRPr="00502F8C">
              <w:rPr>
                <w:rFonts w:cstheme="majorBidi"/>
                <w:bCs/>
                <w:color w:val="000000" w:themeColor="text1"/>
                <w:sz w:val="16"/>
                <w:szCs w:val="16"/>
              </w:rPr>
              <w:t>Edukacja</w:t>
            </w:r>
          </w:p>
        </w:tc>
        <w:tc>
          <w:tcPr>
            <w:tcW w:w="87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026F64" w:rsidRPr="00026F64" w:rsidRDefault="00026F64" w:rsidP="00026F64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26F64">
              <w:rPr>
                <w:rFonts w:cs="Arial"/>
                <w:color w:val="000000" w:themeColor="text1"/>
                <w:sz w:val="16"/>
                <w:szCs w:val="16"/>
              </w:rPr>
              <w:t>105,5</w:t>
            </w:r>
          </w:p>
        </w:tc>
        <w:tc>
          <w:tcPr>
            <w:tcW w:w="87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026F64" w:rsidRPr="00026F64" w:rsidRDefault="00026F64" w:rsidP="00026F64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26F64">
              <w:rPr>
                <w:rFonts w:cs="Arial"/>
                <w:color w:val="000000" w:themeColor="text1"/>
                <w:sz w:val="16"/>
                <w:szCs w:val="16"/>
              </w:rPr>
              <w:t>100,7</w:t>
            </w:r>
          </w:p>
        </w:tc>
        <w:tc>
          <w:tcPr>
            <w:tcW w:w="876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026F64" w:rsidRPr="00026F64" w:rsidRDefault="00026F64" w:rsidP="00026F64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26F64">
              <w:rPr>
                <w:rFonts w:cs="Arial"/>
                <w:color w:val="000000" w:themeColor="text1"/>
                <w:sz w:val="16"/>
                <w:szCs w:val="16"/>
              </w:rPr>
              <w:t>100,1</w:t>
            </w:r>
          </w:p>
        </w:tc>
        <w:tc>
          <w:tcPr>
            <w:tcW w:w="88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026F64" w:rsidRPr="00026F64" w:rsidRDefault="00026F64" w:rsidP="00026F64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26F64">
              <w:rPr>
                <w:rFonts w:cs="Arial"/>
                <w:color w:val="000000" w:themeColor="text1"/>
                <w:sz w:val="16"/>
                <w:szCs w:val="16"/>
              </w:rPr>
              <w:t>105,5</w:t>
            </w:r>
          </w:p>
        </w:tc>
        <w:tc>
          <w:tcPr>
            <w:tcW w:w="881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026F64" w:rsidRPr="00026F64" w:rsidRDefault="00026F64" w:rsidP="00026F64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26F64">
              <w:rPr>
                <w:rFonts w:cs="Arial"/>
                <w:color w:val="000000" w:themeColor="text1"/>
                <w:sz w:val="16"/>
                <w:szCs w:val="16"/>
              </w:rPr>
              <w:t>100,7</w:t>
            </w:r>
          </w:p>
        </w:tc>
        <w:tc>
          <w:tcPr>
            <w:tcW w:w="87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026F64" w:rsidRPr="00026F64" w:rsidRDefault="00026F64" w:rsidP="00026F64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26F64">
              <w:rPr>
                <w:rFonts w:cs="Arial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026F64" w:rsidRPr="00502F8C" w:rsidTr="00026F64">
        <w:trPr>
          <w:cantSplit/>
          <w:trHeight w:val="57"/>
        </w:trPr>
        <w:tc>
          <w:tcPr>
            <w:tcW w:w="279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026F64" w:rsidRPr="00502F8C" w:rsidRDefault="00026F64" w:rsidP="00A47161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</w:rPr>
            </w:pPr>
            <w:r w:rsidRPr="00502F8C">
              <w:rPr>
                <w:rFonts w:cstheme="majorBidi"/>
                <w:bCs/>
                <w:color w:val="000000" w:themeColor="text1"/>
                <w:sz w:val="16"/>
                <w:szCs w:val="16"/>
              </w:rPr>
              <w:t>Restauracje i hotele</w:t>
            </w:r>
          </w:p>
        </w:tc>
        <w:tc>
          <w:tcPr>
            <w:tcW w:w="87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026F64" w:rsidRPr="00026F64" w:rsidRDefault="00026F64" w:rsidP="00026F64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26F64">
              <w:rPr>
                <w:rFonts w:cs="Arial"/>
                <w:color w:val="000000" w:themeColor="text1"/>
                <w:sz w:val="16"/>
                <w:szCs w:val="16"/>
              </w:rPr>
              <w:t>104,6</w:t>
            </w:r>
          </w:p>
        </w:tc>
        <w:tc>
          <w:tcPr>
            <w:tcW w:w="87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026F64" w:rsidRPr="00026F64" w:rsidRDefault="00026F64" w:rsidP="00026F64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26F64">
              <w:rPr>
                <w:rFonts w:cs="Arial"/>
                <w:color w:val="000000" w:themeColor="text1"/>
                <w:sz w:val="16"/>
                <w:szCs w:val="16"/>
              </w:rPr>
              <w:t>101,1</w:t>
            </w:r>
          </w:p>
        </w:tc>
        <w:tc>
          <w:tcPr>
            <w:tcW w:w="876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026F64" w:rsidRPr="00026F64" w:rsidRDefault="00026F64" w:rsidP="00026F64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26F64">
              <w:rPr>
                <w:rFonts w:cs="Arial"/>
                <w:color w:val="000000" w:themeColor="text1"/>
                <w:sz w:val="16"/>
                <w:szCs w:val="16"/>
              </w:rPr>
              <w:t>100,1</w:t>
            </w:r>
          </w:p>
        </w:tc>
        <w:tc>
          <w:tcPr>
            <w:tcW w:w="88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026F64" w:rsidRPr="00026F64" w:rsidRDefault="00026F64" w:rsidP="00026F64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26F64">
              <w:rPr>
                <w:rFonts w:cs="Arial"/>
                <w:color w:val="000000" w:themeColor="text1"/>
                <w:sz w:val="16"/>
                <w:szCs w:val="16"/>
              </w:rPr>
              <w:t>105,0</w:t>
            </w:r>
          </w:p>
        </w:tc>
        <w:tc>
          <w:tcPr>
            <w:tcW w:w="881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026F64" w:rsidRPr="00026F64" w:rsidRDefault="00026F64" w:rsidP="00026F64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26F64">
              <w:rPr>
                <w:rFonts w:cs="Arial"/>
                <w:color w:val="000000" w:themeColor="text1"/>
                <w:sz w:val="16"/>
                <w:szCs w:val="16"/>
              </w:rPr>
              <w:t>101,2</w:t>
            </w:r>
          </w:p>
        </w:tc>
        <w:tc>
          <w:tcPr>
            <w:tcW w:w="87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026F64" w:rsidRPr="00026F64" w:rsidRDefault="00026F64" w:rsidP="00026F64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26F64">
              <w:rPr>
                <w:rFonts w:cs="Arial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026F64" w:rsidRPr="00502F8C" w:rsidTr="00026F64">
        <w:trPr>
          <w:cantSplit/>
          <w:trHeight w:val="57"/>
        </w:trPr>
        <w:tc>
          <w:tcPr>
            <w:tcW w:w="2798" w:type="dxa"/>
            <w:tcBorders>
              <w:top w:val="single" w:sz="4" w:space="0" w:color="212492"/>
              <w:bottom w:val="nil"/>
            </w:tcBorders>
            <w:vAlign w:val="center"/>
          </w:tcPr>
          <w:p w:rsidR="00026F64" w:rsidRPr="00502F8C" w:rsidRDefault="00026F64" w:rsidP="00A47161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</w:rPr>
            </w:pPr>
            <w:r w:rsidRPr="00502F8C">
              <w:rPr>
                <w:rFonts w:cstheme="majorBidi"/>
                <w:bCs/>
                <w:color w:val="000000" w:themeColor="text1"/>
                <w:sz w:val="16"/>
                <w:szCs w:val="16"/>
              </w:rPr>
              <w:t>Inne towary i usługi</w:t>
            </w:r>
          </w:p>
        </w:tc>
        <w:tc>
          <w:tcPr>
            <w:tcW w:w="877" w:type="dxa"/>
            <w:tcBorders>
              <w:top w:val="single" w:sz="4" w:space="0" w:color="212492"/>
              <w:bottom w:val="nil"/>
            </w:tcBorders>
            <w:vAlign w:val="center"/>
          </w:tcPr>
          <w:p w:rsidR="00026F64" w:rsidRPr="00026F64" w:rsidRDefault="00026F64" w:rsidP="00026F64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26F64">
              <w:rPr>
                <w:rFonts w:cs="Arial"/>
                <w:color w:val="000000" w:themeColor="text1"/>
                <w:sz w:val="16"/>
                <w:szCs w:val="16"/>
              </w:rPr>
              <w:t>102,1</w:t>
            </w:r>
          </w:p>
        </w:tc>
        <w:tc>
          <w:tcPr>
            <w:tcW w:w="877" w:type="dxa"/>
            <w:tcBorders>
              <w:top w:val="single" w:sz="4" w:space="0" w:color="212492"/>
              <w:bottom w:val="nil"/>
            </w:tcBorders>
            <w:vAlign w:val="center"/>
          </w:tcPr>
          <w:p w:rsidR="00026F64" w:rsidRPr="00026F64" w:rsidRDefault="00026F64" w:rsidP="00026F64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26F64">
              <w:rPr>
                <w:rFonts w:cs="Arial"/>
                <w:color w:val="000000" w:themeColor="text1"/>
                <w:sz w:val="16"/>
                <w:szCs w:val="16"/>
              </w:rPr>
              <w:t>100,3</w:t>
            </w:r>
          </w:p>
        </w:tc>
        <w:tc>
          <w:tcPr>
            <w:tcW w:w="876" w:type="dxa"/>
            <w:tcBorders>
              <w:top w:val="single" w:sz="4" w:space="0" w:color="212492"/>
              <w:bottom w:val="nil"/>
            </w:tcBorders>
            <w:vAlign w:val="center"/>
          </w:tcPr>
          <w:p w:rsidR="00026F64" w:rsidRPr="00026F64" w:rsidRDefault="00026F64" w:rsidP="00026F64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26F64">
              <w:rPr>
                <w:rFonts w:cs="Arial"/>
                <w:color w:val="000000" w:themeColor="text1"/>
                <w:sz w:val="16"/>
                <w:szCs w:val="16"/>
              </w:rPr>
              <w:t>99,8</w:t>
            </w:r>
          </w:p>
        </w:tc>
        <w:tc>
          <w:tcPr>
            <w:tcW w:w="881" w:type="dxa"/>
            <w:tcBorders>
              <w:top w:val="single" w:sz="4" w:space="0" w:color="212492"/>
              <w:bottom w:val="nil"/>
            </w:tcBorders>
            <w:vAlign w:val="center"/>
          </w:tcPr>
          <w:p w:rsidR="00026F64" w:rsidRPr="00026F64" w:rsidRDefault="00026F64" w:rsidP="00026F64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26F64">
              <w:rPr>
                <w:rFonts w:cs="Arial"/>
                <w:color w:val="000000" w:themeColor="text1"/>
                <w:sz w:val="16"/>
                <w:szCs w:val="16"/>
              </w:rPr>
              <w:t>102,3</w:t>
            </w:r>
          </w:p>
        </w:tc>
        <w:tc>
          <w:tcPr>
            <w:tcW w:w="881" w:type="dxa"/>
            <w:tcBorders>
              <w:top w:val="single" w:sz="4" w:space="0" w:color="212492"/>
              <w:bottom w:val="nil"/>
            </w:tcBorders>
            <w:vAlign w:val="center"/>
          </w:tcPr>
          <w:p w:rsidR="00026F64" w:rsidRPr="00026F64" w:rsidRDefault="00026F64" w:rsidP="00026F64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26F64">
              <w:rPr>
                <w:rFonts w:cs="Arial"/>
                <w:color w:val="000000" w:themeColor="text1"/>
                <w:sz w:val="16"/>
                <w:szCs w:val="16"/>
              </w:rPr>
              <w:t>100,2</w:t>
            </w:r>
          </w:p>
        </w:tc>
        <w:tc>
          <w:tcPr>
            <w:tcW w:w="878" w:type="dxa"/>
            <w:tcBorders>
              <w:top w:val="single" w:sz="4" w:space="0" w:color="212492"/>
              <w:bottom w:val="nil"/>
            </w:tcBorders>
            <w:vAlign w:val="center"/>
          </w:tcPr>
          <w:p w:rsidR="00026F64" w:rsidRPr="00026F64" w:rsidRDefault="00026F64" w:rsidP="00026F64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26F64">
              <w:rPr>
                <w:rFonts w:cs="Arial"/>
                <w:color w:val="000000" w:themeColor="text1"/>
                <w:sz w:val="16"/>
                <w:szCs w:val="16"/>
              </w:rPr>
              <w:t>-0,01</w:t>
            </w:r>
          </w:p>
        </w:tc>
      </w:tr>
    </w:tbl>
    <w:p w:rsidR="00A47161" w:rsidRDefault="00A47161" w:rsidP="00A90732">
      <w:pPr>
        <w:pStyle w:val="tytuwykresu"/>
        <w:spacing w:before="0" w:after="0"/>
      </w:pPr>
    </w:p>
    <w:p w:rsidR="000B60D7" w:rsidRDefault="00A27522" w:rsidP="00A90732">
      <w:pPr>
        <w:pStyle w:val="tytuwykresu"/>
        <w:spacing w:before="0" w:after="0"/>
        <w:rPr>
          <w:bCs/>
          <w:shd w:val="clear" w:color="auto" w:fill="FFFFFF"/>
        </w:rPr>
      </w:pPr>
      <w:r w:rsidRPr="00B24B6C">
        <w:t>Tablica 1.</w:t>
      </w:r>
      <w:r w:rsidRPr="00B24B6C">
        <w:rPr>
          <w:shd w:val="clear" w:color="auto" w:fill="FFFFFF"/>
        </w:rPr>
        <w:t xml:space="preserve"> </w:t>
      </w:r>
      <w:r w:rsidRPr="00B24B6C">
        <w:rPr>
          <w:bCs/>
          <w:shd w:val="clear" w:color="auto" w:fill="FFFFFF"/>
        </w:rPr>
        <w:t>Wskaźniki cen towarów i usług konsumpcyjnych w</w:t>
      </w:r>
      <w:r w:rsidR="00A90732" w:rsidRPr="00B24B6C">
        <w:rPr>
          <w:bCs/>
          <w:shd w:val="clear" w:color="auto" w:fill="FFFFFF"/>
        </w:rPr>
        <w:t xml:space="preserve"> </w:t>
      </w:r>
      <w:r w:rsidR="00DE4262">
        <w:rPr>
          <w:bCs/>
          <w:shd w:val="clear" w:color="auto" w:fill="FFFFFF"/>
        </w:rPr>
        <w:t>marcu</w:t>
      </w:r>
      <w:r w:rsidR="00A90732" w:rsidRPr="00B24B6C">
        <w:rPr>
          <w:bCs/>
          <w:shd w:val="clear" w:color="auto" w:fill="FFFFFF"/>
        </w:rPr>
        <w:t xml:space="preserve"> </w:t>
      </w:r>
      <w:r w:rsidR="00DE4262">
        <w:t>2021</w:t>
      </w:r>
      <w:r w:rsidRPr="00B24B6C">
        <w:t> </w:t>
      </w:r>
      <w:r w:rsidRPr="00B24B6C">
        <w:rPr>
          <w:bCs/>
          <w:shd w:val="clear" w:color="auto" w:fill="FFFFFF"/>
        </w:rPr>
        <w:t>r.</w:t>
      </w:r>
    </w:p>
    <w:p w:rsidR="00FE377B" w:rsidRPr="00B24B6C" w:rsidRDefault="00FE377B" w:rsidP="00A90732">
      <w:pPr>
        <w:pStyle w:val="tytuwykresu"/>
        <w:spacing w:before="0" w:after="0"/>
        <w:rPr>
          <w:bCs/>
          <w:shd w:val="clear" w:color="auto" w:fill="FFFFFF"/>
        </w:rPr>
      </w:pPr>
    </w:p>
    <w:p w:rsidR="00A07F00" w:rsidRPr="00B24B6C" w:rsidRDefault="000B5393" w:rsidP="00296EB3">
      <w:pPr>
        <w:spacing w:line="240" w:lineRule="auto"/>
        <w:rPr>
          <w:rFonts w:ascii="Fira Sans SemiBold" w:eastAsia="Times New Roman" w:hAnsi="Fira Sans SemiBold" w:cs="Times New Roman"/>
          <w:bCs/>
          <w:color w:val="001D77"/>
          <w:szCs w:val="24"/>
          <w:shd w:val="clear" w:color="auto" w:fill="FFFFFF"/>
          <w:lang w:eastAsia="pl-PL"/>
        </w:rPr>
      </w:pPr>
      <w:r w:rsidRPr="00B24B6C">
        <w:rPr>
          <w:rFonts w:ascii="Fira Sans SemiBold" w:eastAsia="Times New Roman" w:hAnsi="Fira Sans SemiBold" w:cs="Times New Roman"/>
          <w:bCs/>
          <w:color w:val="001D77"/>
          <w:szCs w:val="24"/>
          <w:shd w:val="clear" w:color="auto" w:fill="FFFFFF"/>
          <w:lang w:eastAsia="pl-PL"/>
        </w:rPr>
        <w:lastRenderedPageBreak/>
        <w:t>Wpływ</w:t>
      </w:r>
      <w:r w:rsidR="00A07F00" w:rsidRPr="00B24B6C">
        <w:rPr>
          <w:rFonts w:ascii="Fira Sans SemiBold" w:eastAsia="Times New Roman" w:hAnsi="Fira Sans SemiBold" w:cs="Times New Roman"/>
          <w:bCs/>
          <w:color w:val="001D77"/>
          <w:szCs w:val="24"/>
          <w:shd w:val="clear" w:color="auto" w:fill="FFFFFF"/>
          <w:lang w:eastAsia="pl-PL"/>
        </w:rPr>
        <w:t xml:space="preserve"> zmian cen na wskaźnik</w:t>
      </w:r>
      <w:r w:rsidR="00B97152" w:rsidRPr="00B24B6C">
        <w:rPr>
          <w:rFonts w:ascii="Fira Sans SemiBold" w:eastAsia="Times New Roman" w:hAnsi="Fira Sans SemiBold" w:cs="Times New Roman"/>
          <w:bCs/>
          <w:color w:val="001D77"/>
          <w:szCs w:val="24"/>
          <w:shd w:val="clear" w:color="auto" w:fill="FFFFFF"/>
          <w:lang w:eastAsia="pl-PL"/>
        </w:rPr>
        <w:t xml:space="preserve"> cen</w:t>
      </w:r>
      <w:r w:rsidR="00A07F00" w:rsidRPr="00B24B6C">
        <w:rPr>
          <w:rFonts w:ascii="Fira Sans SemiBold" w:eastAsia="Times New Roman" w:hAnsi="Fira Sans SemiBold" w:cs="Times New Roman"/>
          <w:bCs/>
          <w:color w:val="001D77"/>
          <w:szCs w:val="24"/>
          <w:shd w:val="clear" w:color="auto" w:fill="FFFFFF"/>
          <w:lang w:eastAsia="pl-PL"/>
        </w:rPr>
        <w:t xml:space="preserve"> towarów i usług konsumpcyjnych ogółem</w:t>
      </w:r>
    </w:p>
    <w:p w:rsidR="00A07F00" w:rsidRPr="008F5DD4" w:rsidRDefault="00A07F00" w:rsidP="00285768">
      <w:pPr>
        <w:rPr>
          <w:highlight w:val="yellow"/>
        </w:rPr>
      </w:pPr>
      <w:r w:rsidRPr="00364CB3">
        <w:t>W</w:t>
      </w:r>
      <w:r w:rsidR="00A90732" w:rsidRPr="00364CB3">
        <w:t xml:space="preserve"> </w:t>
      </w:r>
      <w:r w:rsidR="00364CB3" w:rsidRPr="00364CB3">
        <w:t>marcu</w:t>
      </w:r>
      <w:r w:rsidR="00A90732" w:rsidRPr="00364CB3">
        <w:t xml:space="preserve"> </w:t>
      </w:r>
      <w:r w:rsidRPr="00364CB3">
        <w:t xml:space="preserve">br. w porównaniu z poprzednim miesiącem największy wpływ na wskaźnik cen </w:t>
      </w:r>
      <w:r w:rsidR="00917CCF" w:rsidRPr="00364CB3">
        <w:br/>
      </w:r>
      <w:r w:rsidRPr="00364CB3">
        <w:t xml:space="preserve">towarów i usług konsumpcyjnych ogółem miały </w:t>
      </w:r>
      <w:r w:rsidR="005316C2" w:rsidRPr="00364CB3">
        <w:t>wyższe</w:t>
      </w:r>
      <w:r w:rsidRPr="00364CB3">
        <w:t xml:space="preserve"> </w:t>
      </w:r>
      <w:r w:rsidRPr="005B01E2">
        <w:t xml:space="preserve">ceny </w:t>
      </w:r>
      <w:r w:rsidR="00F04C11" w:rsidRPr="005B01E2">
        <w:t xml:space="preserve">w zakresie </w:t>
      </w:r>
      <w:r w:rsidR="00A60AEE" w:rsidRPr="005B01E2">
        <w:t xml:space="preserve">transportu </w:t>
      </w:r>
      <w:r w:rsidR="00FA0677" w:rsidRPr="005B01E2">
        <w:t>(o </w:t>
      </w:r>
      <w:r w:rsidR="00B66072" w:rsidRPr="005B01E2">
        <w:t>4</w:t>
      </w:r>
      <w:r w:rsidR="00026FBB" w:rsidRPr="005B01E2">
        <w:t>,1</w:t>
      </w:r>
      <w:r w:rsidR="006920EA" w:rsidRPr="005B01E2">
        <w:t>%)</w:t>
      </w:r>
      <w:r w:rsidR="00026FBB" w:rsidRPr="005B01E2">
        <w:t xml:space="preserve">, </w:t>
      </w:r>
      <w:r w:rsidR="00B66072" w:rsidRPr="005B01E2">
        <w:t>żywności (o 0,7%), odzieży i obuwia (o 4,1%) oraz łączności (o 2,6%),</w:t>
      </w:r>
      <w:r w:rsidR="00B611C1" w:rsidRPr="005B01E2">
        <w:t xml:space="preserve"> </w:t>
      </w:r>
      <w:r w:rsidRPr="005B01E2">
        <w:t xml:space="preserve">które </w:t>
      </w:r>
      <w:r w:rsidR="005316C2" w:rsidRPr="005B01E2">
        <w:t xml:space="preserve">podwyższyły </w:t>
      </w:r>
      <w:r w:rsidR="00B611C1" w:rsidRPr="005B01E2">
        <w:t>wskaźnik odpowi</w:t>
      </w:r>
      <w:r w:rsidR="005316C2" w:rsidRPr="005B01E2">
        <w:t>ed</w:t>
      </w:r>
      <w:r w:rsidR="009B1414" w:rsidRPr="005B01E2">
        <w:t xml:space="preserve">nio </w:t>
      </w:r>
      <w:r w:rsidR="005B01E2" w:rsidRPr="005B01E2">
        <w:t>o 0,38</w:t>
      </w:r>
      <w:r w:rsidR="00DE64C5" w:rsidRPr="005B01E2">
        <w:t xml:space="preserve"> p. proc.</w:t>
      </w:r>
      <w:r w:rsidR="005B01E2" w:rsidRPr="005B01E2">
        <w:t xml:space="preserve">, 0,18 p. proc., 0,16 p. proc. </w:t>
      </w:r>
      <w:r w:rsidR="009B1414" w:rsidRPr="005B01E2">
        <w:t xml:space="preserve">i </w:t>
      </w:r>
      <w:r w:rsidR="005B01E2" w:rsidRPr="005B01E2">
        <w:t>0,13 p. proc.</w:t>
      </w:r>
      <w:r w:rsidR="00B611C1" w:rsidRPr="005B01E2">
        <w:t xml:space="preserve"> </w:t>
      </w:r>
      <w:r w:rsidR="005316C2" w:rsidRPr="005B01E2">
        <w:t>Niższe</w:t>
      </w:r>
      <w:r w:rsidRPr="005B01E2">
        <w:t xml:space="preserve"> ceny</w:t>
      </w:r>
      <w:r w:rsidR="00AA16CA">
        <w:t xml:space="preserve"> w </w:t>
      </w:r>
      <w:r w:rsidR="005B01E2" w:rsidRPr="005B01E2">
        <w:t xml:space="preserve">zakresie zdrowia </w:t>
      </w:r>
      <w:r w:rsidR="005B01E2" w:rsidRPr="005B01E2">
        <w:rPr>
          <w:spacing w:val="-2"/>
        </w:rPr>
        <w:t>(o 0,1</w:t>
      </w:r>
      <w:r w:rsidR="00534040" w:rsidRPr="005B01E2">
        <w:rPr>
          <w:spacing w:val="-2"/>
        </w:rPr>
        <w:t xml:space="preserve">%) </w:t>
      </w:r>
      <w:r w:rsidR="005316C2" w:rsidRPr="005B01E2">
        <w:t>obniżyły</w:t>
      </w:r>
      <w:r w:rsidRPr="005B01E2">
        <w:t xml:space="preserve"> ten wskaźnik </w:t>
      </w:r>
      <w:r w:rsidR="00534040" w:rsidRPr="005B01E2">
        <w:t>o 0,0</w:t>
      </w:r>
      <w:r w:rsidR="005B01E2" w:rsidRPr="005B01E2">
        <w:t>1</w:t>
      </w:r>
      <w:r w:rsidR="00B611C1" w:rsidRPr="005B01E2">
        <w:t xml:space="preserve"> p. proc</w:t>
      </w:r>
      <w:r w:rsidR="005316C2" w:rsidRPr="005B01E2">
        <w:t>.</w:t>
      </w:r>
      <w:r w:rsidR="00917CCF" w:rsidRPr="008F5DD4">
        <w:rPr>
          <w:highlight w:val="yellow"/>
        </w:rPr>
        <w:br/>
      </w:r>
      <w:r w:rsidRPr="006D5D88">
        <w:t xml:space="preserve">W porównaniu z miesiącem analogicznym poprzedniego roku wyższe ceny </w:t>
      </w:r>
      <w:r w:rsidR="00451932" w:rsidRPr="006D5D88">
        <w:t xml:space="preserve">w zakresie mieszkania </w:t>
      </w:r>
      <w:r w:rsidRPr="006D5D88">
        <w:t>(o </w:t>
      </w:r>
      <w:r w:rsidR="00E33B04" w:rsidRPr="006D5D88">
        <w:t>5,1</w:t>
      </w:r>
      <w:r w:rsidR="00674A8B" w:rsidRPr="006D5D88">
        <w:t>%)</w:t>
      </w:r>
      <w:r w:rsidR="00413FD5">
        <w:t>,</w:t>
      </w:r>
      <w:r w:rsidR="00E33B04" w:rsidRPr="006D5D88">
        <w:t xml:space="preserve"> transportu (o 5,4%)</w:t>
      </w:r>
      <w:r w:rsidR="00413FD5">
        <w:t xml:space="preserve"> oraz łączności (o 7,4%)</w:t>
      </w:r>
      <w:r w:rsidR="00E33B04" w:rsidRPr="006D5D88">
        <w:t xml:space="preserve"> </w:t>
      </w:r>
      <w:r w:rsidRPr="006D5D88">
        <w:t>pod</w:t>
      </w:r>
      <w:r w:rsidRPr="006D5D88">
        <w:softHyphen/>
      </w:r>
      <w:r w:rsidR="00D401C9" w:rsidRPr="006D5D88">
        <w:t>wyższyły</w:t>
      </w:r>
      <w:r w:rsidRPr="006D5D88">
        <w:t xml:space="preserve"> wskaźnik </w:t>
      </w:r>
      <w:r w:rsidR="00E82C7E" w:rsidRPr="006D5D88">
        <w:t>cen towarów i </w:t>
      </w:r>
      <w:r w:rsidR="00D401C9" w:rsidRPr="006D5D88">
        <w:t xml:space="preserve">usług konsumpcyjnych </w:t>
      </w:r>
      <w:r w:rsidRPr="006D5D88">
        <w:t>odpowiednio o </w:t>
      </w:r>
      <w:r w:rsidR="00E33B04" w:rsidRPr="006D5D88">
        <w:t>1,25</w:t>
      </w:r>
      <w:r w:rsidRPr="006D5D88">
        <w:t xml:space="preserve"> p. proc.</w:t>
      </w:r>
      <w:r w:rsidR="00413FD5">
        <w:t xml:space="preserve">, </w:t>
      </w:r>
      <w:r w:rsidR="009D1423" w:rsidRPr="006D5D88">
        <w:t>0,</w:t>
      </w:r>
      <w:r w:rsidR="00E33B04" w:rsidRPr="006D5D88">
        <w:t>50</w:t>
      </w:r>
      <w:r w:rsidR="00FA0677" w:rsidRPr="006D5D88">
        <w:t> </w:t>
      </w:r>
      <w:r w:rsidR="009D1423" w:rsidRPr="006D5D88">
        <w:t>p. proc</w:t>
      </w:r>
      <w:r w:rsidR="00413FD5">
        <w:t xml:space="preserve"> i 0,36 </w:t>
      </w:r>
      <w:r w:rsidR="00413FD5" w:rsidRPr="006D5D88">
        <w:t>p. proc.</w:t>
      </w:r>
      <w:r w:rsidR="004B4C23" w:rsidRPr="006D5D88">
        <w:t xml:space="preserve"> </w:t>
      </w:r>
      <w:r w:rsidRPr="006D5D88">
        <w:rPr>
          <w:spacing w:val="-2"/>
        </w:rPr>
        <w:t>Niższe ceny</w:t>
      </w:r>
      <w:r w:rsidR="00C11CBD" w:rsidRPr="006D5D88">
        <w:rPr>
          <w:spacing w:val="-2"/>
        </w:rPr>
        <w:t xml:space="preserve"> </w:t>
      </w:r>
      <w:r w:rsidR="00351D21" w:rsidRPr="006D5D88">
        <w:rPr>
          <w:spacing w:val="-2"/>
        </w:rPr>
        <w:t>w </w:t>
      </w:r>
      <w:r w:rsidR="004469A3" w:rsidRPr="006D5D88">
        <w:rPr>
          <w:spacing w:val="-2"/>
        </w:rPr>
        <w:t xml:space="preserve">zakresie </w:t>
      </w:r>
      <w:r w:rsidR="00C11CBD" w:rsidRPr="006D5D88">
        <w:rPr>
          <w:spacing w:val="-2"/>
        </w:rPr>
        <w:t>odzieży i obuwia</w:t>
      </w:r>
      <w:r w:rsidR="006D5D88" w:rsidRPr="006D5D88">
        <w:rPr>
          <w:spacing w:val="-2"/>
        </w:rPr>
        <w:t xml:space="preserve"> (o 1,4</w:t>
      </w:r>
      <w:r w:rsidR="003405A4" w:rsidRPr="006D5D88">
        <w:rPr>
          <w:spacing w:val="-2"/>
        </w:rPr>
        <w:t>%)</w:t>
      </w:r>
      <w:r w:rsidR="009B1414" w:rsidRPr="006D5D88">
        <w:rPr>
          <w:spacing w:val="-2"/>
        </w:rPr>
        <w:t xml:space="preserve"> </w:t>
      </w:r>
      <w:r w:rsidRPr="006D5D88">
        <w:rPr>
          <w:spacing w:val="-2"/>
        </w:rPr>
        <w:t xml:space="preserve">obniżyły </w:t>
      </w:r>
      <w:r w:rsidR="00D401C9" w:rsidRPr="006D5D88">
        <w:rPr>
          <w:spacing w:val="-2"/>
        </w:rPr>
        <w:t xml:space="preserve">ten </w:t>
      </w:r>
      <w:r w:rsidRPr="006D5D88">
        <w:rPr>
          <w:spacing w:val="-2"/>
        </w:rPr>
        <w:t>wskaźnik</w:t>
      </w:r>
      <w:r w:rsidR="00920FC4" w:rsidRPr="006D5D88">
        <w:rPr>
          <w:spacing w:val="-2"/>
        </w:rPr>
        <w:t xml:space="preserve"> </w:t>
      </w:r>
      <w:r w:rsidRPr="006D5D88">
        <w:rPr>
          <w:spacing w:val="-2"/>
        </w:rPr>
        <w:t>o</w:t>
      </w:r>
      <w:r w:rsidR="00A06D23" w:rsidRPr="006D5D88">
        <w:rPr>
          <w:spacing w:val="-2"/>
        </w:rPr>
        <w:t> </w:t>
      </w:r>
      <w:r w:rsidR="006D5D88" w:rsidRPr="006D5D88">
        <w:rPr>
          <w:spacing w:val="-2"/>
        </w:rPr>
        <w:t>0,0</w:t>
      </w:r>
      <w:r w:rsidR="00C11CBD" w:rsidRPr="006D5D88">
        <w:rPr>
          <w:spacing w:val="-2"/>
        </w:rPr>
        <w:t>6</w:t>
      </w:r>
      <w:r w:rsidR="00A06D23" w:rsidRPr="006D5D88">
        <w:rPr>
          <w:spacing w:val="-2"/>
        </w:rPr>
        <w:t> </w:t>
      </w:r>
      <w:r w:rsidR="003A7D83" w:rsidRPr="006D5D88">
        <w:rPr>
          <w:spacing w:val="-2"/>
        </w:rPr>
        <w:t>p. </w:t>
      </w:r>
      <w:r w:rsidR="00CC6180" w:rsidRPr="006D5D88">
        <w:rPr>
          <w:spacing w:val="-2"/>
        </w:rPr>
        <w:t>proc</w:t>
      </w:r>
      <w:r w:rsidRPr="006D5D88">
        <w:rPr>
          <w:spacing w:val="-2"/>
        </w:rPr>
        <w:t>.</w:t>
      </w:r>
    </w:p>
    <w:p w:rsidR="00A07F00" w:rsidRPr="00B24B6C" w:rsidRDefault="00A07F00" w:rsidP="00C27D75">
      <w:pPr>
        <w:rPr>
          <w:highlight w:val="yellow"/>
        </w:rPr>
      </w:pPr>
    </w:p>
    <w:p w:rsidR="00A07F00" w:rsidRPr="00B24B6C" w:rsidRDefault="00B742C5" w:rsidP="00B617A5">
      <w:pPr>
        <w:pStyle w:val="tytuwykresu"/>
        <w:ind w:left="794" w:hanging="794"/>
        <w:rPr>
          <w:highlight w:val="yellow"/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795456" behindDoc="0" locked="0" layoutInCell="1" allowOverlap="1" wp14:anchorId="5ACF6C80" wp14:editId="6282606F">
            <wp:simplePos x="0" y="0"/>
            <wp:positionH relativeFrom="column">
              <wp:posOffset>163195</wp:posOffset>
            </wp:positionH>
            <wp:positionV relativeFrom="paragraph">
              <wp:posOffset>386715</wp:posOffset>
            </wp:positionV>
            <wp:extent cx="4919980" cy="2572385"/>
            <wp:effectExtent l="0" t="0" r="0" b="0"/>
            <wp:wrapSquare wrapText="bothSides"/>
            <wp:docPr id="10" name="Wykres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7F00" w:rsidRPr="00B24B6C">
        <w:t xml:space="preserve">Wykres </w:t>
      </w:r>
      <w:r w:rsidR="00761070" w:rsidRPr="00B24B6C">
        <w:t>1</w:t>
      </w:r>
      <w:r w:rsidR="00A07F00" w:rsidRPr="00B24B6C">
        <w:t>.</w:t>
      </w:r>
      <w:r w:rsidR="00A07F00" w:rsidRPr="00B24B6C">
        <w:rPr>
          <w:shd w:val="clear" w:color="auto" w:fill="FFFFFF"/>
        </w:rPr>
        <w:t xml:space="preserve"> </w:t>
      </w:r>
      <w:r w:rsidR="00A07F00" w:rsidRPr="00B742C5">
        <w:rPr>
          <w:shd w:val="clear" w:color="auto" w:fill="FFFFFF"/>
        </w:rPr>
        <w:t>Wpływ zmian cen wybranych grup t</w:t>
      </w:r>
      <w:r w:rsidR="00A90732" w:rsidRPr="00B742C5">
        <w:rPr>
          <w:shd w:val="clear" w:color="auto" w:fill="FFFFFF"/>
        </w:rPr>
        <w:t xml:space="preserve">owarów i usług konsumpcyjnych w </w:t>
      </w:r>
      <w:r w:rsidR="008F5DD4" w:rsidRPr="00B742C5">
        <w:rPr>
          <w:shd w:val="clear" w:color="auto" w:fill="FFFFFF"/>
        </w:rPr>
        <w:t>marcu</w:t>
      </w:r>
      <w:r w:rsidR="00A90732" w:rsidRPr="00B742C5">
        <w:rPr>
          <w:shd w:val="clear" w:color="auto" w:fill="FFFFFF"/>
        </w:rPr>
        <w:t xml:space="preserve"> </w:t>
      </w:r>
      <w:r w:rsidR="008F5DD4" w:rsidRPr="00B742C5">
        <w:rPr>
          <w:shd w:val="clear" w:color="auto" w:fill="FFFFFF"/>
        </w:rPr>
        <w:t>2021</w:t>
      </w:r>
      <w:r w:rsidR="00A07F00" w:rsidRPr="00B742C5">
        <w:rPr>
          <w:shd w:val="clear" w:color="auto" w:fill="FFFFFF"/>
        </w:rPr>
        <w:t xml:space="preserve"> r.</w:t>
      </w:r>
      <w:r w:rsidR="0051646A" w:rsidRPr="00B742C5">
        <w:rPr>
          <w:shd w:val="clear" w:color="auto" w:fill="FFFFFF"/>
          <w:lang w:eastAsia="pl-PL"/>
        </w:rPr>
        <w:br/>
        <w:t>(z</w:t>
      </w:r>
      <w:r w:rsidR="0051646A" w:rsidRPr="00B742C5">
        <w:rPr>
          <w:shd w:val="clear" w:color="auto" w:fill="FFFFFF"/>
        </w:rPr>
        <w:t>miana w p. proc. do okresu poprzedniego)</w:t>
      </w:r>
    </w:p>
    <w:p w:rsidR="00F60B5D" w:rsidRPr="00B24B6C" w:rsidRDefault="00F60B5D" w:rsidP="00B617A5">
      <w:pPr>
        <w:pStyle w:val="tytuwykresu"/>
        <w:ind w:left="794" w:hanging="794"/>
        <w:rPr>
          <w:highlight w:val="yellow"/>
          <w:shd w:val="clear" w:color="auto" w:fill="FFFFFF"/>
        </w:rPr>
      </w:pPr>
    </w:p>
    <w:p w:rsidR="00B705DB" w:rsidRDefault="00B705DB" w:rsidP="00B617A5">
      <w:pPr>
        <w:spacing w:before="0" w:after="160" w:line="259" w:lineRule="auto"/>
        <w:ind w:left="794" w:hanging="794"/>
        <w:rPr>
          <w:b/>
          <w:spacing w:val="-2"/>
          <w:sz w:val="18"/>
        </w:rPr>
      </w:pPr>
      <w:r w:rsidRPr="00B705DB">
        <w:rPr>
          <w:noProof/>
          <w:lang w:eastAsia="pl-PL"/>
        </w:rPr>
        <w:drawing>
          <wp:anchor distT="0" distB="0" distL="114300" distR="114300" simplePos="0" relativeHeight="251791360" behindDoc="0" locked="0" layoutInCell="1" allowOverlap="1" wp14:anchorId="3EBA7EC8" wp14:editId="139E8D2F">
            <wp:simplePos x="0" y="0"/>
            <wp:positionH relativeFrom="column">
              <wp:posOffset>-41275</wp:posOffset>
            </wp:positionH>
            <wp:positionV relativeFrom="paragraph">
              <wp:posOffset>511175</wp:posOffset>
            </wp:positionV>
            <wp:extent cx="5124450" cy="3234055"/>
            <wp:effectExtent l="0" t="0" r="0" b="0"/>
            <wp:wrapSquare wrapText="bothSides"/>
            <wp:docPr id="4" name="Wykres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4399" w:rsidRPr="00B705DB">
        <w:rPr>
          <w:b/>
          <w:spacing w:val="-2"/>
          <w:sz w:val="18"/>
        </w:rPr>
        <w:t xml:space="preserve">Wykres 2. System wag stosowany w obliczeniach wskaźników cen towarów i usług </w:t>
      </w:r>
      <w:r w:rsidR="00B617A5" w:rsidRPr="00B705DB">
        <w:rPr>
          <w:b/>
          <w:spacing w:val="-2"/>
          <w:sz w:val="18"/>
        </w:rPr>
        <w:br/>
      </w:r>
      <w:r w:rsidR="002619FD" w:rsidRPr="00B705DB">
        <w:rPr>
          <w:b/>
          <w:spacing w:val="-2"/>
          <w:sz w:val="18"/>
        </w:rPr>
        <w:t>konsumpcyjnych w 2021</w:t>
      </w:r>
      <w:r w:rsidR="005F4399" w:rsidRPr="00B705DB">
        <w:rPr>
          <w:b/>
          <w:spacing w:val="-2"/>
          <w:sz w:val="18"/>
        </w:rPr>
        <w:t xml:space="preserve"> r</w:t>
      </w:r>
      <w:r w:rsidR="005F4399" w:rsidRPr="00B24B6C">
        <w:rPr>
          <w:b/>
          <w:spacing w:val="-2"/>
          <w:sz w:val="18"/>
        </w:rPr>
        <w:t>.</w:t>
      </w:r>
    </w:p>
    <w:p w:rsidR="00B742C5" w:rsidRDefault="00B742C5" w:rsidP="00B617A5">
      <w:pPr>
        <w:spacing w:before="0" w:after="160" w:line="259" w:lineRule="auto"/>
        <w:ind w:left="794" w:hanging="794"/>
        <w:rPr>
          <w:b/>
          <w:spacing w:val="-2"/>
          <w:sz w:val="18"/>
        </w:rPr>
      </w:pPr>
    </w:p>
    <w:p w:rsidR="00C73B5E" w:rsidRPr="00B24B6C" w:rsidRDefault="00C73B5E" w:rsidP="00B617A5">
      <w:pPr>
        <w:spacing w:before="0" w:after="160" w:line="259" w:lineRule="auto"/>
        <w:ind w:left="794" w:hanging="794"/>
        <w:rPr>
          <w:b/>
          <w:spacing w:val="-2"/>
          <w:sz w:val="18"/>
          <w:highlight w:val="yellow"/>
        </w:rPr>
      </w:pPr>
      <w:r w:rsidRPr="00B24B6C">
        <w:rPr>
          <w:highlight w:val="yellow"/>
        </w:rPr>
        <w:br w:type="page"/>
      </w:r>
    </w:p>
    <w:p w:rsidR="003A440F" w:rsidRPr="00B24B6C" w:rsidRDefault="00B742C5" w:rsidP="00C27D75">
      <w:pPr>
        <w:pStyle w:val="tytuwykresu"/>
        <w:rPr>
          <w:b w:val="0"/>
          <w:highlight w:val="yellow"/>
          <w:shd w:val="clear" w:color="auto" w:fill="FFFFFF"/>
          <w:lang w:eastAsia="pl-PL"/>
        </w:rPr>
      </w:pPr>
      <w:r>
        <w:rPr>
          <w:noProof/>
          <w:lang w:eastAsia="pl-PL"/>
        </w:rPr>
        <w:lastRenderedPageBreak/>
        <w:drawing>
          <wp:anchor distT="0" distB="0" distL="114300" distR="114300" simplePos="0" relativeHeight="251793408" behindDoc="0" locked="0" layoutInCell="1" allowOverlap="1" wp14:anchorId="449B0556" wp14:editId="0A28961A">
            <wp:simplePos x="0" y="0"/>
            <wp:positionH relativeFrom="column">
              <wp:posOffset>-14605</wp:posOffset>
            </wp:positionH>
            <wp:positionV relativeFrom="paragraph">
              <wp:posOffset>263525</wp:posOffset>
            </wp:positionV>
            <wp:extent cx="5122545" cy="2559685"/>
            <wp:effectExtent l="0" t="0" r="0" b="0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440F" w:rsidRPr="00B24B6C">
        <w:t xml:space="preserve">Wykres </w:t>
      </w:r>
      <w:r w:rsidR="00CF08EF" w:rsidRPr="00B24B6C">
        <w:t>3</w:t>
      </w:r>
      <w:r w:rsidR="003A440F" w:rsidRPr="00B24B6C">
        <w:t>.</w:t>
      </w:r>
      <w:r w:rsidR="003A440F" w:rsidRPr="00B24B6C">
        <w:rPr>
          <w:shd w:val="clear" w:color="auto" w:fill="FFFFFF"/>
        </w:rPr>
        <w:t xml:space="preserve"> </w:t>
      </w:r>
      <w:r w:rsidR="008A23B4" w:rsidRPr="008A23B4">
        <w:rPr>
          <w:shd w:val="clear" w:color="auto" w:fill="FFFFFF"/>
        </w:rPr>
        <w:t xml:space="preserve">Zmiany cen towarów i usług </w:t>
      </w:r>
      <w:r w:rsidR="008A23B4" w:rsidRPr="00B742C5">
        <w:rPr>
          <w:shd w:val="clear" w:color="auto" w:fill="FFFFFF"/>
        </w:rPr>
        <w:t>konsumpcyjnych w stosunku do okresu poprzedniego</w:t>
      </w:r>
      <w:r w:rsidR="008A23B4" w:rsidRPr="008A23B4">
        <w:rPr>
          <w:shd w:val="clear" w:color="auto" w:fill="FFFFFF"/>
        </w:rPr>
        <w:t xml:space="preserve"> (w %)</w:t>
      </w:r>
    </w:p>
    <w:p w:rsidR="00214CA5" w:rsidRDefault="00214CA5" w:rsidP="00C27D75">
      <w:pPr>
        <w:pStyle w:val="tytuwykresu"/>
        <w:rPr>
          <w:b w:val="0"/>
          <w:highlight w:val="yellow"/>
          <w:shd w:val="clear" w:color="auto" w:fill="FFFFFF"/>
          <w:lang w:eastAsia="pl-PL"/>
        </w:rPr>
      </w:pPr>
    </w:p>
    <w:p w:rsidR="008A23B4" w:rsidRPr="008A23B4" w:rsidRDefault="00034160" w:rsidP="002619FD">
      <w:pPr>
        <w:pStyle w:val="tytuwykresu"/>
        <w:spacing w:after="0"/>
        <w:ind w:left="822" w:hanging="822"/>
        <w:rPr>
          <w:shd w:val="clear" w:color="auto" w:fill="FFFFFF"/>
        </w:rPr>
      </w:pPr>
      <w:r w:rsidRPr="00B24B6C">
        <w:t xml:space="preserve">Wykres </w:t>
      </w:r>
      <w:r w:rsidR="00CF08EF" w:rsidRPr="00B24B6C">
        <w:t>4</w:t>
      </w:r>
      <w:r w:rsidRPr="00B24B6C">
        <w:t>.</w:t>
      </w:r>
      <w:r w:rsidRPr="00B24B6C">
        <w:rPr>
          <w:shd w:val="clear" w:color="auto" w:fill="FFFFFF"/>
        </w:rPr>
        <w:t xml:space="preserve"> </w:t>
      </w:r>
      <w:r w:rsidR="008A23B4" w:rsidRPr="008A23B4">
        <w:rPr>
          <w:shd w:val="clear" w:color="auto" w:fill="FFFFFF"/>
        </w:rPr>
        <w:t xml:space="preserve">Zmiany ceny towarów i usług konsumpcyjnych </w:t>
      </w:r>
      <w:r w:rsidR="008A23B4" w:rsidRPr="00B742C5">
        <w:rPr>
          <w:shd w:val="clear" w:color="auto" w:fill="FFFFFF"/>
        </w:rPr>
        <w:t>w stosunku do analogicznego okresu</w:t>
      </w:r>
      <w:r w:rsidR="008A23B4" w:rsidRPr="008A23B4">
        <w:rPr>
          <w:shd w:val="clear" w:color="auto" w:fill="FFFFFF"/>
        </w:rPr>
        <w:t xml:space="preserve"> </w:t>
      </w:r>
    </w:p>
    <w:p w:rsidR="00034160" w:rsidRDefault="008A23B4" w:rsidP="008A23B4">
      <w:pPr>
        <w:pStyle w:val="tytuwykresu"/>
        <w:spacing w:before="0" w:after="0"/>
        <w:ind w:left="1248" w:hanging="454"/>
        <w:rPr>
          <w:shd w:val="clear" w:color="auto" w:fill="FFFFFF"/>
        </w:rPr>
      </w:pPr>
      <w:r w:rsidRPr="008A23B4">
        <w:rPr>
          <w:shd w:val="clear" w:color="auto" w:fill="FFFFFF"/>
        </w:rPr>
        <w:t>roku poprzedniego (w %)</w:t>
      </w:r>
    </w:p>
    <w:p w:rsidR="008A23B4" w:rsidRPr="00B24B6C" w:rsidRDefault="006F52A0" w:rsidP="008A23B4">
      <w:pPr>
        <w:pStyle w:val="tytuwykresu"/>
        <w:spacing w:before="0" w:after="0"/>
        <w:ind w:left="822" w:hanging="822"/>
        <w:rPr>
          <w:highlight w:val="yellow"/>
          <w:shd w:val="clear" w:color="auto" w:fill="FFFFFF"/>
        </w:rPr>
      </w:pPr>
      <w:r>
        <w:rPr>
          <w:lang w:eastAsia="en-GB"/>
        </w:rPr>
        <w:pict>
          <v:shape id="Text Box 25" o:spid="_x0000_s1029" type="#_x0000_t202" style="position:absolute;left:0;text-align:left;margin-left:414.75pt;margin-top:315.75pt;width:135.85pt;height:96.35pt;z-index:-251566080;visibility:visible;mso-wrap-distance-top:3.6pt;mso-wrap-distance-bottom:3.6pt;mso-position-vertical-relative:page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" filled="f" stroked="f">
            <v:textbox style="mso-next-textbox:#Text Box 25">
              <w:txbxContent>
                <w:p w:rsidR="00413FD5" w:rsidRPr="00BF2F65" w:rsidRDefault="00413FD5" w:rsidP="004C01B5">
                  <w:pPr>
                    <w:pStyle w:val="Tekstprzypisudolnego"/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t xml:space="preserve">W marcu 2021 r. wskaźnik </w:t>
                  </w:r>
                  <w:r w:rsidRPr="00B742C5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t xml:space="preserve">cen towarów i usług </w:t>
                  </w:r>
                  <w:r w:rsidRPr="00B742C5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br/>
                    <w:t>konsumpcyjnych znajdował się w granicach odchyleń od celu inflacyjnego określonego przez Radę Polityki Pieniężnej (2,5% +/- 1 p. proc.)</w:t>
                  </w:r>
                </w:p>
              </w:txbxContent>
            </v:textbox>
            <w10:wrap type="tight" anchory="page"/>
          </v:shape>
        </w:pict>
      </w:r>
    </w:p>
    <w:p w:rsidR="00034160" w:rsidRPr="00B24B6C" w:rsidRDefault="00B742C5" w:rsidP="00740107">
      <w:pPr>
        <w:spacing w:before="0" w:line="259" w:lineRule="auto"/>
        <w:rPr>
          <w:sz w:val="18"/>
          <w:highlight w:val="yellow"/>
        </w:rPr>
      </w:pPr>
      <w:r>
        <w:rPr>
          <w:noProof/>
          <w:lang w:eastAsia="pl-PL"/>
        </w:rPr>
        <w:drawing>
          <wp:anchor distT="0" distB="0" distL="114300" distR="114300" simplePos="0" relativeHeight="251794432" behindDoc="0" locked="0" layoutInCell="1" allowOverlap="1" wp14:anchorId="52131F76" wp14:editId="42AADEAA">
            <wp:simplePos x="0" y="0"/>
            <wp:positionH relativeFrom="column">
              <wp:posOffset>46990</wp:posOffset>
            </wp:positionH>
            <wp:positionV relativeFrom="paragraph">
              <wp:posOffset>3411220</wp:posOffset>
            </wp:positionV>
            <wp:extent cx="5117465" cy="2515870"/>
            <wp:effectExtent l="0" t="0" r="0" b="0"/>
            <wp:wrapSquare wrapText="bothSides"/>
            <wp:docPr id="7" name="Wykres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792384" behindDoc="0" locked="0" layoutInCell="1" allowOverlap="1" wp14:anchorId="302CEFB5" wp14:editId="46F4C553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5114290" cy="2625725"/>
            <wp:effectExtent l="0" t="0" r="0" b="0"/>
            <wp:wrapSquare wrapText="bothSides"/>
            <wp:docPr id="5" name="Wykres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0461" w:rsidRPr="00B24B6C" w:rsidRDefault="00883763" w:rsidP="002619FD">
      <w:pPr>
        <w:pStyle w:val="tytuwykresu"/>
        <w:ind w:left="822" w:hanging="822"/>
        <w:rPr>
          <w:b w:val="0"/>
          <w:szCs w:val="19"/>
          <w:highlight w:val="yellow"/>
          <w:lang w:eastAsia="pl-PL"/>
        </w:rPr>
      </w:pPr>
      <w:r w:rsidRPr="00B24B6C">
        <w:t xml:space="preserve">Wykres </w:t>
      </w:r>
      <w:r w:rsidR="00CF08EF" w:rsidRPr="00B24B6C">
        <w:t>5</w:t>
      </w:r>
      <w:r w:rsidRPr="00B24B6C">
        <w:t>.</w:t>
      </w:r>
      <w:r w:rsidRPr="00B24B6C">
        <w:rPr>
          <w:shd w:val="clear" w:color="auto" w:fill="FFFFFF"/>
        </w:rPr>
        <w:t xml:space="preserve"> </w:t>
      </w:r>
      <w:r w:rsidR="008A23B4" w:rsidRPr="008A23B4">
        <w:rPr>
          <w:bCs/>
          <w:shd w:val="clear" w:color="auto" w:fill="FFFFFF"/>
        </w:rPr>
        <w:t xml:space="preserve">Zmiany cen według wskaźnika cen towarów i usług konsumpcyjnych (CPI) oraz zharmonizowanego wskaźnika cen konsumpcyjnych (HICP) </w:t>
      </w:r>
      <w:r w:rsidR="008A23B4" w:rsidRPr="00B742C5">
        <w:rPr>
          <w:bCs/>
          <w:shd w:val="clear" w:color="auto" w:fill="FFFFFF"/>
        </w:rPr>
        <w:t>w stosunku do analogicznego okresu</w:t>
      </w:r>
      <w:r w:rsidR="008A23B4" w:rsidRPr="008A23B4">
        <w:rPr>
          <w:bCs/>
          <w:shd w:val="clear" w:color="auto" w:fill="FFFFFF"/>
        </w:rPr>
        <w:t xml:space="preserve"> roku poprzedniego (w %)</w:t>
      </w:r>
      <w:r w:rsidR="00B742C5" w:rsidRPr="00B24B6C">
        <w:rPr>
          <w:highlight w:val="yellow"/>
        </w:rPr>
        <w:t xml:space="preserve"> </w:t>
      </w:r>
      <w:r w:rsidR="00820461" w:rsidRPr="00B24B6C">
        <w:rPr>
          <w:highlight w:val="yellow"/>
        </w:rPr>
        <w:br w:type="page"/>
      </w:r>
    </w:p>
    <w:p w:rsidR="00516A50" w:rsidRDefault="00516A50" w:rsidP="00516A50">
      <w:pPr>
        <w:pStyle w:val="LID"/>
        <w:rPr>
          <w:bCs/>
          <w:noProof w:val="0"/>
          <w:sz w:val="18"/>
          <w:shd w:val="clear" w:color="auto" w:fill="FFFFFF"/>
        </w:rPr>
      </w:pPr>
      <w:r w:rsidRPr="00B24B6C">
        <w:rPr>
          <w:noProof w:val="0"/>
          <w:sz w:val="18"/>
        </w:rPr>
        <w:lastRenderedPageBreak/>
        <w:t xml:space="preserve">Tablica </w:t>
      </w:r>
      <w:r w:rsidR="00CF08EF" w:rsidRPr="00B24B6C">
        <w:rPr>
          <w:noProof w:val="0"/>
          <w:sz w:val="18"/>
        </w:rPr>
        <w:t>2</w:t>
      </w:r>
      <w:r w:rsidRPr="00B24B6C">
        <w:rPr>
          <w:noProof w:val="0"/>
          <w:sz w:val="18"/>
        </w:rPr>
        <w:t>.</w:t>
      </w:r>
      <w:r w:rsidRPr="00B24B6C">
        <w:rPr>
          <w:noProof w:val="0"/>
          <w:sz w:val="18"/>
          <w:shd w:val="clear" w:color="auto" w:fill="FFFFFF"/>
        </w:rPr>
        <w:t xml:space="preserve"> </w:t>
      </w:r>
      <w:r w:rsidRPr="00B24B6C">
        <w:rPr>
          <w:bCs/>
          <w:noProof w:val="0"/>
          <w:sz w:val="18"/>
          <w:shd w:val="clear" w:color="auto" w:fill="FFFFFF"/>
        </w:rPr>
        <w:t>Wskaźniki cen towarów i usług konsumpcyjnych w</w:t>
      </w:r>
      <w:r w:rsidR="000B60D7" w:rsidRPr="00B24B6C">
        <w:rPr>
          <w:bCs/>
          <w:noProof w:val="0"/>
          <w:sz w:val="18"/>
          <w:shd w:val="clear" w:color="auto" w:fill="FFFFFF"/>
        </w:rPr>
        <w:t xml:space="preserve"> </w:t>
      </w:r>
      <w:r w:rsidR="00460EFF">
        <w:rPr>
          <w:bCs/>
          <w:noProof w:val="0"/>
          <w:sz w:val="18"/>
          <w:shd w:val="clear" w:color="auto" w:fill="FFFFFF"/>
        </w:rPr>
        <w:t>marcu</w:t>
      </w:r>
      <w:r w:rsidR="000B60D7" w:rsidRPr="00B24B6C">
        <w:rPr>
          <w:bCs/>
          <w:noProof w:val="0"/>
          <w:sz w:val="18"/>
          <w:shd w:val="clear" w:color="auto" w:fill="FFFFFF"/>
        </w:rPr>
        <w:t xml:space="preserve"> </w:t>
      </w:r>
      <w:r w:rsidR="003033FD" w:rsidRPr="00B24B6C">
        <w:rPr>
          <w:noProof w:val="0"/>
          <w:sz w:val="18"/>
        </w:rPr>
        <w:t>202</w:t>
      </w:r>
      <w:r w:rsidR="00460EFF">
        <w:rPr>
          <w:noProof w:val="0"/>
          <w:sz w:val="18"/>
        </w:rPr>
        <w:t>1</w:t>
      </w:r>
      <w:r w:rsidRPr="00B24B6C">
        <w:rPr>
          <w:noProof w:val="0"/>
          <w:sz w:val="18"/>
        </w:rPr>
        <w:t> </w:t>
      </w:r>
      <w:r w:rsidRPr="00B24B6C">
        <w:rPr>
          <w:bCs/>
          <w:noProof w:val="0"/>
          <w:sz w:val="18"/>
          <w:shd w:val="clear" w:color="auto" w:fill="FFFFFF"/>
        </w:rPr>
        <w:t>r.</w:t>
      </w:r>
    </w:p>
    <w:p w:rsidR="00460EFF" w:rsidRPr="00B24B6C" w:rsidRDefault="00460EFF" w:rsidP="00516A50">
      <w:pPr>
        <w:pStyle w:val="LID"/>
        <w:rPr>
          <w:bCs/>
          <w:noProof w:val="0"/>
          <w:sz w:val="18"/>
          <w:shd w:val="clear" w:color="auto" w:fill="FFFFFF"/>
        </w:rPr>
      </w:pPr>
    </w:p>
    <w:tbl>
      <w:tblPr>
        <w:tblW w:w="8148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9"/>
        <w:gridCol w:w="972"/>
        <w:gridCol w:w="972"/>
        <w:gridCol w:w="979"/>
        <w:gridCol w:w="972"/>
        <w:gridCol w:w="973"/>
        <w:gridCol w:w="21"/>
      </w:tblGrid>
      <w:tr w:rsidR="00460EFF" w:rsidRPr="00AA13BD" w:rsidTr="00460EFF">
        <w:trPr>
          <w:cantSplit/>
          <w:trHeight w:val="315"/>
          <w:tblHeader/>
        </w:trPr>
        <w:tc>
          <w:tcPr>
            <w:tcW w:w="3259" w:type="dxa"/>
            <w:vMerge w:val="restart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60EFF" w:rsidRPr="00AA13BD" w:rsidRDefault="00460EFF" w:rsidP="00460EFF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2923" w:type="dxa"/>
            <w:gridSpan w:val="3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60EFF" w:rsidRPr="00AA13BD" w:rsidRDefault="00460EFF" w:rsidP="00460EFF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III 2021</w:t>
            </w:r>
          </w:p>
        </w:tc>
        <w:tc>
          <w:tcPr>
            <w:tcW w:w="1966" w:type="dxa"/>
            <w:gridSpan w:val="3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60EFF" w:rsidRPr="00AA13BD" w:rsidRDefault="00460EFF" w:rsidP="00460EFF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I-III 2021</w:t>
            </w:r>
          </w:p>
        </w:tc>
      </w:tr>
      <w:tr w:rsidR="00460EFF" w:rsidRPr="00AA13BD" w:rsidTr="00460EFF">
        <w:trPr>
          <w:gridAfter w:val="1"/>
          <w:wAfter w:w="21" w:type="dxa"/>
          <w:cantSplit/>
          <w:trHeight w:val="465"/>
          <w:tblHeader/>
        </w:trPr>
        <w:tc>
          <w:tcPr>
            <w:tcW w:w="3259" w:type="dxa"/>
            <w:vMerge/>
            <w:tcBorders>
              <w:top w:val="nil"/>
              <w:left w:val="nil"/>
              <w:bottom w:val="single" w:sz="12" w:space="0" w:color="212492"/>
              <w:right w:val="single" w:sz="8" w:space="0" w:color="212492"/>
            </w:tcBorders>
            <w:vAlign w:val="center"/>
            <w:hideMark/>
          </w:tcPr>
          <w:p w:rsidR="00460EFF" w:rsidRPr="00AA13BD" w:rsidRDefault="00460EFF" w:rsidP="00460EFF">
            <w:pPr>
              <w:spacing w:before="0"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460EFF" w:rsidRPr="00AA13BD" w:rsidRDefault="00460EFF" w:rsidP="00460EFF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III 2020</w:t>
            </w:r>
            <w:r w:rsidRPr="00AA13BD">
              <w:rPr>
                <w:rFonts w:eastAsia="Times New Roman" w:cs="Calibri"/>
                <w:sz w:val="16"/>
                <w:szCs w:val="16"/>
                <w:lang w:eastAsia="pl-PL"/>
              </w:rPr>
              <w:t>=</w:t>
            </w:r>
            <w:r w:rsidRPr="00AA13BD">
              <w:rPr>
                <w:rFonts w:eastAsia="Times New Roman" w:cs="Calibri"/>
                <w:sz w:val="16"/>
                <w:szCs w:val="16"/>
                <w:lang w:eastAsia="pl-PL"/>
              </w:rPr>
              <w:br/>
              <w:t>=100</w:t>
            </w:r>
          </w:p>
        </w:tc>
        <w:tc>
          <w:tcPr>
            <w:tcW w:w="972" w:type="dxa"/>
            <w:tcBorders>
              <w:top w:val="nil"/>
              <w:left w:val="single" w:sz="8" w:space="0" w:color="212492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460EFF" w:rsidRPr="00AA13BD" w:rsidRDefault="00460EFF" w:rsidP="00460EFF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Calibri"/>
                <w:sz w:val="16"/>
                <w:szCs w:val="16"/>
                <w:lang w:eastAsia="pl-PL"/>
              </w:rPr>
              <w:t>X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>II 2020</w:t>
            </w:r>
            <w:r w:rsidRPr="00AA13BD">
              <w:rPr>
                <w:rFonts w:eastAsia="Times New Roman" w:cs="Calibri"/>
                <w:sz w:val="16"/>
                <w:szCs w:val="16"/>
                <w:lang w:eastAsia="pl-PL"/>
              </w:rPr>
              <w:t>=</w:t>
            </w:r>
            <w:r w:rsidRPr="00AA13BD">
              <w:rPr>
                <w:rFonts w:eastAsia="Times New Roman" w:cs="Calibri"/>
                <w:sz w:val="16"/>
                <w:szCs w:val="16"/>
                <w:lang w:eastAsia="pl-PL"/>
              </w:rPr>
              <w:br/>
              <w:t>=100</w:t>
            </w:r>
          </w:p>
        </w:tc>
        <w:tc>
          <w:tcPr>
            <w:tcW w:w="979" w:type="dxa"/>
            <w:tcBorders>
              <w:top w:val="nil"/>
              <w:left w:val="single" w:sz="8" w:space="0" w:color="212492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460EFF" w:rsidRPr="00AA13BD" w:rsidRDefault="00460EFF" w:rsidP="00460EFF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II 2021</w:t>
            </w:r>
            <w:r w:rsidRPr="00AA13BD">
              <w:rPr>
                <w:rFonts w:eastAsia="Times New Roman" w:cs="Calibri"/>
                <w:sz w:val="16"/>
                <w:szCs w:val="16"/>
                <w:lang w:eastAsia="pl-PL"/>
              </w:rPr>
              <w:t>=</w:t>
            </w:r>
            <w:r w:rsidRPr="00AA13BD">
              <w:rPr>
                <w:rFonts w:eastAsia="Times New Roman" w:cs="Calibri"/>
                <w:sz w:val="16"/>
                <w:szCs w:val="16"/>
                <w:lang w:eastAsia="pl-PL"/>
              </w:rPr>
              <w:br/>
              <w:t>=100</w:t>
            </w:r>
          </w:p>
        </w:tc>
        <w:tc>
          <w:tcPr>
            <w:tcW w:w="972" w:type="dxa"/>
            <w:tcBorders>
              <w:top w:val="nil"/>
              <w:left w:val="single" w:sz="8" w:space="0" w:color="212492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460EFF" w:rsidRPr="00AA13BD" w:rsidRDefault="00460EFF" w:rsidP="00460EFF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Calibri"/>
                <w:sz w:val="16"/>
                <w:szCs w:val="16"/>
                <w:lang w:eastAsia="pl-PL"/>
              </w:rPr>
              <w:t>I-III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 xml:space="preserve"> 2020</w:t>
            </w:r>
            <w:r w:rsidRPr="00AA13BD">
              <w:rPr>
                <w:rFonts w:eastAsia="Times New Roman" w:cs="Calibri"/>
                <w:sz w:val="16"/>
                <w:szCs w:val="16"/>
                <w:lang w:eastAsia="pl-PL"/>
              </w:rPr>
              <w:t>= =100</w:t>
            </w:r>
          </w:p>
        </w:tc>
        <w:tc>
          <w:tcPr>
            <w:tcW w:w="973" w:type="dxa"/>
            <w:tcBorders>
              <w:top w:val="nil"/>
              <w:left w:val="single" w:sz="8" w:space="0" w:color="212492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460EFF" w:rsidRPr="00AA13BD" w:rsidRDefault="00460EFF" w:rsidP="00460EFF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X-XII 2020</w:t>
            </w:r>
            <w:r w:rsidRPr="00AA13BD">
              <w:rPr>
                <w:rFonts w:eastAsia="Times New Roman" w:cs="Calibri"/>
                <w:sz w:val="16"/>
                <w:szCs w:val="16"/>
                <w:lang w:eastAsia="pl-PL"/>
              </w:rPr>
              <w:t>= =100</w:t>
            </w:r>
          </w:p>
        </w:tc>
      </w:tr>
      <w:tr w:rsidR="00B742C5" w:rsidRPr="00DB51F0" w:rsidTr="00B742C5">
        <w:trPr>
          <w:gridAfter w:val="1"/>
          <w:wAfter w:w="21" w:type="dxa"/>
          <w:trHeight w:val="330"/>
        </w:trPr>
        <w:tc>
          <w:tcPr>
            <w:tcW w:w="3259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742C5" w:rsidRPr="00AA13BD" w:rsidRDefault="00B742C5" w:rsidP="00460EFF">
            <w:pPr>
              <w:spacing w:before="0"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OGÓŁEM</w:t>
            </w:r>
          </w:p>
        </w:tc>
        <w:tc>
          <w:tcPr>
            <w:tcW w:w="972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CE09D9" w:rsidRDefault="00B742C5" w:rsidP="00B742C5">
            <w:pPr>
              <w:spacing w:before="0" w:after="0" w:line="240" w:lineRule="auto"/>
              <w:jc w:val="right"/>
            </w:pPr>
            <w:r w:rsidRPr="00B742C5"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  <w:t>103,2</w:t>
            </w:r>
          </w:p>
        </w:tc>
        <w:tc>
          <w:tcPr>
            <w:tcW w:w="972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  <w:t>102,8</w:t>
            </w:r>
          </w:p>
        </w:tc>
        <w:tc>
          <w:tcPr>
            <w:tcW w:w="979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  <w:t>101,0</w:t>
            </w:r>
          </w:p>
        </w:tc>
        <w:tc>
          <w:tcPr>
            <w:tcW w:w="972" w:type="dxa"/>
            <w:tcBorders>
              <w:top w:val="single" w:sz="12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  <w:t>102,7</w:t>
            </w:r>
          </w:p>
        </w:tc>
        <w:tc>
          <w:tcPr>
            <w:tcW w:w="973" w:type="dxa"/>
            <w:tcBorders>
              <w:top w:val="single" w:sz="12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  <w:t>102,1</w:t>
            </w:r>
          </w:p>
        </w:tc>
      </w:tr>
      <w:tr w:rsidR="00B742C5" w:rsidRPr="00DB51F0" w:rsidTr="00B742C5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742C5" w:rsidRPr="00AA13BD" w:rsidRDefault="00B742C5" w:rsidP="00460EFF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Towary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101,9</w:t>
            </w:r>
          </w:p>
        </w:tc>
        <w:tc>
          <w:tcPr>
            <w:tcW w:w="972" w:type="dxa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102,8</w:t>
            </w:r>
          </w:p>
        </w:tc>
        <w:tc>
          <w:tcPr>
            <w:tcW w:w="979" w:type="dxa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  <w:tc>
          <w:tcPr>
            <w:tcW w:w="972" w:type="dxa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973" w:type="dxa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</w:tr>
      <w:tr w:rsidR="00B742C5" w:rsidRPr="00DB51F0" w:rsidTr="00B742C5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742C5" w:rsidRPr="00AA13BD" w:rsidRDefault="00B742C5" w:rsidP="00460EFF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</w:t>
            </w:r>
          </w:p>
        </w:tc>
        <w:tc>
          <w:tcPr>
            <w:tcW w:w="972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107,3</w:t>
            </w:r>
          </w:p>
        </w:tc>
        <w:tc>
          <w:tcPr>
            <w:tcW w:w="972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102,7</w:t>
            </w:r>
          </w:p>
        </w:tc>
        <w:tc>
          <w:tcPr>
            <w:tcW w:w="979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972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107,3</w:t>
            </w:r>
          </w:p>
        </w:tc>
        <w:tc>
          <w:tcPr>
            <w:tcW w:w="973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</w:tr>
      <w:tr w:rsidR="00B742C5" w:rsidRPr="00DB51F0" w:rsidTr="00B742C5">
        <w:trPr>
          <w:gridAfter w:val="1"/>
          <w:wAfter w:w="21" w:type="dxa"/>
          <w:trHeight w:val="46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742C5" w:rsidRPr="00AA13BD" w:rsidRDefault="00B742C5" w:rsidP="00460EFF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aps/>
                <w:color w:val="000000"/>
                <w:sz w:val="16"/>
                <w:szCs w:val="16"/>
                <w:lang w:eastAsia="pl-PL"/>
              </w:rPr>
              <w:t xml:space="preserve">Żywność, napoje bezalkoholowe </w:t>
            </w:r>
            <w:r w:rsidRPr="00AA13BD">
              <w:rPr>
                <w:rFonts w:eastAsia="Times New Roman" w:cs="Arial"/>
                <w:caps/>
                <w:color w:val="000000"/>
                <w:sz w:val="16"/>
                <w:szCs w:val="16"/>
                <w:lang w:eastAsia="pl-PL"/>
              </w:rPr>
              <w:br/>
              <w:t>i alkoholowe oraz wyroby tytoniowe</w:t>
            </w:r>
          </w:p>
        </w:tc>
        <w:tc>
          <w:tcPr>
            <w:tcW w:w="972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972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102,8</w:t>
            </w:r>
          </w:p>
        </w:tc>
        <w:tc>
          <w:tcPr>
            <w:tcW w:w="979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972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  <w:tc>
          <w:tcPr>
            <w:tcW w:w="973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</w:tr>
      <w:tr w:rsidR="00B742C5" w:rsidRPr="00DB51F0" w:rsidTr="00B742C5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742C5" w:rsidRPr="00AA13BD" w:rsidRDefault="00B742C5" w:rsidP="00460EFF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ŻYWNOŚĆ I NAPOJE BEZALKOHOLOWE</w:t>
            </w:r>
          </w:p>
        </w:tc>
        <w:tc>
          <w:tcPr>
            <w:tcW w:w="972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972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103,3</w:t>
            </w:r>
          </w:p>
        </w:tc>
        <w:tc>
          <w:tcPr>
            <w:tcW w:w="979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972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973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102,5</w:t>
            </w:r>
          </w:p>
        </w:tc>
      </w:tr>
      <w:tr w:rsidR="00B742C5" w:rsidRPr="00DB51F0" w:rsidTr="00B742C5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742C5" w:rsidRPr="00AA13BD" w:rsidRDefault="00B742C5" w:rsidP="00460EFF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Żywność</w:t>
            </w:r>
          </w:p>
        </w:tc>
        <w:tc>
          <w:tcPr>
            <w:tcW w:w="972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972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103,0</w:t>
            </w:r>
          </w:p>
        </w:tc>
        <w:tc>
          <w:tcPr>
            <w:tcW w:w="979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972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973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</w:tr>
      <w:tr w:rsidR="00B742C5" w:rsidRPr="00DB51F0" w:rsidTr="00B742C5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742C5" w:rsidRPr="00AA13BD" w:rsidRDefault="00B742C5" w:rsidP="00460EFF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972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2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9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2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3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B742C5" w:rsidRPr="00DB51F0" w:rsidTr="00B742C5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742C5" w:rsidRPr="00AA13BD" w:rsidRDefault="00B742C5" w:rsidP="00460EFF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Ryż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107,6</w:t>
            </w:r>
          </w:p>
        </w:tc>
        <w:tc>
          <w:tcPr>
            <w:tcW w:w="973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</w:tr>
      <w:tr w:rsidR="00B742C5" w:rsidRPr="00DB51F0" w:rsidTr="00B742C5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742C5" w:rsidRPr="00AA13BD" w:rsidRDefault="00B742C5" w:rsidP="00460EFF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Mąka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104,4</w:t>
            </w:r>
          </w:p>
        </w:tc>
        <w:tc>
          <w:tcPr>
            <w:tcW w:w="973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</w:tr>
      <w:tr w:rsidR="00B742C5" w:rsidRPr="00DB51F0" w:rsidTr="00B742C5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742C5" w:rsidRPr="00AA13BD" w:rsidRDefault="00B742C5" w:rsidP="00460EFF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Pieczywo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106,1</w:t>
            </w:r>
          </w:p>
        </w:tc>
        <w:tc>
          <w:tcPr>
            <w:tcW w:w="973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</w:tr>
      <w:tr w:rsidR="00B742C5" w:rsidRPr="00DB51F0" w:rsidTr="00B742C5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742C5" w:rsidRPr="00AA13BD" w:rsidRDefault="00B742C5" w:rsidP="00460EFF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Makarony i produkty makaronowe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  <w:tc>
          <w:tcPr>
            <w:tcW w:w="973" w:type="dxa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</w:tr>
      <w:tr w:rsidR="00B742C5" w:rsidRPr="00DB51F0" w:rsidTr="00B742C5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742C5" w:rsidRPr="00AA13BD" w:rsidRDefault="00B742C5" w:rsidP="00460EFF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Mięso</w:t>
            </w:r>
          </w:p>
        </w:tc>
        <w:tc>
          <w:tcPr>
            <w:tcW w:w="97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97,0</w:t>
            </w:r>
          </w:p>
        </w:tc>
        <w:tc>
          <w:tcPr>
            <w:tcW w:w="97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102,9</w:t>
            </w:r>
          </w:p>
        </w:tc>
        <w:tc>
          <w:tcPr>
            <w:tcW w:w="97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  <w:tc>
          <w:tcPr>
            <w:tcW w:w="972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97,4</w:t>
            </w:r>
          </w:p>
        </w:tc>
        <w:tc>
          <w:tcPr>
            <w:tcW w:w="973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</w:tr>
      <w:tr w:rsidR="00B742C5" w:rsidRPr="00DB51F0" w:rsidTr="00B742C5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742C5" w:rsidRPr="00AA13BD" w:rsidRDefault="00B742C5" w:rsidP="00460EFF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B742C5" w:rsidRPr="00DB51F0" w:rsidTr="00B742C5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742C5" w:rsidRPr="00AA13BD" w:rsidRDefault="00B742C5" w:rsidP="00460EFF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Mięso wołowe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  <w:tc>
          <w:tcPr>
            <w:tcW w:w="973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</w:tr>
      <w:tr w:rsidR="00B742C5" w:rsidRPr="00DB51F0" w:rsidTr="00B742C5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742C5" w:rsidRPr="00AA13BD" w:rsidRDefault="00B742C5" w:rsidP="00460EFF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Mięso cielęce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  <w:tc>
          <w:tcPr>
            <w:tcW w:w="973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</w:tr>
      <w:tr w:rsidR="00B742C5" w:rsidRPr="00DB51F0" w:rsidTr="00B742C5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742C5" w:rsidRPr="00AA13BD" w:rsidRDefault="00B742C5" w:rsidP="00460EFF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Mięso wieprzowe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89,0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88,0</w:t>
            </w:r>
          </w:p>
        </w:tc>
        <w:tc>
          <w:tcPr>
            <w:tcW w:w="973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98,8</w:t>
            </w:r>
          </w:p>
        </w:tc>
      </w:tr>
      <w:tr w:rsidR="00B742C5" w:rsidRPr="00DB51F0" w:rsidTr="00B742C5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742C5" w:rsidRPr="00AA13BD" w:rsidRDefault="00B742C5" w:rsidP="00460EFF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Mięso drobiowe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114,5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97,9</w:t>
            </w:r>
          </w:p>
        </w:tc>
        <w:tc>
          <w:tcPr>
            <w:tcW w:w="973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109,5</w:t>
            </w:r>
          </w:p>
        </w:tc>
      </w:tr>
      <w:tr w:rsidR="00B742C5" w:rsidRPr="00DB51F0" w:rsidTr="00B742C5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742C5" w:rsidRPr="00AA13BD" w:rsidRDefault="00B742C5" w:rsidP="00460EFF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Wędliny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973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99,6</w:t>
            </w:r>
          </w:p>
        </w:tc>
      </w:tr>
      <w:tr w:rsidR="00B742C5" w:rsidRPr="00DB51F0" w:rsidTr="00B742C5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742C5" w:rsidRPr="00AA13BD" w:rsidRDefault="00B742C5" w:rsidP="00460EFF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Ryby i owoce morza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103,2</w:t>
            </w:r>
          </w:p>
        </w:tc>
        <w:tc>
          <w:tcPr>
            <w:tcW w:w="973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</w:tr>
      <w:tr w:rsidR="00B742C5" w:rsidRPr="00DB51F0" w:rsidTr="00B742C5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742C5" w:rsidRPr="00AA13BD" w:rsidRDefault="00B742C5" w:rsidP="00460EFF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Mleko, sery i jaja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  <w:tc>
          <w:tcPr>
            <w:tcW w:w="973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</w:tr>
      <w:tr w:rsidR="00B742C5" w:rsidRPr="00DB51F0" w:rsidTr="00B742C5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742C5" w:rsidRPr="00AA13BD" w:rsidRDefault="00B742C5" w:rsidP="00460EFF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B742C5" w:rsidRPr="00DB51F0" w:rsidTr="00B742C5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742C5" w:rsidRPr="00AA13BD" w:rsidRDefault="00B742C5" w:rsidP="00460EFF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Mleko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</w:tr>
      <w:tr w:rsidR="00B742C5" w:rsidRPr="00DB51F0" w:rsidTr="00B742C5">
        <w:trPr>
          <w:gridAfter w:val="1"/>
          <w:wAfter w:w="21" w:type="dxa"/>
          <w:trHeight w:val="300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742C5" w:rsidRPr="00AA13BD" w:rsidRDefault="00B742C5" w:rsidP="00460EFF">
            <w:pPr>
              <w:spacing w:before="0" w:after="0" w:line="240" w:lineRule="auto"/>
              <w:ind w:left="34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Jogurt, śmietana, napoje </w:t>
            </w: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i desery mleczne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</w:tr>
      <w:tr w:rsidR="00B742C5" w:rsidRPr="00DB51F0" w:rsidTr="00B742C5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742C5" w:rsidRPr="00AA13BD" w:rsidRDefault="00B742C5" w:rsidP="00460EFF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Sery i twarogi</w:t>
            </w:r>
          </w:p>
        </w:tc>
        <w:tc>
          <w:tcPr>
            <w:tcW w:w="97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  <w:tc>
          <w:tcPr>
            <w:tcW w:w="97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97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97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102,5</w:t>
            </w:r>
          </w:p>
        </w:tc>
        <w:tc>
          <w:tcPr>
            <w:tcW w:w="973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</w:tr>
      <w:tr w:rsidR="00B742C5" w:rsidRPr="00DB51F0" w:rsidTr="00B742C5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742C5" w:rsidRPr="00AA13BD" w:rsidRDefault="00B742C5" w:rsidP="00460EFF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Jaja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</w:tr>
      <w:tr w:rsidR="00B742C5" w:rsidRPr="00DB51F0" w:rsidTr="00B742C5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742C5" w:rsidRPr="00AA13BD" w:rsidRDefault="00B742C5" w:rsidP="00460EFF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Oleje i tłuszcze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99,2</w:t>
            </w:r>
          </w:p>
        </w:tc>
      </w:tr>
      <w:tr w:rsidR="00B742C5" w:rsidRPr="00DB51F0" w:rsidTr="00B742C5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742C5" w:rsidRPr="00AA13BD" w:rsidRDefault="00B742C5" w:rsidP="00460EFF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Tłuszcze roślinne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</w:tr>
      <w:tr w:rsidR="00B742C5" w:rsidRPr="00DB51F0" w:rsidTr="00B742C5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742C5" w:rsidRPr="00AA13BD" w:rsidRDefault="00B742C5" w:rsidP="00460EFF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Tłuszcze zwierzęce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98,5</w:t>
            </w:r>
          </w:p>
        </w:tc>
      </w:tr>
      <w:tr w:rsidR="00B742C5" w:rsidRPr="00DB51F0" w:rsidTr="00B742C5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742C5" w:rsidRPr="00AA13BD" w:rsidRDefault="00B742C5" w:rsidP="00460EFF">
            <w:pPr>
              <w:spacing w:before="0" w:after="0" w:line="240" w:lineRule="auto"/>
              <w:ind w:firstLineChars="300" w:firstLine="48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 masło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98,5</w:t>
            </w:r>
          </w:p>
        </w:tc>
      </w:tr>
      <w:tr w:rsidR="00B742C5" w:rsidRPr="00DB51F0" w:rsidTr="00B742C5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742C5" w:rsidRPr="00AA13BD" w:rsidRDefault="00B742C5" w:rsidP="00460EFF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Owoce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106,2</w:t>
            </w:r>
          </w:p>
        </w:tc>
      </w:tr>
      <w:tr w:rsidR="00B742C5" w:rsidRPr="00DB51F0" w:rsidTr="00B742C5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742C5" w:rsidRPr="00AA13BD" w:rsidRDefault="00B742C5" w:rsidP="00460EFF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Warzywa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108,6</w:t>
            </w:r>
          </w:p>
        </w:tc>
      </w:tr>
      <w:tr w:rsidR="00B742C5" w:rsidRPr="00DB51F0" w:rsidTr="00B742C5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742C5" w:rsidRPr="00AA13BD" w:rsidRDefault="00B742C5" w:rsidP="00460EFF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Cukier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</w:tr>
      <w:tr w:rsidR="00B742C5" w:rsidRPr="00DB51F0" w:rsidTr="00B742C5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742C5" w:rsidRPr="00AA13BD" w:rsidRDefault="00B742C5" w:rsidP="00460EFF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Napoje bezalkoholowe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104,7</w:t>
            </w:r>
          </w:p>
        </w:tc>
      </w:tr>
      <w:tr w:rsidR="00B742C5" w:rsidRPr="00DB51F0" w:rsidTr="00B742C5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742C5" w:rsidRPr="00AA13BD" w:rsidRDefault="00B742C5" w:rsidP="00460EFF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B742C5" w:rsidRPr="00DB51F0" w:rsidTr="00B742C5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742C5" w:rsidRPr="00AA13BD" w:rsidRDefault="00B742C5" w:rsidP="00460EFF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Kawa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</w:tr>
      <w:tr w:rsidR="00B742C5" w:rsidRPr="00DB51F0" w:rsidTr="00B742C5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742C5" w:rsidRPr="00AA13BD" w:rsidRDefault="00B742C5" w:rsidP="00460EFF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Herbata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99,6</w:t>
            </w:r>
          </w:p>
        </w:tc>
      </w:tr>
      <w:tr w:rsidR="00B742C5" w:rsidRPr="00DB51F0" w:rsidTr="00B742C5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742C5" w:rsidRPr="00AA13BD" w:rsidRDefault="00B742C5" w:rsidP="00460EFF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Kakao i czekolada w proszku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</w:tr>
      <w:tr w:rsidR="00B742C5" w:rsidRPr="00DB51F0" w:rsidTr="00B742C5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742C5" w:rsidRPr="00AA13BD" w:rsidRDefault="00B742C5" w:rsidP="00460EFF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Wody mineralne lub źródlane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105,1</w:t>
            </w:r>
          </w:p>
        </w:tc>
      </w:tr>
      <w:tr w:rsidR="00B742C5" w:rsidRPr="00DB51F0" w:rsidTr="00B742C5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742C5" w:rsidRPr="00AA13BD" w:rsidRDefault="00B742C5" w:rsidP="00460EFF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Soki owocowe i warzywne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</w:tr>
      <w:tr w:rsidR="00B742C5" w:rsidRPr="00DB51F0" w:rsidTr="00B742C5">
        <w:trPr>
          <w:gridAfter w:val="1"/>
          <w:wAfter w:w="21" w:type="dxa"/>
          <w:cantSplit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742C5" w:rsidRPr="00AA13BD" w:rsidRDefault="00B742C5" w:rsidP="00460EFF">
            <w:pPr>
              <w:spacing w:before="4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lastRenderedPageBreak/>
              <w:t xml:space="preserve">NAPOJE ALKOHOLOWE </w:t>
            </w: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I WYROBY TYTONIOWE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</w:tr>
      <w:tr w:rsidR="00B742C5" w:rsidRPr="00DB51F0" w:rsidTr="00B742C5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742C5" w:rsidRPr="00AA13BD" w:rsidRDefault="00B742C5" w:rsidP="00460EFF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Napoje alkoholowe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</w:tr>
      <w:tr w:rsidR="00B742C5" w:rsidRPr="00DB51F0" w:rsidTr="00B742C5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742C5" w:rsidRPr="00AA13BD" w:rsidRDefault="00B742C5" w:rsidP="00460EFF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Wyroby tytoniowe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</w:tr>
      <w:tr w:rsidR="00B742C5" w:rsidRPr="00DB51F0" w:rsidTr="00B742C5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742C5" w:rsidRPr="00AA13BD" w:rsidRDefault="00B742C5" w:rsidP="00460EFF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ODZIEŻ I OBUWIE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95,6</w:t>
            </w:r>
          </w:p>
        </w:tc>
      </w:tr>
      <w:tr w:rsidR="00B742C5" w:rsidRPr="00DB51F0" w:rsidTr="00B742C5">
        <w:trPr>
          <w:gridAfter w:val="1"/>
          <w:wAfter w:w="21" w:type="dxa"/>
          <w:trHeight w:val="307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742C5" w:rsidRPr="00AA13BD" w:rsidRDefault="00B742C5" w:rsidP="00460EFF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B742C5" w:rsidRPr="00DB51F0" w:rsidTr="00B742C5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742C5" w:rsidRPr="00AA13BD" w:rsidRDefault="00B742C5" w:rsidP="00460EFF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Odzież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95,5</w:t>
            </w:r>
          </w:p>
        </w:tc>
      </w:tr>
      <w:tr w:rsidR="00B742C5" w:rsidRPr="00DB51F0" w:rsidTr="00B742C5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742C5" w:rsidRPr="00AA13BD" w:rsidRDefault="00B742C5" w:rsidP="00460EFF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Obuwie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95,5</w:t>
            </w:r>
          </w:p>
        </w:tc>
      </w:tr>
      <w:tr w:rsidR="00B742C5" w:rsidRPr="00DB51F0" w:rsidTr="00B742C5">
        <w:trPr>
          <w:gridAfter w:val="1"/>
          <w:wAfter w:w="21" w:type="dxa"/>
          <w:trHeight w:val="292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742C5" w:rsidRPr="00AA13BD" w:rsidRDefault="00B742C5" w:rsidP="00460EFF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MIESZKANIE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102,8</w:t>
            </w:r>
          </w:p>
        </w:tc>
      </w:tr>
      <w:tr w:rsidR="00B742C5" w:rsidRPr="00DB51F0" w:rsidTr="00B742C5">
        <w:trPr>
          <w:gridAfter w:val="1"/>
          <w:wAfter w:w="21" w:type="dxa"/>
          <w:trHeight w:val="46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742C5" w:rsidRPr="00AA13BD" w:rsidRDefault="00B742C5" w:rsidP="00460EFF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UŻYTKOWANIE MIESZKANIA LUB DOMU I NOŚNIKI ENERGII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103,6</w:t>
            </w:r>
          </w:p>
        </w:tc>
      </w:tr>
      <w:tr w:rsidR="00B742C5" w:rsidRPr="00DB51F0" w:rsidTr="00B742C5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742C5" w:rsidRPr="00AA13BD" w:rsidRDefault="00B742C5" w:rsidP="00460EFF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B742C5" w:rsidRPr="00DB51F0" w:rsidTr="00B742C5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742C5" w:rsidRPr="00AA13BD" w:rsidRDefault="00B742C5" w:rsidP="00460EFF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Opłaty na rzecz właścicieli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</w:tr>
      <w:tr w:rsidR="00B742C5" w:rsidRPr="00DB51F0" w:rsidTr="00B742C5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742C5" w:rsidRPr="00AA13BD" w:rsidRDefault="00B742C5" w:rsidP="00460EFF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Zaopatrywanie w wodę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</w:tr>
      <w:tr w:rsidR="00B742C5" w:rsidRPr="00DB51F0" w:rsidTr="00B742C5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742C5" w:rsidRPr="00AA13BD" w:rsidRDefault="00B742C5" w:rsidP="00460EFF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Wywóz śmieci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132,5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109,7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137,0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109,6</w:t>
            </w:r>
          </w:p>
        </w:tc>
      </w:tr>
      <w:tr w:rsidR="00B742C5" w:rsidRPr="00DB51F0" w:rsidTr="00B742C5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742C5" w:rsidRPr="00AA13BD" w:rsidRDefault="00B742C5" w:rsidP="00460EFF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kanalizacyjne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</w:tr>
      <w:tr w:rsidR="00B742C5" w:rsidRPr="00DB51F0" w:rsidTr="00B742C5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742C5" w:rsidRPr="00AA13BD" w:rsidRDefault="00B742C5" w:rsidP="00460EFF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Nośniki energii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104,4</w:t>
            </w:r>
          </w:p>
        </w:tc>
      </w:tr>
      <w:tr w:rsidR="00B742C5" w:rsidRPr="00DB51F0" w:rsidTr="00B742C5">
        <w:trPr>
          <w:gridAfter w:val="1"/>
          <w:wAfter w:w="21" w:type="dxa"/>
          <w:trHeight w:val="176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742C5" w:rsidRPr="00DE775D" w:rsidRDefault="00B742C5" w:rsidP="00460EFF">
            <w:pPr>
              <w:spacing w:before="40" w:after="40" w:line="240" w:lineRule="auto"/>
              <w:ind w:firstLineChars="100" w:firstLine="160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Energia elektryczna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109,5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109,5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111,3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109,9</w:t>
            </w:r>
          </w:p>
        </w:tc>
      </w:tr>
      <w:tr w:rsidR="00B742C5" w:rsidRPr="00DB51F0" w:rsidTr="00B742C5">
        <w:trPr>
          <w:gridAfter w:val="1"/>
          <w:wAfter w:w="21" w:type="dxa"/>
          <w:trHeight w:val="266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742C5" w:rsidRPr="00AA13BD" w:rsidRDefault="00B742C5" w:rsidP="00460EFF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Gaz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95,8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99,4</w:t>
            </w:r>
          </w:p>
        </w:tc>
      </w:tr>
      <w:tr w:rsidR="00B742C5" w:rsidRPr="00DB51F0" w:rsidTr="00B742C5">
        <w:trPr>
          <w:gridAfter w:val="1"/>
          <w:wAfter w:w="21" w:type="dxa"/>
          <w:trHeight w:val="270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742C5" w:rsidRPr="00AA13BD" w:rsidRDefault="00B742C5" w:rsidP="00460EFF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Opał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</w:tr>
      <w:tr w:rsidR="00B742C5" w:rsidRPr="00DB51F0" w:rsidTr="00B742C5">
        <w:trPr>
          <w:gridAfter w:val="1"/>
          <w:wAfter w:w="21" w:type="dxa"/>
          <w:trHeight w:val="260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742C5" w:rsidRPr="00AA13BD" w:rsidRDefault="00B742C5" w:rsidP="00460EFF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Energia cieplna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</w:tr>
      <w:tr w:rsidR="00B742C5" w:rsidRPr="00DB51F0" w:rsidTr="00B742C5">
        <w:trPr>
          <w:gridAfter w:val="1"/>
          <w:wAfter w:w="21" w:type="dxa"/>
          <w:trHeight w:val="465"/>
        </w:trPr>
        <w:tc>
          <w:tcPr>
            <w:tcW w:w="3259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742C5" w:rsidRPr="00AA13BD" w:rsidRDefault="00B742C5" w:rsidP="00460EFF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WYPOSAŻENIE MIESZKANIA I PROWADZENIE GOSPODARSTWA DOMOWEGO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101,9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101,9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</w:tr>
      <w:tr w:rsidR="00B742C5" w:rsidRPr="00DB51F0" w:rsidTr="00B742C5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742C5" w:rsidRPr="00AA13BD" w:rsidRDefault="00B742C5" w:rsidP="00460EFF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972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2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9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2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3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B742C5" w:rsidRPr="00DB51F0" w:rsidTr="00B742C5">
        <w:trPr>
          <w:gridAfter w:val="1"/>
          <w:wAfter w:w="21" w:type="dxa"/>
          <w:trHeight w:val="46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742C5" w:rsidRPr="00AA13BD" w:rsidRDefault="00B742C5" w:rsidP="00460EFF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Meble, artykuły dekoracyjne, </w:t>
            </w: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sprzęt oświetleniowy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</w:tr>
      <w:tr w:rsidR="00B742C5" w:rsidRPr="00DB51F0" w:rsidTr="00B742C5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742C5" w:rsidRPr="00AA13BD" w:rsidRDefault="00B742C5" w:rsidP="00460EFF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Urządzenia gospodarstwa domowego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</w:tr>
      <w:tr w:rsidR="00B742C5" w:rsidRPr="00DB51F0" w:rsidTr="00B742C5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742C5" w:rsidRPr="00AA13BD" w:rsidRDefault="00B742C5" w:rsidP="00460EFF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Środki czyszczące i konserwujące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99,6</w:t>
            </w:r>
          </w:p>
        </w:tc>
      </w:tr>
      <w:tr w:rsidR="00B742C5" w:rsidRPr="00DB51F0" w:rsidTr="00B742C5">
        <w:trPr>
          <w:gridAfter w:val="1"/>
          <w:wAfter w:w="21" w:type="dxa"/>
          <w:trHeight w:val="46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742C5" w:rsidRPr="00AA13BD" w:rsidRDefault="00B742C5" w:rsidP="00460EFF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związane z prowadzeniem</w:t>
            </w: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gospodarstwa domowego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101,9</w:t>
            </w:r>
          </w:p>
        </w:tc>
      </w:tr>
      <w:tr w:rsidR="00B742C5" w:rsidRPr="00DB51F0" w:rsidTr="00B742C5">
        <w:trPr>
          <w:gridAfter w:val="1"/>
          <w:wAfter w:w="21" w:type="dxa"/>
          <w:trHeight w:val="257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742C5" w:rsidRPr="00BB4773" w:rsidRDefault="00B742C5" w:rsidP="00460EFF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B477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ZDROWIE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</w:tr>
      <w:tr w:rsidR="00B742C5" w:rsidRPr="00DB51F0" w:rsidTr="00B742C5">
        <w:trPr>
          <w:gridAfter w:val="1"/>
          <w:wAfter w:w="21" w:type="dxa"/>
          <w:trHeight w:val="279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742C5" w:rsidRPr="00BB4773" w:rsidRDefault="00B742C5" w:rsidP="00460EFF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B477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B742C5" w:rsidRPr="00DB51F0" w:rsidTr="00B742C5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742C5" w:rsidRPr="00BB4773" w:rsidRDefault="00B742C5" w:rsidP="00460EFF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B477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Wyroby farmaceutyczne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</w:tr>
      <w:tr w:rsidR="00B742C5" w:rsidRPr="00DB51F0" w:rsidTr="00B742C5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742C5" w:rsidRPr="00AA13BD" w:rsidRDefault="00B742C5" w:rsidP="00460EFF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Urządzenia i sprzęt terapeutyczny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</w:tr>
      <w:tr w:rsidR="00B742C5" w:rsidRPr="00DB51F0" w:rsidTr="00B742C5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742C5" w:rsidRPr="00AA13BD" w:rsidRDefault="00B742C5" w:rsidP="00460EFF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lekarskie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</w:tr>
      <w:tr w:rsidR="00B742C5" w:rsidRPr="00DB51F0" w:rsidTr="00B742C5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742C5" w:rsidRPr="00AA13BD" w:rsidRDefault="00B742C5" w:rsidP="00460EFF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stomatologiczne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112,6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112,7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</w:tr>
      <w:tr w:rsidR="00B742C5" w:rsidRPr="00DB51F0" w:rsidTr="00B742C5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742C5" w:rsidRPr="00AA13BD" w:rsidRDefault="00B742C5" w:rsidP="00460EFF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szpitalne i sanatoryjne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</w:tr>
      <w:tr w:rsidR="00B742C5" w:rsidRPr="00DB51F0" w:rsidTr="00B742C5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742C5" w:rsidRPr="00AA13BD" w:rsidRDefault="00B742C5" w:rsidP="00460EFF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TRANSPORT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105,6</w:t>
            </w:r>
          </w:p>
        </w:tc>
      </w:tr>
      <w:tr w:rsidR="00B742C5" w:rsidRPr="00DB51F0" w:rsidTr="00B742C5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742C5" w:rsidRPr="00AA13BD" w:rsidRDefault="00B742C5" w:rsidP="00460EFF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B742C5" w:rsidRPr="00DB51F0" w:rsidTr="00B742C5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742C5" w:rsidRPr="00AA13BD" w:rsidRDefault="00B742C5" w:rsidP="00460EFF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Środki transportu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</w:tr>
      <w:tr w:rsidR="00B742C5" w:rsidRPr="00DB51F0" w:rsidTr="00B742C5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742C5" w:rsidRPr="00AA13BD" w:rsidRDefault="00B742C5" w:rsidP="00460EFF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 samochody osobowe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</w:tr>
      <w:tr w:rsidR="00B742C5" w:rsidRPr="00DB51F0" w:rsidTr="00B742C5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742C5" w:rsidRPr="00AA13BD" w:rsidRDefault="00B742C5" w:rsidP="00460EFF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Paliwa do prywatnych środków transportu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112,0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108,7</w:t>
            </w:r>
          </w:p>
        </w:tc>
      </w:tr>
      <w:tr w:rsidR="00B742C5" w:rsidRPr="00DB51F0" w:rsidTr="00B742C5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742C5" w:rsidRPr="00AA13BD" w:rsidRDefault="00B742C5" w:rsidP="00460EFF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Olej napędowy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112,2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95,7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109,6</w:t>
            </w:r>
          </w:p>
        </w:tc>
      </w:tr>
      <w:tr w:rsidR="00B742C5" w:rsidRPr="00DB51F0" w:rsidTr="00B742C5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742C5" w:rsidRPr="00AA13BD" w:rsidRDefault="00B742C5" w:rsidP="00460EFF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Benzyna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111,4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108,0</w:t>
            </w:r>
          </w:p>
        </w:tc>
      </w:tr>
      <w:tr w:rsidR="00B742C5" w:rsidRPr="00DB51F0" w:rsidTr="00B742C5">
        <w:trPr>
          <w:gridAfter w:val="1"/>
          <w:wAfter w:w="21" w:type="dxa"/>
          <w:trHeight w:val="46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742C5" w:rsidRPr="00AA13BD" w:rsidRDefault="00B742C5" w:rsidP="00460EFF">
            <w:pPr>
              <w:spacing w:before="0" w:after="0" w:line="240" w:lineRule="auto"/>
              <w:ind w:left="1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Gaz ciekły i pozostałe paliwa </w:t>
            </w: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do prywatnych środków transportu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120,9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115,2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110,6</w:t>
            </w:r>
          </w:p>
        </w:tc>
      </w:tr>
      <w:tr w:rsidR="00B742C5" w:rsidRPr="00DB51F0" w:rsidTr="00B742C5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742C5" w:rsidRPr="00AA13BD" w:rsidRDefault="00B742C5" w:rsidP="00460EFF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transportowe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</w:tr>
      <w:tr w:rsidR="00B742C5" w:rsidRPr="00DB51F0" w:rsidTr="00B742C5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742C5" w:rsidRPr="00AA13BD" w:rsidRDefault="00B742C5" w:rsidP="00460EFF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lastRenderedPageBreak/>
              <w:t>ŁĄCZNOŚĆ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</w:tr>
      <w:tr w:rsidR="00B742C5" w:rsidRPr="00DB51F0" w:rsidTr="00B742C5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742C5" w:rsidRPr="00AA13BD" w:rsidRDefault="00B742C5" w:rsidP="00460EFF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B742C5" w:rsidRPr="00DB51F0" w:rsidTr="00B742C5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742C5" w:rsidRPr="00AA13BD" w:rsidRDefault="00B742C5" w:rsidP="00460EFF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Sprzęt telekomunikacyjny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89,7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89,5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98,8</w:t>
            </w:r>
          </w:p>
        </w:tc>
      </w:tr>
      <w:tr w:rsidR="00B742C5" w:rsidRPr="00DB51F0" w:rsidTr="00B742C5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742C5" w:rsidRPr="00AA13BD" w:rsidRDefault="00B742C5" w:rsidP="00460EFF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telekomunikacyjne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</w:tr>
      <w:tr w:rsidR="00B742C5" w:rsidRPr="00DB51F0" w:rsidTr="00B742C5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742C5" w:rsidRPr="00AA13BD" w:rsidRDefault="00B742C5" w:rsidP="00460EFF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REKREACJA I KULTURA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</w:tr>
      <w:tr w:rsidR="00B742C5" w:rsidRPr="00DB51F0" w:rsidTr="00B742C5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742C5" w:rsidRPr="00AA13BD" w:rsidRDefault="00B742C5" w:rsidP="00460EFF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B742C5" w:rsidRPr="00DB51F0" w:rsidTr="001D7AB6">
        <w:trPr>
          <w:gridAfter w:val="1"/>
          <w:wAfter w:w="21" w:type="dxa"/>
          <w:trHeight w:val="456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742C5" w:rsidRPr="00AA13BD" w:rsidRDefault="00B742C5" w:rsidP="00460EFF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Sprzęt audiowizualny, </w:t>
            </w:r>
            <w:r w:rsidRPr="00AA13B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fotograficzny </w:t>
            </w:r>
            <w:r w:rsidRPr="00AA13B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br/>
              <w:t>i informatyczny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</w:tr>
      <w:tr w:rsidR="00B742C5" w:rsidRPr="00DB51F0" w:rsidTr="00B742C5">
        <w:trPr>
          <w:gridAfter w:val="1"/>
          <w:wAfter w:w="21" w:type="dxa"/>
          <w:trHeight w:val="300"/>
        </w:trPr>
        <w:tc>
          <w:tcPr>
            <w:tcW w:w="325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742C5" w:rsidRPr="00AA13BD" w:rsidRDefault="00B742C5" w:rsidP="00460EFF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Usługi związane z rekreacją </w:t>
            </w:r>
            <w:r w:rsidRPr="00AA13B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 kulturą</w:t>
            </w:r>
          </w:p>
        </w:tc>
        <w:tc>
          <w:tcPr>
            <w:tcW w:w="97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110,5</w:t>
            </w:r>
          </w:p>
        </w:tc>
        <w:tc>
          <w:tcPr>
            <w:tcW w:w="97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104,6</w:t>
            </w:r>
          </w:p>
        </w:tc>
        <w:tc>
          <w:tcPr>
            <w:tcW w:w="97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102,6</w:t>
            </w:r>
          </w:p>
        </w:tc>
        <w:tc>
          <w:tcPr>
            <w:tcW w:w="97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109,2</w:t>
            </w:r>
          </w:p>
        </w:tc>
        <w:tc>
          <w:tcPr>
            <w:tcW w:w="973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101,9</w:t>
            </w:r>
          </w:p>
        </w:tc>
      </w:tr>
      <w:tr w:rsidR="00B742C5" w:rsidRPr="00DB51F0" w:rsidTr="00B742C5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742C5" w:rsidRPr="00AA13BD" w:rsidRDefault="00B742C5" w:rsidP="00460EFF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972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2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9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2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3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B742C5" w:rsidRPr="00DB51F0" w:rsidTr="00B742C5">
        <w:trPr>
          <w:gridAfter w:val="1"/>
          <w:wAfter w:w="21" w:type="dxa"/>
          <w:trHeight w:val="300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742C5" w:rsidRPr="00AA13BD" w:rsidRDefault="00B742C5" w:rsidP="00460EFF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związane z rekreacją i sportem</w:t>
            </w:r>
            <w:r w:rsidR="00AA6976" w:rsidRPr="00AA6976">
              <w:rPr>
                <w:rFonts w:eastAsia="Times New Roman" w:cs="Arial"/>
                <w:color w:val="000000"/>
                <w:sz w:val="24"/>
                <w:szCs w:val="24"/>
                <w:vertAlign w:val="superscript"/>
                <w:lang w:eastAsia="pl-PL"/>
              </w:rPr>
              <w:t>u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</w:tr>
      <w:tr w:rsidR="00B742C5" w:rsidRPr="00DB51F0" w:rsidTr="00B742C5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742C5" w:rsidRPr="00AA13BD" w:rsidRDefault="00B742C5" w:rsidP="00460EFF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związane z kulturą</w:t>
            </w:r>
          </w:p>
        </w:tc>
        <w:tc>
          <w:tcPr>
            <w:tcW w:w="97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113,0</w:t>
            </w:r>
          </w:p>
        </w:tc>
        <w:tc>
          <w:tcPr>
            <w:tcW w:w="97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106,3</w:t>
            </w:r>
          </w:p>
        </w:tc>
        <w:tc>
          <w:tcPr>
            <w:tcW w:w="97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103,5</w:t>
            </w:r>
          </w:p>
        </w:tc>
        <w:tc>
          <w:tcPr>
            <w:tcW w:w="97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110,9</w:t>
            </w:r>
          </w:p>
        </w:tc>
        <w:tc>
          <w:tcPr>
            <w:tcW w:w="973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102,4</w:t>
            </w:r>
          </w:p>
        </w:tc>
      </w:tr>
      <w:tr w:rsidR="00B742C5" w:rsidRPr="00DB51F0" w:rsidTr="00B742C5">
        <w:trPr>
          <w:gridAfter w:val="1"/>
          <w:wAfter w:w="21" w:type="dxa"/>
          <w:trHeight w:val="300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742C5" w:rsidRPr="00AA13BD" w:rsidRDefault="00B742C5" w:rsidP="00460EFF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 opłaty radiowo-telewizyjne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117,2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114,2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103,3</w:t>
            </w:r>
          </w:p>
        </w:tc>
      </w:tr>
      <w:tr w:rsidR="00B742C5" w:rsidRPr="00DB51F0" w:rsidTr="00B742C5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742C5" w:rsidRPr="00AA13BD" w:rsidRDefault="00B742C5" w:rsidP="00460EFF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Książki</w:t>
            </w:r>
          </w:p>
        </w:tc>
        <w:tc>
          <w:tcPr>
            <w:tcW w:w="97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  <w:tc>
          <w:tcPr>
            <w:tcW w:w="97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99,6</w:t>
            </w:r>
          </w:p>
        </w:tc>
        <w:tc>
          <w:tcPr>
            <w:tcW w:w="97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98,2</w:t>
            </w:r>
          </w:p>
        </w:tc>
        <w:tc>
          <w:tcPr>
            <w:tcW w:w="97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  <w:tc>
          <w:tcPr>
            <w:tcW w:w="973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101,9</w:t>
            </w:r>
          </w:p>
        </w:tc>
      </w:tr>
      <w:tr w:rsidR="00B742C5" w:rsidRPr="00DB51F0" w:rsidTr="00B742C5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742C5" w:rsidRPr="00AA13BD" w:rsidRDefault="00B742C5" w:rsidP="00460EFF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Gazety i czasopisma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</w:tr>
      <w:tr w:rsidR="00B742C5" w:rsidRPr="00DB51F0" w:rsidTr="00B742C5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742C5" w:rsidRPr="00AA13BD" w:rsidRDefault="00B742C5" w:rsidP="00460EFF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Artykuły piśmienne, malarskie, kreślarskie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</w:tr>
      <w:tr w:rsidR="00B742C5" w:rsidRPr="00DB51F0" w:rsidTr="00B742C5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742C5" w:rsidRPr="00AA13BD" w:rsidRDefault="00B742C5" w:rsidP="00460EFF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Turystyka zorganizowana</w:t>
            </w:r>
            <w:r w:rsidR="00AA6976" w:rsidRPr="00AA6976">
              <w:rPr>
                <w:rFonts w:eastAsia="Times New Roman" w:cs="Arial"/>
                <w:color w:val="000000"/>
                <w:sz w:val="24"/>
                <w:szCs w:val="24"/>
                <w:vertAlign w:val="superscript"/>
                <w:lang w:eastAsia="pl-PL"/>
              </w:rPr>
              <w:t>u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</w:tr>
      <w:tr w:rsidR="00B742C5" w:rsidRPr="00DB51F0" w:rsidTr="00B742C5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742C5" w:rsidRPr="00AA13BD" w:rsidRDefault="00B742C5" w:rsidP="00460EFF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Turystyka zorganizowana w kraju</w:t>
            </w:r>
            <w:r w:rsidR="00AA6976" w:rsidRPr="00AA6976">
              <w:rPr>
                <w:rFonts w:eastAsia="Times New Roman" w:cs="Arial"/>
                <w:color w:val="000000"/>
                <w:sz w:val="24"/>
                <w:szCs w:val="24"/>
                <w:vertAlign w:val="superscript"/>
                <w:lang w:eastAsia="pl-PL"/>
              </w:rPr>
              <w:t>u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103,9</w:t>
            </w:r>
          </w:p>
        </w:tc>
      </w:tr>
      <w:tr w:rsidR="00B742C5" w:rsidRPr="00DB51F0" w:rsidTr="00B742C5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742C5" w:rsidRPr="00AA13BD" w:rsidRDefault="00B742C5" w:rsidP="00460EFF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Turystyka zorganizowana za granicą</w:t>
            </w:r>
            <w:r w:rsidR="00AA6976" w:rsidRPr="00AA6976">
              <w:rPr>
                <w:rFonts w:eastAsia="Times New Roman" w:cs="Arial"/>
                <w:color w:val="000000"/>
                <w:sz w:val="24"/>
                <w:szCs w:val="24"/>
                <w:vertAlign w:val="superscript"/>
                <w:lang w:eastAsia="pl-PL"/>
              </w:rPr>
              <w:t>u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94,3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99,7</w:t>
            </w:r>
          </w:p>
        </w:tc>
      </w:tr>
      <w:tr w:rsidR="00B742C5" w:rsidRPr="00DB51F0" w:rsidTr="00B742C5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742C5" w:rsidRPr="00AA13BD" w:rsidRDefault="00B742C5" w:rsidP="00460EFF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EDUKACJA</w:t>
            </w:r>
          </w:p>
        </w:tc>
        <w:tc>
          <w:tcPr>
            <w:tcW w:w="97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105,5</w:t>
            </w:r>
          </w:p>
        </w:tc>
        <w:tc>
          <w:tcPr>
            <w:tcW w:w="97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97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97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105,5</w:t>
            </w:r>
          </w:p>
        </w:tc>
        <w:tc>
          <w:tcPr>
            <w:tcW w:w="973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</w:tr>
      <w:tr w:rsidR="00B742C5" w:rsidRPr="00DB51F0" w:rsidTr="00B742C5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742C5" w:rsidRPr="00AA13BD" w:rsidRDefault="00B742C5" w:rsidP="00460EFF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RESTAURACJE I HOTELE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</w:tr>
      <w:tr w:rsidR="00B742C5" w:rsidRPr="00DB51F0" w:rsidTr="00B742C5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742C5" w:rsidRPr="00AA13BD" w:rsidRDefault="00B742C5" w:rsidP="00460EFF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INNE TOWARY I USŁUGI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</w:tr>
      <w:tr w:rsidR="00B742C5" w:rsidRPr="00DB51F0" w:rsidTr="00B742C5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742C5" w:rsidRPr="00AA13BD" w:rsidRDefault="00B742C5" w:rsidP="00460EFF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B742C5" w:rsidRPr="00DB51F0" w:rsidTr="00B742C5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742C5" w:rsidRPr="00AA13BD" w:rsidRDefault="00B742C5" w:rsidP="00460EFF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Higiena osobista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</w:tr>
      <w:tr w:rsidR="00B742C5" w:rsidRPr="00DB51F0" w:rsidTr="00B742C5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742C5" w:rsidRPr="00AA13BD" w:rsidRDefault="00B742C5" w:rsidP="00460EFF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B742C5" w:rsidRPr="00DB51F0" w:rsidTr="001D7AB6">
        <w:trPr>
          <w:gridAfter w:val="1"/>
          <w:wAfter w:w="21" w:type="dxa"/>
          <w:trHeight w:val="48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742C5" w:rsidRPr="00AA13BD" w:rsidRDefault="00B742C5" w:rsidP="00460EFF">
            <w:pPr>
              <w:spacing w:before="0" w:after="0" w:line="240" w:lineRule="auto"/>
              <w:ind w:left="1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Usługi fryzjerskie, kosmetyczne </w:t>
            </w: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i pielęgnacyjne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110,5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111,0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</w:tr>
      <w:tr w:rsidR="00B742C5" w:rsidRPr="00DB51F0" w:rsidTr="001D7AB6">
        <w:trPr>
          <w:gridAfter w:val="1"/>
          <w:wAfter w:w="21" w:type="dxa"/>
          <w:trHeight w:val="408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742C5" w:rsidRPr="00AA13BD" w:rsidRDefault="00B742C5" w:rsidP="001D7AB6">
            <w:pPr>
              <w:spacing w:before="40" w:after="40" w:line="240" w:lineRule="auto"/>
              <w:ind w:left="1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Artykuły do higieny osobistej </w:t>
            </w: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i kosmetyki</w:t>
            </w:r>
          </w:p>
        </w:tc>
        <w:tc>
          <w:tcPr>
            <w:tcW w:w="97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  <w:tc>
          <w:tcPr>
            <w:tcW w:w="97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99,7</w:t>
            </w:r>
          </w:p>
        </w:tc>
        <w:tc>
          <w:tcPr>
            <w:tcW w:w="97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97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  <w:tc>
          <w:tcPr>
            <w:tcW w:w="973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</w:tr>
      <w:tr w:rsidR="00B742C5" w:rsidRPr="00DB51F0" w:rsidTr="00B742C5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742C5" w:rsidRPr="00AA13BD" w:rsidRDefault="00B742C5" w:rsidP="00460EFF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Opieka społeczna</w:t>
            </w:r>
          </w:p>
        </w:tc>
        <w:tc>
          <w:tcPr>
            <w:tcW w:w="97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110,4</w:t>
            </w:r>
          </w:p>
        </w:tc>
        <w:tc>
          <w:tcPr>
            <w:tcW w:w="97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102,7</w:t>
            </w:r>
          </w:p>
        </w:tc>
        <w:tc>
          <w:tcPr>
            <w:tcW w:w="97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97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110,7</w:t>
            </w:r>
          </w:p>
        </w:tc>
        <w:tc>
          <w:tcPr>
            <w:tcW w:w="973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</w:tr>
      <w:tr w:rsidR="00B742C5" w:rsidRPr="00DB51F0" w:rsidTr="00B742C5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742C5" w:rsidRPr="00AA13BD" w:rsidRDefault="00B742C5" w:rsidP="00460EFF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Ubezpieczenia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99,5</w:t>
            </w:r>
          </w:p>
        </w:tc>
      </w:tr>
      <w:tr w:rsidR="00B742C5" w:rsidRPr="00DB51F0" w:rsidTr="00B742C5">
        <w:trPr>
          <w:gridAfter w:val="1"/>
          <w:wAfter w:w="21" w:type="dxa"/>
          <w:trHeight w:val="450"/>
        </w:trPr>
        <w:tc>
          <w:tcPr>
            <w:tcW w:w="3259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742C5" w:rsidRPr="00AA13BD" w:rsidRDefault="00B742C5" w:rsidP="00460EFF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finansowe świadczone przez banki i inne instytucje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147,6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99,7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98,4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148,5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42C5" w:rsidRPr="00B742C5" w:rsidRDefault="00B742C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742C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</w:tr>
    </w:tbl>
    <w:p w:rsidR="000B60D7" w:rsidRPr="00B24B6C" w:rsidRDefault="000B60D7" w:rsidP="00467181">
      <w:pPr>
        <w:pStyle w:val="LID"/>
        <w:spacing w:after="80"/>
        <w:rPr>
          <w:bCs/>
          <w:noProof w:val="0"/>
          <w:sz w:val="18"/>
          <w:highlight w:val="yellow"/>
          <w:shd w:val="clear" w:color="auto" w:fill="FFFFFF"/>
        </w:rPr>
      </w:pPr>
    </w:p>
    <w:p w:rsidR="00864AD8" w:rsidRPr="00B24B6C" w:rsidRDefault="00864AD8" w:rsidP="00864AD8">
      <w:pPr>
        <w:pStyle w:val="NormalnyWeb"/>
        <w:spacing w:before="0" w:beforeAutospacing="0" w:after="120" w:afterAutospacing="0"/>
        <w:rPr>
          <w:rFonts w:ascii="Fira Sans" w:hAnsi="Fira Sans"/>
          <w:color w:val="222222"/>
          <w:sz w:val="16"/>
          <w:szCs w:val="16"/>
          <w:lang w:val="pl-PL"/>
        </w:rPr>
      </w:pPr>
      <w:r w:rsidRPr="00AA6976">
        <w:rPr>
          <w:rFonts w:ascii="Fira Sans" w:hAnsi="Fira Sans"/>
          <w:color w:val="222222"/>
          <w:sz w:val="16"/>
          <w:szCs w:val="16"/>
          <w:lang w:val="pl-PL"/>
        </w:rPr>
        <w:t>u  Udział danych szacowanych dla agregatu powyżej 50%</w:t>
      </w:r>
    </w:p>
    <w:p w:rsidR="00467181" w:rsidRDefault="00467181" w:rsidP="00864AD8">
      <w:pPr>
        <w:pStyle w:val="NormalnyWeb"/>
        <w:spacing w:before="0" w:beforeAutospacing="0" w:after="0" w:afterAutospacing="0"/>
        <w:rPr>
          <w:rFonts w:ascii="Fira Sans" w:hAnsi="Fira Sans"/>
          <w:color w:val="222222"/>
          <w:sz w:val="16"/>
          <w:szCs w:val="16"/>
          <w:lang w:val="pl-PL"/>
        </w:rPr>
      </w:pPr>
    </w:p>
    <w:p w:rsidR="003B2A33" w:rsidRDefault="003B2A33" w:rsidP="00864AD8">
      <w:pPr>
        <w:pStyle w:val="NormalnyWeb"/>
        <w:spacing w:before="0" w:beforeAutospacing="0" w:after="0" w:afterAutospacing="0"/>
        <w:rPr>
          <w:rFonts w:ascii="Fira Sans" w:hAnsi="Fira Sans"/>
          <w:color w:val="222222"/>
          <w:sz w:val="16"/>
          <w:szCs w:val="16"/>
          <w:lang w:val="pl-PL"/>
        </w:rPr>
      </w:pPr>
    </w:p>
    <w:p w:rsidR="00864AD8" w:rsidRPr="003B2A33" w:rsidRDefault="00864AD8" w:rsidP="00864AD8">
      <w:pPr>
        <w:pStyle w:val="NormalnyWeb"/>
        <w:spacing w:before="0" w:beforeAutospacing="0" w:after="0" w:afterAutospacing="0"/>
        <w:rPr>
          <w:rStyle w:val="Hipercze"/>
          <w:rFonts w:ascii="Fira Sans" w:hAnsi="Fira Sans"/>
          <w:sz w:val="19"/>
          <w:szCs w:val="19"/>
          <w:lang w:val="pl-PL"/>
        </w:rPr>
      </w:pPr>
      <w:r w:rsidRPr="003B2A33">
        <w:rPr>
          <w:rFonts w:ascii="Fira Sans" w:hAnsi="Fira Sans"/>
          <w:color w:val="222222"/>
          <w:sz w:val="19"/>
          <w:szCs w:val="19"/>
          <w:lang w:val="pl-PL"/>
        </w:rPr>
        <w:t xml:space="preserve">Zalecenia </w:t>
      </w:r>
      <w:r w:rsidR="00C10E86">
        <w:rPr>
          <w:rFonts w:ascii="Fira Sans" w:hAnsi="Fira Sans"/>
          <w:color w:val="222222"/>
          <w:sz w:val="19"/>
          <w:szCs w:val="19"/>
          <w:lang w:val="pl-PL"/>
        </w:rPr>
        <w:t xml:space="preserve">na czas kryzysu związanego </w:t>
      </w:r>
      <w:r w:rsidR="004B782B" w:rsidRPr="004B782B">
        <w:rPr>
          <w:rFonts w:ascii="Fira Sans" w:hAnsi="Fira Sans"/>
          <w:color w:val="222222"/>
          <w:sz w:val="19"/>
          <w:szCs w:val="19"/>
          <w:lang w:val="pl-PL"/>
        </w:rPr>
        <w:t xml:space="preserve">z </w:t>
      </w:r>
      <w:r w:rsidR="00C10E86">
        <w:rPr>
          <w:rFonts w:ascii="Fira Sans" w:hAnsi="Fira Sans"/>
          <w:color w:val="222222"/>
          <w:sz w:val="19"/>
          <w:szCs w:val="19"/>
          <w:lang w:val="pl-PL"/>
        </w:rPr>
        <w:t xml:space="preserve">pandemią </w:t>
      </w:r>
      <w:r w:rsidR="004B782B" w:rsidRPr="004B782B">
        <w:rPr>
          <w:rFonts w:ascii="Fira Sans" w:hAnsi="Fira Sans"/>
          <w:color w:val="222222"/>
          <w:sz w:val="19"/>
          <w:szCs w:val="19"/>
          <w:lang w:val="pl-PL"/>
        </w:rPr>
        <w:t>COVID-19</w:t>
      </w:r>
      <w:r w:rsidR="00C10E86">
        <w:rPr>
          <w:rFonts w:ascii="Fira Sans" w:hAnsi="Fira Sans"/>
          <w:color w:val="222222"/>
          <w:sz w:val="19"/>
          <w:szCs w:val="19"/>
          <w:lang w:val="pl-PL"/>
        </w:rPr>
        <w:t xml:space="preserve"> </w:t>
      </w:r>
      <w:r w:rsidRPr="003B2A33">
        <w:rPr>
          <w:rFonts w:ascii="Fira Sans" w:hAnsi="Fira Sans"/>
          <w:color w:val="222222"/>
          <w:sz w:val="19"/>
          <w:szCs w:val="19"/>
          <w:lang w:val="pl-PL"/>
        </w:rPr>
        <w:t xml:space="preserve">rekomendowane przez Eurostat dotyczące wskaźników cen konsumpcyjnych </w:t>
      </w:r>
      <w:r w:rsidR="003404C9">
        <w:rPr>
          <w:rFonts w:ascii="Fira Sans" w:hAnsi="Fira Sans"/>
          <w:color w:val="222222"/>
          <w:sz w:val="19"/>
          <w:szCs w:val="19"/>
          <w:lang w:val="pl-PL"/>
        </w:rPr>
        <w:t xml:space="preserve">oraz systemu wag </w:t>
      </w:r>
      <w:r w:rsidRPr="003B2A33">
        <w:rPr>
          <w:rFonts w:ascii="Fira Sans" w:hAnsi="Fira Sans"/>
          <w:color w:val="222222"/>
          <w:sz w:val="19"/>
          <w:szCs w:val="19"/>
          <w:lang w:val="pl-PL"/>
        </w:rPr>
        <w:t xml:space="preserve">prezentowane są pod linkiem </w:t>
      </w:r>
      <w:hyperlink r:id="rId17" w:history="1">
        <w:r w:rsidRPr="00D55A9D">
          <w:rPr>
            <w:rStyle w:val="Hipercze"/>
            <w:rFonts w:ascii="Fira Sans" w:hAnsi="Fira Sans"/>
            <w:color w:val="001D77"/>
            <w:sz w:val="19"/>
            <w:szCs w:val="19"/>
            <w:lang w:val="pl-PL"/>
          </w:rPr>
          <w:t>https://stat.gov.pl/obszary-tematyczne/ceny-handel/wskazniki-cen/wytyczne-dotyczace-opracowania-hicp-w-kontekscie-kryzysu-zwiazanego-z-covid-19,19,1.html</w:t>
        </w:r>
      </w:hyperlink>
    </w:p>
    <w:p w:rsidR="00864AD8" w:rsidRPr="00B24B6C" w:rsidRDefault="00864AD8" w:rsidP="00864AD8">
      <w:pPr>
        <w:pStyle w:val="NormalnyWeb"/>
        <w:spacing w:before="0" w:beforeAutospacing="0" w:after="0" w:afterAutospacing="0"/>
        <w:rPr>
          <w:rFonts w:ascii="Fira Sans" w:hAnsi="Fira Sans"/>
          <w:color w:val="222222"/>
          <w:sz w:val="16"/>
          <w:szCs w:val="16"/>
          <w:lang w:val="pl-PL"/>
        </w:rPr>
      </w:pPr>
    </w:p>
    <w:p w:rsidR="003B2A33" w:rsidRDefault="003B2A33" w:rsidP="00864AD8">
      <w:pPr>
        <w:spacing w:before="0" w:after="160" w:line="259" w:lineRule="auto"/>
        <w:rPr>
          <w:color w:val="222222"/>
          <w:szCs w:val="19"/>
        </w:rPr>
      </w:pPr>
    </w:p>
    <w:p w:rsidR="00685123" w:rsidRPr="00B24B6C" w:rsidRDefault="00864AD8" w:rsidP="00864AD8">
      <w:pPr>
        <w:spacing w:before="0" w:after="160" w:line="259" w:lineRule="auto"/>
        <w:rPr>
          <w:b/>
          <w:szCs w:val="19"/>
          <w:highlight w:val="yellow"/>
          <w:lang w:eastAsia="pl-PL"/>
        </w:rPr>
        <w:sectPr w:rsidR="00685123" w:rsidRPr="00B24B6C" w:rsidSect="00EF7B36">
          <w:headerReference w:type="default" r:id="rId18"/>
          <w:footerReference w:type="default" r:id="rId19"/>
          <w:headerReference w:type="first" r:id="rId20"/>
          <w:footerReference w:type="first" r:id="rId21"/>
          <w:footnotePr>
            <w:numFmt w:val="lowerLetter"/>
          </w:footnotePr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 w:rsidRPr="00B24B6C">
        <w:rPr>
          <w:color w:val="222222"/>
          <w:szCs w:val="19"/>
        </w:rPr>
        <w:t>W przypadku cytowania danych Głównego Urzędu Statystycznego prosimy o zamieszczenie informacji: „Źródło danych GUS”, a w przypadku publikowania obliczeń dokonanych na danych opublikowanych przez GUS prosimy o zamieszczenie informacji: „Opracowanie własne na podstawie danych GUS”.</w:t>
      </w:r>
      <w:bookmarkStart w:id="0" w:name="_GoBack"/>
      <w:bookmarkEnd w:id="0"/>
    </w:p>
    <w:p w:rsidR="000470AA" w:rsidRPr="00B24B6C" w:rsidRDefault="000470AA" w:rsidP="000470AA">
      <w:pPr>
        <w:rPr>
          <w:sz w:val="18"/>
          <w:highlight w:val="yellow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356"/>
        <w:gridCol w:w="3927"/>
      </w:tblGrid>
      <w:tr w:rsidR="00883763" w:rsidRPr="00B24B6C" w:rsidTr="00EE696D">
        <w:trPr>
          <w:trHeight w:val="1912"/>
        </w:trPr>
        <w:tc>
          <w:tcPr>
            <w:tcW w:w="4379" w:type="dxa"/>
          </w:tcPr>
          <w:p w:rsidR="00883763" w:rsidRPr="00B24B6C" w:rsidRDefault="00883763" w:rsidP="00EE696D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</w:rPr>
            </w:pPr>
            <w:r w:rsidRPr="00B24B6C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:rsidR="00883763" w:rsidRPr="00B24B6C" w:rsidRDefault="00883763" w:rsidP="00EE696D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B24B6C">
              <w:rPr>
                <w:rFonts w:cs="Arial"/>
                <w:b/>
                <w:color w:val="000000" w:themeColor="text1"/>
                <w:sz w:val="20"/>
              </w:rPr>
              <w:t>Departament Handlu i Usług</w:t>
            </w:r>
          </w:p>
          <w:p w:rsidR="000C68F7" w:rsidRPr="00B24B6C" w:rsidRDefault="000C68F7" w:rsidP="000C68F7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B24B6C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Dyrektor Ewa Adach-Stankiewicz</w:t>
            </w:r>
          </w:p>
          <w:p w:rsidR="00883763" w:rsidRPr="00B24B6C" w:rsidRDefault="000C68F7" w:rsidP="000C68F7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</w:rPr>
            </w:pPr>
            <w:r w:rsidRPr="00B24B6C">
              <w:rPr>
                <w:rFonts w:ascii="Fira Sans" w:hAnsi="Fira Sans" w:cs="Arial"/>
                <w:color w:val="000000" w:themeColor="text1"/>
                <w:sz w:val="20"/>
                <w:szCs w:val="28"/>
              </w:rPr>
              <w:t>Tel: 22 608 31 24</w:t>
            </w:r>
          </w:p>
        </w:tc>
        <w:tc>
          <w:tcPr>
            <w:tcW w:w="3942" w:type="dxa"/>
          </w:tcPr>
          <w:p w:rsidR="00883763" w:rsidRPr="00B24B6C" w:rsidRDefault="00883763" w:rsidP="00EE696D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B24B6C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B24B6C">
              <w:rPr>
                <w:rFonts w:cs="Arial"/>
                <w:color w:val="000000" w:themeColor="text1"/>
                <w:sz w:val="20"/>
              </w:rPr>
              <w:br/>
            </w:r>
            <w:r w:rsidRPr="00B24B6C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0C68F7" w:rsidRPr="00B24B6C" w:rsidRDefault="000C68F7" w:rsidP="000C68F7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B24B6C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Banaszek</w:t>
            </w:r>
          </w:p>
          <w:p w:rsidR="000C68F7" w:rsidRPr="00B24B6C" w:rsidRDefault="000C68F7" w:rsidP="000C68F7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</w:rPr>
            </w:pPr>
            <w:r w:rsidRPr="00B24B6C">
              <w:rPr>
                <w:rFonts w:ascii="Fira Sans" w:hAnsi="Fira Sans" w:cs="Arial"/>
                <w:color w:val="000000" w:themeColor="text1"/>
                <w:sz w:val="20"/>
              </w:rPr>
              <w:t>Tel: 695 255 011</w:t>
            </w:r>
          </w:p>
          <w:p w:rsidR="00883763" w:rsidRPr="00B24B6C" w:rsidRDefault="00883763" w:rsidP="00EE696D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</w:rPr>
            </w:pPr>
          </w:p>
        </w:tc>
      </w:tr>
    </w:tbl>
    <w:p w:rsidR="000470AA" w:rsidRPr="00B24B6C" w:rsidRDefault="000470AA" w:rsidP="000470AA">
      <w:pPr>
        <w:rPr>
          <w:sz w:val="18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52"/>
        <w:gridCol w:w="604"/>
        <w:gridCol w:w="3125"/>
      </w:tblGrid>
      <w:tr w:rsidR="000470AA" w:rsidRPr="00B24B6C" w:rsidTr="00C057E5">
        <w:trPr>
          <w:trHeight w:val="610"/>
        </w:trPr>
        <w:tc>
          <w:tcPr>
            <w:tcW w:w="2721" w:type="pct"/>
            <w:vMerge w:val="restart"/>
          </w:tcPr>
          <w:p w:rsidR="000470AA" w:rsidRPr="00B24B6C" w:rsidRDefault="000470AA" w:rsidP="00C057E5">
            <w:pPr>
              <w:spacing w:before="200"/>
              <w:rPr>
                <w:b/>
                <w:sz w:val="20"/>
              </w:rPr>
            </w:pPr>
            <w:r w:rsidRPr="00B24B6C">
              <w:rPr>
                <w:b/>
                <w:sz w:val="20"/>
              </w:rPr>
              <w:t xml:space="preserve">Wydział Współpracy z Mediami </w:t>
            </w:r>
          </w:p>
          <w:p w:rsidR="000470AA" w:rsidRPr="00B24B6C" w:rsidRDefault="00C057E5" w:rsidP="00C057E5">
            <w:pPr>
              <w:rPr>
                <w:sz w:val="20"/>
              </w:rPr>
            </w:pPr>
            <w:r w:rsidRPr="00B24B6C">
              <w:rPr>
                <w:sz w:val="20"/>
              </w:rPr>
              <w:t>T</w:t>
            </w:r>
            <w:r w:rsidR="000609C1" w:rsidRPr="00B24B6C">
              <w:rPr>
                <w:sz w:val="20"/>
              </w:rPr>
              <w:t>el</w:t>
            </w:r>
            <w:r w:rsidR="000470AA" w:rsidRPr="00B24B6C">
              <w:rPr>
                <w:sz w:val="20"/>
              </w:rPr>
              <w:t xml:space="preserve">: </w:t>
            </w:r>
            <w:r w:rsidR="00097840" w:rsidRPr="00B24B6C">
              <w:rPr>
                <w:sz w:val="20"/>
              </w:rPr>
              <w:t>22 608 34 91, 22</w:t>
            </w:r>
            <w:r w:rsidR="000470AA" w:rsidRPr="00B24B6C">
              <w:rPr>
                <w:sz w:val="20"/>
              </w:rPr>
              <w:t xml:space="preserve"> 608 38 04 </w:t>
            </w:r>
          </w:p>
          <w:p w:rsidR="000470AA" w:rsidRPr="00DE4262" w:rsidRDefault="000470AA" w:rsidP="00C057E5">
            <w:pPr>
              <w:rPr>
                <w:sz w:val="18"/>
                <w:lang w:val="en-GB"/>
              </w:rPr>
            </w:pPr>
            <w:r w:rsidRPr="00DE4262">
              <w:rPr>
                <w:b/>
                <w:sz w:val="20"/>
                <w:lang w:val="en-GB"/>
              </w:rPr>
              <w:t>e-</w:t>
            </w:r>
            <w:r w:rsidRPr="00DE4262">
              <w:rPr>
                <w:b/>
                <w:color w:val="000000" w:themeColor="text1"/>
                <w:sz w:val="20"/>
                <w:lang w:val="en-GB"/>
              </w:rPr>
              <w:t xml:space="preserve">mail: </w:t>
            </w:r>
            <w:hyperlink r:id="rId22" w:history="1">
              <w:r w:rsidRPr="00DE4262">
                <w:rPr>
                  <w:rStyle w:val="Hipercze"/>
                  <w:rFonts w:cstheme="minorBidi"/>
                  <w:b/>
                  <w:color w:val="000000" w:themeColor="text1"/>
                  <w:sz w:val="20"/>
                  <w:lang w:val="en-GB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DE4262" w:rsidRDefault="000470AA" w:rsidP="000470AA">
            <w:pPr>
              <w:rPr>
                <w:sz w:val="18"/>
                <w:lang w:val="en-GB"/>
              </w:rPr>
            </w:pPr>
            <w:r w:rsidRPr="00B24B6C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3742E170" wp14:editId="1BCF48D3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Pr="00B24B6C" w:rsidRDefault="006F52A0" w:rsidP="000470AA">
            <w:pPr>
              <w:rPr>
                <w:color w:val="000000" w:themeColor="text1"/>
                <w:sz w:val="18"/>
              </w:rPr>
            </w:pPr>
            <w:hyperlink r:id="rId24" w:history="1">
              <w:r w:rsidR="000470AA" w:rsidRPr="00B24B6C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</w:rPr>
                <w:t>www.stat.gov.pl</w:t>
              </w:r>
            </w:hyperlink>
          </w:p>
        </w:tc>
      </w:tr>
      <w:tr w:rsidR="000470AA" w:rsidRPr="00B24B6C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B24B6C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Pr="00B24B6C" w:rsidRDefault="000470AA" w:rsidP="000470AA">
            <w:pPr>
              <w:rPr>
                <w:sz w:val="18"/>
              </w:rPr>
            </w:pPr>
            <w:r w:rsidRPr="00B24B6C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7A2996E6" wp14:editId="288EE400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B24B6C" w:rsidRDefault="006F52A0" w:rsidP="000470AA">
            <w:pPr>
              <w:rPr>
                <w:color w:val="000000" w:themeColor="text1"/>
                <w:sz w:val="18"/>
              </w:rPr>
            </w:pPr>
            <w:hyperlink r:id="rId26" w:history="1">
              <w:r w:rsidR="000470AA" w:rsidRPr="00B24B6C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</w:rPr>
                <w:t>@GUS_STAT</w:t>
              </w:r>
            </w:hyperlink>
          </w:p>
        </w:tc>
      </w:tr>
      <w:tr w:rsidR="000470AA" w:rsidRPr="00B24B6C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B24B6C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Pr="00B24B6C" w:rsidRDefault="000470AA" w:rsidP="000470AA">
            <w:pPr>
              <w:rPr>
                <w:sz w:val="18"/>
              </w:rPr>
            </w:pPr>
            <w:r w:rsidRPr="00B24B6C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0CCDA3CD" wp14:editId="4811B41B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B24B6C" w:rsidRDefault="006F52A0" w:rsidP="000470AA">
            <w:pPr>
              <w:rPr>
                <w:color w:val="000000" w:themeColor="text1"/>
                <w:sz w:val="20"/>
              </w:rPr>
            </w:pPr>
            <w:hyperlink r:id="rId28" w:history="1">
              <w:r w:rsidR="000470AA" w:rsidRPr="00B24B6C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</w:rPr>
                <w:t>@GlownyUrzadStatystyczny</w:t>
              </w:r>
            </w:hyperlink>
          </w:p>
        </w:tc>
      </w:tr>
    </w:tbl>
    <w:p w:rsidR="00D261A2" w:rsidRPr="00B24B6C" w:rsidRDefault="006F52A0" w:rsidP="00E76D26">
      <w:pPr>
        <w:rPr>
          <w:sz w:val="18"/>
        </w:rPr>
      </w:pPr>
      <w:r>
        <w:rPr>
          <w:sz w:val="18"/>
          <w:highlight w:val="yellow"/>
          <w:lang w:eastAsia="en-GB"/>
        </w:rPr>
        <w:pict>
          <v:shape id="_x0000_s1030" type="#_x0000_t202" style="position:absolute;margin-left:1.5pt;margin-top:34.7pt;width:516.5pt;height:349.85pt;z-index:251744256;visibility:visible;mso-wrap-distance-top:3.6pt;mso-wrap-distance-bottom:3.6pt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" fillcolor="#f2f2f2 [3052]" strokecolor="white [3212]">
            <v:textbox>
              <w:txbxContent>
                <w:p w:rsidR="00413FD5" w:rsidRDefault="00413FD5" w:rsidP="00883763">
                  <w:pPr>
                    <w:rPr>
                      <w:b/>
                    </w:rPr>
                  </w:pPr>
                </w:p>
                <w:p w:rsidR="00413FD5" w:rsidRPr="006761A7" w:rsidRDefault="00413FD5" w:rsidP="00883763">
                  <w:pPr>
                    <w:rPr>
                      <w:b/>
                    </w:rPr>
                  </w:pPr>
                  <w:r w:rsidRPr="006761A7">
                    <w:rPr>
                      <w:b/>
                    </w:rPr>
                    <w:t>Powiązane opracowania</w:t>
                  </w:r>
                </w:p>
                <w:p w:rsidR="00413FD5" w:rsidRPr="006761A7" w:rsidRDefault="006F52A0" w:rsidP="0088376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29" w:history="1">
                    <w:r w:rsidR="00413FD5" w:rsidRPr="006761A7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Komunikaty i obwieszczenia Prezesa GUS</w:t>
                    </w:r>
                  </w:hyperlink>
                </w:p>
                <w:p w:rsidR="00413FD5" w:rsidRPr="006761A7" w:rsidRDefault="006F52A0" w:rsidP="0088376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30" w:history="1">
                    <w:r w:rsidR="00413FD5" w:rsidRPr="006761A7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Informacje sygnalne</w:t>
                    </w:r>
                  </w:hyperlink>
                </w:p>
                <w:p w:rsidR="00413FD5" w:rsidRPr="00E233EA" w:rsidRDefault="00413FD5" w:rsidP="00883763">
                  <w:pPr>
                    <w:rPr>
                      <w:b/>
                      <w:color w:val="000000" w:themeColor="text1"/>
                      <w:szCs w:val="24"/>
                    </w:rPr>
                  </w:pPr>
                </w:p>
                <w:p w:rsidR="00413FD5" w:rsidRPr="00E233EA" w:rsidRDefault="00413FD5" w:rsidP="00883763">
                  <w:pPr>
                    <w:rPr>
                      <w:b/>
                      <w:color w:val="000000" w:themeColor="text1"/>
                      <w:szCs w:val="24"/>
                    </w:rPr>
                  </w:pPr>
                  <w:r w:rsidRPr="00E233EA">
                    <w:rPr>
                      <w:b/>
                      <w:color w:val="000000" w:themeColor="text1"/>
                      <w:szCs w:val="24"/>
                    </w:rPr>
                    <w:t>Temat dostępny w bazach danych</w:t>
                  </w:r>
                </w:p>
                <w:p w:rsidR="00413FD5" w:rsidRPr="006761A7" w:rsidRDefault="006F52A0" w:rsidP="0088376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31" w:history="1">
                    <w:r w:rsidR="00413FD5" w:rsidRPr="006761A7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Dziedzinowa Baza Wiedzy (DBW) Ceny</w:t>
                    </w:r>
                  </w:hyperlink>
                </w:p>
                <w:p w:rsidR="00413FD5" w:rsidRPr="006761A7" w:rsidRDefault="006F52A0" w:rsidP="0088376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32" w:history="1">
                    <w:r w:rsidR="00413FD5" w:rsidRPr="006761A7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Bank Danych Makroekonomicznych (BDM)</w:t>
                    </w:r>
                  </w:hyperlink>
                </w:p>
                <w:p w:rsidR="00413FD5" w:rsidRPr="006761A7" w:rsidRDefault="006F52A0" w:rsidP="0088376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33" w:history="1">
                    <w:r w:rsidR="00413FD5" w:rsidRPr="006761A7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Bank Danych Lokalnych (BDL)</w:t>
                    </w:r>
                  </w:hyperlink>
                </w:p>
                <w:p w:rsidR="00413FD5" w:rsidRPr="006761A7" w:rsidRDefault="006F52A0" w:rsidP="0088376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34" w:history="1">
                    <w:r w:rsidR="00413FD5" w:rsidRPr="006761A7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Wskaźniki cen (Obszary tematyczne: Ceny. Handel)</w:t>
                    </w:r>
                  </w:hyperlink>
                </w:p>
                <w:p w:rsidR="00413FD5" w:rsidRPr="006761A7" w:rsidRDefault="006F52A0" w:rsidP="0088376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35" w:history="1">
                    <w:r w:rsidR="00413FD5" w:rsidRPr="006761A7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Ceny (Obszary tematyczne: Ceny. Handel)</w:t>
                    </w:r>
                  </w:hyperlink>
                </w:p>
                <w:p w:rsidR="00413FD5" w:rsidRPr="006761A7" w:rsidRDefault="00413FD5" w:rsidP="00883763">
                  <w:pPr>
                    <w:rPr>
                      <w:b/>
                      <w:color w:val="000000" w:themeColor="text1"/>
                      <w:szCs w:val="24"/>
                    </w:rPr>
                  </w:pPr>
                </w:p>
                <w:p w:rsidR="00413FD5" w:rsidRDefault="00413FD5" w:rsidP="00883763">
                  <w:pPr>
                    <w:rPr>
                      <w:b/>
                      <w:color w:val="000000" w:themeColor="text1"/>
                      <w:szCs w:val="24"/>
                    </w:rPr>
                  </w:pPr>
                  <w:r>
                    <w:rPr>
                      <w:b/>
                      <w:color w:val="000000" w:themeColor="text1"/>
                      <w:szCs w:val="24"/>
                    </w:rPr>
                    <w:t>Ważniejsze</w:t>
                  </w:r>
                  <w:r w:rsidRPr="00505A92">
                    <w:rPr>
                      <w:b/>
                      <w:color w:val="000000" w:themeColor="text1"/>
                      <w:szCs w:val="24"/>
                    </w:rPr>
                    <w:t xml:space="preserve"> pojęcia dostępne w słowniku</w:t>
                  </w:r>
                </w:p>
                <w:p w:rsidR="00413FD5" w:rsidRPr="006761A7" w:rsidRDefault="006F52A0" w:rsidP="0088376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36" w:history="1">
                    <w:r w:rsidR="00413FD5" w:rsidRPr="006761A7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Wskaźnik cen towarów i usług konsumpcyjnych</w:t>
                    </w:r>
                  </w:hyperlink>
                </w:p>
                <w:p w:rsidR="00413FD5" w:rsidRPr="00065E4D" w:rsidRDefault="006F52A0" w:rsidP="0088376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37" w:history="1">
                    <w:r w:rsidR="00413FD5" w:rsidRPr="00065E4D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Cena detaliczna</w:t>
                    </w:r>
                  </w:hyperlink>
                </w:p>
              </w:txbxContent>
            </v:textbox>
            <w10:wrap type="square" anchorx="margin"/>
          </v:shape>
        </w:pict>
      </w:r>
    </w:p>
    <w:sectPr w:rsidR="00D261A2" w:rsidRPr="00B24B6C" w:rsidSect="00EF7B36">
      <w:headerReference w:type="default" r:id="rId38"/>
      <w:footerReference w:type="default" r:id="rId39"/>
      <w:footnotePr>
        <w:numFmt w:val="lowerLetter"/>
      </w:footnotePr>
      <w:pgSz w:w="11906" w:h="16838" w:code="9"/>
      <w:pgMar w:top="720" w:right="3119" w:bottom="720" w:left="720" w:header="17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52A0" w:rsidRDefault="006F52A0" w:rsidP="000662E2">
      <w:pPr>
        <w:spacing w:after="0" w:line="240" w:lineRule="auto"/>
      </w:pPr>
      <w:r>
        <w:separator/>
      </w:r>
    </w:p>
  </w:endnote>
  <w:endnote w:type="continuationSeparator" w:id="0">
    <w:p w:rsidR="006F52A0" w:rsidRDefault="006F52A0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90487"/>
      <w:docPartObj>
        <w:docPartGallery w:val="Page Numbers (Bottom of Page)"/>
        <w:docPartUnique/>
      </w:docPartObj>
    </w:sdtPr>
    <w:sdtEndPr/>
    <w:sdtContent>
      <w:p w:rsidR="00413FD5" w:rsidRDefault="00413FD5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5A9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90488"/>
      <w:docPartObj>
        <w:docPartGallery w:val="Page Numbers (Bottom of Page)"/>
        <w:docPartUnique/>
      </w:docPartObj>
    </w:sdtPr>
    <w:sdtEndPr/>
    <w:sdtContent>
      <w:p w:rsidR="00413FD5" w:rsidRDefault="00413FD5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5A9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:rsidR="00413FD5" w:rsidRDefault="00413FD5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5A9D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52A0" w:rsidRDefault="006F52A0" w:rsidP="000662E2">
      <w:pPr>
        <w:spacing w:after="0" w:line="240" w:lineRule="auto"/>
      </w:pPr>
      <w:r>
        <w:separator/>
      </w:r>
    </w:p>
  </w:footnote>
  <w:footnote w:type="continuationSeparator" w:id="0">
    <w:p w:rsidR="006F52A0" w:rsidRDefault="006F52A0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3FD5" w:rsidRDefault="006F52A0">
    <w:pPr>
      <w:pStyle w:val="Nagwek"/>
    </w:pPr>
    <w:r>
      <w:rPr>
        <w:noProof/>
        <w:lang w:val="en-GB" w:eastAsia="en-GB"/>
      </w:rPr>
      <w:pict>
        <v:rect id="Prostokąt 24" o:spid="_x0000_s2052" style="position:absolute;margin-left:410.6pt;margin-top:-14.05pt;width:147.6pt;height:1785.85pt;z-index:-2516541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<v:path arrowok="t"/>
        </v:rect>
      </w:pict>
    </w:r>
  </w:p>
  <w:p w:rsidR="00413FD5" w:rsidRDefault="00413FD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3FD5" w:rsidRDefault="006F52A0">
    <w:pPr>
      <w:pStyle w:val="Nagwek"/>
      <w:rPr>
        <w:noProof/>
        <w:lang w:eastAsia="pl-PL"/>
      </w:rPr>
    </w:pPr>
    <w:r>
      <w:rPr>
        <w:noProof/>
        <w:lang w:val="en-GB" w:eastAsia="en-GB"/>
      </w:rPr>
      <w:pict>
        <v:rect id="Prostokąt 10" o:spid="_x0000_s2050" style="position:absolute;margin-left:411.45pt;margin-top:15.3pt;width:147.4pt;height:812.4pt;z-index:-251650048;visibility:visible;mso-width-relative:margin;mso-height-relative:margin;v-text-anchor:middle" wrapcoords="-110 0 -110 21591 21600 21591 21600 0 -110 0" fillcolor="#f2f2f2" stroked="f" strokeweight="1pt">
          <v:path arrowok="t"/>
          <w10:wrap type="tight"/>
        </v:rect>
      </w:pict>
    </w:r>
    <w:r w:rsidR="00413FD5" w:rsidRPr="00502F8C">
      <w:rPr>
        <w:noProof/>
        <w:lang w:eastAsia="pl-PL"/>
      </w:rPr>
      <w:drawing>
        <wp:inline distT="0" distB="0" distL="0" distR="0" wp14:anchorId="50593D3A" wp14:editId="0A8EBA95">
          <wp:extent cx="1153274" cy="720000"/>
          <wp:effectExtent l="0" t="0" r="0" b="4445"/>
          <wp:docPr id="6" name="Obraz 6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n-GB" w:eastAsia="en-GB"/>
      </w:rPr>
      <w:pict>
        <v:shape id="Schemat blokowy: opóźnienie 6" o:spid="_x0000_s2051" style="position:absolute;margin-left:396.6pt;margin-top:15.65pt;width:162.25pt;height:28.15pt;flip:x;z-index:251668480;visibility:visible;mso-position-horizontal-relative:text;mso-position-vertical-relative:text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ga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7K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<v:stroke joinstyle="miter"/>
          <v:formulas/>
          <v:path arrowok="t" o:connecttype="custom" o:connectlocs="0,0;1881761,0;2060575,178753;1881761,357505;0,357505;0,0" o:connectangles="0,0,0,0,0,0" textboxrect="0,0,3527018,612140"/>
          <v:textbox style="mso-next-textbox:#Schemat blokowy: opóźnienie 6">
            <w:txbxContent>
              <w:p w:rsidR="00413FD5" w:rsidRPr="003C6C8D" w:rsidRDefault="00413FD5" w:rsidP="00074DD8">
                <w:pPr>
                  <w:spacing w:before="0" w:after="0" w:line="240" w:lineRule="auto"/>
                  <w:ind w:left="227"/>
                  <w:jc w:val="both"/>
                  <w:rPr>
                    <w:rFonts w:ascii="Fira Sans SemiBold" w:hAnsi="Fira Sans SemiBold"/>
                  </w:rPr>
                </w:pPr>
                <w:r>
                  <w:rPr>
                    <w:rFonts w:ascii="Fira Sans SemiBold" w:hAnsi="Fira Sans SemiBold"/>
                  </w:rPr>
                  <w:t>INFORMACJE SYGNALNE</w:t>
                </w:r>
              </w:p>
            </w:txbxContent>
          </v:textbox>
        </v:shape>
      </w:pict>
    </w:r>
  </w:p>
  <w:p w:rsidR="00413FD5" w:rsidRDefault="006F52A0">
    <w:pPr>
      <w:pStyle w:val="Nagwek"/>
      <w:rPr>
        <w:noProof/>
        <w:lang w:eastAsia="pl-PL"/>
      </w:rPr>
    </w:pPr>
    <w:r>
      <w:rPr>
        <w:noProof/>
        <w:lang w:val="en-GB"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1pt;margin-top:20.95pt;width:112.8pt;height:26.5pt;z-index:25166950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CIw1m&#10;EAIAAP4DAAAOAAAAAAAAAAAAAAAAAC4CAABkcnMvZTJvRG9jLnhtbFBLAQItABQABgAIAAAAIQBr&#10;Z3Ed3gAAAAoBAAAPAAAAAAAAAAAAAAAAAGoEAABkcnMvZG93bnJldi54bWxQSwUGAAAAAAQABADz&#10;AAAAdQUAAAAA&#10;" filled="f" stroked="f">
          <v:textbox style="mso-next-textbox:#_x0000_s2049">
            <w:txbxContent>
              <w:p w:rsidR="00413FD5" w:rsidRPr="00C97596" w:rsidRDefault="00413FD5" w:rsidP="00F37172">
                <w:pPr>
                  <w:jc w:val="both"/>
                  <w:rPr>
                    <w:rFonts w:ascii="Fira Sans SemiBold" w:hAnsi="Fira Sans SemiBold"/>
                    <w:color w:val="001D77"/>
                  </w:rPr>
                </w:pPr>
                <w:r>
                  <w:rPr>
                    <w:rFonts w:ascii="Fira Sans SemiBold" w:hAnsi="Fira Sans SemiBold"/>
                    <w:color w:val="001D77"/>
                  </w:rPr>
                  <w:t>15.04.2021</w:t>
                </w:r>
                <w:r w:rsidRPr="00C97596">
                  <w:rPr>
                    <w:rFonts w:ascii="Fira Sans SemiBold" w:hAnsi="Fira Sans SemiBold"/>
                    <w:color w:val="001D77"/>
                  </w:rPr>
                  <w:t xml:space="preserve"> r.</w:t>
                </w:r>
              </w:p>
            </w:txbxContent>
          </v:textbox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3FD5" w:rsidRDefault="00413FD5">
    <w:pPr>
      <w:pStyle w:val="Nagwek"/>
    </w:pPr>
  </w:p>
  <w:p w:rsidR="00413FD5" w:rsidRDefault="00413FD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style="width:123.6pt;height:125pt;visibility:visible" o:bullet="t">
        <v:imagedata r:id="rId1" o:title=""/>
      </v:shape>
    </w:pict>
  </w:numPicBullet>
  <w:numPicBullet w:numPicBulletId="1">
    <w:pict>
      <v:shape id="_x0000_i1053" type="#_x0000_t75" style="width:124.3pt;height:125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53"/>
    <o:shapelayout v:ext="edit">
      <o:idmap v:ext="edit" data="2"/>
    </o:shapelayout>
  </w:hdrShapeDefaults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0D87"/>
    <w:rsid w:val="0000074C"/>
    <w:rsid w:val="00001C5B"/>
    <w:rsid w:val="0000260E"/>
    <w:rsid w:val="00003437"/>
    <w:rsid w:val="00005FA6"/>
    <w:rsid w:val="0000709F"/>
    <w:rsid w:val="000108B8"/>
    <w:rsid w:val="000152F5"/>
    <w:rsid w:val="0001700C"/>
    <w:rsid w:val="000201FC"/>
    <w:rsid w:val="000242DA"/>
    <w:rsid w:val="00024B66"/>
    <w:rsid w:val="00024EE7"/>
    <w:rsid w:val="00026BA3"/>
    <w:rsid w:val="00026F64"/>
    <w:rsid w:val="00026FBB"/>
    <w:rsid w:val="00027748"/>
    <w:rsid w:val="00030ACD"/>
    <w:rsid w:val="00034160"/>
    <w:rsid w:val="0003614E"/>
    <w:rsid w:val="0004015D"/>
    <w:rsid w:val="0004582E"/>
    <w:rsid w:val="0004646A"/>
    <w:rsid w:val="000470AA"/>
    <w:rsid w:val="000531EB"/>
    <w:rsid w:val="00054B2E"/>
    <w:rsid w:val="00057CA1"/>
    <w:rsid w:val="000609C1"/>
    <w:rsid w:val="00065CCC"/>
    <w:rsid w:val="00065E4D"/>
    <w:rsid w:val="000662E2"/>
    <w:rsid w:val="00066883"/>
    <w:rsid w:val="00072D35"/>
    <w:rsid w:val="00074B1B"/>
    <w:rsid w:val="00074DD8"/>
    <w:rsid w:val="000800B4"/>
    <w:rsid w:val="000806F7"/>
    <w:rsid w:val="00097840"/>
    <w:rsid w:val="000A014D"/>
    <w:rsid w:val="000A0FD3"/>
    <w:rsid w:val="000A350D"/>
    <w:rsid w:val="000A6963"/>
    <w:rsid w:val="000A7F1A"/>
    <w:rsid w:val="000B0727"/>
    <w:rsid w:val="000B5393"/>
    <w:rsid w:val="000B60D7"/>
    <w:rsid w:val="000C08EE"/>
    <w:rsid w:val="000C135D"/>
    <w:rsid w:val="000C68F7"/>
    <w:rsid w:val="000D1D43"/>
    <w:rsid w:val="000D225C"/>
    <w:rsid w:val="000D2465"/>
    <w:rsid w:val="000D2A5C"/>
    <w:rsid w:val="000E0918"/>
    <w:rsid w:val="000F2650"/>
    <w:rsid w:val="001011C3"/>
    <w:rsid w:val="00102EAC"/>
    <w:rsid w:val="00107FC7"/>
    <w:rsid w:val="00110D87"/>
    <w:rsid w:val="001149A1"/>
    <w:rsid w:val="00114DB9"/>
    <w:rsid w:val="00116087"/>
    <w:rsid w:val="00130296"/>
    <w:rsid w:val="001315A3"/>
    <w:rsid w:val="00132297"/>
    <w:rsid w:val="00133A82"/>
    <w:rsid w:val="00135B65"/>
    <w:rsid w:val="00142037"/>
    <w:rsid w:val="001423B6"/>
    <w:rsid w:val="001441A0"/>
    <w:rsid w:val="001448A3"/>
    <w:rsid w:val="001448A7"/>
    <w:rsid w:val="00145121"/>
    <w:rsid w:val="00146621"/>
    <w:rsid w:val="00162325"/>
    <w:rsid w:val="001640C2"/>
    <w:rsid w:val="00165856"/>
    <w:rsid w:val="00171DA5"/>
    <w:rsid w:val="001772F8"/>
    <w:rsid w:val="00194845"/>
    <w:rsid w:val="00194DE1"/>
    <w:rsid w:val="001951DA"/>
    <w:rsid w:val="001A3A7F"/>
    <w:rsid w:val="001A7573"/>
    <w:rsid w:val="001A78D0"/>
    <w:rsid w:val="001B7E7B"/>
    <w:rsid w:val="001C1375"/>
    <w:rsid w:val="001C3269"/>
    <w:rsid w:val="001C593F"/>
    <w:rsid w:val="001C7312"/>
    <w:rsid w:val="001D1DB4"/>
    <w:rsid w:val="001D7AB6"/>
    <w:rsid w:val="001E1D94"/>
    <w:rsid w:val="001E4443"/>
    <w:rsid w:val="001E7DBB"/>
    <w:rsid w:val="001F439C"/>
    <w:rsid w:val="001F60D1"/>
    <w:rsid w:val="00212DE8"/>
    <w:rsid w:val="00214CA5"/>
    <w:rsid w:val="00216F18"/>
    <w:rsid w:val="002268BB"/>
    <w:rsid w:val="0024416D"/>
    <w:rsid w:val="00244DD1"/>
    <w:rsid w:val="002574F9"/>
    <w:rsid w:val="00257A17"/>
    <w:rsid w:val="002619FD"/>
    <w:rsid w:val="002621B1"/>
    <w:rsid w:val="00262B61"/>
    <w:rsid w:val="0026302B"/>
    <w:rsid w:val="002724FF"/>
    <w:rsid w:val="00275FA6"/>
    <w:rsid w:val="00276811"/>
    <w:rsid w:val="00276C9A"/>
    <w:rsid w:val="00276F83"/>
    <w:rsid w:val="00280D7C"/>
    <w:rsid w:val="00282699"/>
    <w:rsid w:val="00285768"/>
    <w:rsid w:val="00285C5A"/>
    <w:rsid w:val="002906EA"/>
    <w:rsid w:val="00290CB6"/>
    <w:rsid w:val="002926DF"/>
    <w:rsid w:val="00295056"/>
    <w:rsid w:val="00296697"/>
    <w:rsid w:val="00296EB3"/>
    <w:rsid w:val="002A4D80"/>
    <w:rsid w:val="002B0472"/>
    <w:rsid w:val="002B5049"/>
    <w:rsid w:val="002B6B12"/>
    <w:rsid w:val="002D0020"/>
    <w:rsid w:val="002E086A"/>
    <w:rsid w:val="002E6140"/>
    <w:rsid w:val="002E6985"/>
    <w:rsid w:val="002E71B6"/>
    <w:rsid w:val="002F321F"/>
    <w:rsid w:val="002F77C8"/>
    <w:rsid w:val="003033FD"/>
    <w:rsid w:val="003047EF"/>
    <w:rsid w:val="00304F22"/>
    <w:rsid w:val="00305162"/>
    <w:rsid w:val="00306C7C"/>
    <w:rsid w:val="003077B5"/>
    <w:rsid w:val="00310F90"/>
    <w:rsid w:val="00317C90"/>
    <w:rsid w:val="00322EDD"/>
    <w:rsid w:val="00325FA3"/>
    <w:rsid w:val="00332320"/>
    <w:rsid w:val="00336B88"/>
    <w:rsid w:val="003404C9"/>
    <w:rsid w:val="003405A4"/>
    <w:rsid w:val="003412A8"/>
    <w:rsid w:val="00341C29"/>
    <w:rsid w:val="00343BBC"/>
    <w:rsid w:val="00347D72"/>
    <w:rsid w:val="00351D21"/>
    <w:rsid w:val="00357611"/>
    <w:rsid w:val="00364CB3"/>
    <w:rsid w:val="00367237"/>
    <w:rsid w:val="0037077F"/>
    <w:rsid w:val="00371BCE"/>
    <w:rsid w:val="00372411"/>
    <w:rsid w:val="0037258A"/>
    <w:rsid w:val="00373882"/>
    <w:rsid w:val="003843DB"/>
    <w:rsid w:val="003901AC"/>
    <w:rsid w:val="00393761"/>
    <w:rsid w:val="00397181"/>
    <w:rsid w:val="00397D18"/>
    <w:rsid w:val="003A1B36"/>
    <w:rsid w:val="003A440F"/>
    <w:rsid w:val="003A7D83"/>
    <w:rsid w:val="003B1454"/>
    <w:rsid w:val="003B18B6"/>
    <w:rsid w:val="003B2A33"/>
    <w:rsid w:val="003B5096"/>
    <w:rsid w:val="003C59E0"/>
    <w:rsid w:val="003C6C8D"/>
    <w:rsid w:val="003D3B24"/>
    <w:rsid w:val="003D4F95"/>
    <w:rsid w:val="003D5F42"/>
    <w:rsid w:val="003D60A9"/>
    <w:rsid w:val="003D67C8"/>
    <w:rsid w:val="003D7BC2"/>
    <w:rsid w:val="003E3529"/>
    <w:rsid w:val="003E6EAA"/>
    <w:rsid w:val="003E6F8F"/>
    <w:rsid w:val="003F4C97"/>
    <w:rsid w:val="003F54AA"/>
    <w:rsid w:val="003F7FE6"/>
    <w:rsid w:val="00400193"/>
    <w:rsid w:val="004002CD"/>
    <w:rsid w:val="004009D2"/>
    <w:rsid w:val="00413FD5"/>
    <w:rsid w:val="00417625"/>
    <w:rsid w:val="004212E7"/>
    <w:rsid w:val="0042446D"/>
    <w:rsid w:val="004276B0"/>
    <w:rsid w:val="00427BF8"/>
    <w:rsid w:val="00431C02"/>
    <w:rsid w:val="00435D6D"/>
    <w:rsid w:val="00437395"/>
    <w:rsid w:val="00445047"/>
    <w:rsid w:val="004469A3"/>
    <w:rsid w:val="004513A3"/>
    <w:rsid w:val="00451932"/>
    <w:rsid w:val="00453304"/>
    <w:rsid w:val="00454E14"/>
    <w:rsid w:val="004566AB"/>
    <w:rsid w:val="0045762F"/>
    <w:rsid w:val="004601AC"/>
    <w:rsid w:val="00460C26"/>
    <w:rsid w:val="00460EFF"/>
    <w:rsid w:val="00463E39"/>
    <w:rsid w:val="004657FC"/>
    <w:rsid w:val="00467181"/>
    <w:rsid w:val="004733F6"/>
    <w:rsid w:val="00474E69"/>
    <w:rsid w:val="0048486C"/>
    <w:rsid w:val="00486EE6"/>
    <w:rsid w:val="0049189D"/>
    <w:rsid w:val="00493217"/>
    <w:rsid w:val="0049621B"/>
    <w:rsid w:val="004B2431"/>
    <w:rsid w:val="004B2465"/>
    <w:rsid w:val="004B4C23"/>
    <w:rsid w:val="004B782B"/>
    <w:rsid w:val="004C01B5"/>
    <w:rsid w:val="004C1895"/>
    <w:rsid w:val="004C6D40"/>
    <w:rsid w:val="004D119F"/>
    <w:rsid w:val="004D3ABE"/>
    <w:rsid w:val="004E21A3"/>
    <w:rsid w:val="004F0C3C"/>
    <w:rsid w:val="004F63FC"/>
    <w:rsid w:val="00501254"/>
    <w:rsid w:val="00501F76"/>
    <w:rsid w:val="00502E6F"/>
    <w:rsid w:val="00505A92"/>
    <w:rsid w:val="005077D1"/>
    <w:rsid w:val="00510BE8"/>
    <w:rsid w:val="00511F19"/>
    <w:rsid w:val="0051646A"/>
    <w:rsid w:val="00516A50"/>
    <w:rsid w:val="005203F1"/>
    <w:rsid w:val="0052058B"/>
    <w:rsid w:val="005214FA"/>
    <w:rsid w:val="00521BC3"/>
    <w:rsid w:val="00526A58"/>
    <w:rsid w:val="005316C2"/>
    <w:rsid w:val="00533632"/>
    <w:rsid w:val="00534040"/>
    <w:rsid w:val="0053648F"/>
    <w:rsid w:val="00541E6E"/>
    <w:rsid w:val="0054251F"/>
    <w:rsid w:val="00542AFC"/>
    <w:rsid w:val="005520D8"/>
    <w:rsid w:val="00556CF1"/>
    <w:rsid w:val="00573DFA"/>
    <w:rsid w:val="005762A7"/>
    <w:rsid w:val="005762F6"/>
    <w:rsid w:val="0058363D"/>
    <w:rsid w:val="00585D06"/>
    <w:rsid w:val="005875EB"/>
    <w:rsid w:val="005877DE"/>
    <w:rsid w:val="005916D7"/>
    <w:rsid w:val="0059573F"/>
    <w:rsid w:val="005A2784"/>
    <w:rsid w:val="005A698C"/>
    <w:rsid w:val="005A69F2"/>
    <w:rsid w:val="005A6C7D"/>
    <w:rsid w:val="005B01E2"/>
    <w:rsid w:val="005C1AF8"/>
    <w:rsid w:val="005C209B"/>
    <w:rsid w:val="005C778E"/>
    <w:rsid w:val="005D0389"/>
    <w:rsid w:val="005D1C04"/>
    <w:rsid w:val="005D470D"/>
    <w:rsid w:val="005E0799"/>
    <w:rsid w:val="005E2757"/>
    <w:rsid w:val="005E418C"/>
    <w:rsid w:val="005E6437"/>
    <w:rsid w:val="005F4399"/>
    <w:rsid w:val="005F5A80"/>
    <w:rsid w:val="006044FF"/>
    <w:rsid w:val="00604FF5"/>
    <w:rsid w:val="00607CC5"/>
    <w:rsid w:val="00613AEC"/>
    <w:rsid w:val="006149F0"/>
    <w:rsid w:val="0061655B"/>
    <w:rsid w:val="0062307C"/>
    <w:rsid w:val="006321A2"/>
    <w:rsid w:val="00633014"/>
    <w:rsid w:val="0063437B"/>
    <w:rsid w:val="006346A9"/>
    <w:rsid w:val="00636A57"/>
    <w:rsid w:val="00644254"/>
    <w:rsid w:val="00660778"/>
    <w:rsid w:val="00666DED"/>
    <w:rsid w:val="006673CA"/>
    <w:rsid w:val="006718A3"/>
    <w:rsid w:val="00673C26"/>
    <w:rsid w:val="00674A8B"/>
    <w:rsid w:val="006812AF"/>
    <w:rsid w:val="00682B23"/>
    <w:rsid w:val="0068327D"/>
    <w:rsid w:val="00683EDE"/>
    <w:rsid w:val="00685123"/>
    <w:rsid w:val="00691225"/>
    <w:rsid w:val="00691316"/>
    <w:rsid w:val="006920EA"/>
    <w:rsid w:val="00694AF0"/>
    <w:rsid w:val="00696549"/>
    <w:rsid w:val="00696814"/>
    <w:rsid w:val="006A4686"/>
    <w:rsid w:val="006B0B72"/>
    <w:rsid w:val="006B0E9E"/>
    <w:rsid w:val="006B208D"/>
    <w:rsid w:val="006B20B4"/>
    <w:rsid w:val="006B5AE4"/>
    <w:rsid w:val="006B78EF"/>
    <w:rsid w:val="006D1507"/>
    <w:rsid w:val="006D4054"/>
    <w:rsid w:val="006D5C42"/>
    <w:rsid w:val="006D5D88"/>
    <w:rsid w:val="006D6B72"/>
    <w:rsid w:val="006E02EC"/>
    <w:rsid w:val="006E14B3"/>
    <w:rsid w:val="006E2D00"/>
    <w:rsid w:val="006E2DCF"/>
    <w:rsid w:val="006F145E"/>
    <w:rsid w:val="006F52A0"/>
    <w:rsid w:val="006F6B1F"/>
    <w:rsid w:val="007059D5"/>
    <w:rsid w:val="007063C3"/>
    <w:rsid w:val="007122CC"/>
    <w:rsid w:val="007162EB"/>
    <w:rsid w:val="007211B1"/>
    <w:rsid w:val="00721712"/>
    <w:rsid w:val="0072400B"/>
    <w:rsid w:val="00733D55"/>
    <w:rsid w:val="00740107"/>
    <w:rsid w:val="007408FF"/>
    <w:rsid w:val="007418B3"/>
    <w:rsid w:val="0074537D"/>
    <w:rsid w:val="00746187"/>
    <w:rsid w:val="00752A67"/>
    <w:rsid w:val="00761070"/>
    <w:rsid w:val="0076254F"/>
    <w:rsid w:val="007676D7"/>
    <w:rsid w:val="00774934"/>
    <w:rsid w:val="00776D79"/>
    <w:rsid w:val="00777295"/>
    <w:rsid w:val="007801F5"/>
    <w:rsid w:val="00781552"/>
    <w:rsid w:val="00783CA4"/>
    <w:rsid w:val="007842FB"/>
    <w:rsid w:val="00786124"/>
    <w:rsid w:val="0078756B"/>
    <w:rsid w:val="0079022D"/>
    <w:rsid w:val="00792E24"/>
    <w:rsid w:val="00793154"/>
    <w:rsid w:val="007948D4"/>
    <w:rsid w:val="0079514B"/>
    <w:rsid w:val="00797060"/>
    <w:rsid w:val="00797771"/>
    <w:rsid w:val="007A2DC1"/>
    <w:rsid w:val="007A77F5"/>
    <w:rsid w:val="007B74D8"/>
    <w:rsid w:val="007D3319"/>
    <w:rsid w:val="007D335D"/>
    <w:rsid w:val="007D4406"/>
    <w:rsid w:val="007E3314"/>
    <w:rsid w:val="007E4B03"/>
    <w:rsid w:val="007E71CF"/>
    <w:rsid w:val="007F045B"/>
    <w:rsid w:val="007F324B"/>
    <w:rsid w:val="007F3983"/>
    <w:rsid w:val="007F6195"/>
    <w:rsid w:val="008006E1"/>
    <w:rsid w:val="00802A9A"/>
    <w:rsid w:val="0080553C"/>
    <w:rsid w:val="00805B46"/>
    <w:rsid w:val="00820461"/>
    <w:rsid w:val="00820B10"/>
    <w:rsid w:val="0082498D"/>
    <w:rsid w:val="00825DC2"/>
    <w:rsid w:val="00831172"/>
    <w:rsid w:val="00834AD3"/>
    <w:rsid w:val="00843795"/>
    <w:rsid w:val="008473E0"/>
    <w:rsid w:val="00847F0F"/>
    <w:rsid w:val="00852448"/>
    <w:rsid w:val="00860851"/>
    <w:rsid w:val="00864AD8"/>
    <w:rsid w:val="00866B61"/>
    <w:rsid w:val="00873B73"/>
    <w:rsid w:val="00876337"/>
    <w:rsid w:val="0088258A"/>
    <w:rsid w:val="008832C4"/>
    <w:rsid w:val="00883763"/>
    <w:rsid w:val="00885F63"/>
    <w:rsid w:val="00886332"/>
    <w:rsid w:val="00887348"/>
    <w:rsid w:val="00892238"/>
    <w:rsid w:val="008A23B4"/>
    <w:rsid w:val="008A26D9"/>
    <w:rsid w:val="008A4C58"/>
    <w:rsid w:val="008B4AE0"/>
    <w:rsid w:val="008C0C29"/>
    <w:rsid w:val="008C1A52"/>
    <w:rsid w:val="008C7879"/>
    <w:rsid w:val="008C7A01"/>
    <w:rsid w:val="008E64EF"/>
    <w:rsid w:val="008F3638"/>
    <w:rsid w:val="008F4441"/>
    <w:rsid w:val="008F5DD4"/>
    <w:rsid w:val="008F6F31"/>
    <w:rsid w:val="008F74DF"/>
    <w:rsid w:val="0091008E"/>
    <w:rsid w:val="009127BA"/>
    <w:rsid w:val="00912EB7"/>
    <w:rsid w:val="00916782"/>
    <w:rsid w:val="00917CCF"/>
    <w:rsid w:val="00920A9B"/>
    <w:rsid w:val="00920FC4"/>
    <w:rsid w:val="009227A6"/>
    <w:rsid w:val="00927AD2"/>
    <w:rsid w:val="00932D7A"/>
    <w:rsid w:val="00933B26"/>
    <w:rsid w:val="00933EC1"/>
    <w:rsid w:val="00942DCA"/>
    <w:rsid w:val="0094622C"/>
    <w:rsid w:val="009530DB"/>
    <w:rsid w:val="00953676"/>
    <w:rsid w:val="009662EB"/>
    <w:rsid w:val="009668F9"/>
    <w:rsid w:val="009705EE"/>
    <w:rsid w:val="00971217"/>
    <w:rsid w:val="009731D6"/>
    <w:rsid w:val="0097339D"/>
    <w:rsid w:val="00977927"/>
    <w:rsid w:val="0098135C"/>
    <w:rsid w:val="0098156A"/>
    <w:rsid w:val="00982640"/>
    <w:rsid w:val="0098469A"/>
    <w:rsid w:val="00984980"/>
    <w:rsid w:val="00990133"/>
    <w:rsid w:val="00991BAC"/>
    <w:rsid w:val="009A206F"/>
    <w:rsid w:val="009A6EA0"/>
    <w:rsid w:val="009A703D"/>
    <w:rsid w:val="009B1399"/>
    <w:rsid w:val="009B1414"/>
    <w:rsid w:val="009B2242"/>
    <w:rsid w:val="009B6D11"/>
    <w:rsid w:val="009B746F"/>
    <w:rsid w:val="009C1335"/>
    <w:rsid w:val="009C1AB2"/>
    <w:rsid w:val="009C5407"/>
    <w:rsid w:val="009C7251"/>
    <w:rsid w:val="009D0FBC"/>
    <w:rsid w:val="009D1423"/>
    <w:rsid w:val="009E2E91"/>
    <w:rsid w:val="009E3BF4"/>
    <w:rsid w:val="009E3FA7"/>
    <w:rsid w:val="009E410D"/>
    <w:rsid w:val="009E4F34"/>
    <w:rsid w:val="009F3EB0"/>
    <w:rsid w:val="009F4D4A"/>
    <w:rsid w:val="009F5815"/>
    <w:rsid w:val="009F5AB7"/>
    <w:rsid w:val="009F70CD"/>
    <w:rsid w:val="009F7A99"/>
    <w:rsid w:val="00A06D23"/>
    <w:rsid w:val="00A07F00"/>
    <w:rsid w:val="00A12435"/>
    <w:rsid w:val="00A139F5"/>
    <w:rsid w:val="00A15A51"/>
    <w:rsid w:val="00A2136A"/>
    <w:rsid w:val="00A27522"/>
    <w:rsid w:val="00A3060E"/>
    <w:rsid w:val="00A34C24"/>
    <w:rsid w:val="00A35F89"/>
    <w:rsid w:val="00A365F4"/>
    <w:rsid w:val="00A37CE0"/>
    <w:rsid w:val="00A459FF"/>
    <w:rsid w:val="00A460E6"/>
    <w:rsid w:val="00A46BD5"/>
    <w:rsid w:val="00A47161"/>
    <w:rsid w:val="00A47937"/>
    <w:rsid w:val="00A47D80"/>
    <w:rsid w:val="00A51051"/>
    <w:rsid w:val="00A51BB2"/>
    <w:rsid w:val="00A53132"/>
    <w:rsid w:val="00A563F2"/>
    <w:rsid w:val="00A566E8"/>
    <w:rsid w:val="00A60AEE"/>
    <w:rsid w:val="00A6676F"/>
    <w:rsid w:val="00A70953"/>
    <w:rsid w:val="00A7152F"/>
    <w:rsid w:val="00A810F9"/>
    <w:rsid w:val="00A8165F"/>
    <w:rsid w:val="00A82477"/>
    <w:rsid w:val="00A845DC"/>
    <w:rsid w:val="00A86ECC"/>
    <w:rsid w:val="00A86FCC"/>
    <w:rsid w:val="00A90732"/>
    <w:rsid w:val="00A93892"/>
    <w:rsid w:val="00AA16CA"/>
    <w:rsid w:val="00AA569E"/>
    <w:rsid w:val="00AA6976"/>
    <w:rsid w:val="00AA710D"/>
    <w:rsid w:val="00AB0B8F"/>
    <w:rsid w:val="00AB27B9"/>
    <w:rsid w:val="00AB6D25"/>
    <w:rsid w:val="00AB7B31"/>
    <w:rsid w:val="00AD4947"/>
    <w:rsid w:val="00AD5F17"/>
    <w:rsid w:val="00AE20FD"/>
    <w:rsid w:val="00AE2D4B"/>
    <w:rsid w:val="00AE3075"/>
    <w:rsid w:val="00AE4F99"/>
    <w:rsid w:val="00AE777C"/>
    <w:rsid w:val="00B048A4"/>
    <w:rsid w:val="00B04E38"/>
    <w:rsid w:val="00B06265"/>
    <w:rsid w:val="00B10BBE"/>
    <w:rsid w:val="00B11B69"/>
    <w:rsid w:val="00B14952"/>
    <w:rsid w:val="00B170E7"/>
    <w:rsid w:val="00B2412D"/>
    <w:rsid w:val="00B24B6C"/>
    <w:rsid w:val="00B250D5"/>
    <w:rsid w:val="00B31357"/>
    <w:rsid w:val="00B31E5A"/>
    <w:rsid w:val="00B322EC"/>
    <w:rsid w:val="00B36425"/>
    <w:rsid w:val="00B42DDD"/>
    <w:rsid w:val="00B529AD"/>
    <w:rsid w:val="00B56D54"/>
    <w:rsid w:val="00B609CE"/>
    <w:rsid w:val="00B611C1"/>
    <w:rsid w:val="00B617A5"/>
    <w:rsid w:val="00B653AB"/>
    <w:rsid w:val="00B65F9E"/>
    <w:rsid w:val="00B66072"/>
    <w:rsid w:val="00B66B19"/>
    <w:rsid w:val="00B674A5"/>
    <w:rsid w:val="00B705DB"/>
    <w:rsid w:val="00B742C5"/>
    <w:rsid w:val="00B81B60"/>
    <w:rsid w:val="00B84277"/>
    <w:rsid w:val="00B86545"/>
    <w:rsid w:val="00B914E9"/>
    <w:rsid w:val="00B91831"/>
    <w:rsid w:val="00B94737"/>
    <w:rsid w:val="00B956EE"/>
    <w:rsid w:val="00B97152"/>
    <w:rsid w:val="00BA1AD0"/>
    <w:rsid w:val="00BA2BA1"/>
    <w:rsid w:val="00BA3562"/>
    <w:rsid w:val="00BA5A42"/>
    <w:rsid w:val="00BB08C3"/>
    <w:rsid w:val="00BB27AF"/>
    <w:rsid w:val="00BB4BE0"/>
    <w:rsid w:val="00BB4D90"/>
    <w:rsid w:val="00BB4F09"/>
    <w:rsid w:val="00BB6447"/>
    <w:rsid w:val="00BB6E9C"/>
    <w:rsid w:val="00BC17C7"/>
    <w:rsid w:val="00BC2318"/>
    <w:rsid w:val="00BC427F"/>
    <w:rsid w:val="00BD3777"/>
    <w:rsid w:val="00BD4E33"/>
    <w:rsid w:val="00BE4B65"/>
    <w:rsid w:val="00BF2E22"/>
    <w:rsid w:val="00BF790C"/>
    <w:rsid w:val="00C00EDA"/>
    <w:rsid w:val="00C030DE"/>
    <w:rsid w:val="00C057E5"/>
    <w:rsid w:val="00C10E86"/>
    <w:rsid w:val="00C110DB"/>
    <w:rsid w:val="00C11CBD"/>
    <w:rsid w:val="00C1766A"/>
    <w:rsid w:val="00C22105"/>
    <w:rsid w:val="00C244B6"/>
    <w:rsid w:val="00C27CB6"/>
    <w:rsid w:val="00C27D75"/>
    <w:rsid w:val="00C3702F"/>
    <w:rsid w:val="00C4500A"/>
    <w:rsid w:val="00C45CAF"/>
    <w:rsid w:val="00C522A5"/>
    <w:rsid w:val="00C55C91"/>
    <w:rsid w:val="00C56FB5"/>
    <w:rsid w:val="00C57F14"/>
    <w:rsid w:val="00C57FE4"/>
    <w:rsid w:val="00C61795"/>
    <w:rsid w:val="00C61D89"/>
    <w:rsid w:val="00C64A37"/>
    <w:rsid w:val="00C7158E"/>
    <w:rsid w:val="00C7250B"/>
    <w:rsid w:val="00C7346B"/>
    <w:rsid w:val="00C73B5E"/>
    <w:rsid w:val="00C77C0E"/>
    <w:rsid w:val="00C8000E"/>
    <w:rsid w:val="00C91687"/>
    <w:rsid w:val="00C920B2"/>
    <w:rsid w:val="00C924A8"/>
    <w:rsid w:val="00C945FE"/>
    <w:rsid w:val="00C950B4"/>
    <w:rsid w:val="00C954CE"/>
    <w:rsid w:val="00C96FAA"/>
    <w:rsid w:val="00C97A04"/>
    <w:rsid w:val="00CA107B"/>
    <w:rsid w:val="00CA484D"/>
    <w:rsid w:val="00CA4FB6"/>
    <w:rsid w:val="00CA5C74"/>
    <w:rsid w:val="00CC17BD"/>
    <w:rsid w:val="00CC6180"/>
    <w:rsid w:val="00CC72FC"/>
    <w:rsid w:val="00CC739E"/>
    <w:rsid w:val="00CC75D3"/>
    <w:rsid w:val="00CD1E2E"/>
    <w:rsid w:val="00CD352D"/>
    <w:rsid w:val="00CD58B7"/>
    <w:rsid w:val="00CE5D59"/>
    <w:rsid w:val="00CF08EF"/>
    <w:rsid w:val="00CF09F2"/>
    <w:rsid w:val="00CF4099"/>
    <w:rsid w:val="00D00796"/>
    <w:rsid w:val="00D02D2C"/>
    <w:rsid w:val="00D14C59"/>
    <w:rsid w:val="00D1564D"/>
    <w:rsid w:val="00D261A2"/>
    <w:rsid w:val="00D2668A"/>
    <w:rsid w:val="00D3440A"/>
    <w:rsid w:val="00D34567"/>
    <w:rsid w:val="00D401C9"/>
    <w:rsid w:val="00D43419"/>
    <w:rsid w:val="00D47B8D"/>
    <w:rsid w:val="00D538E4"/>
    <w:rsid w:val="00D54B01"/>
    <w:rsid w:val="00D55A9D"/>
    <w:rsid w:val="00D616D2"/>
    <w:rsid w:val="00D63B5F"/>
    <w:rsid w:val="00D7066F"/>
    <w:rsid w:val="00D70EF7"/>
    <w:rsid w:val="00D7217D"/>
    <w:rsid w:val="00D7664A"/>
    <w:rsid w:val="00D76A0A"/>
    <w:rsid w:val="00D815F5"/>
    <w:rsid w:val="00D81F2B"/>
    <w:rsid w:val="00D8397C"/>
    <w:rsid w:val="00D9456F"/>
    <w:rsid w:val="00D94EED"/>
    <w:rsid w:val="00D96026"/>
    <w:rsid w:val="00DA0243"/>
    <w:rsid w:val="00DA0C7E"/>
    <w:rsid w:val="00DA433C"/>
    <w:rsid w:val="00DA52A7"/>
    <w:rsid w:val="00DA7C1C"/>
    <w:rsid w:val="00DB147A"/>
    <w:rsid w:val="00DB1B7A"/>
    <w:rsid w:val="00DC6708"/>
    <w:rsid w:val="00DC7CFA"/>
    <w:rsid w:val="00DE4262"/>
    <w:rsid w:val="00DE64C5"/>
    <w:rsid w:val="00DF712D"/>
    <w:rsid w:val="00DF7E46"/>
    <w:rsid w:val="00E01436"/>
    <w:rsid w:val="00E045BD"/>
    <w:rsid w:val="00E17A9F"/>
    <w:rsid w:val="00E17B77"/>
    <w:rsid w:val="00E212CB"/>
    <w:rsid w:val="00E23337"/>
    <w:rsid w:val="00E24A25"/>
    <w:rsid w:val="00E259EA"/>
    <w:rsid w:val="00E27E85"/>
    <w:rsid w:val="00E30793"/>
    <w:rsid w:val="00E32061"/>
    <w:rsid w:val="00E33B04"/>
    <w:rsid w:val="00E33B99"/>
    <w:rsid w:val="00E41FCF"/>
    <w:rsid w:val="00E42801"/>
    <w:rsid w:val="00E42FF9"/>
    <w:rsid w:val="00E4714C"/>
    <w:rsid w:val="00E51AEB"/>
    <w:rsid w:val="00E52175"/>
    <w:rsid w:val="00E522A7"/>
    <w:rsid w:val="00E54452"/>
    <w:rsid w:val="00E63312"/>
    <w:rsid w:val="00E664C5"/>
    <w:rsid w:val="00E671A2"/>
    <w:rsid w:val="00E67A17"/>
    <w:rsid w:val="00E75596"/>
    <w:rsid w:val="00E76D26"/>
    <w:rsid w:val="00E82C7E"/>
    <w:rsid w:val="00E93CDB"/>
    <w:rsid w:val="00E963C8"/>
    <w:rsid w:val="00EB02C9"/>
    <w:rsid w:val="00EB1390"/>
    <w:rsid w:val="00EB199D"/>
    <w:rsid w:val="00EB2C71"/>
    <w:rsid w:val="00EB4340"/>
    <w:rsid w:val="00EB4822"/>
    <w:rsid w:val="00EB4D71"/>
    <w:rsid w:val="00EB556D"/>
    <w:rsid w:val="00EB5A7D"/>
    <w:rsid w:val="00EB73D7"/>
    <w:rsid w:val="00EC2274"/>
    <w:rsid w:val="00ED55C0"/>
    <w:rsid w:val="00ED682B"/>
    <w:rsid w:val="00EE3F46"/>
    <w:rsid w:val="00EE41D5"/>
    <w:rsid w:val="00EE4ADB"/>
    <w:rsid w:val="00EE696D"/>
    <w:rsid w:val="00EF7B36"/>
    <w:rsid w:val="00F0028A"/>
    <w:rsid w:val="00F037A4"/>
    <w:rsid w:val="00F04465"/>
    <w:rsid w:val="00F04C11"/>
    <w:rsid w:val="00F10D63"/>
    <w:rsid w:val="00F12FEC"/>
    <w:rsid w:val="00F26013"/>
    <w:rsid w:val="00F27C8F"/>
    <w:rsid w:val="00F30A0C"/>
    <w:rsid w:val="00F32749"/>
    <w:rsid w:val="00F37172"/>
    <w:rsid w:val="00F42746"/>
    <w:rsid w:val="00F4477E"/>
    <w:rsid w:val="00F45717"/>
    <w:rsid w:val="00F57391"/>
    <w:rsid w:val="00F60B5D"/>
    <w:rsid w:val="00F65EEC"/>
    <w:rsid w:val="00F6637E"/>
    <w:rsid w:val="00F67D8F"/>
    <w:rsid w:val="00F739B3"/>
    <w:rsid w:val="00F73C5D"/>
    <w:rsid w:val="00F74B10"/>
    <w:rsid w:val="00F80247"/>
    <w:rsid w:val="00F802BE"/>
    <w:rsid w:val="00F80E93"/>
    <w:rsid w:val="00F8197B"/>
    <w:rsid w:val="00F86024"/>
    <w:rsid w:val="00F8611A"/>
    <w:rsid w:val="00F86C02"/>
    <w:rsid w:val="00F90BB1"/>
    <w:rsid w:val="00F93CA3"/>
    <w:rsid w:val="00FA0677"/>
    <w:rsid w:val="00FA0AB4"/>
    <w:rsid w:val="00FA5128"/>
    <w:rsid w:val="00FB2D00"/>
    <w:rsid w:val="00FB42D4"/>
    <w:rsid w:val="00FB5906"/>
    <w:rsid w:val="00FB762F"/>
    <w:rsid w:val="00FC1516"/>
    <w:rsid w:val="00FC2AED"/>
    <w:rsid w:val="00FC6AF0"/>
    <w:rsid w:val="00FD39F6"/>
    <w:rsid w:val="00FD5EA7"/>
    <w:rsid w:val="00FD7DB8"/>
    <w:rsid w:val="00FE377B"/>
    <w:rsid w:val="00FF1C4E"/>
    <w:rsid w:val="00FF4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A9D860E3-0FE4-42BB-B452-D05309283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1">
    <w:name w:val="Siatka tabeli — jasna11"/>
    <w:basedOn w:val="Standardowy"/>
    <w:uiPriority w:val="40"/>
    <w:rsid w:val="0068512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0609C1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668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68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68F9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68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68F9"/>
    <w:rPr>
      <w:rFonts w:ascii="Fira Sans" w:hAnsi="Fira Sans"/>
      <w:b/>
      <w:bCs/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866B61"/>
  </w:style>
  <w:style w:type="table" w:customStyle="1" w:styleId="Tabelasiatki1jasnaakcent111">
    <w:name w:val="Tabela siatki 1 — jasna — akcent 111"/>
    <w:basedOn w:val="Standardowy"/>
    <w:uiPriority w:val="46"/>
    <w:rsid w:val="00866B6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2">
    <w:name w:val="Siatka tabeli — jasna12"/>
    <w:basedOn w:val="Standardowy"/>
    <w:uiPriority w:val="40"/>
    <w:rsid w:val="00866B6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866B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atkatabelijasna111">
    <w:name w:val="Siatka tabeli — jasna111"/>
    <w:basedOn w:val="Standardowy"/>
    <w:uiPriority w:val="40"/>
    <w:rsid w:val="00866B6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112">
    <w:name w:val="Siatka tabeli — jasna112"/>
    <w:basedOn w:val="Standardowy"/>
    <w:uiPriority w:val="40"/>
    <w:rsid w:val="00A907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alnyWeb">
    <w:name w:val="Normal (Web)"/>
    <w:basedOn w:val="Normalny"/>
    <w:uiPriority w:val="99"/>
    <w:unhideWhenUsed/>
    <w:rsid w:val="00864AD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6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2.xml"/><Relationship Id="rId18" Type="http://schemas.openxmlformats.org/officeDocument/2006/relationships/header" Target="header1.xml"/><Relationship Id="rId26" Type="http://schemas.openxmlformats.org/officeDocument/2006/relationships/hyperlink" Target="https://twitter.com/GUS_STAT" TargetMode="External"/><Relationship Id="rId39" Type="http://schemas.openxmlformats.org/officeDocument/2006/relationships/footer" Target="footer3.xml"/><Relationship Id="rId21" Type="http://schemas.openxmlformats.org/officeDocument/2006/relationships/footer" Target="footer2.xml"/><Relationship Id="rId34" Type="http://schemas.openxmlformats.org/officeDocument/2006/relationships/hyperlink" Target="http://stat.gov.pl/obszary-tematyczne/ceny-handel/wskazniki-cen/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chart" Target="charts/chart5.xml"/><Relationship Id="rId20" Type="http://schemas.openxmlformats.org/officeDocument/2006/relationships/header" Target="header2.xml"/><Relationship Id="rId29" Type="http://schemas.openxmlformats.org/officeDocument/2006/relationships/hyperlink" Target="http://stat.gov.pl/sygnalne/komunikaty-i-obwieszczenia/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hyperlink" Target="https://stat.gov.pl/" TargetMode="External"/><Relationship Id="rId32" Type="http://schemas.openxmlformats.org/officeDocument/2006/relationships/hyperlink" Target="http://bdm.stat.gov.pl/" TargetMode="External"/><Relationship Id="rId37" Type="http://schemas.openxmlformats.org/officeDocument/2006/relationships/hyperlink" Target="http://stat.gov.pl/metainformacje/slownik-pojec/pojecia-stosowane-w-statystyce-publicznej/32,pojecie.html" TargetMode="External"/><Relationship Id="rId40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chart" Target="charts/chart4.xml"/><Relationship Id="rId23" Type="http://schemas.openxmlformats.org/officeDocument/2006/relationships/image" Target="media/image5.png"/><Relationship Id="rId28" Type="http://schemas.openxmlformats.org/officeDocument/2006/relationships/hyperlink" Target="https://www.facebook.com/GlownyUrzadStatystyczny/" TargetMode="External"/><Relationship Id="rId36" Type="http://schemas.openxmlformats.org/officeDocument/2006/relationships/hyperlink" Target="http://stat.gov.pl/metainformacje/slownik-pojec/pojecia-stosowane-w-statystyce-publicznej/711,pojecie.html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31" Type="http://schemas.openxmlformats.org/officeDocument/2006/relationships/hyperlink" Target="http://swaid.stat.gov.pl/SitePagesDBW/Ceny.aspx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3.xml"/><Relationship Id="rId22" Type="http://schemas.openxmlformats.org/officeDocument/2006/relationships/hyperlink" Target="mailto:obslugaprasowa@stat.gov.pl" TargetMode="External"/><Relationship Id="rId27" Type="http://schemas.openxmlformats.org/officeDocument/2006/relationships/image" Target="media/image7.png"/><Relationship Id="rId30" Type="http://schemas.openxmlformats.org/officeDocument/2006/relationships/hyperlink" Target="http://stat.gov.pl/sygnalne/informacje-sygnalne/" TargetMode="External"/><Relationship Id="rId35" Type="http://schemas.openxmlformats.org/officeDocument/2006/relationships/hyperlink" Target="http://stat.gov.pl/obszary-tematyczne/ceny-handel/ceny/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chart" Target="charts/chart1.xml"/><Relationship Id="rId17" Type="http://schemas.openxmlformats.org/officeDocument/2006/relationships/hyperlink" Target="https://stat.gov.pl/obszary-tematyczne/ceny-handel/wskazniki-cen/wytyczne-dotyczace-opracowania-hicp-w-kontekscie-kryzysu-zwiazanego-z-covid-19,19,1.html" TargetMode="External"/><Relationship Id="rId25" Type="http://schemas.openxmlformats.org/officeDocument/2006/relationships/image" Target="media/image6.png"/><Relationship Id="rId33" Type="http://schemas.openxmlformats.org/officeDocument/2006/relationships/hyperlink" Target="https://bdl.stat.gov.pl/BDL/start" TargetMode="External"/><Relationship Id="rId38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NULL" TargetMode="Externa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NULL" TargetMode="Externa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NULL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40573497194536257"/>
          <c:y val="5.3855356053736994E-2"/>
          <c:w val="0.52658061332077077"/>
          <c:h val="0.8302966557224627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334A92"/>
            </a:solidFill>
            <a:ln>
              <a:noFill/>
            </a:ln>
          </c:spPr>
          <c:invertIfNegative val="0"/>
          <c:dLbls>
            <c:dLbl>
              <c:idx val="0"/>
              <c:layout>
                <c:manualLayout>
                  <c:x val="-7.4279464360269484E-3"/>
                  <c:y val="9.1515413165415541E-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7.4383161526452015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7.4383161526452015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4.9547682090712985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4.9508571160382193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4.9588774350967924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4.9588774350967924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4.9588774350968982E-3"/>
                  <c:y val="-3.9935070083662775E-1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4.9483864282716282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5.0098184276168717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6.9129952044939755E-3"/>
                  <c:y val="-3.4169516067158572E-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WPŁYWY!$A$1:$A$11</c:f>
              <c:strCache>
                <c:ptCount val="11"/>
                <c:pt idx="0">
                  <c:v>Ubezpieczenia</c:v>
                </c:pt>
                <c:pt idx="1">
                  <c:v>Owoce</c:v>
                </c:pt>
                <c:pt idx="2">
                  <c:v>Pieczywo i produkty zbożowe</c:v>
                </c:pt>
                <c:pt idx="3">
                  <c:v>Napoje alkoholowe</c:v>
                </c:pt>
                <c:pt idx="4">
                  <c:v>Usługi związane z kulturą</c:v>
                </c:pt>
                <c:pt idx="5">
                  <c:v>Obuwie</c:v>
                </c:pt>
                <c:pt idx="6">
                  <c:v>Warzywa</c:v>
                </c:pt>
                <c:pt idx="7">
                  <c:v>Mięso</c:v>
                </c:pt>
                <c:pt idx="8">
                  <c:v>Odzież</c:v>
                </c:pt>
                <c:pt idx="9">
                  <c:v>Usługi telekomunikacyjne</c:v>
                </c:pt>
                <c:pt idx="10">
                  <c:v>Paliwa do prywatnych środków transportu</c:v>
                </c:pt>
              </c:strCache>
            </c:strRef>
          </c:cat>
          <c:val>
            <c:numRef>
              <c:f>WPŁYWY!$C$1:$C$11</c:f>
              <c:numCache>
                <c:formatCode>0.00</c:formatCode>
                <c:ptCount val="11"/>
                <c:pt idx="0">
                  <c:v>-0.03</c:v>
                </c:pt>
                <c:pt idx="1">
                  <c:v>-0.02</c:v>
                </c:pt>
                <c:pt idx="2">
                  <c:v>0.03</c:v>
                </c:pt>
                <c:pt idx="3">
                  <c:v>0.03</c:v>
                </c:pt>
                <c:pt idx="4">
                  <c:v>0.04</c:v>
                </c:pt>
                <c:pt idx="5">
                  <c:v>0.05</c:v>
                </c:pt>
                <c:pt idx="6">
                  <c:v>0.05</c:v>
                </c:pt>
                <c:pt idx="7">
                  <c:v>0.09</c:v>
                </c:pt>
                <c:pt idx="8">
                  <c:v>0.12</c:v>
                </c:pt>
                <c:pt idx="9">
                  <c:v>0.13</c:v>
                </c:pt>
                <c:pt idx="10">
                  <c:v>0.37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46070656"/>
        <c:axId val="1046071200"/>
      </c:barChart>
      <c:catAx>
        <c:axId val="1046070656"/>
        <c:scaling>
          <c:orientation val="minMax"/>
        </c:scaling>
        <c:delete val="0"/>
        <c:axPos val="l"/>
        <c:numFmt formatCode="@" sourceLinked="0"/>
        <c:majorTickMark val="none"/>
        <c:minorTickMark val="none"/>
        <c:tickLblPos val="low"/>
        <c:spPr>
          <a:noFill/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1046071200"/>
        <c:crossesAt val="0"/>
        <c:auto val="1"/>
        <c:lblAlgn val="ctr"/>
        <c:lblOffset val="500"/>
        <c:tickMarkSkip val="1"/>
        <c:noMultiLvlLbl val="0"/>
      </c:catAx>
      <c:valAx>
        <c:axId val="1046071200"/>
        <c:scaling>
          <c:orientation val="minMax"/>
        </c:scaling>
        <c:delete val="0"/>
        <c:axPos val="b"/>
        <c:majorGridlines>
          <c:spPr>
            <a:ln w="3175">
              <a:solidFill>
                <a:srgbClr val="C0C0C0"/>
              </a:solidFill>
              <a:prstDash val="sysDot"/>
            </a:ln>
          </c:spPr>
        </c:majorGridlines>
        <c:numFmt formatCode="0.00" sourceLinked="1"/>
        <c:majorTickMark val="out"/>
        <c:minorTickMark val="none"/>
        <c:tickLblPos val="nextTo"/>
        <c:spPr>
          <a:ln w="6350"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1046070656"/>
        <c:crosses val="autoZero"/>
        <c:crossBetween val="between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34720807723504626"/>
          <c:y val="0"/>
          <c:w val="0.58530647639467726"/>
          <c:h val="0.93763667732612443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334A92"/>
            </a:solidFill>
          </c:spPr>
          <c:invertIfNegative val="0"/>
          <c:dLbls>
            <c:numFmt formatCode="#,##0.00" sourceLinked="0"/>
            <c:spPr>
              <a:noFill/>
              <a:ln>
                <a:noFill/>
              </a:ln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'SYSTEM WAG'!$B$2:$B$13</c:f>
              <c:strCache>
                <c:ptCount val="12"/>
                <c:pt idx="0">
                  <c:v>Inne towary i usługi</c:v>
                </c:pt>
                <c:pt idx="1">
                  <c:v>Restauracje i hotele</c:v>
                </c:pt>
                <c:pt idx="2">
                  <c:v>Edukacja</c:v>
                </c:pt>
                <c:pt idx="3">
                  <c:v>Rekreacja i kultura</c:v>
                </c:pt>
                <c:pt idx="4">
                  <c:v>Łączność</c:v>
                </c:pt>
                <c:pt idx="5">
                  <c:v>Transport</c:v>
                </c:pt>
                <c:pt idx="6">
                  <c:v>Zdrowie</c:v>
                </c:pt>
                <c:pt idx="7">
                  <c:v>Wyposażenie mieszkania 
i prowadzenie gospodarstwa domowego</c:v>
                </c:pt>
                <c:pt idx="8">
                  <c:v>Użytkowanie mieszkania 
lub domu i nośniki energii</c:v>
                </c:pt>
                <c:pt idx="9">
                  <c:v>Odzież i obuwie</c:v>
                </c:pt>
                <c:pt idx="10">
                  <c:v>Napoje alkoholowe 
i wyroby tytoniowe</c:v>
                </c:pt>
                <c:pt idx="11">
                  <c:v>Żywność i napoje bezalkoholowe</c:v>
                </c:pt>
              </c:strCache>
            </c:strRef>
          </c:cat>
          <c:val>
            <c:numRef>
              <c:f>'SYSTEM WAG'!$I$2:$I$13</c:f>
              <c:numCache>
                <c:formatCode>0.00</c:formatCode>
                <c:ptCount val="12"/>
                <c:pt idx="0">
                  <c:v>5.51</c:v>
                </c:pt>
                <c:pt idx="1">
                  <c:v>4.5599999999999996</c:v>
                </c:pt>
                <c:pt idx="2">
                  <c:v>1.02</c:v>
                </c:pt>
                <c:pt idx="3">
                  <c:v>5.78</c:v>
                </c:pt>
                <c:pt idx="4">
                  <c:v>5</c:v>
                </c:pt>
                <c:pt idx="5">
                  <c:v>8.8800000000000008</c:v>
                </c:pt>
                <c:pt idx="6">
                  <c:v>5.39</c:v>
                </c:pt>
                <c:pt idx="7">
                  <c:v>5.83</c:v>
                </c:pt>
                <c:pt idx="8">
                  <c:v>19.14</c:v>
                </c:pt>
                <c:pt idx="9">
                  <c:v>4.21</c:v>
                </c:pt>
                <c:pt idx="10">
                  <c:v>6.91</c:v>
                </c:pt>
                <c:pt idx="11">
                  <c:v>27.77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046072832"/>
        <c:axId val="1046073376"/>
      </c:barChart>
      <c:catAx>
        <c:axId val="104607283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ln>
            <a:solidFill>
              <a:schemeClr val="bg1">
                <a:lumMod val="50000"/>
              </a:schemeClr>
            </a:solidFill>
          </a:ln>
        </c:spPr>
        <c:txPr>
          <a:bodyPr rot="0" vert="horz"/>
          <a:lstStyle/>
          <a:p>
            <a:pPr algn="r">
              <a:defRPr sz="800"/>
            </a:pPr>
            <a:endParaRPr lang="pl-PL"/>
          </a:p>
        </c:txPr>
        <c:crossAx val="1046073376"/>
        <c:crosses val="autoZero"/>
        <c:auto val="0"/>
        <c:lblAlgn val="ctr"/>
        <c:lblOffset val="100"/>
        <c:noMultiLvlLbl val="0"/>
      </c:catAx>
      <c:valAx>
        <c:axId val="1046073376"/>
        <c:scaling>
          <c:orientation val="minMax"/>
        </c:scaling>
        <c:delete val="0"/>
        <c:axPos val="b"/>
        <c:majorGridlines>
          <c:spPr>
            <a:ln w="3175">
              <a:solidFill>
                <a:srgbClr val="B2B2B2"/>
              </a:solidFill>
              <a:prstDash val="sysDot"/>
            </a:ln>
          </c:spPr>
        </c:majorGridlines>
        <c:title>
          <c:tx>
            <c:rich>
              <a:bodyPr anchor="b" anchorCtr="1"/>
              <a:lstStyle/>
              <a:p>
                <a:pPr algn="r">
                  <a:defRPr/>
                </a:pPr>
                <a:r>
                  <a:rPr lang="pl-PL" b="0"/>
                  <a:t>%</a:t>
                </a:r>
              </a:p>
            </c:rich>
          </c:tx>
          <c:layout>
            <c:manualLayout>
              <c:xMode val="edge"/>
              <c:yMode val="edge"/>
              <c:x val="0.95812715179429186"/>
              <c:y val="0.94744569842647841"/>
            </c:manualLayout>
          </c:layout>
          <c:overlay val="0"/>
          <c:spPr>
            <a:noFill/>
            <a:ln>
              <a:noFill/>
            </a:ln>
          </c:spPr>
        </c:title>
        <c:numFmt formatCode="#,##0" sourceLinked="0"/>
        <c:majorTickMark val="out"/>
        <c:minorTickMark val="none"/>
        <c:tickLblPos val="nextTo"/>
        <c:spPr>
          <a:noFill/>
          <a:ln w="6350">
            <a:noFill/>
            <a:prstDash val="sysDot"/>
          </a:ln>
        </c:spPr>
        <c:crossAx val="1046072832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>
          <a:latin typeface="Fira Sans" pitchFamily="34" charset="0"/>
          <a:ea typeface="Fira Sans" pitchFamily="34" charset="0"/>
        </a:defRPr>
      </a:pPr>
      <a:endParaRPr lang="pl-PL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9187331061229512E-2"/>
          <c:y val="4.8511576626240394E-2"/>
          <c:w val="0.85896472395921109"/>
          <c:h val="0.81880214256569661"/>
        </c:manualLayout>
      </c:layout>
      <c:lineChart>
        <c:grouping val="standard"/>
        <c:varyColors val="0"/>
        <c:ser>
          <c:idx val="0"/>
          <c:order val="0"/>
          <c:spPr>
            <a:ln w="22225">
              <a:solidFill>
                <a:srgbClr val="001D77"/>
              </a:solidFill>
            </a:ln>
          </c:spPr>
          <c:marker>
            <c:symbol val="diamond"/>
            <c:size val="6"/>
            <c:spPr>
              <a:solidFill>
                <a:srgbClr val="001D77"/>
              </a:solidFill>
              <a:ln>
                <a:noFill/>
              </a:ln>
            </c:spPr>
          </c:marker>
          <c:dPt>
            <c:idx val="24"/>
            <c:bubble3D val="0"/>
          </c:dPt>
          <c:dPt>
            <c:idx val="25"/>
            <c:bubble3D val="0"/>
          </c:dPt>
          <c:dLbls>
            <c:dLbl>
              <c:idx val="0"/>
              <c:layout>
                <c:manualLayout>
                  <c:x val="-4.1462322130901709E-2"/>
                  <c:y val="4.186406666640790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6.8082859766814122E-2"/>
                  <c:y val="2.542452482330059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1.4886190088169113E-2"/>
                  <c:y val="2.093773104805799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3.2573981114021586E-2"/>
                  <c:y val="-4.454226972492514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2.4599079354789142E-2"/>
                  <c:y val="3.008845398414995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1.7650145085820135E-2"/>
                  <c:y val="-2.727993717945951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3.4247716857724923E-2"/>
                  <c:y val="4.1073918008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3.4227975323367521E-2"/>
                  <c:y val="4.15453579364312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3.5867348435223836E-2"/>
                  <c:y val="3.988716066080572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3.5270582150507206E-2"/>
                  <c:y val="-4.42110518987949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1.7129501773629281E-2"/>
                  <c:y val="2.558932257909645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6.6771994710827676E-2"/>
                  <c:y val="9.6407892841711071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3.7965913138518742E-2"/>
                  <c:y val="-4.347745931153679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1.0444456371647304E-2"/>
                  <c:y val="-2.34607518363819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1.3773249047039556E-2"/>
                  <c:y val="-2.198757185385866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6.7036273874512248E-2"/>
                  <c:y val="1.892672361929972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3.5976911103846362E-2"/>
                  <c:y val="4.1756013250756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2.9118164432355619E-2"/>
                  <c:y val="-4.37551738737543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3.9165316280444451E-2"/>
                  <c:y val="4.09453217926033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1.8852143131304185E-2"/>
                  <c:y val="2.567797827209178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3.2935119678364398E-2"/>
                  <c:y val="-4.455029529267023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5.0197574164179297E-2"/>
                  <c:y val="2.594017312309185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3.5099401505062335E-2"/>
                  <c:y val="2.796570543927135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9046740856278519E-2"/>
                      <c:h val="5.7987352364877884E-2"/>
                    </c:manualLayout>
                  </c15:layout>
                </c:ext>
              </c:extLst>
            </c:dLbl>
            <c:dLbl>
              <c:idx val="23"/>
              <c:layout>
                <c:manualLayout>
                  <c:x val="-2.0207080109406424E-2"/>
                  <c:y val="2.45814358293287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1.2706263649173445E-2"/>
                  <c:y val="-1.17930705636631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1.0805536778012678E-2"/>
                  <c:y val="3.5187216772928874E-3"/>
                </c:manualLayout>
              </c:layout>
              <c:tx>
                <c:rich>
                  <a:bodyPr anchor="t" anchorCtr="0"/>
                  <a:lstStyle/>
                  <a:p>
                    <a:pPr>
                      <a:defRPr sz="1000">
                        <a:latin typeface="Fira Sans" pitchFamily="34" charset="0"/>
                        <a:ea typeface="Fira Sans" pitchFamily="34" charset="0"/>
                      </a:defRPr>
                    </a:pPr>
                    <a:r>
                      <a:rPr lang="en-US" sz="800"/>
                      <a:t>0,5</a:t>
                    </a:r>
                  </a:p>
                </c:rich>
              </c:tx>
              <c:spPr/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6"/>
              <c:layout>
                <c:manualLayout>
                  <c:x val="-8.6797997334896321E-3"/>
                  <c:y val="-7.4661943845300578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anchor="t" anchorCtr="0"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endParaRPr lang="pl-PL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'M-1'!$B$38:$B$64</c:f>
              <c:strCache>
                <c:ptCount val="27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  <c:pt idx="23">
                  <c:v>XII</c:v>
                </c:pt>
                <c:pt idx="24">
                  <c:v>I</c:v>
                </c:pt>
                <c:pt idx="25">
                  <c:v>II</c:v>
                </c:pt>
                <c:pt idx="26">
                  <c:v>III</c:v>
                </c:pt>
              </c:strCache>
            </c:strRef>
          </c:cat>
          <c:val>
            <c:numRef>
              <c:f>'M-1'!$C$38:$C$64</c:f>
              <c:numCache>
                <c:formatCode>0.0</c:formatCode>
                <c:ptCount val="27"/>
                <c:pt idx="0">
                  <c:v>-0.2</c:v>
                </c:pt>
                <c:pt idx="1">
                  <c:v>0.4</c:v>
                </c:pt>
                <c:pt idx="2">
                  <c:v>0.3</c:v>
                </c:pt>
                <c:pt idx="3">
                  <c:v>1.1000000000000001</c:v>
                </c:pt>
                <c:pt idx="4">
                  <c:v>0.2</c:v>
                </c:pt>
                <c:pt idx="5">
                  <c:v>0.3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0.2</c:v>
                </c:pt>
                <c:pt idx="10">
                  <c:v>0.1</c:v>
                </c:pt>
                <c:pt idx="11">
                  <c:v>0.8</c:v>
                </c:pt>
                <c:pt idx="12">
                  <c:v>0.9</c:v>
                </c:pt>
                <c:pt idx="13">
                  <c:v>0.7</c:v>
                </c:pt>
                <c:pt idx="14">
                  <c:v>0.2</c:v>
                </c:pt>
                <c:pt idx="15">
                  <c:v>-0.1</c:v>
                </c:pt>
                <c:pt idx="16">
                  <c:v>-0.2</c:v>
                </c:pt>
                <c:pt idx="17">
                  <c:v>0.6</c:v>
                </c:pt>
                <c:pt idx="18">
                  <c:v>-0.2</c:v>
                </c:pt>
                <c:pt idx="19">
                  <c:v>-0.1</c:v>
                </c:pt>
                <c:pt idx="20">
                  <c:v>0.2</c:v>
                </c:pt>
                <c:pt idx="21">
                  <c:v>0.1</c:v>
                </c:pt>
                <c:pt idx="22">
                  <c:v>0.1</c:v>
                </c:pt>
                <c:pt idx="23">
                  <c:v>0.1</c:v>
                </c:pt>
                <c:pt idx="24">
                  <c:v>1.3</c:v>
                </c:pt>
                <c:pt idx="25">
                  <c:v>0.5</c:v>
                </c:pt>
                <c:pt idx="26">
                  <c:v>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046073920"/>
        <c:axId val="1046077728"/>
      </c:lineChart>
      <c:dateAx>
        <c:axId val="1046073920"/>
        <c:scaling>
          <c:orientation val="minMax"/>
        </c:scaling>
        <c:delete val="0"/>
        <c:axPos val="b"/>
        <c:numFmt formatCode="[$-415]mmmmm;@" sourceLinked="0"/>
        <c:majorTickMark val="out"/>
        <c:minorTickMark val="none"/>
        <c:tickLblPos val="low"/>
        <c:spPr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1046077728"/>
        <c:crossesAt val="0"/>
        <c:auto val="0"/>
        <c:lblOffset val="100"/>
        <c:baseTimeUnit val="days"/>
      </c:dateAx>
      <c:valAx>
        <c:axId val="1046077728"/>
        <c:scaling>
          <c:orientation val="minMax"/>
          <c:max val="1.6"/>
          <c:min val="-0.60000000000000009"/>
        </c:scaling>
        <c:delete val="0"/>
        <c:axPos val="l"/>
        <c:majorGridlines>
          <c:spPr>
            <a:ln w="3175">
              <a:solidFill>
                <a:schemeClr val="bg1">
                  <a:lumMod val="50000"/>
                </a:schemeClr>
              </a:solidFill>
              <a:prstDash val="sysDot"/>
            </a:ln>
          </c:spPr>
        </c:majorGridlines>
        <c:numFmt formatCode="0.0" sourceLinked="1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1046073920"/>
        <c:crossesAt val="1"/>
        <c:crossBetween val="between"/>
        <c:majorUnit val="0.2"/>
        <c:minorUnit val="0.1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6103308106031142E-2"/>
          <c:y val="5.2791985907422512E-2"/>
          <c:w val="0.86402212918953414"/>
          <c:h val="0.80215749189155816"/>
        </c:manualLayout>
      </c:layout>
      <c:lineChart>
        <c:grouping val="standard"/>
        <c:varyColors val="0"/>
        <c:ser>
          <c:idx val="0"/>
          <c:order val="0"/>
          <c:tx>
            <c:strRef>
              <c:f>'CPI_HICP m-12'!$B$2:$C$2</c:f>
              <c:strCache>
                <c:ptCount val="1"/>
                <c:pt idx="0">
                  <c:v>CPI</c:v>
                </c:pt>
              </c:strCache>
            </c:strRef>
          </c:tx>
          <c:spPr>
            <a:ln w="19050">
              <a:solidFill>
                <a:srgbClr val="001D77"/>
              </a:solidFill>
            </a:ln>
          </c:spPr>
          <c:marker>
            <c:symbol val="none"/>
          </c:marker>
          <c:cat>
            <c:strRef>
              <c:f>'CPI_HICP m-12'!$B$39:$B$65</c:f>
              <c:strCache>
                <c:ptCount val="27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  <c:pt idx="23">
                  <c:v>XII</c:v>
                </c:pt>
                <c:pt idx="24">
                  <c:v>I</c:v>
                </c:pt>
                <c:pt idx="25">
                  <c:v>II</c:v>
                </c:pt>
                <c:pt idx="26">
                  <c:v>III</c:v>
                </c:pt>
              </c:strCache>
            </c:strRef>
          </c:cat>
          <c:val>
            <c:numRef>
              <c:f>'CPI_HICP m-12'!$C$39:$C$65</c:f>
              <c:numCache>
                <c:formatCode>0.0</c:formatCode>
                <c:ptCount val="27"/>
                <c:pt idx="0">
                  <c:v>0.7</c:v>
                </c:pt>
                <c:pt idx="1">
                  <c:v>1.2</c:v>
                </c:pt>
                <c:pt idx="2">
                  <c:v>1.7</c:v>
                </c:pt>
                <c:pt idx="3">
                  <c:v>2.2000000000000002</c:v>
                </c:pt>
                <c:pt idx="4">
                  <c:v>2.4</c:v>
                </c:pt>
                <c:pt idx="5">
                  <c:v>2.6</c:v>
                </c:pt>
                <c:pt idx="6">
                  <c:v>2.9</c:v>
                </c:pt>
                <c:pt idx="7">
                  <c:v>2.9</c:v>
                </c:pt>
                <c:pt idx="8">
                  <c:v>2.6</c:v>
                </c:pt>
                <c:pt idx="9">
                  <c:v>2.5</c:v>
                </c:pt>
                <c:pt idx="10">
                  <c:v>2.6</c:v>
                </c:pt>
                <c:pt idx="11">
                  <c:v>3.4</c:v>
                </c:pt>
                <c:pt idx="12">
                  <c:v>4.3</c:v>
                </c:pt>
                <c:pt idx="13">
                  <c:v>4.7</c:v>
                </c:pt>
                <c:pt idx="14">
                  <c:v>4.5999999999999996</c:v>
                </c:pt>
                <c:pt idx="15">
                  <c:v>3.4</c:v>
                </c:pt>
                <c:pt idx="16">
                  <c:v>2.9</c:v>
                </c:pt>
                <c:pt idx="17">
                  <c:v>3.3</c:v>
                </c:pt>
                <c:pt idx="18">
                  <c:v>3</c:v>
                </c:pt>
                <c:pt idx="19">
                  <c:v>2.9</c:v>
                </c:pt>
                <c:pt idx="20">
                  <c:v>3.2</c:v>
                </c:pt>
                <c:pt idx="21">
                  <c:v>3.1</c:v>
                </c:pt>
                <c:pt idx="22">
                  <c:v>3</c:v>
                </c:pt>
                <c:pt idx="23">
                  <c:v>2.4</c:v>
                </c:pt>
                <c:pt idx="24">
                  <c:v>2.6</c:v>
                </c:pt>
                <c:pt idx="25">
                  <c:v>2.4</c:v>
                </c:pt>
                <c:pt idx="26">
                  <c:v>3.2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'CPI_HICP m-12'!$D$2:$E$2</c:f>
              <c:strCache>
                <c:ptCount val="1"/>
                <c:pt idx="0">
                  <c:v>HICP</c:v>
                </c:pt>
              </c:strCache>
            </c:strRef>
          </c:tx>
          <c:spPr>
            <a:ln w="19050">
              <a:solidFill>
                <a:srgbClr val="99A5C9"/>
              </a:solidFill>
            </a:ln>
          </c:spPr>
          <c:marker>
            <c:symbol val="none"/>
          </c:marker>
          <c:cat>
            <c:strRef>
              <c:f>'CPI_HICP m-12'!$B$39:$B$65</c:f>
              <c:strCache>
                <c:ptCount val="27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  <c:pt idx="23">
                  <c:v>XII</c:v>
                </c:pt>
                <c:pt idx="24">
                  <c:v>I</c:v>
                </c:pt>
                <c:pt idx="25">
                  <c:v>II</c:v>
                </c:pt>
                <c:pt idx="26">
                  <c:v>III</c:v>
                </c:pt>
              </c:strCache>
            </c:strRef>
          </c:cat>
          <c:val>
            <c:numRef>
              <c:f>'CPI_HICP m-12'!$E$39:$E$65</c:f>
              <c:numCache>
                <c:formatCode>0.0</c:formatCode>
                <c:ptCount val="27"/>
                <c:pt idx="0">
                  <c:v>0.6</c:v>
                </c:pt>
                <c:pt idx="1">
                  <c:v>1.3</c:v>
                </c:pt>
                <c:pt idx="2">
                  <c:v>1.7</c:v>
                </c:pt>
                <c:pt idx="3">
                  <c:v>2.1</c:v>
                </c:pt>
                <c:pt idx="4">
                  <c:v>2.2000000000000002</c:v>
                </c:pt>
                <c:pt idx="5">
                  <c:v>2.2999999999999998</c:v>
                </c:pt>
                <c:pt idx="6">
                  <c:v>2.5</c:v>
                </c:pt>
                <c:pt idx="7">
                  <c:v>2.6</c:v>
                </c:pt>
                <c:pt idx="8">
                  <c:v>2.4</c:v>
                </c:pt>
                <c:pt idx="9">
                  <c:v>2.2999999999999998</c:v>
                </c:pt>
                <c:pt idx="10">
                  <c:v>2.4</c:v>
                </c:pt>
                <c:pt idx="11">
                  <c:v>3</c:v>
                </c:pt>
                <c:pt idx="12">
                  <c:v>3.8</c:v>
                </c:pt>
                <c:pt idx="13">
                  <c:v>4.0999999999999996</c:v>
                </c:pt>
                <c:pt idx="14">
                  <c:v>3.9</c:v>
                </c:pt>
                <c:pt idx="15">
                  <c:v>2.9</c:v>
                </c:pt>
                <c:pt idx="16">
                  <c:v>3.4</c:v>
                </c:pt>
                <c:pt idx="17">
                  <c:v>3.8</c:v>
                </c:pt>
                <c:pt idx="18">
                  <c:v>3.7</c:v>
                </c:pt>
                <c:pt idx="19">
                  <c:v>3.7</c:v>
                </c:pt>
                <c:pt idx="20">
                  <c:v>3.8</c:v>
                </c:pt>
                <c:pt idx="21">
                  <c:v>3.8</c:v>
                </c:pt>
                <c:pt idx="22">
                  <c:v>3.7</c:v>
                </c:pt>
                <c:pt idx="23">
                  <c:v>3.4</c:v>
                </c:pt>
                <c:pt idx="24">
                  <c:v>3.6</c:v>
                </c:pt>
                <c:pt idx="25">
                  <c:v>3.6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046074464"/>
        <c:axId val="1046075008"/>
      </c:lineChart>
      <c:catAx>
        <c:axId val="1046074464"/>
        <c:scaling>
          <c:orientation val="minMax"/>
        </c:scaling>
        <c:delete val="0"/>
        <c:axPos val="b"/>
        <c:numFmt formatCode="d/mm" sourceLinked="0"/>
        <c:majorTickMark val="out"/>
        <c:minorTickMark val="none"/>
        <c:tickLblPos val="low"/>
        <c:spPr>
          <a:ln w="3175">
            <a:solidFill>
              <a:schemeClr val="bg1">
                <a:lumMod val="50000"/>
              </a:schemeClr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pl-PL"/>
          </a:p>
        </c:txPr>
        <c:crossAx val="1046075008"/>
        <c:crossesAt val="0"/>
        <c:auto val="0"/>
        <c:lblAlgn val="ctr"/>
        <c:lblOffset val="100"/>
        <c:tickLblSkip val="1"/>
        <c:tickMarkSkip val="1"/>
        <c:noMultiLvlLbl val="0"/>
      </c:catAx>
      <c:valAx>
        <c:axId val="1046075008"/>
        <c:scaling>
          <c:orientation val="minMax"/>
          <c:max val="5"/>
          <c:min val="0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ysDot"/>
            </a:ln>
          </c:spPr>
        </c:majorGridlines>
        <c:numFmt formatCode="0.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pl-PL"/>
          </a:p>
        </c:txPr>
        <c:crossAx val="1046074464"/>
        <c:crosses val="autoZero"/>
        <c:crossBetween val="between"/>
        <c:majorUnit val="1"/>
        <c:minorUnit val="0.1"/>
      </c:valAx>
      <c:spPr>
        <a:noFill/>
        <a:ln w="3175">
          <a:noFill/>
          <a:prstDash val="solid"/>
        </a:ln>
      </c:spPr>
    </c:plotArea>
    <c:legend>
      <c:legendPos val="r"/>
      <c:layout>
        <c:manualLayout>
          <c:xMode val="edge"/>
          <c:yMode val="edge"/>
          <c:x val="0.80241510613166744"/>
          <c:y val="0.62394012961532352"/>
          <c:w val="0.11602738896666102"/>
          <c:h val="0.14737378640231696"/>
        </c:manualLayout>
      </c:layout>
      <c:overlay val="0"/>
      <c:spPr>
        <a:noFill/>
        <a:ln w="38100">
          <a:noFill/>
          <a:prstDash val="solid"/>
        </a:ln>
      </c:spPr>
      <c:txPr>
        <a:bodyPr/>
        <a:lstStyle/>
        <a:p>
          <a:pPr>
            <a:defRPr sz="800" b="0" i="0" u="none" strike="noStrike" baseline="0">
              <a:solidFill>
                <a:srgbClr val="000000"/>
              </a:solidFill>
              <a:latin typeface="Fira Sans" pitchFamily="34" charset="0"/>
              <a:ea typeface="Fira Sans" pitchFamily="34" charset="0"/>
              <a:cs typeface="Arial CE"/>
            </a:defRPr>
          </a:pPr>
          <a:endParaRPr lang="pl-PL"/>
        </a:p>
      </c:txPr>
    </c:legend>
    <c:plotVisOnly val="0"/>
    <c:dispBlanksAs val="gap"/>
    <c:showDLblsOverMax val="0"/>
  </c:chart>
  <c:spPr>
    <a:noFill/>
    <a:ln w="9525">
      <a:noFill/>
      <a:prstDash val="solid"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MS Sans Serif"/>
          <a:ea typeface="MS Sans Serif"/>
          <a:cs typeface="MS Sans Serif"/>
        </a:defRPr>
      </a:pPr>
      <a:endParaRPr lang="pl-PL"/>
    </a:p>
  </c:txPr>
  <c:externalData r:id="rId1">
    <c:autoUpdate val="0"/>
  </c:externalData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9187331061229512E-2"/>
          <c:y val="4.8511576626240394E-2"/>
          <c:w val="0.85896472395921109"/>
          <c:h val="0.81880214256569661"/>
        </c:manualLayout>
      </c:layout>
      <c:lineChart>
        <c:grouping val="standard"/>
        <c:varyColors val="0"/>
        <c:ser>
          <c:idx val="0"/>
          <c:order val="0"/>
          <c:spPr>
            <a:ln w="22225">
              <a:solidFill>
                <a:srgbClr val="001D77"/>
              </a:solidFill>
            </a:ln>
          </c:spPr>
          <c:marker>
            <c:symbol val="diamond"/>
            <c:size val="6"/>
            <c:spPr>
              <a:solidFill>
                <a:srgbClr val="001D77"/>
              </a:solidFill>
              <a:ln>
                <a:noFill/>
              </a:ln>
            </c:spPr>
          </c:marker>
          <c:dPt>
            <c:idx val="24"/>
            <c:bubble3D val="0"/>
          </c:dPt>
          <c:dPt>
            <c:idx val="27"/>
            <c:marker>
              <c:symbol val="diamond"/>
              <c:size val="8"/>
              <c:spPr>
                <a:solidFill>
                  <a:srgbClr val="008542"/>
                </a:solidFill>
                <a:ln>
                  <a:noFill/>
                </a:ln>
              </c:spPr>
            </c:marker>
            <c:bubble3D val="0"/>
          </c:dPt>
          <c:dLbls>
            <c:dLbl>
              <c:idx val="0"/>
              <c:layout>
                <c:manualLayout>
                  <c:x val="-3.6712576468564982E-2"/>
                  <c:y val="-5.030812214701715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4.8385861817637717E-2"/>
                  <c:y val="-2.53561086090868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5.1868407881250148E-2"/>
                  <c:y val="-3.521787723415802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5.0083590846914286E-2"/>
                  <c:y val="-3.056163381551528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3.2107876545614117E-2"/>
                  <c:y val="-3.98909963796632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3.7613921579997982E-2"/>
                  <c:y val="-4.013104682864104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3.4265991626910811E-2"/>
                  <c:y val="-4.140957028175665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3.9124135916658552E-2"/>
                  <c:y val="-4.13391311191563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3.0799351293540451E-2"/>
                  <c:y val="-4.29146042134211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3.5197722914833453E-2"/>
                  <c:y val="-4.130889813989060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4.2248120674167937E-2"/>
                  <c:y val="-4.065592075147779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1.2484229051433112E-2"/>
                  <c:y val="1.739593866486390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5.7786713153240278E-2"/>
                  <c:y val="-2.590165703116302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4.0220935206238491E-2"/>
                  <c:y val="-4.115586254495898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1.8683374165693573E-2"/>
                  <c:y val="-2.977804865078080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6889246059500914E-2"/>
                      <c:h val="5.7450489075958532E-2"/>
                    </c:manualLayout>
                  </c15:layout>
                </c:ext>
              </c:extLst>
            </c:dLbl>
            <c:dLbl>
              <c:idx val="15"/>
              <c:layout>
                <c:manualLayout>
                  <c:x val="-5.5357354447323932E-2"/>
                  <c:y val="1.91654867384702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5.3240754319135199E-2"/>
                  <c:y val="2.75105431884186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5.6745413967879209E-2"/>
                  <c:y val="-4.5162243617915005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5.1570155566687668E-2"/>
                  <c:y val="2.835712104121078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1.8602916634447766E-2"/>
                  <c:y val="2.78930327102106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5.5437716817087035E-2"/>
                  <c:y val="-1.57003441912115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1.7889132778578794E-2"/>
                  <c:y val="-2.519740154295763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9.2118029703970143E-3"/>
                  <c:y val="-5.6446088825387849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2940024231140017E-2"/>
                      <c:h val="6.2314612858493025E-2"/>
                    </c:manualLayout>
                  </c15:layout>
                </c:ext>
              </c:extLst>
            </c:dLbl>
            <c:dLbl>
              <c:idx val="23"/>
              <c:layout>
                <c:manualLayout>
                  <c:x val="-2.5182942264628565E-2"/>
                  <c:y val="3.65870454903195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2.0220578893524733E-2"/>
                  <c:y val="-3.56613919925674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2.31383842691824E-2"/>
                  <c:y val="3.6824473683294438E-2"/>
                </c:manualLayout>
              </c:layout>
              <c:spPr/>
              <c:txPr>
                <a:bodyPr anchor="t" anchorCtr="0"/>
                <a:lstStyle/>
                <a:p>
                  <a:pPr algn="ctr" rtl="0">
                    <a:defRPr lang="en-US" sz="800" b="0" i="0" u="none" strike="noStrike" kern="1200" baseline="0">
                      <a:solidFill>
                        <a:sysClr val="windowText" lastClr="000000"/>
                      </a:solidFill>
                      <a:latin typeface="Fira Sans" pitchFamily="34" charset="0"/>
                      <a:ea typeface="Fira Sans" pitchFamily="34" charset="0"/>
                      <a:cs typeface="+mn-cs"/>
                    </a:defRPr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3961411244358282E-2"/>
                      <c:h val="5.713281828994788E-2"/>
                    </c:manualLayout>
                  </c15:layout>
                </c:ext>
              </c:extLst>
            </c:dLbl>
            <c:dLbl>
              <c:idx val="26"/>
              <c:layout>
                <c:manualLayout>
                  <c:x val="-9.049228508449669E-3"/>
                  <c:y val="-1.145649934899628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7"/>
              <c:layout>
                <c:manualLayout>
                  <c:x val="-2.9224093677136003E-2"/>
                  <c:y val="-3.42589929418557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anchor="t" anchorCtr="0"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endParaRPr lang="pl-PL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'M-12 (+FE)'!$B$38:$B$64</c:f>
              <c:strCache>
                <c:ptCount val="27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  <c:pt idx="23">
                  <c:v>XII</c:v>
                </c:pt>
                <c:pt idx="24">
                  <c:v>I</c:v>
                </c:pt>
                <c:pt idx="25">
                  <c:v>II</c:v>
                </c:pt>
                <c:pt idx="26">
                  <c:v>III</c:v>
                </c:pt>
              </c:strCache>
            </c:strRef>
          </c:cat>
          <c:val>
            <c:numRef>
              <c:f>'M-12 (+FE)'!$C$38:$C$64</c:f>
              <c:numCache>
                <c:formatCode>0.0</c:formatCode>
                <c:ptCount val="27"/>
                <c:pt idx="0">
                  <c:v>0.7</c:v>
                </c:pt>
                <c:pt idx="1">
                  <c:v>1.2</c:v>
                </c:pt>
                <c:pt idx="2">
                  <c:v>1.7</c:v>
                </c:pt>
                <c:pt idx="3">
                  <c:v>2.2000000000000002</c:v>
                </c:pt>
                <c:pt idx="4">
                  <c:v>2.4</c:v>
                </c:pt>
                <c:pt idx="5">
                  <c:v>2.6</c:v>
                </c:pt>
                <c:pt idx="6">
                  <c:v>2.9</c:v>
                </c:pt>
                <c:pt idx="7">
                  <c:v>2.9</c:v>
                </c:pt>
                <c:pt idx="8">
                  <c:v>2.6</c:v>
                </c:pt>
                <c:pt idx="9">
                  <c:v>2.5</c:v>
                </c:pt>
                <c:pt idx="10">
                  <c:v>2.6</c:v>
                </c:pt>
                <c:pt idx="11">
                  <c:v>3.4</c:v>
                </c:pt>
                <c:pt idx="12">
                  <c:v>4.3</c:v>
                </c:pt>
                <c:pt idx="13">
                  <c:v>4.7</c:v>
                </c:pt>
                <c:pt idx="14">
                  <c:v>4.5999999999999996</c:v>
                </c:pt>
                <c:pt idx="15">
                  <c:v>3.4</c:v>
                </c:pt>
                <c:pt idx="16">
                  <c:v>2.9</c:v>
                </c:pt>
                <c:pt idx="17">
                  <c:v>3.3</c:v>
                </c:pt>
                <c:pt idx="18">
                  <c:v>3</c:v>
                </c:pt>
                <c:pt idx="19">
                  <c:v>2.9</c:v>
                </c:pt>
                <c:pt idx="20">
                  <c:v>3.2</c:v>
                </c:pt>
                <c:pt idx="21">
                  <c:v>3.1</c:v>
                </c:pt>
                <c:pt idx="22">
                  <c:v>3</c:v>
                </c:pt>
                <c:pt idx="23">
                  <c:v>2.4</c:v>
                </c:pt>
                <c:pt idx="24">
                  <c:v>2.6</c:v>
                </c:pt>
                <c:pt idx="25">
                  <c:v>2.4</c:v>
                </c:pt>
                <c:pt idx="26">
                  <c:v>3.2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046078816"/>
        <c:axId val="970274544"/>
      </c:lineChart>
      <c:dateAx>
        <c:axId val="1046078816"/>
        <c:scaling>
          <c:orientation val="minMax"/>
        </c:scaling>
        <c:delete val="0"/>
        <c:axPos val="b"/>
        <c:numFmt formatCode="[$-415]mmmmm;@" sourceLinked="0"/>
        <c:majorTickMark val="out"/>
        <c:minorTickMark val="none"/>
        <c:tickLblPos val="low"/>
        <c:spPr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970274544"/>
        <c:crossesAt val="0"/>
        <c:auto val="0"/>
        <c:lblOffset val="100"/>
        <c:baseTimeUnit val="days"/>
      </c:dateAx>
      <c:valAx>
        <c:axId val="970274544"/>
        <c:scaling>
          <c:orientation val="minMax"/>
          <c:max val="5"/>
          <c:min val="0"/>
        </c:scaling>
        <c:delete val="0"/>
        <c:axPos val="l"/>
        <c:majorGridlines>
          <c:spPr>
            <a:ln w="3175">
              <a:solidFill>
                <a:schemeClr val="bg1">
                  <a:lumMod val="50000"/>
                </a:schemeClr>
              </a:solidFill>
              <a:prstDash val="sysDot"/>
            </a:ln>
          </c:spPr>
        </c:majorGridlines>
        <c:numFmt formatCode="0.0" sourceLinked="1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1046078816"/>
        <c:crossesAt val="1"/>
        <c:crossBetween val="between"/>
        <c:majorUnit val="0.5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0.44998</cdr:x>
      <cdr:y>0.86968</cdr:y>
    </cdr:from>
    <cdr:to>
      <cdr:x>0.45041</cdr:x>
      <cdr:y>0.94615</cdr:y>
    </cdr:to>
    <cdr:sp macro="" textlink="">
      <cdr:nvSpPr>
        <cdr:cNvPr id="7" name="Łącznik prosty 6"/>
        <cdr:cNvSpPr/>
      </cdr:nvSpPr>
      <cdr:spPr bwMode="auto">
        <a:xfrm xmlns:a="http://schemas.openxmlformats.org/drawingml/2006/main" flipH="1" flipV="1">
          <a:off x="2310070" y="2231345"/>
          <a:ext cx="2208" cy="196199"/>
        </a:xfrm>
        <a:prstGeom xmlns:a="http://schemas.openxmlformats.org/drawingml/2006/main" prst="line">
          <a:avLst/>
        </a:prstGeom>
        <a:ln xmlns:a="http://schemas.openxmlformats.org/drawingml/2006/main" w="6350">
          <a:solidFill>
            <a:schemeClr val="tx1"/>
          </a:solidFill>
          <a:headEnd type="none" w="med" len="med"/>
          <a:tailEnd type="none" w="med" len="med"/>
        </a:ln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 wrap="square" lIns="18288" tIns="0" rIns="0" bIns="0" upright="1"/>
        <a:lstStyle xmlns:a="http://schemas.openxmlformats.org/drawingml/2006/main"/>
        <a:p xmlns:a="http://schemas.openxmlformats.org/drawingml/2006/main">
          <a:endParaRPr lang="pl-PL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0.06988</cdr:x>
      <cdr:y>0.93898</cdr:y>
    </cdr:from>
    <cdr:to>
      <cdr:x>0.64722</cdr:x>
      <cdr:y>0.99323</cdr:y>
    </cdr:to>
    <cdr:sp macro="" textlink="">
      <cdr:nvSpPr>
        <cdr:cNvPr id="12" name="pole tekstowe 1"/>
        <cdr:cNvSpPr txBox="1"/>
      </cdr:nvSpPr>
      <cdr:spPr>
        <a:xfrm xmlns:a="http://schemas.openxmlformats.org/drawingml/2006/main">
          <a:off x="358042" y="2444751"/>
          <a:ext cx="2958124" cy="14124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0.06721</cdr:x>
      <cdr:y>0.9279</cdr:y>
    </cdr:from>
    <cdr:to>
      <cdr:x>0.48735</cdr:x>
      <cdr:y>0.99268</cdr:y>
    </cdr:to>
    <cdr:sp macro="" textlink="">
      <cdr:nvSpPr>
        <cdr:cNvPr id="13" name="pole tekstowe 1"/>
        <cdr:cNvSpPr txBox="1"/>
      </cdr:nvSpPr>
      <cdr:spPr>
        <a:xfrm xmlns:a="http://schemas.openxmlformats.org/drawingml/2006/main">
          <a:off x="344362" y="2371725"/>
          <a:ext cx="2152654" cy="16556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0.06738</cdr:x>
      <cdr:y>0.9299</cdr:y>
    </cdr:from>
    <cdr:to>
      <cdr:x>0.45144</cdr:x>
      <cdr:y>0.99126</cdr:y>
    </cdr:to>
    <cdr:sp macro="" textlink="">
      <cdr:nvSpPr>
        <cdr:cNvPr id="6" name="pole tekstowe 1"/>
        <cdr:cNvSpPr txBox="1"/>
      </cdr:nvSpPr>
      <cdr:spPr>
        <a:xfrm xmlns:a="http://schemas.openxmlformats.org/drawingml/2006/main">
          <a:off x="345913" y="2385843"/>
          <a:ext cx="1971680" cy="15743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2019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0.45144</cdr:x>
      <cdr:y>0.92877</cdr:y>
    </cdr:from>
    <cdr:to>
      <cdr:x>0.8367</cdr:x>
      <cdr:y>0.99212</cdr:y>
    </cdr:to>
    <cdr:sp macro="" textlink="">
      <cdr:nvSpPr>
        <cdr:cNvPr id="56" name="pole tekstowe 1"/>
        <cdr:cNvSpPr txBox="1"/>
      </cdr:nvSpPr>
      <cdr:spPr>
        <a:xfrm xmlns:a="http://schemas.openxmlformats.org/drawingml/2006/main">
          <a:off x="2317593" y="2382943"/>
          <a:ext cx="1977838" cy="16253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2020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0.83561</cdr:x>
      <cdr:y>0.92414</cdr:y>
    </cdr:from>
    <cdr:to>
      <cdr:x>0.92729</cdr:x>
      <cdr:y>0.99136</cdr:y>
    </cdr:to>
    <cdr:sp macro="" textlink="">
      <cdr:nvSpPr>
        <cdr:cNvPr id="9" name="pole tekstowe 1"/>
        <cdr:cNvSpPr txBox="1"/>
      </cdr:nvSpPr>
      <cdr:spPr>
        <a:xfrm xmlns:a="http://schemas.openxmlformats.org/drawingml/2006/main">
          <a:off x="4289828" y="2371064"/>
          <a:ext cx="470647" cy="17246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2021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0.83452</cdr:x>
      <cdr:y>0.8641</cdr:y>
    </cdr:from>
    <cdr:to>
      <cdr:x>0.83464</cdr:x>
      <cdr:y>0.94533</cdr:y>
    </cdr:to>
    <cdr:sp macro="" textlink="">
      <cdr:nvSpPr>
        <cdr:cNvPr id="10" name="Łącznik prosty 6"/>
        <cdr:cNvSpPr/>
      </cdr:nvSpPr>
      <cdr:spPr bwMode="auto">
        <a:xfrm xmlns:a="http://schemas.openxmlformats.org/drawingml/2006/main" flipV="1">
          <a:off x="4284225" y="2217022"/>
          <a:ext cx="626" cy="208404"/>
        </a:xfrm>
        <a:prstGeom xmlns:a="http://schemas.openxmlformats.org/drawingml/2006/main" prst="line">
          <a:avLst/>
        </a:prstGeom>
        <a:ln xmlns:a="http://schemas.openxmlformats.org/drawingml/2006/main" w="6350">
          <a:solidFill>
            <a:schemeClr val="tx1"/>
          </a:solidFill>
          <a:headEnd type="none" w="med" len="med"/>
          <a:tailEnd type="none" w="med" len="med"/>
        </a:ln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0.06337</cdr:x>
      <cdr:y>0.0639</cdr:y>
    </cdr:from>
    <cdr:to>
      <cdr:x>0.12174</cdr:x>
      <cdr:y>0.18421</cdr:y>
    </cdr:to>
    <cdr:sp macro="" textlink="">
      <cdr:nvSpPr>
        <cdr:cNvPr id="1351681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24736" y="165552"/>
          <a:ext cx="299115" cy="311699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8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  <cdr:relSizeAnchor xmlns:cdr="http://schemas.openxmlformats.org/drawingml/2006/chartDrawing">
    <cdr:from>
      <cdr:x>0.50952</cdr:x>
      <cdr:y>0.48622</cdr:y>
    </cdr:from>
    <cdr:to>
      <cdr:x>0.52447</cdr:x>
      <cdr:y>0.5397</cdr:y>
    </cdr:to>
    <cdr:sp macro="" textlink="">
      <cdr:nvSpPr>
        <cdr:cNvPr id="1351684" name="Text Box 307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232480" y="1407902"/>
          <a:ext cx="65467" cy="15485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  <a:effectLst xmlns:a="http://schemas.openxmlformats.org/drawingml/2006/main"/>
      </cdr:spPr>
      <cdr:txBody>
        <a:bodyPr xmlns:a="http://schemas.openxmlformats.org/drawingml/2006/main" wrap="none" lIns="18288" tIns="18288" rIns="18288" bIns="18288" anchor="ctr" upright="1">
          <a:spAutoFit/>
        </a:bodyPr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pl-PL" sz="800" b="0" i="0" u="none" strike="noStrike" baseline="0">
              <a:solidFill>
                <a:srgbClr val="000000"/>
              </a:solidFill>
              <a:latin typeface="MS Sans Serif"/>
            </a:rPr>
            <a:t> </a:t>
          </a:r>
        </a:p>
      </cdr:txBody>
    </cdr:sp>
  </cdr:relSizeAnchor>
  <cdr:relSizeAnchor xmlns:cdr="http://schemas.openxmlformats.org/drawingml/2006/chartDrawing">
    <cdr:from>
      <cdr:x>0.0649</cdr:x>
      <cdr:y>0.92017</cdr:y>
    </cdr:from>
    <cdr:to>
      <cdr:x>0.55999</cdr:x>
      <cdr:y>0.9836</cdr:y>
    </cdr:to>
    <cdr:sp macro="" textlink="">
      <cdr:nvSpPr>
        <cdr:cNvPr id="5" name="pole tekstowe 1"/>
        <cdr:cNvSpPr txBox="1"/>
      </cdr:nvSpPr>
      <cdr:spPr>
        <a:xfrm xmlns:a="http://schemas.openxmlformats.org/drawingml/2006/main">
          <a:off x="333375" y="2333624"/>
          <a:ext cx="2543175" cy="1608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0.08308</cdr:x>
      <cdr:y>0.92137</cdr:y>
    </cdr:from>
    <cdr:to>
      <cdr:x>0.45083</cdr:x>
      <cdr:y>1</cdr:y>
    </cdr:to>
    <cdr:sp macro="" textlink="">
      <cdr:nvSpPr>
        <cdr:cNvPr id="6" name="pole tekstowe 1"/>
        <cdr:cNvSpPr txBox="1"/>
      </cdr:nvSpPr>
      <cdr:spPr>
        <a:xfrm xmlns:a="http://schemas.openxmlformats.org/drawingml/2006/main">
          <a:off x="424455" y="2372591"/>
          <a:ext cx="1878863" cy="2024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0.06424</cdr:x>
      <cdr:y>0.91859</cdr:y>
    </cdr:from>
    <cdr:to>
      <cdr:x>0.45017</cdr:x>
      <cdr:y>0.98915</cdr:y>
    </cdr:to>
    <cdr:sp macro="" textlink="">
      <cdr:nvSpPr>
        <cdr:cNvPr id="8" name="pole tekstowe 1"/>
        <cdr:cNvSpPr txBox="1"/>
      </cdr:nvSpPr>
      <cdr:spPr>
        <a:xfrm xmlns:a="http://schemas.openxmlformats.org/drawingml/2006/main">
          <a:off x="328765" y="2311199"/>
          <a:ext cx="1975095" cy="17753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2019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0.44894</cdr:x>
      <cdr:y>0.85216</cdr:y>
    </cdr:from>
    <cdr:to>
      <cdr:x>0.44929</cdr:x>
      <cdr:y>0.93575</cdr:y>
    </cdr:to>
    <cdr:sp macro="" textlink="">
      <cdr:nvSpPr>
        <cdr:cNvPr id="10" name="Łącznik prosty 8"/>
        <cdr:cNvSpPr/>
      </cdr:nvSpPr>
      <cdr:spPr bwMode="auto">
        <a:xfrm xmlns:a="http://schemas.openxmlformats.org/drawingml/2006/main" flipV="1">
          <a:off x="2297559" y="2144054"/>
          <a:ext cx="1791" cy="210315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6350" cap="flat" cmpd="sng" algn="ctr">
          <a:solidFill>
            <a:sysClr val="windowText" lastClr="000000"/>
          </a:solidFill>
          <a:prstDash val="solid"/>
          <a:miter lim="800000"/>
          <a:headEnd type="none" w="med" len="med"/>
          <a:tailEnd type="none" w="med" len="med"/>
        </a:ln>
        <a:effectLst xmlns:a="http://schemas.openxmlformats.org/drawingml/2006/main"/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ysClr val="windowText" lastClr="000000"/>
              </a:solidFill>
              <a:latin typeface="Calibri"/>
            </a:defRPr>
          </a:lvl1pPr>
          <a:lvl2pPr marL="457200" indent="0">
            <a:defRPr sz="1100">
              <a:solidFill>
                <a:sysClr val="windowText" lastClr="000000"/>
              </a:solidFill>
              <a:latin typeface="Calibri"/>
            </a:defRPr>
          </a:lvl2pPr>
          <a:lvl3pPr marL="914400" indent="0">
            <a:defRPr sz="1100">
              <a:solidFill>
                <a:sysClr val="windowText" lastClr="000000"/>
              </a:solidFill>
              <a:latin typeface="Calibri"/>
            </a:defRPr>
          </a:lvl3pPr>
          <a:lvl4pPr marL="1371600" indent="0">
            <a:defRPr sz="1100">
              <a:solidFill>
                <a:sysClr val="windowText" lastClr="000000"/>
              </a:solidFill>
              <a:latin typeface="Calibri"/>
            </a:defRPr>
          </a:lvl4pPr>
          <a:lvl5pPr marL="1828800" indent="0">
            <a:defRPr sz="1100">
              <a:solidFill>
                <a:sysClr val="windowText" lastClr="000000"/>
              </a:solidFill>
              <a:latin typeface="Calibri"/>
            </a:defRPr>
          </a:lvl5pPr>
          <a:lvl6pPr marL="2286000" indent="0">
            <a:defRPr sz="1100">
              <a:solidFill>
                <a:sysClr val="windowText" lastClr="000000"/>
              </a:solidFill>
              <a:latin typeface="Calibri"/>
            </a:defRPr>
          </a:lvl6pPr>
          <a:lvl7pPr marL="2743200" indent="0">
            <a:defRPr sz="1100">
              <a:solidFill>
                <a:sysClr val="windowText" lastClr="000000"/>
              </a:solidFill>
              <a:latin typeface="Calibri"/>
            </a:defRPr>
          </a:lvl7pPr>
          <a:lvl8pPr marL="3200400" indent="0">
            <a:defRPr sz="1100">
              <a:solidFill>
                <a:sysClr val="windowText" lastClr="000000"/>
              </a:solidFill>
              <a:latin typeface="Calibri"/>
            </a:defRPr>
          </a:lvl8pPr>
          <a:lvl9pPr marL="3657600" indent="0">
            <a:defRPr sz="1100">
              <a:solidFill>
                <a:sysClr val="windowText" lastClr="000000"/>
              </a:solidFill>
              <a:latin typeface="Calibri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0.83349</cdr:x>
      <cdr:y>0.85305</cdr:y>
    </cdr:from>
    <cdr:to>
      <cdr:x>0.83384</cdr:x>
      <cdr:y>0.93664</cdr:y>
    </cdr:to>
    <cdr:sp macro="" textlink="">
      <cdr:nvSpPr>
        <cdr:cNvPr id="9" name="Łącznik prosty 8"/>
        <cdr:cNvSpPr/>
      </cdr:nvSpPr>
      <cdr:spPr bwMode="auto">
        <a:xfrm xmlns:a="http://schemas.openxmlformats.org/drawingml/2006/main" flipV="1">
          <a:off x="4265601" y="2146299"/>
          <a:ext cx="1791" cy="210314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6350" cap="flat" cmpd="sng" algn="ctr">
          <a:solidFill>
            <a:sysClr val="windowText" lastClr="000000"/>
          </a:solidFill>
          <a:prstDash val="solid"/>
          <a:miter lim="800000"/>
          <a:headEnd type="none" w="med" len="med"/>
          <a:tailEnd type="none" w="med" len="med"/>
        </a:ln>
        <a:effectLst xmlns:a="http://schemas.openxmlformats.org/drawingml/2006/main"/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0.44901</cdr:x>
      <cdr:y>0.91998</cdr:y>
    </cdr:from>
    <cdr:to>
      <cdr:x>0.8352</cdr:x>
      <cdr:y>0.99054</cdr:y>
    </cdr:to>
    <cdr:sp macro="" textlink="">
      <cdr:nvSpPr>
        <cdr:cNvPr id="11" name="pole tekstowe 1"/>
        <cdr:cNvSpPr txBox="1"/>
      </cdr:nvSpPr>
      <cdr:spPr>
        <a:xfrm xmlns:a="http://schemas.openxmlformats.org/drawingml/2006/main">
          <a:off x="2297908" y="2314696"/>
          <a:ext cx="1976436" cy="17753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2020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0.83341</cdr:x>
      <cdr:y>0.92219</cdr:y>
    </cdr:from>
    <cdr:to>
      <cdr:x>0.92941</cdr:x>
      <cdr:y>0.98729</cdr:y>
    </cdr:to>
    <cdr:sp macro="" textlink="">
      <cdr:nvSpPr>
        <cdr:cNvPr id="12" name="pole tekstowe 1"/>
        <cdr:cNvSpPr txBox="1"/>
      </cdr:nvSpPr>
      <cdr:spPr>
        <a:xfrm xmlns:a="http://schemas.openxmlformats.org/drawingml/2006/main">
          <a:off x="4264925" y="2320120"/>
          <a:ext cx="491320" cy="16377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/>
        <a:p xmlns:a="http://schemas.openxmlformats.org/drawingml/2006/main">
          <a:pPr algn="ctr"/>
          <a:r>
            <a:rPr lang="pl-PL" sz="800">
              <a:latin typeface="Fira Sans" panose="020B0503050000020004" pitchFamily="34" charset="0"/>
              <a:ea typeface="Fira Sans" panose="020B0503050000020004" pitchFamily="34" charset="0"/>
            </a:rPr>
            <a:t>2021</a:t>
          </a:r>
          <a:endParaRPr lang="en-GB" sz="800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0.06595</cdr:x>
      <cdr:y>0.45677</cdr:y>
    </cdr:from>
    <cdr:to>
      <cdr:x>0.92602</cdr:x>
      <cdr:y>0.45679</cdr:y>
    </cdr:to>
    <cdr:sp macro="" textlink="">
      <cdr:nvSpPr>
        <cdr:cNvPr id="11" name="Łącznik prosty 10"/>
        <cdr:cNvSpPr/>
      </cdr:nvSpPr>
      <cdr:spPr bwMode="auto">
        <a:xfrm xmlns:a="http://schemas.openxmlformats.org/drawingml/2006/main" flipV="1">
          <a:off x="338518" y="1173355"/>
          <a:ext cx="4414515" cy="51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0.09502</cdr:x>
      <cdr:y>0.93504</cdr:y>
    </cdr:from>
    <cdr:to>
      <cdr:x>0.44296</cdr:x>
      <cdr:y>1</cdr:y>
    </cdr:to>
    <cdr:sp macro="" textlink="">
      <cdr:nvSpPr>
        <cdr:cNvPr id="12" name="pole tekstowe 1"/>
        <cdr:cNvSpPr txBox="1"/>
      </cdr:nvSpPr>
      <cdr:spPr>
        <a:xfrm xmlns:a="http://schemas.openxmlformats.org/drawingml/2006/main">
          <a:off x="485657" y="2412651"/>
          <a:ext cx="1778364" cy="16762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0.06639</cdr:x>
      <cdr:y>0.93049</cdr:y>
    </cdr:from>
    <cdr:to>
      <cdr:x>0.46539</cdr:x>
      <cdr:y>0.99633</cdr:y>
    </cdr:to>
    <cdr:sp macro="" textlink="">
      <cdr:nvSpPr>
        <cdr:cNvPr id="13" name="pole tekstowe 1"/>
        <cdr:cNvSpPr txBox="1"/>
      </cdr:nvSpPr>
      <cdr:spPr>
        <a:xfrm xmlns:a="http://schemas.openxmlformats.org/drawingml/2006/main">
          <a:off x="341169" y="2389435"/>
          <a:ext cx="2050416" cy="16907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0.067</cdr:x>
      <cdr:y>0.62248</cdr:y>
    </cdr:from>
    <cdr:to>
      <cdr:x>0.92803</cdr:x>
      <cdr:y>0.62276</cdr:y>
    </cdr:to>
    <cdr:sp macro="" textlink="">
      <cdr:nvSpPr>
        <cdr:cNvPr id="14" name="Łącznik prosty 13"/>
        <cdr:cNvSpPr/>
      </cdr:nvSpPr>
      <cdr:spPr bwMode="auto">
        <a:xfrm xmlns:a="http://schemas.openxmlformats.org/drawingml/2006/main">
          <a:off x="342442" y="1606171"/>
          <a:ext cx="4400791" cy="722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0.06004</cdr:x>
      <cdr:y>0.29367</cdr:y>
    </cdr:from>
    <cdr:to>
      <cdr:x>0.92444</cdr:x>
      <cdr:y>0.29664</cdr:y>
    </cdr:to>
    <cdr:sp macro="" textlink="">
      <cdr:nvSpPr>
        <cdr:cNvPr id="15" name="Łącznik prosty 14"/>
        <cdr:cNvSpPr/>
      </cdr:nvSpPr>
      <cdr:spPr bwMode="auto">
        <a:xfrm xmlns:a="http://schemas.openxmlformats.org/drawingml/2006/main">
          <a:off x="307075" y="771099"/>
          <a:ext cx="4420779" cy="7796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0.06735</cdr:x>
      <cdr:y>0.92877</cdr:y>
    </cdr:from>
    <cdr:to>
      <cdr:x>0.45038</cdr:x>
      <cdr:y>1</cdr:y>
    </cdr:to>
    <cdr:sp macro="" textlink="">
      <cdr:nvSpPr>
        <cdr:cNvPr id="21" name="pole tekstowe 1"/>
        <cdr:cNvSpPr txBox="1"/>
      </cdr:nvSpPr>
      <cdr:spPr>
        <a:xfrm xmlns:a="http://schemas.openxmlformats.org/drawingml/2006/main">
          <a:off x="344231" y="2396484"/>
          <a:ext cx="1957694" cy="18379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2019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0.45038</cdr:x>
      <cdr:y>0.92877</cdr:y>
    </cdr:from>
    <cdr:to>
      <cdr:x>0.8317</cdr:x>
      <cdr:y>1</cdr:y>
    </cdr:to>
    <cdr:sp macro="" textlink="">
      <cdr:nvSpPr>
        <cdr:cNvPr id="22" name="pole tekstowe 1"/>
        <cdr:cNvSpPr txBox="1"/>
      </cdr:nvSpPr>
      <cdr:spPr>
        <a:xfrm xmlns:a="http://schemas.openxmlformats.org/drawingml/2006/main">
          <a:off x="2301925" y="2396484"/>
          <a:ext cx="1948962" cy="18379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2020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0.45101</cdr:x>
      <cdr:y>0.86543</cdr:y>
    </cdr:from>
    <cdr:to>
      <cdr:x>0.45112</cdr:x>
      <cdr:y>0.94869</cdr:y>
    </cdr:to>
    <cdr:sp macro="" textlink="">
      <cdr:nvSpPr>
        <cdr:cNvPr id="23" name="Łącznik prosty 22"/>
        <cdr:cNvSpPr/>
      </cdr:nvSpPr>
      <cdr:spPr bwMode="auto">
        <a:xfrm xmlns:a="http://schemas.openxmlformats.org/drawingml/2006/main" flipV="1">
          <a:off x="2305152" y="2233044"/>
          <a:ext cx="563" cy="214834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6350" cap="flat" cmpd="sng" algn="ctr">
          <a:solidFill>
            <a:sysClr val="windowText" lastClr="000000"/>
          </a:solidFill>
          <a:prstDash val="solid"/>
          <a:miter lim="800000"/>
          <a:headEnd type="none" w="med" len="med"/>
          <a:tailEnd type="none" w="med" len="med"/>
        </a:ln>
        <a:effectLst xmlns:a="http://schemas.openxmlformats.org/drawingml/2006/main"/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0.14872</cdr:x>
      <cdr:y>0.21792</cdr:y>
    </cdr:from>
    <cdr:to>
      <cdr:x>0.44876</cdr:x>
      <cdr:y>0.29682</cdr:y>
    </cdr:to>
    <cdr:sp macro="" textlink="">
      <cdr:nvSpPr>
        <cdr:cNvPr id="24" name="pole tekstowe 1"/>
        <cdr:cNvSpPr txBox="1"/>
      </cdr:nvSpPr>
      <cdr:spPr>
        <a:xfrm xmlns:a="http://schemas.openxmlformats.org/drawingml/2006/main">
          <a:off x="760613" y="572201"/>
          <a:ext cx="1534491" cy="20717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/>
          <a:r>
            <a:rPr lang="pl-PL" sz="700" b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Odchylenie</a:t>
          </a:r>
          <a:r>
            <a:rPr lang="pl-PL" sz="700" b="0" baseline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 </a:t>
          </a:r>
          <a:r>
            <a:rPr lang="pl-PL" sz="700" b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od celu inflacyjnego</a:t>
          </a:r>
        </a:p>
      </cdr:txBody>
    </cdr:sp>
  </cdr:relSizeAnchor>
  <cdr:relSizeAnchor xmlns:cdr="http://schemas.openxmlformats.org/drawingml/2006/chartDrawing">
    <cdr:from>
      <cdr:x>0.14605</cdr:x>
      <cdr:y>0.61753</cdr:y>
    </cdr:from>
    <cdr:to>
      <cdr:x>0.42724</cdr:x>
      <cdr:y>0.69642</cdr:y>
    </cdr:to>
    <cdr:sp macro="" textlink="">
      <cdr:nvSpPr>
        <cdr:cNvPr id="25" name="pole tekstowe 1"/>
        <cdr:cNvSpPr txBox="1"/>
      </cdr:nvSpPr>
      <cdr:spPr>
        <a:xfrm xmlns:a="http://schemas.openxmlformats.org/drawingml/2006/main">
          <a:off x="746957" y="1621467"/>
          <a:ext cx="1438088" cy="20714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/>
          <a:r>
            <a:rPr lang="pl-PL" sz="700" b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Odchylenie</a:t>
          </a:r>
          <a:r>
            <a:rPr lang="pl-PL" sz="700" b="0" baseline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 </a:t>
          </a:r>
          <a:r>
            <a:rPr lang="pl-PL" sz="700" b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od celu inflacyjnego</a:t>
          </a:r>
        </a:p>
      </cdr:txBody>
    </cdr:sp>
  </cdr:relSizeAnchor>
  <cdr:relSizeAnchor xmlns:cdr="http://schemas.openxmlformats.org/drawingml/2006/chartDrawing">
    <cdr:from>
      <cdr:x>0.43038</cdr:x>
      <cdr:y>0.45196</cdr:y>
    </cdr:from>
    <cdr:to>
      <cdr:x>0.61955</cdr:x>
      <cdr:y>0.53876</cdr:y>
    </cdr:to>
    <cdr:sp macro="" textlink="">
      <cdr:nvSpPr>
        <cdr:cNvPr id="16" name="Tekst 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201886" y="1168480"/>
          <a:ext cx="967827" cy="22441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wrap="square" lIns="27432" tIns="22860" rIns="27432" bIns="22860" anchor="ctr" upright="1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 rtl="0">
            <a:defRPr sz="1000"/>
          </a:pPr>
          <a:r>
            <a:rPr lang="pl-PL" sz="700" b="0" i="0" u="none" strike="noStrike" baseline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 CE"/>
            </a:rPr>
            <a:t>Cel inflacyjny 2,5</a:t>
          </a:r>
        </a:p>
      </cdr:txBody>
    </cdr:sp>
  </cdr:relSizeAnchor>
  <cdr:relSizeAnchor xmlns:cdr="http://schemas.openxmlformats.org/drawingml/2006/chartDrawing">
    <cdr:from>
      <cdr:x>0.8317</cdr:x>
      <cdr:y>0.86596</cdr:y>
    </cdr:from>
    <cdr:to>
      <cdr:x>0.83242</cdr:x>
      <cdr:y>0.95115</cdr:y>
    </cdr:to>
    <cdr:sp macro="" textlink="">
      <cdr:nvSpPr>
        <cdr:cNvPr id="17" name="Łącznik prosty 22"/>
        <cdr:cNvSpPr/>
      </cdr:nvSpPr>
      <cdr:spPr bwMode="auto">
        <a:xfrm xmlns:a="http://schemas.openxmlformats.org/drawingml/2006/main" flipH="1" flipV="1">
          <a:off x="4250884" y="2234409"/>
          <a:ext cx="3666" cy="219811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6350" cap="flat" cmpd="sng" algn="ctr">
          <a:solidFill>
            <a:sysClr val="windowText" lastClr="000000"/>
          </a:solidFill>
          <a:prstDash val="solid"/>
          <a:miter lim="800000"/>
          <a:headEnd type="none" w="med" len="med"/>
          <a:tailEnd type="none" w="med" len="med"/>
        </a:ln>
        <a:effectLst xmlns:a="http://schemas.openxmlformats.org/drawingml/2006/main"/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0.83313</cdr:x>
      <cdr:y>0.92877</cdr:y>
    </cdr:from>
    <cdr:to>
      <cdr:x>0.92775</cdr:x>
      <cdr:y>1</cdr:y>
    </cdr:to>
    <cdr:sp macro="" textlink="">
      <cdr:nvSpPr>
        <cdr:cNvPr id="18" name="pole tekstowe 1"/>
        <cdr:cNvSpPr txBox="1"/>
      </cdr:nvSpPr>
      <cdr:spPr>
        <a:xfrm xmlns:a="http://schemas.openxmlformats.org/drawingml/2006/main">
          <a:off x="4258214" y="2396484"/>
          <a:ext cx="483577" cy="18379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2021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1" ma:contentTypeDescription="Utwórz nowy dokument." ma:contentTypeScope="" ma:versionID="b20bbc3dded4abcf92e167189ff234f7">
  <xsd:schema xmlns:xsd="http://www.w3.org/2001/XMLSchema" xmlns:xs="http://www.w3.org/2001/XMLSchema" xmlns:p="http://schemas.microsoft.com/office/2006/metadata/properties" xmlns:ns2="30d47203-49ec-4c8c-a442-62231931aabb" targetNamespace="http://schemas.microsoft.com/office/2006/metadata/properties" ma:root="true" ma:fieldsID="c1fa5ad568066013d8ffcd1c33bb2164" ns2:_="">
    <xsd:import namespace="30d47203-49ec-4c8c-a442-62231931aabb"/>
    <xsd:element name="properties">
      <xsd:complexType>
        <xsd:sequence>
          <xsd:element name="documentManagement">
            <xsd:complexType>
              <xsd:all>
                <xsd:element ref="ns2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7203-49ec-4c8c-a442-62231931aabb" elementFormDefault="qualified">
    <xsd:import namespace="http://schemas.microsoft.com/office/2006/documentManagement/types"/>
    <xsd:import namespace="http://schemas.microsoft.com/office/infopath/2007/PartnerControls"/>
    <xsd:element name="Kolejno_x015b__x0107_" ma:index="8" nillable="true" ma:displayName="Kolejność" ma:decimals="0" ma:description="sortowanie plików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lejno_x015b__x0107_ xmlns="30d47203-49ec-4c8c-a442-62231931aab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FCB642-C1E9-4590-A884-732586E763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F4DC58-EFEE-42A1-9591-F32E189D2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47203-49ec-4c8c-a442-62231931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D39804-E15D-40D9-A3F2-808567566B96}">
  <ds:schemaRefs>
    <ds:schemaRef ds:uri="http://schemas.microsoft.com/office/2006/metadata/properties"/>
    <ds:schemaRef ds:uri="http://schemas.microsoft.com/office/infopath/2007/PartnerControls"/>
    <ds:schemaRef ds:uri="30d47203-49ec-4c8c-a442-62231931aabb"/>
  </ds:schemaRefs>
</ds:datastoreItem>
</file>

<file path=customXml/itemProps4.xml><?xml version="1.0" encoding="utf-8"?>
<ds:datastoreItem xmlns:ds="http://schemas.openxmlformats.org/officeDocument/2006/customXml" ds:itemID="{288F4594-7594-482F-B769-03BF9E98E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1081</TotalTime>
  <Pages>7</Pages>
  <Words>1360</Words>
  <Characters>8166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Urząd Statystyczny</Company>
  <LinksUpToDate>false</LinksUpToDate>
  <CharactersWithSpaces>9507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Wskaźniki cen towarów i usług konsumpcyjnych w marcu 2021 r.</dc:title>
  <dc:subject>Wskaźniki cen towarów i usług konsumpcyjnych w marcu 2021 r.</dc:subject>
  <dc:creator>Główny Urząd Statystyczny</dc:creator>
  <cp:keywords>inflacja; wskaźniki cen towarów i usług konsumpcyjnych; ceny detaliczne; ceny konsumpcyjne; ceny towarów i usług; żywność; system wag; coicop; hicp; cpi</cp:keywords>
  <cp:lastPrinted>2020-01-13T15:33:00Z</cp:lastPrinted>
  <dcterms:created xsi:type="dcterms:W3CDTF">2018-07-11T11:36:00Z</dcterms:created>
  <dcterms:modified xsi:type="dcterms:W3CDTF">2021-04-15T06:23:00Z</dcterms:modified>
  <cp:category>Wskaźniki cen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