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522" w:rsidRPr="00B24B6C" w:rsidRDefault="00685123" w:rsidP="003047EF">
      <w:pPr>
        <w:pStyle w:val="tytuinformacji"/>
      </w:pPr>
      <w:r w:rsidRPr="00B24B6C">
        <w:t>Wskaźniki cen towarów i usług konsumpcyjnych w</w:t>
      </w:r>
      <w:r w:rsidR="00A90732" w:rsidRPr="00B24B6C">
        <w:t xml:space="preserve"> grudniu </w:t>
      </w:r>
      <w:r w:rsidR="00CF09F2" w:rsidRPr="00B24B6C">
        <w:t>2020</w:t>
      </w:r>
      <w:r w:rsidR="00EE696D" w:rsidRPr="00B24B6C">
        <w:t xml:space="preserve"> r.</w:t>
      </w:r>
    </w:p>
    <w:p w:rsidR="00DA0C7E" w:rsidRPr="00B24B6C" w:rsidRDefault="00DA0C7E" w:rsidP="003047EF">
      <w:pPr>
        <w:pStyle w:val="tytuinformacji"/>
        <w:rPr>
          <w:sz w:val="19"/>
          <w:szCs w:val="19"/>
          <w:highlight w:val="yellow"/>
        </w:rPr>
      </w:pPr>
    </w:p>
    <w:p w:rsidR="0061655B" w:rsidRPr="00D2668A" w:rsidRDefault="001D0BF8" w:rsidP="00CF08EF">
      <w:pPr>
        <w:pStyle w:val="LID"/>
        <w:rPr>
          <w:noProof w:val="0"/>
        </w:rPr>
      </w:pPr>
      <w:r>
        <w:rPr>
          <w:noProof w:val="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8.1pt;width:2in;height:105.8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DF7E46" w:rsidRPr="00D538E4" w:rsidRDefault="00DF7E46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3E1EDF81" wp14:editId="41713DFE">
                        <wp:extent cx="334645" cy="334645"/>
                        <wp:effectExtent l="0" t="0" r="8255" b="8255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2,4</w:t>
                  </w:r>
                  <w:r w:rsidRPr="004D3ABE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DF7E46" w:rsidRDefault="00DF7E46" w:rsidP="00A27522">
                  <w:pPr>
                    <w:pStyle w:val="tekstnaniebieskimtle"/>
                  </w:pPr>
                  <w:r>
                    <w:t xml:space="preserve">wzrost w porównaniu </w:t>
                  </w:r>
                </w:p>
                <w:p w:rsidR="00DF7E46" w:rsidRDefault="00DF7E46" w:rsidP="00A27522">
                  <w:pPr>
                    <w:pStyle w:val="tekstnaniebieskimtle"/>
                  </w:pPr>
                  <w:r>
                    <w:t xml:space="preserve">z analogicznym miesiącem </w:t>
                  </w:r>
                </w:p>
                <w:p w:rsidR="00DF7E46" w:rsidRPr="00D538E4" w:rsidRDefault="00DF7E46" w:rsidP="00A27522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="00D538E4" w:rsidRPr="00721712">
        <w:rPr>
          <w:noProof w:val="0"/>
        </w:rPr>
        <w:t>Ceny t</w:t>
      </w:r>
      <w:r w:rsidR="00A27522" w:rsidRPr="00721712">
        <w:rPr>
          <w:noProof w:val="0"/>
        </w:rPr>
        <w:t>o</w:t>
      </w:r>
      <w:r w:rsidR="00E24A25" w:rsidRPr="00721712">
        <w:rPr>
          <w:noProof w:val="0"/>
        </w:rPr>
        <w:t xml:space="preserve">warów i usług konsumpcyjnych w grudniu </w:t>
      </w:r>
      <w:r w:rsidR="000C08EE" w:rsidRPr="00721712">
        <w:rPr>
          <w:noProof w:val="0"/>
        </w:rPr>
        <w:t>2020</w:t>
      </w:r>
      <w:r w:rsidR="000F2650" w:rsidRPr="00721712">
        <w:rPr>
          <w:noProof w:val="0"/>
        </w:rPr>
        <w:t xml:space="preserve"> r. </w:t>
      </w:r>
      <w:r w:rsidR="00E24A25" w:rsidRPr="00721712">
        <w:rPr>
          <w:noProof w:val="0"/>
        </w:rPr>
        <w:t>w porównaniu z analo</w:t>
      </w:r>
      <w:r w:rsidR="00E24A25" w:rsidRPr="00721712">
        <w:rPr>
          <w:noProof w:val="0"/>
        </w:rPr>
        <w:softHyphen/>
        <w:t>gicznym miesiącem ub. roku wzro</w:t>
      </w:r>
      <w:r w:rsidR="00D2668A" w:rsidRPr="00721712">
        <w:rPr>
          <w:noProof w:val="0"/>
        </w:rPr>
        <w:t>sły o </w:t>
      </w:r>
      <w:r w:rsidR="000C08EE" w:rsidRPr="00721712">
        <w:rPr>
          <w:noProof w:val="0"/>
        </w:rPr>
        <w:t>2</w:t>
      </w:r>
      <w:r w:rsidR="00E24A25" w:rsidRPr="00721712">
        <w:rPr>
          <w:noProof w:val="0"/>
        </w:rPr>
        <w:t xml:space="preserve">,4% (przy wzroście cen usług – o </w:t>
      </w:r>
      <w:r w:rsidR="00005FA6" w:rsidRPr="00721712">
        <w:rPr>
          <w:noProof w:val="0"/>
        </w:rPr>
        <w:t>6,4</w:t>
      </w:r>
      <w:r w:rsidR="00145121" w:rsidRPr="00721712">
        <w:rPr>
          <w:noProof w:val="0"/>
        </w:rPr>
        <w:t xml:space="preserve">% </w:t>
      </w:r>
      <w:r w:rsidR="00E24A25" w:rsidRPr="00721712">
        <w:rPr>
          <w:noProof w:val="0"/>
        </w:rPr>
        <w:t xml:space="preserve">i towarów – o </w:t>
      </w:r>
      <w:r w:rsidR="00005FA6" w:rsidRPr="00721712">
        <w:rPr>
          <w:noProof w:val="0"/>
        </w:rPr>
        <w:t>0,9</w:t>
      </w:r>
      <w:r w:rsidR="00E24A25" w:rsidRPr="00721712">
        <w:rPr>
          <w:noProof w:val="0"/>
        </w:rPr>
        <w:t>%).</w:t>
      </w:r>
      <w:r w:rsidR="0000260E">
        <w:rPr>
          <w:noProof w:val="0"/>
        </w:rPr>
        <w:br/>
      </w:r>
      <w:r w:rsidR="00E24A25" w:rsidRPr="00B24B6C">
        <w:rPr>
          <w:noProof w:val="0"/>
        </w:rPr>
        <w:t xml:space="preserve">W stosunku do poprzedniego miesiąca ceny towarów </w:t>
      </w:r>
      <w:r w:rsidR="00E24A25" w:rsidRPr="0000260E">
        <w:rPr>
          <w:noProof w:val="0"/>
        </w:rPr>
        <w:t xml:space="preserve">i usług wzrosły </w:t>
      </w:r>
      <w:r w:rsidR="006D6B72" w:rsidRPr="0000260E">
        <w:rPr>
          <w:noProof w:val="0"/>
        </w:rPr>
        <w:t>o</w:t>
      </w:r>
      <w:r w:rsidR="00D538E4" w:rsidRPr="0000260E">
        <w:rPr>
          <w:noProof w:val="0"/>
        </w:rPr>
        <w:t xml:space="preserve"> </w:t>
      </w:r>
      <w:r w:rsidR="00005FA6" w:rsidRPr="0000260E">
        <w:rPr>
          <w:noProof w:val="0"/>
        </w:rPr>
        <w:t>0,1</w:t>
      </w:r>
      <w:r w:rsidR="00D538E4" w:rsidRPr="0000260E">
        <w:rPr>
          <w:noProof w:val="0"/>
        </w:rPr>
        <w:t>% (w tym</w:t>
      </w:r>
      <w:r w:rsidR="00AA569E" w:rsidRPr="0000260E">
        <w:rPr>
          <w:noProof w:val="0"/>
        </w:rPr>
        <w:t xml:space="preserve"> </w:t>
      </w:r>
      <w:r w:rsidR="00005FA6" w:rsidRPr="0000260E">
        <w:rPr>
          <w:noProof w:val="0"/>
        </w:rPr>
        <w:t xml:space="preserve">towarów </w:t>
      </w:r>
      <w:r w:rsidR="00D538E4" w:rsidRPr="0000260E">
        <w:rPr>
          <w:noProof w:val="0"/>
        </w:rPr>
        <w:t>–</w:t>
      </w:r>
      <w:r w:rsidR="00B94737" w:rsidRPr="0000260E">
        <w:rPr>
          <w:noProof w:val="0"/>
        </w:rPr>
        <w:t xml:space="preserve"> </w:t>
      </w:r>
      <w:r w:rsidR="00D538E4" w:rsidRPr="0000260E">
        <w:rPr>
          <w:noProof w:val="0"/>
        </w:rPr>
        <w:t>o </w:t>
      </w:r>
      <w:r w:rsidR="00005FA6" w:rsidRPr="0000260E">
        <w:rPr>
          <w:noProof w:val="0"/>
        </w:rPr>
        <w:t>0</w:t>
      </w:r>
      <w:r w:rsidR="00AA569E" w:rsidRPr="0000260E">
        <w:rPr>
          <w:noProof w:val="0"/>
        </w:rPr>
        <w:t>,</w:t>
      </w:r>
      <w:r w:rsidR="00005FA6" w:rsidRPr="0000260E">
        <w:rPr>
          <w:noProof w:val="0"/>
        </w:rPr>
        <w:t>2</w:t>
      </w:r>
      <w:r w:rsidR="00D538E4" w:rsidRPr="0000260E">
        <w:rPr>
          <w:noProof w:val="0"/>
        </w:rPr>
        <w:t>%</w:t>
      </w:r>
      <w:r w:rsidR="009B2242" w:rsidRPr="0000260E">
        <w:rPr>
          <w:noProof w:val="0"/>
        </w:rPr>
        <w:t>; ceny usług utrzymały się na tym samym poziomie).</w:t>
      </w:r>
      <w:r w:rsidR="00D2668A">
        <w:rPr>
          <w:noProof w:val="0"/>
        </w:rPr>
        <w:br/>
      </w:r>
      <w:r w:rsidR="00DF7E46" w:rsidRPr="00B24B6C">
        <w:rPr>
          <w:noProof w:val="0"/>
        </w:rPr>
        <w:t>Wzrost cen towarów i usług kon</w:t>
      </w:r>
      <w:r w:rsidR="00D2668A">
        <w:rPr>
          <w:noProof w:val="0"/>
        </w:rPr>
        <w:t>sumpcyjnych w 2020 r. w </w:t>
      </w:r>
      <w:r w:rsidR="00DF7E46" w:rsidRPr="00B24B6C">
        <w:rPr>
          <w:noProof w:val="0"/>
        </w:rPr>
        <w:t xml:space="preserve">stosunku do </w:t>
      </w:r>
      <w:r w:rsidR="0000260E">
        <w:rPr>
          <w:noProof w:val="0"/>
        </w:rPr>
        <w:t>roku poprzedniego wyniósł 3,4%.</w:t>
      </w:r>
    </w:p>
    <w:p w:rsidR="00A27522" w:rsidRPr="00B24B6C" w:rsidRDefault="00A27522" w:rsidP="00CF08EF">
      <w:pPr>
        <w:pStyle w:val="LID"/>
        <w:rPr>
          <w:noProof w:val="0"/>
          <w:highlight w:val="yellow"/>
        </w:rPr>
      </w:pPr>
    </w:p>
    <w:p w:rsidR="000B60D7" w:rsidRPr="00B24B6C" w:rsidRDefault="00A27522" w:rsidP="00A90732">
      <w:pPr>
        <w:pStyle w:val="tytuwykresu"/>
        <w:spacing w:before="0" w:after="0"/>
        <w:rPr>
          <w:bCs/>
          <w:shd w:val="clear" w:color="auto" w:fill="FFFFFF"/>
        </w:rPr>
      </w:pPr>
      <w:r w:rsidRPr="00B24B6C">
        <w:t>Tablica 1.</w:t>
      </w:r>
      <w:r w:rsidRPr="00B24B6C">
        <w:rPr>
          <w:shd w:val="clear" w:color="auto" w:fill="FFFFFF"/>
        </w:rPr>
        <w:t xml:space="preserve"> </w:t>
      </w:r>
      <w:r w:rsidRPr="00B24B6C">
        <w:rPr>
          <w:bCs/>
          <w:shd w:val="clear" w:color="auto" w:fill="FFFFFF"/>
        </w:rPr>
        <w:t>Wskaźniki cen towarów i usług konsumpcyjnych w</w:t>
      </w:r>
      <w:r w:rsidR="00A90732" w:rsidRPr="00B24B6C">
        <w:rPr>
          <w:bCs/>
          <w:shd w:val="clear" w:color="auto" w:fill="FFFFFF"/>
        </w:rPr>
        <w:t xml:space="preserve"> grudniu </w:t>
      </w:r>
      <w:r w:rsidR="00CF09F2" w:rsidRPr="00B24B6C">
        <w:t>2020</w:t>
      </w:r>
      <w:r w:rsidRPr="00B24B6C">
        <w:t> </w:t>
      </w:r>
      <w:r w:rsidRPr="00B24B6C">
        <w:rPr>
          <w:bCs/>
          <w:shd w:val="clear" w:color="auto" w:fill="FFFFFF"/>
        </w:rPr>
        <w:t>r.</w:t>
      </w:r>
    </w:p>
    <w:p w:rsidR="009A206F" w:rsidRPr="00B24B6C" w:rsidRDefault="009A206F" w:rsidP="00A90732">
      <w:pPr>
        <w:pStyle w:val="tytuwykresu"/>
        <w:spacing w:before="0" w:after="0"/>
        <w:rPr>
          <w:bCs/>
          <w:highlight w:val="yellow"/>
          <w:shd w:val="clear" w:color="auto" w:fill="FFFFFF"/>
        </w:rPr>
      </w:pPr>
    </w:p>
    <w:tbl>
      <w:tblPr>
        <w:tblStyle w:val="Siatkatabelijasna112"/>
        <w:tblpPr w:leftFromText="141" w:rightFromText="141" w:vertAnchor="text" w:horzAnchor="margin" w:tblpY="201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70"/>
        <w:gridCol w:w="1099"/>
        <w:gridCol w:w="992"/>
        <w:gridCol w:w="992"/>
        <w:gridCol w:w="992"/>
        <w:gridCol w:w="993"/>
        <w:gridCol w:w="945"/>
      </w:tblGrid>
      <w:tr w:rsidR="000B60D7" w:rsidRPr="00B24B6C" w:rsidTr="000B60D7">
        <w:trPr>
          <w:cantSplit/>
          <w:trHeight w:val="367"/>
        </w:trPr>
        <w:tc>
          <w:tcPr>
            <w:tcW w:w="2270" w:type="dxa"/>
            <w:vMerge w:val="restart"/>
            <w:vAlign w:val="center"/>
          </w:tcPr>
          <w:p w:rsidR="000B60D7" w:rsidRPr="00B24B6C" w:rsidRDefault="000B60D7" w:rsidP="000B60D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091" w:type="dxa"/>
            <w:gridSpan w:val="2"/>
            <w:vAlign w:val="center"/>
          </w:tcPr>
          <w:p w:rsidR="000B60D7" w:rsidRPr="00B24B6C" w:rsidRDefault="000B60D7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</w:t>
            </w:r>
            <w:r w:rsidR="00B04E38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1984" w:type="dxa"/>
            <w:gridSpan w:val="2"/>
          </w:tcPr>
          <w:p w:rsidR="000B60D7" w:rsidRPr="00B24B6C" w:rsidRDefault="000B60D7" w:rsidP="000B60D7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X-XII</w:t>
            </w:r>
            <w:r w:rsidR="00B04E38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93" w:type="dxa"/>
          </w:tcPr>
          <w:p w:rsidR="000B60D7" w:rsidRPr="00B24B6C" w:rsidRDefault="000B60D7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I-XII</w:t>
            </w:r>
            <w:r w:rsidR="00B04E38" w:rsidRPr="00B24B6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945" w:type="dxa"/>
            <w:vMerge w:val="restart"/>
            <w:vAlign w:val="center"/>
          </w:tcPr>
          <w:p w:rsidR="000B60D7" w:rsidRPr="00B24B6C" w:rsidRDefault="000B60D7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WPŁYW ZMIAN</w:t>
            </w:r>
          </w:p>
          <w:p w:rsidR="000B60D7" w:rsidRPr="00B24B6C" w:rsidRDefault="000B60D7" w:rsidP="000B60D7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XI</w:t>
            </w:r>
            <w:r w:rsidR="00B04E38" w:rsidRPr="00B24B6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2020</w:t>
            </w:r>
            <w:r w:rsidRPr="00B24B6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=</w:t>
            </w:r>
            <w:r w:rsidRPr="00B24B6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0B60D7" w:rsidRPr="00B24B6C" w:rsidTr="00145121">
        <w:trPr>
          <w:cantSplit/>
          <w:trHeight w:val="57"/>
        </w:trPr>
        <w:tc>
          <w:tcPr>
            <w:tcW w:w="2270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B24B6C" w:rsidRDefault="000B60D7" w:rsidP="000B60D7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099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B04E38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2019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B04E38" w:rsidP="00B04E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 2020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0B60D7" w:rsidP="00B04E38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X-XII 201</w:t>
            </w:r>
            <w:r w:rsidR="00B04E38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B04E38" w:rsidP="0014512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VII-IX 2020</w:t>
            </w:r>
            <w:r w:rsidR="000B60D7"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bottom w:val="single" w:sz="12" w:space="0" w:color="212492"/>
            </w:tcBorders>
            <w:vAlign w:val="center"/>
          </w:tcPr>
          <w:p w:rsidR="000B60D7" w:rsidRPr="00B24B6C" w:rsidRDefault="000B60D7" w:rsidP="00145121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I-XII 201</w:t>
            </w:r>
            <w:r w:rsidR="00B04E38" w:rsidRPr="00B24B6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9</w:t>
            </w:r>
            <w:r w:rsidRPr="00B24B6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45" w:type="dxa"/>
            <w:vMerge/>
            <w:tcBorders>
              <w:bottom w:val="single" w:sz="12" w:space="0" w:color="212492"/>
            </w:tcBorders>
            <w:vAlign w:val="center"/>
          </w:tcPr>
          <w:p w:rsidR="000B60D7" w:rsidRPr="00B24B6C" w:rsidRDefault="000B60D7" w:rsidP="000B60D7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41762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099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b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b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93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b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94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41762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Żywność i napoje </w:t>
            </w:r>
            <w:r w:rsidRPr="00B24B6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bezalkoholowe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-0,01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41762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 xml:space="preserve">Napoje alkoholowe </w:t>
            </w:r>
            <w:r w:rsidRPr="00B24B6C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98,5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96,7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-0,07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1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B24B6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 prowadzenie gospodarstwa domowego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101,7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94,3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95,1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0,19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0,03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105,4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109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93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94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9731D6" w:rsidRPr="00B24B6C" w:rsidTr="000C08EE">
        <w:trPr>
          <w:cantSplit/>
          <w:trHeight w:val="57"/>
        </w:trPr>
        <w:tc>
          <w:tcPr>
            <w:tcW w:w="2270" w:type="dxa"/>
            <w:tcBorders>
              <w:top w:val="single" w:sz="4" w:space="0" w:color="212492"/>
              <w:bottom w:val="nil"/>
            </w:tcBorders>
            <w:vAlign w:val="center"/>
          </w:tcPr>
          <w:p w:rsidR="009731D6" w:rsidRPr="00B24B6C" w:rsidRDefault="009731D6" w:rsidP="00FD39F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24B6C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1099" w:type="dxa"/>
            <w:tcBorders>
              <w:top w:val="single" w:sz="4" w:space="0" w:color="212492"/>
              <w:bottom w:val="nil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99,7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993" w:type="dxa"/>
            <w:tcBorders>
              <w:top w:val="single" w:sz="4" w:space="0" w:color="212492"/>
              <w:bottom w:val="nil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45" w:type="dxa"/>
            <w:tcBorders>
              <w:top w:val="single" w:sz="4" w:space="0" w:color="212492"/>
              <w:bottom w:val="nil"/>
            </w:tcBorders>
            <w:vAlign w:val="center"/>
          </w:tcPr>
          <w:p w:rsidR="009731D6" w:rsidRPr="00B24B6C" w:rsidRDefault="009731D6" w:rsidP="000C08EE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24B6C">
              <w:rPr>
                <w:rFonts w:cs="Arial"/>
                <w:color w:val="000000" w:themeColor="text1"/>
                <w:sz w:val="16"/>
                <w:szCs w:val="16"/>
              </w:rPr>
              <w:t>-0,02</w:t>
            </w:r>
          </w:p>
        </w:tc>
      </w:tr>
    </w:tbl>
    <w:p w:rsidR="00A07F00" w:rsidRPr="00B24B6C" w:rsidRDefault="000B5393" w:rsidP="00296EB3">
      <w:pPr>
        <w:spacing w:line="240" w:lineRule="auto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lastRenderedPageBreak/>
        <w:t>Wpływ</w:t>
      </w:r>
      <w:r w:rsidR="00A07F00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zmian cen na wskaźnik</w:t>
      </w:r>
      <w:r w:rsidR="00B97152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cen</w:t>
      </w:r>
      <w:r w:rsidR="00A07F00" w:rsidRPr="00B24B6C"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  <w:t xml:space="preserve"> towarów i usług konsumpcyjnych ogółem</w:t>
      </w:r>
    </w:p>
    <w:p w:rsidR="00A07F00" w:rsidRPr="00B24B6C" w:rsidRDefault="00A07F00" w:rsidP="00285768">
      <w:pPr>
        <w:rPr>
          <w:highlight w:val="yellow"/>
        </w:rPr>
      </w:pPr>
      <w:r w:rsidRPr="00B24B6C">
        <w:t>W</w:t>
      </w:r>
      <w:r w:rsidR="00A90732" w:rsidRPr="00B24B6C">
        <w:t xml:space="preserve"> grudniu </w:t>
      </w:r>
      <w:r w:rsidRPr="00B24B6C">
        <w:t xml:space="preserve">br. w porównaniu z poprzednim miesiącem największy wpływ na wskaźnik cen </w:t>
      </w:r>
      <w:r w:rsidR="00917CCF" w:rsidRPr="00B24B6C">
        <w:br/>
      </w:r>
      <w:r w:rsidRPr="00B24B6C">
        <w:t xml:space="preserve">towarów i usług konsumpcyjnych ogółem miały </w:t>
      </w:r>
      <w:r w:rsidR="005316C2" w:rsidRPr="00B24B6C">
        <w:t>wyższe</w:t>
      </w:r>
      <w:r w:rsidRPr="00B24B6C">
        <w:t xml:space="preserve"> ceny </w:t>
      </w:r>
      <w:r w:rsidR="00F04C11" w:rsidRPr="00B24B6C">
        <w:t xml:space="preserve">w zakresie </w:t>
      </w:r>
      <w:r w:rsidR="00A60AEE" w:rsidRPr="00B24B6C">
        <w:t xml:space="preserve">transportu </w:t>
      </w:r>
      <w:r w:rsidR="00FA0677" w:rsidRPr="00B24B6C">
        <w:t>(o </w:t>
      </w:r>
      <w:r w:rsidR="00026FBB" w:rsidRPr="00B24B6C">
        <w:t>2,1</w:t>
      </w:r>
      <w:r w:rsidR="006920EA" w:rsidRPr="00B24B6C">
        <w:t>%)</w:t>
      </w:r>
      <w:r w:rsidR="00026FBB" w:rsidRPr="00B24B6C">
        <w:t xml:space="preserve">, </w:t>
      </w:r>
      <w:r w:rsidR="00026FBB" w:rsidRPr="00065CCC">
        <w:t>mieszkania (</w:t>
      </w:r>
      <w:r w:rsidR="009B1414" w:rsidRPr="00065CCC">
        <w:t>o 0,1%)</w:t>
      </w:r>
      <w:r w:rsidR="00026FBB" w:rsidRPr="00065CCC">
        <w:t xml:space="preserve"> oraz rekreacji i kultury </w:t>
      </w:r>
      <w:r w:rsidR="005316C2" w:rsidRPr="00065CCC">
        <w:t xml:space="preserve">(o </w:t>
      </w:r>
      <w:r w:rsidR="009B1414" w:rsidRPr="00065CCC">
        <w:t>0,4</w:t>
      </w:r>
      <w:r w:rsidR="006920EA" w:rsidRPr="00065CCC">
        <w:t>%)</w:t>
      </w:r>
      <w:r w:rsidR="00B611C1" w:rsidRPr="00065CCC">
        <w:t xml:space="preserve">, </w:t>
      </w:r>
      <w:r w:rsidRPr="00065CCC">
        <w:t xml:space="preserve">które </w:t>
      </w:r>
      <w:r w:rsidR="005316C2" w:rsidRPr="00065CCC">
        <w:t xml:space="preserve">podwyższyły </w:t>
      </w:r>
      <w:r w:rsidR="00B611C1" w:rsidRPr="00065CCC">
        <w:t>wskaźnik odpowi</w:t>
      </w:r>
      <w:r w:rsidR="005316C2" w:rsidRPr="00065CCC">
        <w:t>ed</w:t>
      </w:r>
      <w:r w:rsidR="009B1414" w:rsidRPr="00065CCC">
        <w:t>nio o 0,19</w:t>
      </w:r>
      <w:r w:rsidR="00DE64C5" w:rsidRPr="00065CCC">
        <w:t xml:space="preserve"> p. proc.</w:t>
      </w:r>
      <w:r w:rsidR="009B1414" w:rsidRPr="00065CCC">
        <w:t xml:space="preserve"> i po 0,03</w:t>
      </w:r>
      <w:r w:rsidR="003A7D83" w:rsidRPr="00065CCC">
        <w:t> </w:t>
      </w:r>
      <w:r w:rsidR="00DE64C5" w:rsidRPr="00065CCC">
        <w:t>p. </w:t>
      </w:r>
      <w:r w:rsidR="00B611C1" w:rsidRPr="00065CCC">
        <w:t xml:space="preserve">proc. </w:t>
      </w:r>
      <w:r w:rsidR="005316C2" w:rsidRPr="00065CCC">
        <w:t>Niższe</w:t>
      </w:r>
      <w:r w:rsidRPr="00065CCC">
        <w:t xml:space="preserve"> ceny </w:t>
      </w:r>
      <w:r w:rsidR="00B611C1" w:rsidRPr="00065CCC">
        <w:t xml:space="preserve">odzieży i obuwia </w:t>
      </w:r>
      <w:r w:rsidR="00486EE6" w:rsidRPr="00065CCC">
        <w:t xml:space="preserve">(o </w:t>
      </w:r>
      <w:r w:rsidR="00534040" w:rsidRPr="00065CCC">
        <w:rPr>
          <w:spacing w:val="-2"/>
        </w:rPr>
        <w:t>1,5</w:t>
      </w:r>
      <w:r w:rsidR="00486EE6" w:rsidRPr="00065CCC">
        <w:t xml:space="preserve">%) </w:t>
      </w:r>
      <w:r w:rsidR="00534040" w:rsidRPr="00065CCC">
        <w:rPr>
          <w:spacing w:val="-2"/>
        </w:rPr>
        <w:t xml:space="preserve">oraz łączności (o 0,6%) </w:t>
      </w:r>
      <w:r w:rsidR="005316C2" w:rsidRPr="00065CCC">
        <w:t>obniżyły</w:t>
      </w:r>
      <w:r w:rsidRPr="00065CCC">
        <w:t xml:space="preserve"> ten wskaźnik </w:t>
      </w:r>
      <w:r w:rsidR="00534040" w:rsidRPr="00065CCC">
        <w:t>odpowiednio o 0,07</w:t>
      </w:r>
      <w:r w:rsidR="00B611C1" w:rsidRPr="00065CCC">
        <w:t xml:space="preserve"> p. proc</w:t>
      </w:r>
      <w:r w:rsidR="005316C2" w:rsidRPr="00065CCC">
        <w:t>.</w:t>
      </w:r>
      <w:r w:rsidR="00534040" w:rsidRPr="00065CCC">
        <w:t xml:space="preserve"> i 0,03 p. proc.</w:t>
      </w:r>
      <w:r w:rsidR="00917CCF" w:rsidRPr="00B24B6C">
        <w:rPr>
          <w:highlight w:val="yellow"/>
        </w:rPr>
        <w:br/>
      </w:r>
      <w:r w:rsidRPr="00B24B6C">
        <w:t xml:space="preserve">W porównaniu z miesiącem </w:t>
      </w:r>
      <w:r w:rsidRPr="00B56D54">
        <w:t xml:space="preserve">analogicznym poprzedniego roku wyższe ceny </w:t>
      </w:r>
      <w:r w:rsidR="00451932" w:rsidRPr="00B56D54">
        <w:t xml:space="preserve">w zakresie mieszkania </w:t>
      </w:r>
      <w:r w:rsidRPr="00B56D54">
        <w:t>(o </w:t>
      </w:r>
      <w:r w:rsidR="00451932" w:rsidRPr="00B56D54">
        <w:t>6,2</w:t>
      </w:r>
      <w:r w:rsidR="00674A8B" w:rsidRPr="00B56D54">
        <w:t>%)</w:t>
      </w:r>
      <w:r w:rsidR="004B4C23" w:rsidRPr="00B56D54">
        <w:t>,</w:t>
      </w:r>
      <w:r w:rsidR="00C11CBD" w:rsidRPr="00B56D54">
        <w:t xml:space="preserve"> </w:t>
      </w:r>
      <w:r w:rsidR="00451932" w:rsidRPr="00B56D54">
        <w:t xml:space="preserve">restauracji i hoteli (o 5,7%), </w:t>
      </w:r>
      <w:r w:rsidR="009F7A99" w:rsidRPr="00B56D54">
        <w:t xml:space="preserve">ceny </w:t>
      </w:r>
      <w:r w:rsidR="002906EA" w:rsidRPr="00B56D54">
        <w:t xml:space="preserve">napojów alkoholowych i </w:t>
      </w:r>
      <w:r w:rsidR="009F7A99" w:rsidRPr="00B56D54">
        <w:t>wyrobów tytoniowych</w:t>
      </w:r>
      <w:r w:rsidR="00B24B6C" w:rsidRPr="00B56D54">
        <w:t xml:space="preserve"> </w:t>
      </w:r>
      <w:r w:rsidR="002906EA" w:rsidRPr="00B56D54">
        <w:t xml:space="preserve">(o 4,3%) oraz </w:t>
      </w:r>
      <w:r w:rsidR="009F7A99" w:rsidRPr="00B56D54">
        <w:t xml:space="preserve">w zakresie </w:t>
      </w:r>
      <w:r w:rsidR="002906EA" w:rsidRPr="00B56D54">
        <w:t xml:space="preserve">zdrowia (o 5,1%) </w:t>
      </w:r>
      <w:r w:rsidRPr="00B56D54">
        <w:t>pod</w:t>
      </w:r>
      <w:r w:rsidRPr="00B56D54">
        <w:softHyphen/>
      </w:r>
      <w:r w:rsidR="00D401C9" w:rsidRPr="00B56D54">
        <w:t>wyższyły</w:t>
      </w:r>
      <w:r w:rsidRPr="00B56D54">
        <w:t xml:space="preserve"> wskaźnik </w:t>
      </w:r>
      <w:r w:rsidR="00E82C7E" w:rsidRPr="00B56D54">
        <w:t>cen towarów i </w:t>
      </w:r>
      <w:r w:rsidR="00D401C9" w:rsidRPr="00B56D54">
        <w:t xml:space="preserve">usług konsumpcyjnych </w:t>
      </w:r>
      <w:r w:rsidRPr="00B56D54">
        <w:t>odpowiednio o </w:t>
      </w:r>
      <w:r w:rsidR="00435D6D" w:rsidRPr="00B56D54">
        <w:t>1,49</w:t>
      </w:r>
      <w:r w:rsidRPr="00B56D54">
        <w:t xml:space="preserve"> p. proc.</w:t>
      </w:r>
      <w:r w:rsidR="004B4C23" w:rsidRPr="00B56D54">
        <w:t>,</w:t>
      </w:r>
      <w:r w:rsidR="00435D6D" w:rsidRPr="00B56D54">
        <w:t xml:space="preserve"> 0,35</w:t>
      </w:r>
      <w:r w:rsidR="00B250D5" w:rsidRPr="00B56D54">
        <w:t xml:space="preserve"> p. proc.</w:t>
      </w:r>
      <w:r w:rsidR="00435D6D" w:rsidRPr="00B56D54">
        <w:t xml:space="preserve"> i po </w:t>
      </w:r>
      <w:r w:rsidR="009D1423" w:rsidRPr="00B56D54">
        <w:t>0,</w:t>
      </w:r>
      <w:r w:rsidR="00435D6D" w:rsidRPr="00B56D54">
        <w:t>27</w:t>
      </w:r>
      <w:r w:rsidR="00FA0677" w:rsidRPr="00B56D54">
        <w:t> </w:t>
      </w:r>
      <w:r w:rsidR="009D1423" w:rsidRPr="00B56D54">
        <w:t>p. proc</w:t>
      </w:r>
      <w:r w:rsidRPr="00B56D54">
        <w:t>.</w:t>
      </w:r>
      <w:r w:rsidR="004B4C23" w:rsidRPr="00B56D54">
        <w:t xml:space="preserve"> </w:t>
      </w:r>
      <w:r w:rsidRPr="00B56D54">
        <w:rPr>
          <w:spacing w:val="-2"/>
        </w:rPr>
        <w:t>Niższe ceny</w:t>
      </w:r>
      <w:r w:rsidR="00C11CBD" w:rsidRPr="00B56D54">
        <w:rPr>
          <w:spacing w:val="-2"/>
        </w:rPr>
        <w:t xml:space="preserve"> </w:t>
      </w:r>
      <w:r w:rsidR="00351D21" w:rsidRPr="00B56D54">
        <w:rPr>
          <w:spacing w:val="-2"/>
        </w:rPr>
        <w:t>w </w:t>
      </w:r>
      <w:r w:rsidR="004469A3" w:rsidRPr="00B56D54">
        <w:rPr>
          <w:spacing w:val="-2"/>
        </w:rPr>
        <w:t xml:space="preserve">zakresie transportu (o 5,7%) oraz </w:t>
      </w:r>
      <w:r w:rsidR="00C11CBD" w:rsidRPr="00B56D54">
        <w:rPr>
          <w:spacing w:val="-2"/>
        </w:rPr>
        <w:t>odzieży i obuwia</w:t>
      </w:r>
      <w:r w:rsidR="003405A4" w:rsidRPr="00B56D54">
        <w:rPr>
          <w:spacing w:val="-2"/>
        </w:rPr>
        <w:t xml:space="preserve"> (</w:t>
      </w:r>
      <w:r w:rsidR="003405A4" w:rsidRPr="00B24B6C">
        <w:rPr>
          <w:spacing w:val="-2"/>
        </w:rPr>
        <w:t xml:space="preserve">o </w:t>
      </w:r>
      <w:r w:rsidR="004469A3" w:rsidRPr="00B24B6C">
        <w:rPr>
          <w:spacing w:val="-2"/>
        </w:rPr>
        <w:t>4,1</w:t>
      </w:r>
      <w:r w:rsidR="003405A4" w:rsidRPr="00B24B6C">
        <w:rPr>
          <w:spacing w:val="-2"/>
        </w:rPr>
        <w:t>%)</w:t>
      </w:r>
      <w:r w:rsidR="009B1414" w:rsidRPr="00B24B6C">
        <w:rPr>
          <w:spacing w:val="-2"/>
        </w:rPr>
        <w:t xml:space="preserve"> </w:t>
      </w:r>
      <w:r w:rsidRPr="00B24B6C">
        <w:rPr>
          <w:spacing w:val="-2"/>
        </w:rPr>
        <w:t xml:space="preserve">obniżyły </w:t>
      </w:r>
      <w:r w:rsidR="00D401C9" w:rsidRPr="00B24B6C">
        <w:rPr>
          <w:spacing w:val="-2"/>
        </w:rPr>
        <w:t xml:space="preserve">ten </w:t>
      </w:r>
      <w:r w:rsidRPr="00B24B6C">
        <w:rPr>
          <w:spacing w:val="-2"/>
        </w:rPr>
        <w:t>wskaźnik</w:t>
      </w:r>
      <w:r w:rsidR="00920FC4" w:rsidRPr="00B24B6C">
        <w:rPr>
          <w:spacing w:val="-2"/>
        </w:rPr>
        <w:t xml:space="preserve"> odpowiednio</w:t>
      </w:r>
      <w:r w:rsidRPr="00B24B6C">
        <w:rPr>
          <w:spacing w:val="-2"/>
        </w:rPr>
        <w:t xml:space="preserve"> o</w:t>
      </w:r>
      <w:r w:rsidR="00A06D23" w:rsidRPr="00B24B6C">
        <w:rPr>
          <w:spacing w:val="-2"/>
        </w:rPr>
        <w:t> </w:t>
      </w:r>
      <w:r w:rsidR="00920FC4" w:rsidRPr="00B24B6C">
        <w:rPr>
          <w:spacing w:val="-2"/>
        </w:rPr>
        <w:t>0,5</w:t>
      </w:r>
      <w:r w:rsidR="00C11CBD" w:rsidRPr="00B24B6C">
        <w:rPr>
          <w:spacing w:val="-2"/>
        </w:rPr>
        <w:t>6</w:t>
      </w:r>
      <w:r w:rsidR="00A06D23" w:rsidRPr="00B24B6C">
        <w:rPr>
          <w:spacing w:val="-2"/>
        </w:rPr>
        <w:t> </w:t>
      </w:r>
      <w:r w:rsidR="003A7D83" w:rsidRPr="00B24B6C">
        <w:rPr>
          <w:spacing w:val="-2"/>
        </w:rPr>
        <w:t>p. </w:t>
      </w:r>
      <w:r w:rsidR="00CC6180" w:rsidRPr="00B24B6C">
        <w:rPr>
          <w:spacing w:val="-2"/>
        </w:rPr>
        <w:t>proc</w:t>
      </w:r>
      <w:r w:rsidRPr="00B24B6C">
        <w:rPr>
          <w:spacing w:val="-2"/>
        </w:rPr>
        <w:t>.</w:t>
      </w:r>
      <w:r w:rsidR="00920FC4" w:rsidRPr="00B24B6C">
        <w:rPr>
          <w:spacing w:val="-2"/>
        </w:rPr>
        <w:t xml:space="preserve"> i 0,20 p. proc.</w:t>
      </w:r>
    </w:p>
    <w:p w:rsidR="00A07F00" w:rsidRPr="00B24B6C" w:rsidRDefault="00A07F00" w:rsidP="00C27D75">
      <w:pPr>
        <w:rPr>
          <w:highlight w:val="yellow"/>
        </w:rPr>
      </w:pPr>
    </w:p>
    <w:p w:rsidR="00A07F00" w:rsidRPr="00B24B6C" w:rsidRDefault="006E14B3" w:rsidP="00B617A5">
      <w:pPr>
        <w:pStyle w:val="tytuwykresu"/>
        <w:ind w:left="794" w:hanging="794"/>
        <w:rPr>
          <w:highlight w:val="yellow"/>
          <w:shd w:val="clear" w:color="auto" w:fill="FFFFFF"/>
        </w:rPr>
      </w:pPr>
      <w:r w:rsidRPr="00B24B6C"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0FDE2753" wp14:editId="5897679E">
            <wp:simplePos x="0" y="0"/>
            <wp:positionH relativeFrom="column">
              <wp:posOffset>-76200</wp:posOffset>
            </wp:positionH>
            <wp:positionV relativeFrom="paragraph">
              <wp:posOffset>393700</wp:posOffset>
            </wp:positionV>
            <wp:extent cx="5122545" cy="254825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F00" w:rsidRPr="00B24B6C">
        <w:t xml:space="preserve">Wykres </w:t>
      </w:r>
      <w:r w:rsidR="00761070" w:rsidRPr="00B24B6C">
        <w:t>1</w:t>
      </w:r>
      <w:r w:rsidR="00A07F00" w:rsidRPr="00B24B6C">
        <w:t>.</w:t>
      </w:r>
      <w:r w:rsidR="00A07F00" w:rsidRPr="00B24B6C">
        <w:rPr>
          <w:shd w:val="clear" w:color="auto" w:fill="FFFFFF"/>
        </w:rPr>
        <w:t xml:space="preserve"> Wpływ zmian cen wybranych grup t</w:t>
      </w:r>
      <w:r w:rsidR="00A90732" w:rsidRPr="00B24B6C">
        <w:rPr>
          <w:shd w:val="clear" w:color="auto" w:fill="FFFFFF"/>
        </w:rPr>
        <w:t xml:space="preserve">owarów i usług konsumpcyjnych w grudniu </w:t>
      </w:r>
      <w:r w:rsidR="00873B73" w:rsidRPr="00B24B6C">
        <w:rPr>
          <w:shd w:val="clear" w:color="auto" w:fill="FFFFFF"/>
        </w:rPr>
        <w:t>2020</w:t>
      </w:r>
      <w:r w:rsidR="00A07F00" w:rsidRPr="00B24B6C">
        <w:rPr>
          <w:shd w:val="clear" w:color="auto" w:fill="FFFFFF"/>
        </w:rPr>
        <w:t xml:space="preserve"> r.</w:t>
      </w:r>
      <w:r w:rsidR="0051646A" w:rsidRPr="00B24B6C">
        <w:rPr>
          <w:shd w:val="clear" w:color="auto" w:fill="FFFFFF"/>
          <w:lang w:eastAsia="pl-PL"/>
        </w:rPr>
        <w:br/>
        <w:t>(z</w:t>
      </w:r>
      <w:r w:rsidR="0051646A" w:rsidRPr="00B24B6C">
        <w:rPr>
          <w:shd w:val="clear" w:color="auto" w:fill="FFFFFF"/>
        </w:rPr>
        <w:t>miana w p. proc. do okresu poprzedniego)</w:t>
      </w:r>
    </w:p>
    <w:p w:rsidR="00F60B5D" w:rsidRPr="00B24B6C" w:rsidRDefault="00F60B5D" w:rsidP="00B617A5">
      <w:pPr>
        <w:pStyle w:val="tytuwykresu"/>
        <w:ind w:left="794" w:hanging="794"/>
        <w:rPr>
          <w:highlight w:val="yellow"/>
          <w:shd w:val="clear" w:color="auto" w:fill="FFFFFF"/>
        </w:rPr>
      </w:pPr>
    </w:p>
    <w:p w:rsidR="00C73B5E" w:rsidRPr="00B24B6C" w:rsidRDefault="00F42746" w:rsidP="00B617A5">
      <w:pPr>
        <w:spacing w:before="0" w:after="160" w:line="259" w:lineRule="auto"/>
        <w:ind w:left="794" w:hanging="794"/>
        <w:rPr>
          <w:b/>
          <w:spacing w:val="-2"/>
          <w:sz w:val="18"/>
          <w:highlight w:val="yellow"/>
        </w:rPr>
      </w:pPr>
      <w:r w:rsidRPr="00B24B6C"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anchorId="436EED08" wp14:editId="118818DC">
            <wp:simplePos x="0" y="0"/>
            <wp:positionH relativeFrom="column">
              <wp:posOffset>-78105</wp:posOffset>
            </wp:positionH>
            <wp:positionV relativeFrom="paragraph">
              <wp:posOffset>417195</wp:posOffset>
            </wp:positionV>
            <wp:extent cx="5122545" cy="3599815"/>
            <wp:effectExtent l="0" t="0" r="0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99" w:rsidRPr="00B24B6C">
        <w:rPr>
          <w:b/>
          <w:spacing w:val="-2"/>
          <w:sz w:val="18"/>
        </w:rPr>
        <w:t xml:space="preserve">Wykres 2. System wag stosowany w obliczeniach wskaźników cen towarów i usług </w:t>
      </w:r>
      <w:r w:rsidR="00B617A5" w:rsidRPr="00B24B6C">
        <w:rPr>
          <w:b/>
          <w:spacing w:val="-2"/>
          <w:sz w:val="18"/>
        </w:rPr>
        <w:br/>
      </w:r>
      <w:r w:rsidR="00873B73" w:rsidRPr="00B24B6C">
        <w:rPr>
          <w:b/>
          <w:spacing w:val="-2"/>
          <w:sz w:val="18"/>
        </w:rPr>
        <w:t>konsumpcyjnych w 2020</w:t>
      </w:r>
      <w:r w:rsidR="005F4399" w:rsidRPr="00B24B6C">
        <w:rPr>
          <w:b/>
          <w:spacing w:val="-2"/>
          <w:sz w:val="18"/>
        </w:rPr>
        <w:t xml:space="preserve"> r.</w:t>
      </w:r>
      <w:r w:rsidR="00C73B5E" w:rsidRPr="00B24B6C">
        <w:rPr>
          <w:highlight w:val="yellow"/>
        </w:rPr>
        <w:br w:type="page"/>
      </w:r>
    </w:p>
    <w:p w:rsidR="003A440F" w:rsidRPr="00B24B6C" w:rsidRDefault="00214CA5" w:rsidP="00C27D75">
      <w:pPr>
        <w:pStyle w:val="tytuwykresu"/>
        <w:rPr>
          <w:b w:val="0"/>
          <w:highlight w:val="yellow"/>
          <w:shd w:val="clear" w:color="auto" w:fill="FFFFFF"/>
          <w:lang w:eastAsia="pl-PL"/>
        </w:rPr>
      </w:pPr>
      <w:r w:rsidRPr="00B24B6C">
        <w:rPr>
          <w:noProof/>
          <w:lang w:eastAsia="pl-PL"/>
        </w:rPr>
        <w:lastRenderedPageBreak/>
        <w:drawing>
          <wp:anchor distT="0" distB="0" distL="114300" distR="114300" simplePos="0" relativeHeight="251787264" behindDoc="0" locked="0" layoutInCell="1" allowOverlap="1" wp14:anchorId="2D2E784E" wp14:editId="6ACA0DA4">
            <wp:simplePos x="0" y="0"/>
            <wp:positionH relativeFrom="column">
              <wp:posOffset>3810</wp:posOffset>
            </wp:positionH>
            <wp:positionV relativeFrom="paragraph">
              <wp:posOffset>281305</wp:posOffset>
            </wp:positionV>
            <wp:extent cx="5122545" cy="25584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40F" w:rsidRPr="00B24B6C">
        <w:t xml:space="preserve">Wykres </w:t>
      </w:r>
      <w:r w:rsidR="00CF08EF" w:rsidRPr="00B24B6C">
        <w:t>3</w:t>
      </w:r>
      <w:r w:rsidR="003A440F" w:rsidRPr="00B24B6C">
        <w:t>.</w:t>
      </w:r>
      <w:r w:rsidR="003A440F" w:rsidRPr="00B24B6C">
        <w:rPr>
          <w:shd w:val="clear" w:color="auto" w:fill="FFFFFF"/>
        </w:rPr>
        <w:t xml:space="preserve"> C</w:t>
      </w:r>
      <w:r w:rsidR="003A440F" w:rsidRPr="00B24B6C">
        <w:rPr>
          <w:bCs/>
          <w:shd w:val="clear" w:color="auto" w:fill="FFFFFF"/>
        </w:rPr>
        <w:t xml:space="preserve">eny towarów i usług konsumpcyjnych </w:t>
      </w:r>
      <w:r w:rsidR="003A440F" w:rsidRPr="00B24B6C">
        <w:rPr>
          <w:shd w:val="clear" w:color="auto" w:fill="FFFFFF"/>
        </w:rPr>
        <w:t>(zmiana w % do okresu poprzedniego)</w:t>
      </w:r>
    </w:p>
    <w:p w:rsidR="00214CA5" w:rsidRPr="00B24B6C" w:rsidRDefault="00214CA5" w:rsidP="00C27D75">
      <w:pPr>
        <w:pStyle w:val="tytuwykresu"/>
        <w:rPr>
          <w:b w:val="0"/>
          <w:highlight w:val="yellow"/>
          <w:shd w:val="clear" w:color="auto" w:fill="FFFFFF"/>
          <w:lang w:eastAsia="pl-PL"/>
        </w:rPr>
      </w:pPr>
    </w:p>
    <w:p w:rsidR="00DA0243" w:rsidRPr="00B24B6C" w:rsidRDefault="00DA0243" w:rsidP="0026302B">
      <w:pPr>
        <w:pStyle w:val="LID"/>
        <w:rPr>
          <w:b w:val="0"/>
          <w:noProof w:val="0"/>
          <w:spacing w:val="-2"/>
          <w:sz w:val="18"/>
          <w:highlight w:val="yellow"/>
        </w:rPr>
      </w:pPr>
    </w:p>
    <w:p w:rsidR="00034160" w:rsidRPr="00B24B6C" w:rsidRDefault="001D0BF8" w:rsidP="000609C1">
      <w:pPr>
        <w:pStyle w:val="tytuwykresu"/>
        <w:ind w:left="822" w:hanging="822"/>
        <w:rPr>
          <w:highlight w:val="yellow"/>
          <w:shd w:val="clear" w:color="auto" w:fill="FFFFFF"/>
        </w:rPr>
      </w:pPr>
      <w:r>
        <w:rPr>
          <w:lang w:eastAsia="en-GB"/>
        </w:rPr>
        <w:pict>
          <v:shape id="Text Box 25" o:spid="_x0000_s1029" type="#_x0000_t202" style="position:absolute;left:0;text-align:left;margin-left:414.75pt;margin-top:315.75pt;width:135.85pt;height:114.2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5KNvA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GcB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" filled="f" stroked="f">
            <v:textbox style="mso-next-textbox:#Text Box 25">
              <w:txbxContent>
                <w:p w:rsidR="00DF7E46" w:rsidRPr="00BF2F65" w:rsidRDefault="00DF7E46" w:rsidP="004C01B5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 grudniu 2020</w:t>
                  </w:r>
                  <w:r w:rsidRPr="0069654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r. wskaźnik cen 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towarów i usług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konsumpcyjnych </w:t>
                  </w:r>
                  <w:r w:rsidRPr="0069654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znajdował się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poniżej celu inflacyjnego </w:t>
                  </w:r>
                  <w:r w:rsidRPr="0069654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określonego przez Radę </w:t>
                  </w:r>
                  <w:r w:rsidRPr="0069654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 w:rsidRPr="00696549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 proc.)</w:t>
                  </w:r>
                </w:p>
              </w:txbxContent>
            </v:textbox>
            <w10:wrap type="tight" anchory="page"/>
          </v:shape>
        </w:pict>
      </w:r>
      <w:r w:rsidR="00034160" w:rsidRPr="00B24B6C">
        <w:t xml:space="preserve">Wykres </w:t>
      </w:r>
      <w:r w:rsidR="00CF08EF" w:rsidRPr="00B24B6C">
        <w:t>4</w:t>
      </w:r>
      <w:r w:rsidR="00034160" w:rsidRPr="00B24B6C">
        <w:t>.</w:t>
      </w:r>
      <w:r w:rsidR="00034160" w:rsidRPr="00B24B6C">
        <w:rPr>
          <w:shd w:val="clear" w:color="auto" w:fill="FFFFFF"/>
        </w:rPr>
        <w:t xml:space="preserve"> C</w:t>
      </w:r>
      <w:r w:rsidR="00034160" w:rsidRPr="00B24B6C">
        <w:rPr>
          <w:bCs/>
          <w:shd w:val="clear" w:color="auto" w:fill="FFFFFF"/>
        </w:rPr>
        <w:t xml:space="preserve">eny towarów i usług konsumpcyjnych </w:t>
      </w:r>
      <w:r w:rsidR="00034160" w:rsidRPr="00B24B6C">
        <w:rPr>
          <w:shd w:val="clear" w:color="auto" w:fill="FFFFFF"/>
        </w:rPr>
        <w:t>(zmiana w % do analogicznego okresu roku poprzedniego)</w:t>
      </w:r>
    </w:p>
    <w:p w:rsidR="00034160" w:rsidRPr="00B24B6C" w:rsidRDefault="002E086A" w:rsidP="00740107">
      <w:pPr>
        <w:spacing w:before="0" w:line="259" w:lineRule="auto"/>
        <w:rPr>
          <w:sz w:val="18"/>
          <w:highlight w:val="yellow"/>
        </w:rPr>
      </w:pPr>
      <w:r w:rsidRPr="00B24B6C"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647A4D74" wp14:editId="42FA452A">
            <wp:simplePos x="0" y="0"/>
            <wp:positionH relativeFrom="column">
              <wp:posOffset>3810</wp:posOffset>
            </wp:positionH>
            <wp:positionV relativeFrom="paragraph">
              <wp:posOffset>1270</wp:posOffset>
            </wp:positionV>
            <wp:extent cx="5114290" cy="2625725"/>
            <wp:effectExtent l="0" t="0" r="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461" w:rsidRPr="00B24B6C" w:rsidRDefault="004B2465" w:rsidP="004B2465">
      <w:pPr>
        <w:pStyle w:val="tytuwykresu"/>
        <w:ind w:left="822" w:hanging="822"/>
        <w:rPr>
          <w:b w:val="0"/>
          <w:szCs w:val="19"/>
          <w:highlight w:val="yellow"/>
          <w:lang w:eastAsia="pl-PL"/>
        </w:rPr>
      </w:pPr>
      <w:r w:rsidRPr="00B24B6C"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163C36ED" wp14:editId="1F13CD55">
            <wp:simplePos x="0" y="0"/>
            <wp:positionH relativeFrom="column">
              <wp:posOffset>3175</wp:posOffset>
            </wp:positionH>
            <wp:positionV relativeFrom="paragraph">
              <wp:posOffset>424815</wp:posOffset>
            </wp:positionV>
            <wp:extent cx="5122545" cy="2530475"/>
            <wp:effectExtent l="0" t="0" r="0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763" w:rsidRPr="00B24B6C">
        <w:t xml:space="preserve">Wykres </w:t>
      </w:r>
      <w:r w:rsidR="00CF08EF" w:rsidRPr="00B24B6C">
        <w:t>5</w:t>
      </w:r>
      <w:r w:rsidR="00883763" w:rsidRPr="00B24B6C">
        <w:t>.</w:t>
      </w:r>
      <w:r w:rsidR="00883763" w:rsidRPr="00B24B6C">
        <w:rPr>
          <w:shd w:val="clear" w:color="auto" w:fill="FFFFFF"/>
        </w:rPr>
        <w:t xml:space="preserve"> </w:t>
      </w:r>
      <w:r w:rsidR="00761070" w:rsidRPr="00B24B6C">
        <w:rPr>
          <w:bCs/>
          <w:shd w:val="clear" w:color="auto" w:fill="FFFFFF"/>
        </w:rPr>
        <w:t xml:space="preserve">Wskaźnik cen towarów i usług konsumpcyjnych (CPI) oraz </w:t>
      </w:r>
      <w:r w:rsidR="001E7DBB" w:rsidRPr="00B24B6C">
        <w:rPr>
          <w:bCs/>
          <w:shd w:val="clear" w:color="auto" w:fill="FFFFFF"/>
        </w:rPr>
        <w:t>z</w:t>
      </w:r>
      <w:r w:rsidR="00761070" w:rsidRPr="00B24B6C">
        <w:rPr>
          <w:bCs/>
          <w:shd w:val="clear" w:color="auto" w:fill="FFFFFF"/>
        </w:rPr>
        <w:t xml:space="preserve">harmonizowany </w:t>
      </w:r>
      <w:r w:rsidR="001E7DBB" w:rsidRPr="00B24B6C">
        <w:rPr>
          <w:bCs/>
          <w:shd w:val="clear" w:color="auto" w:fill="FFFFFF"/>
        </w:rPr>
        <w:t xml:space="preserve">wskaźnik </w:t>
      </w:r>
      <w:r w:rsidR="00511F19" w:rsidRPr="00B24B6C">
        <w:rPr>
          <w:bCs/>
          <w:shd w:val="clear" w:color="auto" w:fill="FFFFFF"/>
        </w:rPr>
        <w:br/>
      </w:r>
      <w:r w:rsidR="001E7DBB" w:rsidRPr="00B24B6C">
        <w:rPr>
          <w:bCs/>
          <w:shd w:val="clear" w:color="auto" w:fill="FFFFFF"/>
        </w:rPr>
        <w:t xml:space="preserve">cen konsumpcyjnych (HICP) </w:t>
      </w:r>
      <w:r w:rsidR="001E7DBB" w:rsidRPr="00B24B6C">
        <w:rPr>
          <w:shd w:val="clear" w:color="auto" w:fill="FFFFFF"/>
        </w:rPr>
        <w:t>(zmiana w % do analogicznego okresu roku poprzedniego)</w:t>
      </w:r>
      <w:r w:rsidR="000A0FD3" w:rsidRPr="00B24B6C">
        <w:rPr>
          <w:highlight w:val="yellow"/>
        </w:rPr>
        <w:t xml:space="preserve"> </w:t>
      </w:r>
      <w:r w:rsidR="00820461" w:rsidRPr="00B24B6C">
        <w:rPr>
          <w:highlight w:val="yellow"/>
        </w:rPr>
        <w:br w:type="page"/>
      </w:r>
    </w:p>
    <w:p w:rsidR="00516A50" w:rsidRPr="00B24B6C" w:rsidRDefault="00516A50" w:rsidP="00516A50">
      <w:pPr>
        <w:pStyle w:val="LID"/>
        <w:rPr>
          <w:bCs/>
          <w:noProof w:val="0"/>
          <w:sz w:val="18"/>
          <w:shd w:val="clear" w:color="auto" w:fill="FFFFFF"/>
        </w:rPr>
      </w:pPr>
      <w:r w:rsidRPr="00B24B6C">
        <w:rPr>
          <w:noProof w:val="0"/>
          <w:sz w:val="18"/>
        </w:rPr>
        <w:lastRenderedPageBreak/>
        <w:t xml:space="preserve">Tablica </w:t>
      </w:r>
      <w:r w:rsidR="00CF08EF" w:rsidRPr="00B24B6C">
        <w:rPr>
          <w:noProof w:val="0"/>
          <w:sz w:val="18"/>
        </w:rPr>
        <w:t>2</w:t>
      </w:r>
      <w:r w:rsidRPr="00B24B6C">
        <w:rPr>
          <w:noProof w:val="0"/>
          <w:sz w:val="18"/>
        </w:rPr>
        <w:t>.</w:t>
      </w:r>
      <w:r w:rsidRPr="00B24B6C">
        <w:rPr>
          <w:noProof w:val="0"/>
          <w:sz w:val="18"/>
          <w:shd w:val="clear" w:color="auto" w:fill="FFFFFF"/>
        </w:rPr>
        <w:t xml:space="preserve"> </w:t>
      </w:r>
      <w:r w:rsidRPr="00B24B6C">
        <w:rPr>
          <w:bCs/>
          <w:noProof w:val="0"/>
          <w:sz w:val="18"/>
          <w:shd w:val="clear" w:color="auto" w:fill="FFFFFF"/>
        </w:rPr>
        <w:t>Wskaźniki cen towarów i usług konsumpcyjnych w</w:t>
      </w:r>
      <w:r w:rsidR="000B60D7" w:rsidRPr="00B24B6C">
        <w:rPr>
          <w:bCs/>
          <w:noProof w:val="0"/>
          <w:sz w:val="18"/>
          <w:shd w:val="clear" w:color="auto" w:fill="FFFFFF"/>
        </w:rPr>
        <w:t xml:space="preserve"> grudniu </w:t>
      </w:r>
      <w:r w:rsidR="003033FD" w:rsidRPr="00B24B6C">
        <w:rPr>
          <w:noProof w:val="0"/>
          <w:sz w:val="18"/>
        </w:rPr>
        <w:t>2020</w:t>
      </w:r>
      <w:r w:rsidRPr="00B24B6C">
        <w:rPr>
          <w:noProof w:val="0"/>
          <w:sz w:val="18"/>
        </w:rPr>
        <w:t> </w:t>
      </w:r>
      <w:r w:rsidRPr="00B24B6C">
        <w:rPr>
          <w:bCs/>
          <w:noProof w:val="0"/>
          <w:sz w:val="18"/>
          <w:shd w:val="clear" w:color="auto" w:fill="FFFFFF"/>
        </w:rPr>
        <w:t>r.</w:t>
      </w:r>
    </w:p>
    <w:p w:rsidR="00460C26" w:rsidRPr="00B24B6C" w:rsidRDefault="00460C26" w:rsidP="00516A50">
      <w:pPr>
        <w:pStyle w:val="LID"/>
        <w:rPr>
          <w:bCs/>
          <w:noProof w:val="0"/>
          <w:sz w:val="18"/>
          <w:shd w:val="clear" w:color="auto" w:fill="FFFFFF"/>
        </w:rPr>
      </w:pP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921"/>
        <w:gridCol w:w="922"/>
        <w:gridCol w:w="921"/>
        <w:gridCol w:w="922"/>
        <w:gridCol w:w="992"/>
      </w:tblGrid>
      <w:tr w:rsidR="000B60D7" w:rsidRPr="00B24B6C" w:rsidTr="000B60D7">
        <w:trPr>
          <w:trHeight w:val="315"/>
          <w:tblHeader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B60D7" w:rsidRPr="00B24B6C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0B60D7" w:rsidRPr="00B24B6C" w:rsidRDefault="007E71CF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XII 2020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0B60D7" w:rsidRPr="00B24B6C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X-XII 2020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B24B6C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I-XII 2020</w:t>
            </w:r>
          </w:p>
        </w:tc>
      </w:tr>
      <w:tr w:rsidR="000B60D7" w:rsidRPr="00B24B6C" w:rsidTr="000B60D7">
        <w:trPr>
          <w:trHeight w:val="465"/>
          <w:tblHeader/>
        </w:trPr>
        <w:tc>
          <w:tcPr>
            <w:tcW w:w="3402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0B60D7" w:rsidRPr="00B24B6C" w:rsidRDefault="000B60D7" w:rsidP="000B60D7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B24B6C" w:rsidRDefault="000B60D7" w:rsidP="00EB199D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XII 201</w:t>
            </w:r>
            <w:r w:rsidR="00EB199D" w:rsidRPr="00B24B6C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B24B6C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 xml:space="preserve">XI </w:t>
            </w:r>
            <w:r w:rsidR="00EB199D" w:rsidRPr="00B24B6C">
              <w:rPr>
                <w:rFonts w:eastAsia="Times New Roman" w:cs="Calibri"/>
                <w:sz w:val="16"/>
                <w:szCs w:val="16"/>
                <w:lang w:eastAsia="pl-PL"/>
              </w:rPr>
              <w:t>2020</w:t>
            </w: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B60D7" w:rsidRPr="00B24B6C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X-XII</w:t>
            </w: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br/>
              <w:t>2019</w:t>
            </w:r>
            <w:r w:rsidR="000B60D7" w:rsidRPr="00B24B6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0B60D7" w:rsidRPr="00B24B6C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VII-IX 2020</w:t>
            </w:r>
            <w:r w:rsidR="000B60D7" w:rsidRPr="00B24B6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0B60D7" w:rsidRPr="00B24B6C" w:rsidRDefault="000B60D7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 xml:space="preserve">I-XII </w:t>
            </w:r>
          </w:p>
          <w:p w:rsidR="000B60D7" w:rsidRPr="00B24B6C" w:rsidRDefault="00EB199D" w:rsidP="000B60D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  <w:r w:rsidR="000B60D7" w:rsidRPr="00B24B6C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7E71CF" w:rsidRPr="00B24B6C" w:rsidTr="007E71CF">
        <w:trPr>
          <w:trHeight w:val="330"/>
        </w:trPr>
        <w:tc>
          <w:tcPr>
            <w:tcW w:w="340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2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b/>
                <w:bCs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2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b/>
                <w:bCs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b/>
                <w:bCs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2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b/>
                <w:bCs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b/>
                <w:bCs/>
                <w:color w:val="000000"/>
                <w:sz w:val="16"/>
                <w:szCs w:val="16"/>
              </w:rPr>
              <w:t>103,4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</w:tr>
      <w:tr w:rsidR="007E71CF" w:rsidRPr="00B24B6C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B24B6C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105,0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108,6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108,1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88,3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93,4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109,5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2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</w:tr>
      <w:tr w:rsidR="007E71CF" w:rsidRPr="00B24B6C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117,6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NAPOJE ALKOHOLOWE I WYROBY TYTONIOWE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</w:tr>
      <w:tr w:rsidR="007E71CF" w:rsidRPr="00B24B6C" w:rsidTr="007E71CF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97,0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97,9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7E71CF" w:rsidRPr="00B24B6C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NOŚNIKI ENERGII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</w:tr>
      <w:tr w:rsidR="007E71CF" w:rsidRPr="00B24B6C" w:rsidTr="007E71CF">
        <w:trPr>
          <w:trHeight w:val="189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276F83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103,5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153,2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151,9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</w:tr>
      <w:tr w:rsidR="007E71CF" w:rsidRPr="00B24B6C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101,0</w:t>
            </w:r>
          </w:p>
        </w:tc>
      </w:tr>
      <w:tr w:rsidR="007E71CF" w:rsidRPr="00B24B6C" w:rsidTr="007E71CF">
        <w:trPr>
          <w:trHeight w:val="228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2F321F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99,9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</w:tr>
      <w:tr w:rsidR="007E71CF" w:rsidRPr="00B24B6C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</w:tr>
      <w:tr w:rsidR="007E71CF" w:rsidRPr="00B24B6C" w:rsidTr="007E71CF">
        <w:trPr>
          <w:trHeight w:val="218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2F321F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108,5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111,3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08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  <w:r w:rsidR="003412A8" w:rsidRPr="00BB08C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94,3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94,4</w:t>
            </w:r>
          </w:p>
        </w:tc>
      </w:tr>
      <w:tr w:rsidR="007E71CF" w:rsidRPr="00B24B6C" w:rsidTr="007E71CF">
        <w:trPr>
          <w:trHeight w:val="194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2F321F">
            <w:pPr>
              <w:spacing w:before="4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98,6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89,6</w:t>
            </w:r>
          </w:p>
        </w:tc>
      </w:tr>
      <w:tr w:rsidR="007E71CF" w:rsidRPr="00B24B6C" w:rsidTr="007E71CF">
        <w:trPr>
          <w:trHeight w:val="171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2F321F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88,6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</w:tr>
      <w:tr w:rsidR="007E71CF" w:rsidRPr="00B24B6C" w:rsidTr="007E71CF">
        <w:trPr>
          <w:trHeight w:val="202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2F321F">
            <w:pPr>
              <w:spacing w:before="40" w:after="4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91,2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89,3</w:t>
            </w:r>
          </w:p>
        </w:tc>
      </w:tr>
      <w:tr w:rsidR="007E71CF" w:rsidRPr="00B24B6C" w:rsidTr="007E71CF">
        <w:trPr>
          <w:trHeight w:val="46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do prywatnych środków 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transportu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95,1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lastRenderedPageBreak/>
              <w:t>ŁĄCZNOŚĆ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86,5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B24B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B24B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</w:tr>
      <w:tr w:rsidR="007E71CF" w:rsidRPr="00B24B6C" w:rsidTr="007E71CF">
        <w:trPr>
          <w:trHeight w:val="300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B08C3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08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BB08C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  <w:r w:rsidR="003412A8" w:rsidRPr="00BB08C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B08C3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08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B08C3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08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  <w:r w:rsidR="003412A8" w:rsidRPr="00BB08C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103,8</w:t>
            </w:r>
          </w:p>
        </w:tc>
      </w:tr>
      <w:tr w:rsidR="007E71CF" w:rsidRPr="00B24B6C" w:rsidTr="007E71CF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108,2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106,0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103,3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B08C3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08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  <w:r w:rsidR="003412A8" w:rsidRPr="00BB08C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B08C3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08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  <w:r w:rsidR="003412A8" w:rsidRPr="00BB08C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B08C3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B08C3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  <w:r w:rsidR="003412A8" w:rsidRPr="00BB08C3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97,3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105,5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105,8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99,7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102,9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103,4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113,1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111,1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100,5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92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92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110,8</w:t>
            </w:r>
          </w:p>
        </w:tc>
      </w:tr>
      <w:tr w:rsidR="007E71CF" w:rsidRPr="00B24B6C" w:rsidTr="007E71CF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101,5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</w:tr>
      <w:tr w:rsidR="007E71CF" w:rsidRPr="00B24B6C" w:rsidTr="007E71CF">
        <w:trPr>
          <w:trHeight w:val="450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920A9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24B6C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147,9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2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145,2</w:t>
            </w:r>
          </w:p>
        </w:tc>
        <w:tc>
          <w:tcPr>
            <w:tcW w:w="922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71CF" w:rsidRPr="00B24B6C" w:rsidRDefault="007E71CF" w:rsidP="007E71CF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24B6C">
              <w:rPr>
                <w:rFonts w:cs="Calibri"/>
                <w:color w:val="000000"/>
                <w:sz w:val="16"/>
                <w:szCs w:val="16"/>
              </w:rPr>
              <w:t>128,2</w:t>
            </w:r>
          </w:p>
        </w:tc>
      </w:tr>
    </w:tbl>
    <w:p w:rsidR="000B60D7" w:rsidRPr="00B24B6C" w:rsidRDefault="000B60D7" w:rsidP="00467181">
      <w:pPr>
        <w:pStyle w:val="LID"/>
        <w:spacing w:after="80"/>
        <w:rPr>
          <w:bCs/>
          <w:noProof w:val="0"/>
          <w:sz w:val="18"/>
          <w:highlight w:val="yellow"/>
          <w:shd w:val="clear" w:color="auto" w:fill="FFFFFF"/>
        </w:rPr>
      </w:pPr>
    </w:p>
    <w:p w:rsidR="00864AD8" w:rsidRPr="00B24B6C" w:rsidRDefault="00864AD8" w:rsidP="00864AD8">
      <w:pPr>
        <w:pStyle w:val="NormalnyWeb"/>
        <w:spacing w:before="0" w:beforeAutospacing="0" w:after="120" w:afterAutospacing="0"/>
        <w:rPr>
          <w:rFonts w:ascii="Fira Sans" w:hAnsi="Fira Sans"/>
          <w:color w:val="222222"/>
          <w:sz w:val="16"/>
          <w:szCs w:val="16"/>
          <w:lang w:val="pl-PL"/>
        </w:rPr>
      </w:pPr>
      <w:r w:rsidRPr="00BB08C3">
        <w:rPr>
          <w:rFonts w:ascii="Fira Sans" w:hAnsi="Fira Sans"/>
          <w:color w:val="222222"/>
          <w:sz w:val="16"/>
          <w:szCs w:val="16"/>
          <w:lang w:val="pl-PL"/>
        </w:rPr>
        <w:t>u  Udział danych szacowanych dla agregatu powyżej 50%</w:t>
      </w:r>
    </w:p>
    <w:p w:rsidR="00864AD8" w:rsidRPr="00B24B6C" w:rsidRDefault="00864AD8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467181" w:rsidRDefault="00467181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864AD8" w:rsidRPr="00B24B6C" w:rsidRDefault="00864AD8" w:rsidP="00864AD8">
      <w:pPr>
        <w:pStyle w:val="NormalnyWeb"/>
        <w:spacing w:before="0" w:beforeAutospacing="0" w:after="0" w:afterAutospacing="0"/>
        <w:rPr>
          <w:rStyle w:val="Hipercze"/>
          <w:rFonts w:ascii="Fira Sans" w:hAnsi="Fira Sans"/>
          <w:sz w:val="16"/>
          <w:szCs w:val="16"/>
          <w:lang w:val="pl-PL"/>
        </w:rPr>
      </w:pPr>
      <w:r w:rsidRPr="00B24B6C">
        <w:rPr>
          <w:rFonts w:ascii="Fira Sans" w:hAnsi="Fira Sans"/>
          <w:color w:val="222222"/>
          <w:sz w:val="16"/>
          <w:szCs w:val="16"/>
          <w:lang w:val="pl-PL"/>
        </w:rPr>
        <w:t xml:space="preserve">Zalecenia rekomendowane przez Eurostat dotyczące wskaźników cen konsumpcyjnych prezentowane są pod linkiem </w:t>
      </w:r>
      <w:hyperlink r:id="rId17" w:history="1">
        <w:r w:rsidRPr="00145920">
          <w:rPr>
            <w:rStyle w:val="Hipercze"/>
            <w:rFonts w:ascii="Fira Sans" w:hAnsi="Fira Sans"/>
            <w:color w:val="002060"/>
            <w:sz w:val="16"/>
            <w:szCs w:val="16"/>
            <w:lang w:val="pl-PL"/>
          </w:rPr>
          <w:t>https://stat.gov.pl/obszary-tematyczne/ceny-handel/wskazniki-cen/wytyczne-dotyczace-opracowania-hicp-w-kontekscie-kryzysu-zwiazanego-z-covid-19,19,1.html</w:t>
        </w:r>
      </w:hyperlink>
    </w:p>
    <w:p w:rsidR="00864AD8" w:rsidRPr="00B24B6C" w:rsidRDefault="00864AD8" w:rsidP="00864AD8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  <w:lang w:val="pl-PL"/>
        </w:rPr>
      </w:pPr>
    </w:p>
    <w:p w:rsidR="00864AD8" w:rsidRPr="00145920" w:rsidRDefault="00864AD8" w:rsidP="00864AD8">
      <w:pPr>
        <w:spacing w:before="0" w:after="160" w:line="259" w:lineRule="auto"/>
        <w:rPr>
          <w:color w:val="002060"/>
          <w:sz w:val="16"/>
          <w:szCs w:val="16"/>
        </w:rPr>
      </w:pPr>
      <w:r w:rsidRPr="00B24B6C">
        <w:rPr>
          <w:color w:val="222222"/>
          <w:sz w:val="16"/>
          <w:szCs w:val="16"/>
        </w:rPr>
        <w:t>Dokumenty „</w:t>
      </w:r>
      <w:r w:rsidRPr="00B24B6C">
        <w:rPr>
          <w:i/>
          <w:color w:val="222222"/>
          <w:sz w:val="16"/>
          <w:szCs w:val="16"/>
        </w:rPr>
        <w:t>Guidance on the compilation of the HICP in the context of the COVID-19 crisis</w:t>
      </w:r>
      <w:r w:rsidRPr="00B24B6C">
        <w:rPr>
          <w:color w:val="222222"/>
          <w:sz w:val="16"/>
          <w:szCs w:val="16"/>
        </w:rPr>
        <w:t>” oraz “</w:t>
      </w:r>
      <w:r w:rsidRPr="00B24B6C">
        <w:rPr>
          <w:i/>
          <w:color w:val="222222"/>
          <w:sz w:val="16"/>
          <w:szCs w:val="16"/>
        </w:rPr>
        <w:t>Guidance note on HICP issues emerging from the lifting of lockdown measures</w:t>
      </w:r>
      <w:r w:rsidRPr="00B24B6C">
        <w:rPr>
          <w:color w:val="222222"/>
          <w:sz w:val="16"/>
          <w:szCs w:val="16"/>
        </w:rPr>
        <w:t xml:space="preserve">” zamieszczone zostały przez Eurostat pod następującymi linkami </w:t>
      </w:r>
      <w:hyperlink r:id="rId18" w:history="1">
        <w:r w:rsidRPr="00145920">
          <w:rPr>
            <w:rStyle w:val="Hipercze"/>
            <w:color w:val="002060"/>
            <w:sz w:val="16"/>
            <w:szCs w:val="16"/>
          </w:rPr>
          <w:t>https://ec.europa.eu/eurostat/documents/10186/10693286/HICP_guidance.pdf</w:t>
        </w:r>
      </w:hyperlink>
      <w:r w:rsidRPr="00145920">
        <w:rPr>
          <w:color w:val="002060"/>
          <w:sz w:val="16"/>
          <w:szCs w:val="16"/>
        </w:rPr>
        <w:t xml:space="preserve">, </w:t>
      </w:r>
      <w:hyperlink r:id="rId19" w:history="1">
        <w:r w:rsidRPr="00145920">
          <w:rPr>
            <w:rStyle w:val="Hipercze"/>
            <w:color w:val="002060"/>
            <w:sz w:val="16"/>
            <w:szCs w:val="16"/>
          </w:rPr>
          <w:t>https://ec.europa.eu/eurostat/documents/10186/10693286/HICP_lifting_lockdown_measures_guidance.pdf</w:t>
        </w:r>
      </w:hyperlink>
    </w:p>
    <w:p w:rsidR="004513A3" w:rsidRPr="00B24B6C" w:rsidRDefault="004513A3" w:rsidP="00864AD8">
      <w:pPr>
        <w:spacing w:before="0" w:after="160" w:line="259" w:lineRule="auto"/>
        <w:rPr>
          <w:color w:val="222222"/>
          <w:szCs w:val="19"/>
        </w:rPr>
      </w:pPr>
    </w:p>
    <w:p w:rsidR="00685123" w:rsidRPr="00B24B6C" w:rsidRDefault="00864AD8" w:rsidP="00864AD8">
      <w:pPr>
        <w:spacing w:before="0" w:after="160" w:line="259" w:lineRule="auto"/>
        <w:rPr>
          <w:b/>
          <w:szCs w:val="19"/>
          <w:highlight w:val="yellow"/>
          <w:lang w:eastAsia="pl-PL"/>
        </w:rPr>
        <w:sectPr w:rsidR="00685123" w:rsidRPr="00B24B6C" w:rsidSect="00EF7B36">
          <w:headerReference w:type="default" r:id="rId20"/>
          <w:footerReference w:type="default" r:id="rId21"/>
          <w:headerReference w:type="first" r:id="rId22"/>
          <w:footerReference w:type="first" r:id="rId23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B24B6C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p w:rsidR="000470AA" w:rsidRPr="00B24B6C" w:rsidRDefault="000470AA" w:rsidP="000470AA">
      <w:pPr>
        <w:rPr>
          <w:sz w:val="18"/>
          <w:highlight w:val="yellow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B24B6C" w:rsidTr="00EE696D">
        <w:trPr>
          <w:trHeight w:val="1912"/>
        </w:trPr>
        <w:tc>
          <w:tcPr>
            <w:tcW w:w="4379" w:type="dxa"/>
          </w:tcPr>
          <w:p w:rsidR="00883763" w:rsidRPr="00B24B6C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B24B6C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B24B6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24B6C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0C68F7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B24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883763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B24B6C">
              <w:rPr>
                <w:rFonts w:ascii="Fira Sans" w:hAnsi="Fira Sans" w:cs="Arial"/>
                <w:color w:val="000000" w:themeColor="text1"/>
                <w:sz w:val="20"/>
                <w:szCs w:val="28"/>
              </w:rPr>
              <w:t>Tel: 22 608 31 24</w:t>
            </w:r>
          </w:p>
        </w:tc>
        <w:tc>
          <w:tcPr>
            <w:tcW w:w="3942" w:type="dxa"/>
          </w:tcPr>
          <w:p w:rsidR="00883763" w:rsidRPr="00B24B6C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24B6C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24B6C">
              <w:rPr>
                <w:rFonts w:cs="Arial"/>
                <w:color w:val="000000" w:themeColor="text1"/>
                <w:sz w:val="20"/>
              </w:rPr>
              <w:br/>
            </w:r>
            <w:r w:rsidRPr="00B24B6C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C68F7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B24B6C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0C68F7" w:rsidRPr="00B24B6C" w:rsidRDefault="000C68F7" w:rsidP="000C68F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B24B6C">
              <w:rPr>
                <w:rFonts w:ascii="Fira Sans" w:hAnsi="Fira Sans" w:cs="Arial"/>
                <w:color w:val="000000" w:themeColor="text1"/>
                <w:sz w:val="20"/>
              </w:rPr>
              <w:t>Tel: 695 255 011</w:t>
            </w:r>
          </w:p>
          <w:p w:rsidR="00883763" w:rsidRPr="00B24B6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B24B6C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B24B6C" w:rsidTr="00C057E5">
        <w:trPr>
          <w:trHeight w:val="610"/>
        </w:trPr>
        <w:tc>
          <w:tcPr>
            <w:tcW w:w="2721" w:type="pct"/>
            <w:vMerge w:val="restart"/>
          </w:tcPr>
          <w:p w:rsidR="000470AA" w:rsidRPr="00145920" w:rsidRDefault="000470AA" w:rsidP="00C057E5">
            <w:pPr>
              <w:spacing w:before="200"/>
              <w:rPr>
                <w:b/>
                <w:sz w:val="20"/>
              </w:rPr>
            </w:pPr>
            <w:r w:rsidRPr="00145920">
              <w:rPr>
                <w:b/>
                <w:sz w:val="20"/>
              </w:rPr>
              <w:t xml:space="preserve">Wydział Współpracy z </w:t>
            </w:r>
            <w:bookmarkStart w:id="0" w:name="_GoBack"/>
            <w:bookmarkEnd w:id="0"/>
            <w:r w:rsidRPr="00145920">
              <w:rPr>
                <w:b/>
                <w:sz w:val="20"/>
              </w:rPr>
              <w:t xml:space="preserve">Mediami </w:t>
            </w:r>
          </w:p>
          <w:p w:rsidR="000470AA" w:rsidRPr="00145920" w:rsidRDefault="00C057E5" w:rsidP="00C057E5">
            <w:pPr>
              <w:rPr>
                <w:sz w:val="20"/>
              </w:rPr>
            </w:pPr>
            <w:r w:rsidRPr="00145920">
              <w:rPr>
                <w:sz w:val="20"/>
              </w:rPr>
              <w:t>T</w:t>
            </w:r>
            <w:r w:rsidR="000609C1" w:rsidRPr="00145920">
              <w:rPr>
                <w:sz w:val="20"/>
              </w:rPr>
              <w:t>el</w:t>
            </w:r>
            <w:r w:rsidR="000470AA" w:rsidRPr="00145920">
              <w:rPr>
                <w:sz w:val="20"/>
              </w:rPr>
              <w:t xml:space="preserve">: </w:t>
            </w:r>
            <w:r w:rsidR="00097840" w:rsidRPr="00145920">
              <w:rPr>
                <w:sz w:val="20"/>
              </w:rPr>
              <w:t>22 608 34 91, 22</w:t>
            </w:r>
            <w:r w:rsidR="000470AA" w:rsidRPr="00145920">
              <w:rPr>
                <w:sz w:val="20"/>
              </w:rPr>
              <w:t xml:space="preserve"> 608 38 04 </w:t>
            </w:r>
          </w:p>
          <w:p w:rsidR="000470AA" w:rsidRPr="00145920" w:rsidRDefault="000470AA" w:rsidP="00C057E5">
            <w:pPr>
              <w:rPr>
                <w:sz w:val="18"/>
              </w:rPr>
            </w:pPr>
            <w:r w:rsidRPr="00145920">
              <w:rPr>
                <w:sz w:val="20"/>
              </w:rPr>
              <w:t>e-</w:t>
            </w:r>
            <w:r w:rsidRPr="00145920">
              <w:rPr>
                <w:color w:val="000000" w:themeColor="text1"/>
                <w:sz w:val="20"/>
              </w:rPr>
              <w:t xml:space="preserve">mail: </w:t>
            </w:r>
            <w:hyperlink r:id="rId24" w:history="1">
              <w:r w:rsidRPr="00145920">
                <w:rPr>
                  <w:rStyle w:val="Hipercze"/>
                  <w:rFonts w:cstheme="minorBidi"/>
                  <w:color w:val="000000" w:themeColor="text1"/>
                  <w:sz w:val="20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  <w:r w:rsidRPr="00B24B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5B9084D" wp14:editId="3680445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B24B6C" w:rsidRDefault="001D0BF8" w:rsidP="000470AA">
            <w:pPr>
              <w:rPr>
                <w:color w:val="000000" w:themeColor="text1"/>
                <w:sz w:val="18"/>
              </w:rPr>
            </w:pPr>
            <w:hyperlink r:id="rId26" w:history="1">
              <w:r w:rsidR="000470AA" w:rsidRPr="00B24B6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www.stat.gov.pl</w:t>
              </w:r>
            </w:hyperlink>
          </w:p>
        </w:tc>
      </w:tr>
      <w:tr w:rsidR="000470AA" w:rsidRPr="00B24B6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  <w:r w:rsidRPr="00B24B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1C9C92A" wp14:editId="653746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24B6C" w:rsidRDefault="001D0BF8" w:rsidP="000470AA">
            <w:pPr>
              <w:rPr>
                <w:color w:val="000000" w:themeColor="text1"/>
                <w:sz w:val="18"/>
              </w:rPr>
            </w:pPr>
            <w:hyperlink r:id="rId28" w:history="1">
              <w:r w:rsidR="000470AA" w:rsidRPr="00B24B6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@GUS_STAT</w:t>
              </w:r>
            </w:hyperlink>
          </w:p>
        </w:tc>
      </w:tr>
      <w:tr w:rsidR="000470AA" w:rsidRPr="00B24B6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B24B6C" w:rsidRDefault="000470AA" w:rsidP="000470AA">
            <w:pPr>
              <w:rPr>
                <w:sz w:val="18"/>
              </w:rPr>
            </w:pPr>
            <w:r w:rsidRPr="00B24B6C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489E277" wp14:editId="08C1A27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B24B6C" w:rsidRDefault="001D0BF8" w:rsidP="000470AA">
            <w:pPr>
              <w:rPr>
                <w:color w:val="000000" w:themeColor="text1"/>
                <w:sz w:val="20"/>
              </w:rPr>
            </w:pPr>
            <w:hyperlink r:id="rId30" w:history="1">
              <w:r w:rsidR="000470AA" w:rsidRPr="00B24B6C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</w:rPr>
                <w:t>@GlownyUrzadStatystyczny</w:t>
              </w:r>
            </w:hyperlink>
          </w:p>
        </w:tc>
      </w:tr>
    </w:tbl>
    <w:p w:rsidR="00D261A2" w:rsidRPr="00B24B6C" w:rsidRDefault="001D0BF8" w:rsidP="00E76D26">
      <w:pPr>
        <w:rPr>
          <w:sz w:val="18"/>
        </w:rPr>
      </w:pPr>
      <w:r>
        <w:rPr>
          <w:sz w:val="18"/>
          <w:highlight w:val="yellow"/>
          <w:lang w:eastAsia="en-GB"/>
        </w:rPr>
        <w:pict>
          <v:shape id="_x0000_s1030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dM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O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cf+dMPwIAAHQEAAAO&#10;AAAAAAAAAAAAAAAAAC4CAABkcnMvZTJvRG9jLnhtbFBLAQItABQABgAIAAAAIQArLl6j3wAAAAkB&#10;AAAPAAAAAAAAAAAAAAAAAJkEAABkcnMvZG93bnJldi54bWxQSwUGAAAAAAQABADzAAAApQUAAAAA&#10;" fillcolor="#f2f2f2 [3052]" strokecolor="white [3212]">
            <v:textbox>
              <w:txbxContent>
                <w:p w:rsidR="00DF7E46" w:rsidRDefault="00DF7E46" w:rsidP="00883763">
                  <w:pPr>
                    <w:rPr>
                      <w:b/>
                    </w:rPr>
                  </w:pPr>
                </w:p>
                <w:p w:rsidR="00DF7E46" w:rsidRPr="006761A7" w:rsidRDefault="00DF7E46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DF7E46" w:rsidRPr="00E233EA" w:rsidRDefault="00DF7E46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F7E46" w:rsidRPr="00E233EA" w:rsidRDefault="00DF7E46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4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5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6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7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DF7E46" w:rsidRPr="006761A7" w:rsidRDefault="00DF7E46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DF7E46" w:rsidRDefault="00DF7E46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DF7E46" w:rsidRPr="006761A7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8" w:history="1">
                    <w:r w:rsidR="00DF7E46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DF7E46" w:rsidRPr="00065E4D" w:rsidRDefault="001D0BF8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9" w:history="1">
                    <w:r w:rsidR="00DF7E46" w:rsidRPr="00065E4D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B24B6C" w:rsidSect="00EF7B36">
      <w:headerReference w:type="default" r:id="rId40"/>
      <w:footerReference w:type="default" r:id="rId41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F8" w:rsidRDefault="001D0BF8" w:rsidP="000662E2">
      <w:pPr>
        <w:spacing w:after="0" w:line="240" w:lineRule="auto"/>
      </w:pPr>
      <w:r>
        <w:separator/>
      </w:r>
    </w:p>
  </w:endnote>
  <w:endnote w:type="continuationSeparator" w:id="0">
    <w:p w:rsidR="001D0BF8" w:rsidRDefault="001D0BF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DF7E46" w:rsidRDefault="00DF7E4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DF7E46" w:rsidRDefault="00DF7E4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DF7E46" w:rsidRDefault="00DF7E4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2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F8" w:rsidRDefault="001D0BF8" w:rsidP="000662E2">
      <w:pPr>
        <w:spacing w:after="0" w:line="240" w:lineRule="auto"/>
      </w:pPr>
      <w:r>
        <w:separator/>
      </w:r>
    </w:p>
  </w:footnote>
  <w:footnote w:type="continuationSeparator" w:id="0">
    <w:p w:rsidR="001D0BF8" w:rsidRDefault="001D0BF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E46" w:rsidRDefault="001D0BF8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DF7E46" w:rsidRDefault="00DF7E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E46" w:rsidRDefault="001D0BF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rect id="Prostokąt 10" o:spid="_x0000_s2050" style="position:absolute;margin-left:411.45pt;margin-top:15.3pt;width:147.4pt;height:812.4pt;z-index:-251650048;visibility:visible;mso-width-relative:margin;mso-height-relative:margin;v-text-anchor:middle" wrapcoords="-110 0 -110 21591 21600 21591 21600 0 -110 0" fillcolor="#f2f2f2" stroked="f" strokeweight="1pt">
          <v:path arrowok="t"/>
          <w10:wrap type="tight"/>
        </v:rect>
      </w:pict>
    </w:r>
    <w:r w:rsidR="00DF7E46" w:rsidRPr="00502F8C">
      <w:rPr>
        <w:noProof/>
        <w:lang w:eastAsia="pl-PL"/>
      </w:rPr>
      <w:drawing>
        <wp:inline distT="0" distB="0" distL="0" distR="0" wp14:anchorId="29C8BDF7" wp14:editId="152C69A6">
          <wp:extent cx="1153274" cy="720000"/>
          <wp:effectExtent l="0" t="0" r="0" b="4445"/>
          <wp:docPr id="6" name="Obraz 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DF7E46" w:rsidRPr="003C6C8D" w:rsidRDefault="00DF7E46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</w:p>
  <w:p w:rsidR="00DF7E46" w:rsidRDefault="001D0BF8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DF7E46" w:rsidRPr="00C97596" w:rsidRDefault="00DF7E46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15.01.2021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E46" w:rsidRDefault="00DF7E46">
    <w:pPr>
      <w:pStyle w:val="Nagwek"/>
    </w:pPr>
  </w:p>
  <w:p w:rsidR="00DF7E46" w:rsidRDefault="00DF7E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2.95pt;height:125pt;visibility:visible" o:bullet="t">
        <v:imagedata r:id="rId1" o:title=""/>
      </v:shape>
    </w:pict>
  </w:numPicBullet>
  <w:numPicBullet w:numPicBulletId="1">
    <w:pict>
      <v:shape id="_x0000_i1033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74C"/>
    <w:rsid w:val="00001C5B"/>
    <w:rsid w:val="0000260E"/>
    <w:rsid w:val="00003437"/>
    <w:rsid w:val="00005FA6"/>
    <w:rsid w:val="0000709F"/>
    <w:rsid w:val="000108B8"/>
    <w:rsid w:val="000152F5"/>
    <w:rsid w:val="0001700C"/>
    <w:rsid w:val="000201FC"/>
    <w:rsid w:val="00024B66"/>
    <w:rsid w:val="00024EE7"/>
    <w:rsid w:val="00026BA3"/>
    <w:rsid w:val="00026FBB"/>
    <w:rsid w:val="00030ACD"/>
    <w:rsid w:val="00034160"/>
    <w:rsid w:val="0003614E"/>
    <w:rsid w:val="0004015D"/>
    <w:rsid w:val="0004582E"/>
    <w:rsid w:val="0004646A"/>
    <w:rsid w:val="000470AA"/>
    <w:rsid w:val="000531EB"/>
    <w:rsid w:val="00057CA1"/>
    <w:rsid w:val="000609C1"/>
    <w:rsid w:val="00065CCC"/>
    <w:rsid w:val="00065E4D"/>
    <w:rsid w:val="000662E2"/>
    <w:rsid w:val="00066883"/>
    <w:rsid w:val="00072D35"/>
    <w:rsid w:val="00074B1B"/>
    <w:rsid w:val="00074DD8"/>
    <w:rsid w:val="000800B4"/>
    <w:rsid w:val="000806F7"/>
    <w:rsid w:val="00097840"/>
    <w:rsid w:val="000A014D"/>
    <w:rsid w:val="000A0FD3"/>
    <w:rsid w:val="000A350D"/>
    <w:rsid w:val="000A6963"/>
    <w:rsid w:val="000A7F1A"/>
    <w:rsid w:val="000B0727"/>
    <w:rsid w:val="000B5393"/>
    <w:rsid w:val="000B60D7"/>
    <w:rsid w:val="000C08EE"/>
    <w:rsid w:val="000C135D"/>
    <w:rsid w:val="000C68F7"/>
    <w:rsid w:val="000D1D43"/>
    <w:rsid w:val="000D225C"/>
    <w:rsid w:val="000D2465"/>
    <w:rsid w:val="000D2A5C"/>
    <w:rsid w:val="000E0918"/>
    <w:rsid w:val="000F2650"/>
    <w:rsid w:val="001011C3"/>
    <w:rsid w:val="00102EAC"/>
    <w:rsid w:val="00107FC7"/>
    <w:rsid w:val="00110D87"/>
    <w:rsid w:val="001149A1"/>
    <w:rsid w:val="00114DB9"/>
    <w:rsid w:val="00116087"/>
    <w:rsid w:val="00130296"/>
    <w:rsid w:val="001315A3"/>
    <w:rsid w:val="00132297"/>
    <w:rsid w:val="00133A82"/>
    <w:rsid w:val="00135B65"/>
    <w:rsid w:val="00142037"/>
    <w:rsid w:val="001423B6"/>
    <w:rsid w:val="001441A0"/>
    <w:rsid w:val="001448A3"/>
    <w:rsid w:val="001448A7"/>
    <w:rsid w:val="00145121"/>
    <w:rsid w:val="00145920"/>
    <w:rsid w:val="00146621"/>
    <w:rsid w:val="00162325"/>
    <w:rsid w:val="00165856"/>
    <w:rsid w:val="00171DA5"/>
    <w:rsid w:val="001772F8"/>
    <w:rsid w:val="00194845"/>
    <w:rsid w:val="00194DE1"/>
    <w:rsid w:val="001951DA"/>
    <w:rsid w:val="001A3A7F"/>
    <w:rsid w:val="001A7573"/>
    <w:rsid w:val="001A78D0"/>
    <w:rsid w:val="001B7E7B"/>
    <w:rsid w:val="001C1375"/>
    <w:rsid w:val="001C3269"/>
    <w:rsid w:val="001C7312"/>
    <w:rsid w:val="001D0BF8"/>
    <w:rsid w:val="001D1DB4"/>
    <w:rsid w:val="001E1D94"/>
    <w:rsid w:val="001E4443"/>
    <w:rsid w:val="001E7DBB"/>
    <w:rsid w:val="001F439C"/>
    <w:rsid w:val="001F60D1"/>
    <w:rsid w:val="00212DE8"/>
    <w:rsid w:val="00214CA5"/>
    <w:rsid w:val="002268BB"/>
    <w:rsid w:val="0024416D"/>
    <w:rsid w:val="00244DD1"/>
    <w:rsid w:val="002574F9"/>
    <w:rsid w:val="00257A17"/>
    <w:rsid w:val="002621B1"/>
    <w:rsid w:val="00262B61"/>
    <w:rsid w:val="0026302B"/>
    <w:rsid w:val="002724FF"/>
    <w:rsid w:val="00275FA6"/>
    <w:rsid w:val="00276811"/>
    <w:rsid w:val="00276C9A"/>
    <w:rsid w:val="00276F83"/>
    <w:rsid w:val="00280D7C"/>
    <w:rsid w:val="00282699"/>
    <w:rsid w:val="00285768"/>
    <w:rsid w:val="00285C5A"/>
    <w:rsid w:val="002906EA"/>
    <w:rsid w:val="00290CB6"/>
    <w:rsid w:val="002926DF"/>
    <w:rsid w:val="00295056"/>
    <w:rsid w:val="00296697"/>
    <w:rsid w:val="00296EB3"/>
    <w:rsid w:val="002A4D80"/>
    <w:rsid w:val="002B0472"/>
    <w:rsid w:val="002B5049"/>
    <w:rsid w:val="002B6B12"/>
    <w:rsid w:val="002D0020"/>
    <w:rsid w:val="002E086A"/>
    <w:rsid w:val="002E6140"/>
    <w:rsid w:val="002E6985"/>
    <w:rsid w:val="002E71B6"/>
    <w:rsid w:val="002F321F"/>
    <w:rsid w:val="002F77C8"/>
    <w:rsid w:val="003033FD"/>
    <w:rsid w:val="003047EF"/>
    <w:rsid w:val="00304F22"/>
    <w:rsid w:val="00305162"/>
    <w:rsid w:val="00306C7C"/>
    <w:rsid w:val="003077B5"/>
    <w:rsid w:val="00310F90"/>
    <w:rsid w:val="00317C90"/>
    <w:rsid w:val="00322EDD"/>
    <w:rsid w:val="00325FA3"/>
    <w:rsid w:val="00332320"/>
    <w:rsid w:val="00336B88"/>
    <w:rsid w:val="003405A4"/>
    <w:rsid w:val="003412A8"/>
    <w:rsid w:val="00341C29"/>
    <w:rsid w:val="00343BBC"/>
    <w:rsid w:val="00347D72"/>
    <w:rsid w:val="00351D21"/>
    <w:rsid w:val="00357611"/>
    <w:rsid w:val="00367237"/>
    <w:rsid w:val="0037077F"/>
    <w:rsid w:val="00372411"/>
    <w:rsid w:val="0037258A"/>
    <w:rsid w:val="00373882"/>
    <w:rsid w:val="003843DB"/>
    <w:rsid w:val="003901AC"/>
    <w:rsid w:val="00393761"/>
    <w:rsid w:val="00397181"/>
    <w:rsid w:val="00397D18"/>
    <w:rsid w:val="003A1B36"/>
    <w:rsid w:val="003A440F"/>
    <w:rsid w:val="003A7D83"/>
    <w:rsid w:val="003B1454"/>
    <w:rsid w:val="003B18B6"/>
    <w:rsid w:val="003B5096"/>
    <w:rsid w:val="003C59E0"/>
    <w:rsid w:val="003C6C8D"/>
    <w:rsid w:val="003D3B24"/>
    <w:rsid w:val="003D4F95"/>
    <w:rsid w:val="003D5F42"/>
    <w:rsid w:val="003D60A9"/>
    <w:rsid w:val="003D67C8"/>
    <w:rsid w:val="003D7BC2"/>
    <w:rsid w:val="003E3529"/>
    <w:rsid w:val="003E6F8F"/>
    <w:rsid w:val="003F4C97"/>
    <w:rsid w:val="003F54AA"/>
    <w:rsid w:val="003F7FE6"/>
    <w:rsid w:val="00400193"/>
    <w:rsid w:val="004002CD"/>
    <w:rsid w:val="004009D2"/>
    <w:rsid w:val="00417625"/>
    <w:rsid w:val="004212E7"/>
    <w:rsid w:val="0042446D"/>
    <w:rsid w:val="004276B0"/>
    <w:rsid w:val="00427BF8"/>
    <w:rsid w:val="00431C02"/>
    <w:rsid w:val="00435D6D"/>
    <w:rsid w:val="00437395"/>
    <w:rsid w:val="00445047"/>
    <w:rsid w:val="004469A3"/>
    <w:rsid w:val="004513A3"/>
    <w:rsid w:val="00451932"/>
    <w:rsid w:val="00453304"/>
    <w:rsid w:val="00454E14"/>
    <w:rsid w:val="004566AB"/>
    <w:rsid w:val="0045762F"/>
    <w:rsid w:val="004601AC"/>
    <w:rsid w:val="00460C26"/>
    <w:rsid w:val="00463E39"/>
    <w:rsid w:val="004657FC"/>
    <w:rsid w:val="00467181"/>
    <w:rsid w:val="004733F6"/>
    <w:rsid w:val="00474E69"/>
    <w:rsid w:val="0048486C"/>
    <w:rsid w:val="00486EE6"/>
    <w:rsid w:val="0049189D"/>
    <w:rsid w:val="00493217"/>
    <w:rsid w:val="0049621B"/>
    <w:rsid w:val="004B2431"/>
    <w:rsid w:val="004B2465"/>
    <w:rsid w:val="004B4C23"/>
    <w:rsid w:val="004C01B5"/>
    <w:rsid w:val="004C1895"/>
    <w:rsid w:val="004C6D40"/>
    <w:rsid w:val="004D119F"/>
    <w:rsid w:val="004D3ABE"/>
    <w:rsid w:val="004E21A3"/>
    <w:rsid w:val="004F0C3C"/>
    <w:rsid w:val="004F63FC"/>
    <w:rsid w:val="00501254"/>
    <w:rsid w:val="00501F76"/>
    <w:rsid w:val="00502E6F"/>
    <w:rsid w:val="00505A92"/>
    <w:rsid w:val="005077D1"/>
    <w:rsid w:val="00511F19"/>
    <w:rsid w:val="0051646A"/>
    <w:rsid w:val="00516A50"/>
    <w:rsid w:val="005203F1"/>
    <w:rsid w:val="0052058B"/>
    <w:rsid w:val="005214FA"/>
    <w:rsid w:val="00521BC3"/>
    <w:rsid w:val="00526A58"/>
    <w:rsid w:val="005316C2"/>
    <w:rsid w:val="00533632"/>
    <w:rsid w:val="00534040"/>
    <w:rsid w:val="0053648F"/>
    <w:rsid w:val="00541E6E"/>
    <w:rsid w:val="0054251F"/>
    <w:rsid w:val="00542AFC"/>
    <w:rsid w:val="005520D8"/>
    <w:rsid w:val="00556CF1"/>
    <w:rsid w:val="00573DFA"/>
    <w:rsid w:val="005762A7"/>
    <w:rsid w:val="005762F6"/>
    <w:rsid w:val="0058363D"/>
    <w:rsid w:val="00585D06"/>
    <w:rsid w:val="005875EB"/>
    <w:rsid w:val="005877DE"/>
    <w:rsid w:val="005916D7"/>
    <w:rsid w:val="0059573F"/>
    <w:rsid w:val="005A2784"/>
    <w:rsid w:val="005A698C"/>
    <w:rsid w:val="005A69F2"/>
    <w:rsid w:val="005A6C7D"/>
    <w:rsid w:val="005C1AF8"/>
    <w:rsid w:val="005C209B"/>
    <w:rsid w:val="005C778E"/>
    <w:rsid w:val="005D0389"/>
    <w:rsid w:val="005D1C04"/>
    <w:rsid w:val="005D470D"/>
    <w:rsid w:val="005E0799"/>
    <w:rsid w:val="005E2757"/>
    <w:rsid w:val="005E418C"/>
    <w:rsid w:val="005E6437"/>
    <w:rsid w:val="005F4399"/>
    <w:rsid w:val="005F5A80"/>
    <w:rsid w:val="006044FF"/>
    <w:rsid w:val="00604FF5"/>
    <w:rsid w:val="00607CC5"/>
    <w:rsid w:val="00613AEC"/>
    <w:rsid w:val="006149F0"/>
    <w:rsid w:val="0061655B"/>
    <w:rsid w:val="0062307C"/>
    <w:rsid w:val="006321A2"/>
    <w:rsid w:val="00633014"/>
    <w:rsid w:val="0063437B"/>
    <w:rsid w:val="006346A9"/>
    <w:rsid w:val="00636A57"/>
    <w:rsid w:val="00644254"/>
    <w:rsid w:val="00660778"/>
    <w:rsid w:val="00666DED"/>
    <w:rsid w:val="006673CA"/>
    <w:rsid w:val="006718A3"/>
    <w:rsid w:val="00673C26"/>
    <w:rsid w:val="00674A8B"/>
    <w:rsid w:val="006812AF"/>
    <w:rsid w:val="00682B23"/>
    <w:rsid w:val="0068327D"/>
    <w:rsid w:val="00683EDE"/>
    <w:rsid w:val="00685123"/>
    <w:rsid w:val="00691225"/>
    <w:rsid w:val="00691316"/>
    <w:rsid w:val="006920EA"/>
    <w:rsid w:val="00694AF0"/>
    <w:rsid w:val="00696549"/>
    <w:rsid w:val="00696814"/>
    <w:rsid w:val="006A4686"/>
    <w:rsid w:val="006B0B72"/>
    <w:rsid w:val="006B0E9E"/>
    <w:rsid w:val="006B208D"/>
    <w:rsid w:val="006B20B4"/>
    <w:rsid w:val="006B5AE4"/>
    <w:rsid w:val="006B78EF"/>
    <w:rsid w:val="006D1507"/>
    <w:rsid w:val="006D4054"/>
    <w:rsid w:val="006D5C42"/>
    <w:rsid w:val="006D6B72"/>
    <w:rsid w:val="006E02EC"/>
    <w:rsid w:val="006E14B3"/>
    <w:rsid w:val="006E2D00"/>
    <w:rsid w:val="006F145E"/>
    <w:rsid w:val="006F6B1F"/>
    <w:rsid w:val="007059D5"/>
    <w:rsid w:val="007063C3"/>
    <w:rsid w:val="007122CC"/>
    <w:rsid w:val="007162EB"/>
    <w:rsid w:val="007211B1"/>
    <w:rsid w:val="00721712"/>
    <w:rsid w:val="0072400B"/>
    <w:rsid w:val="00733D55"/>
    <w:rsid w:val="00740107"/>
    <w:rsid w:val="007408FF"/>
    <w:rsid w:val="007418B3"/>
    <w:rsid w:val="0074537D"/>
    <w:rsid w:val="00746187"/>
    <w:rsid w:val="00752A67"/>
    <w:rsid w:val="00761070"/>
    <w:rsid w:val="0076254F"/>
    <w:rsid w:val="007676D7"/>
    <w:rsid w:val="00774934"/>
    <w:rsid w:val="00776D79"/>
    <w:rsid w:val="007801F5"/>
    <w:rsid w:val="00781552"/>
    <w:rsid w:val="00783CA4"/>
    <w:rsid w:val="007842FB"/>
    <w:rsid w:val="00786124"/>
    <w:rsid w:val="0078756B"/>
    <w:rsid w:val="0079022D"/>
    <w:rsid w:val="00792E24"/>
    <w:rsid w:val="00793154"/>
    <w:rsid w:val="007948D4"/>
    <w:rsid w:val="0079514B"/>
    <w:rsid w:val="00797060"/>
    <w:rsid w:val="00797771"/>
    <w:rsid w:val="007A2DC1"/>
    <w:rsid w:val="007A77F5"/>
    <w:rsid w:val="007B74D8"/>
    <w:rsid w:val="007D3319"/>
    <w:rsid w:val="007D335D"/>
    <w:rsid w:val="007D4406"/>
    <w:rsid w:val="007E3314"/>
    <w:rsid w:val="007E4B03"/>
    <w:rsid w:val="007E71CF"/>
    <w:rsid w:val="007F045B"/>
    <w:rsid w:val="007F324B"/>
    <w:rsid w:val="007F3983"/>
    <w:rsid w:val="007F6195"/>
    <w:rsid w:val="008006E1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43795"/>
    <w:rsid w:val="008473E0"/>
    <w:rsid w:val="00847F0F"/>
    <w:rsid w:val="00852448"/>
    <w:rsid w:val="00860851"/>
    <w:rsid w:val="00864AD8"/>
    <w:rsid w:val="00866B61"/>
    <w:rsid w:val="00873B73"/>
    <w:rsid w:val="00876337"/>
    <w:rsid w:val="0088258A"/>
    <w:rsid w:val="008832C4"/>
    <w:rsid w:val="00883763"/>
    <w:rsid w:val="00885F63"/>
    <w:rsid w:val="00886332"/>
    <w:rsid w:val="00887348"/>
    <w:rsid w:val="00892238"/>
    <w:rsid w:val="008A26D9"/>
    <w:rsid w:val="008A4C58"/>
    <w:rsid w:val="008B4AE0"/>
    <w:rsid w:val="008C0C29"/>
    <w:rsid w:val="008C1A52"/>
    <w:rsid w:val="008C7879"/>
    <w:rsid w:val="008C7A01"/>
    <w:rsid w:val="008E64EF"/>
    <w:rsid w:val="008F3638"/>
    <w:rsid w:val="008F4441"/>
    <w:rsid w:val="008F6F31"/>
    <w:rsid w:val="008F74DF"/>
    <w:rsid w:val="0091008E"/>
    <w:rsid w:val="009127BA"/>
    <w:rsid w:val="00912EB7"/>
    <w:rsid w:val="00916782"/>
    <w:rsid w:val="00917CCF"/>
    <w:rsid w:val="00920A9B"/>
    <w:rsid w:val="00920FC4"/>
    <w:rsid w:val="009227A6"/>
    <w:rsid w:val="00927AD2"/>
    <w:rsid w:val="00932D7A"/>
    <w:rsid w:val="00933B26"/>
    <w:rsid w:val="00933EC1"/>
    <w:rsid w:val="00942DCA"/>
    <w:rsid w:val="0094622C"/>
    <w:rsid w:val="009530DB"/>
    <w:rsid w:val="00953676"/>
    <w:rsid w:val="009668F9"/>
    <w:rsid w:val="009705EE"/>
    <w:rsid w:val="00971217"/>
    <w:rsid w:val="009731D6"/>
    <w:rsid w:val="0097339D"/>
    <w:rsid w:val="00977927"/>
    <w:rsid w:val="0098135C"/>
    <w:rsid w:val="0098156A"/>
    <w:rsid w:val="00982640"/>
    <w:rsid w:val="0098469A"/>
    <w:rsid w:val="00984980"/>
    <w:rsid w:val="00990133"/>
    <w:rsid w:val="00991BAC"/>
    <w:rsid w:val="009A206F"/>
    <w:rsid w:val="009A6EA0"/>
    <w:rsid w:val="009A703D"/>
    <w:rsid w:val="009B1399"/>
    <w:rsid w:val="009B1414"/>
    <w:rsid w:val="009B2242"/>
    <w:rsid w:val="009B6D11"/>
    <w:rsid w:val="009B746F"/>
    <w:rsid w:val="009C1335"/>
    <w:rsid w:val="009C1AB2"/>
    <w:rsid w:val="009C5407"/>
    <w:rsid w:val="009C7251"/>
    <w:rsid w:val="009D0FBC"/>
    <w:rsid w:val="009D1423"/>
    <w:rsid w:val="009E2E91"/>
    <w:rsid w:val="009E3BF4"/>
    <w:rsid w:val="009E3FA7"/>
    <w:rsid w:val="009E410D"/>
    <w:rsid w:val="009F4D4A"/>
    <w:rsid w:val="009F5815"/>
    <w:rsid w:val="009F5AB7"/>
    <w:rsid w:val="009F70CD"/>
    <w:rsid w:val="009F7A99"/>
    <w:rsid w:val="00A06D23"/>
    <w:rsid w:val="00A07F00"/>
    <w:rsid w:val="00A12435"/>
    <w:rsid w:val="00A139F5"/>
    <w:rsid w:val="00A15A51"/>
    <w:rsid w:val="00A2136A"/>
    <w:rsid w:val="00A27522"/>
    <w:rsid w:val="00A3060E"/>
    <w:rsid w:val="00A34C24"/>
    <w:rsid w:val="00A365F4"/>
    <w:rsid w:val="00A37CE0"/>
    <w:rsid w:val="00A459FF"/>
    <w:rsid w:val="00A460E6"/>
    <w:rsid w:val="00A46BD5"/>
    <w:rsid w:val="00A47937"/>
    <w:rsid w:val="00A47D80"/>
    <w:rsid w:val="00A51051"/>
    <w:rsid w:val="00A51BB2"/>
    <w:rsid w:val="00A53132"/>
    <w:rsid w:val="00A563F2"/>
    <w:rsid w:val="00A566E8"/>
    <w:rsid w:val="00A60AEE"/>
    <w:rsid w:val="00A6676F"/>
    <w:rsid w:val="00A70953"/>
    <w:rsid w:val="00A7152F"/>
    <w:rsid w:val="00A810F9"/>
    <w:rsid w:val="00A8165F"/>
    <w:rsid w:val="00A82477"/>
    <w:rsid w:val="00A845DC"/>
    <w:rsid w:val="00A86ECC"/>
    <w:rsid w:val="00A86FCC"/>
    <w:rsid w:val="00A90732"/>
    <w:rsid w:val="00A93892"/>
    <w:rsid w:val="00AA569E"/>
    <w:rsid w:val="00AA710D"/>
    <w:rsid w:val="00AB0B8F"/>
    <w:rsid w:val="00AB27B9"/>
    <w:rsid w:val="00AB6D25"/>
    <w:rsid w:val="00AB7B31"/>
    <w:rsid w:val="00AD4947"/>
    <w:rsid w:val="00AD5F17"/>
    <w:rsid w:val="00AE20FD"/>
    <w:rsid w:val="00AE2D4B"/>
    <w:rsid w:val="00AE3075"/>
    <w:rsid w:val="00AE4F99"/>
    <w:rsid w:val="00AE777C"/>
    <w:rsid w:val="00B048A4"/>
    <w:rsid w:val="00B04E38"/>
    <w:rsid w:val="00B06265"/>
    <w:rsid w:val="00B10BBE"/>
    <w:rsid w:val="00B11B69"/>
    <w:rsid w:val="00B14952"/>
    <w:rsid w:val="00B2412D"/>
    <w:rsid w:val="00B24B6C"/>
    <w:rsid w:val="00B250D5"/>
    <w:rsid w:val="00B31357"/>
    <w:rsid w:val="00B31E5A"/>
    <w:rsid w:val="00B322EC"/>
    <w:rsid w:val="00B36425"/>
    <w:rsid w:val="00B42DDD"/>
    <w:rsid w:val="00B529AD"/>
    <w:rsid w:val="00B56D54"/>
    <w:rsid w:val="00B609CE"/>
    <w:rsid w:val="00B611C1"/>
    <w:rsid w:val="00B617A5"/>
    <w:rsid w:val="00B653AB"/>
    <w:rsid w:val="00B65F9E"/>
    <w:rsid w:val="00B66B19"/>
    <w:rsid w:val="00B674A5"/>
    <w:rsid w:val="00B81B60"/>
    <w:rsid w:val="00B84277"/>
    <w:rsid w:val="00B86545"/>
    <w:rsid w:val="00B914E9"/>
    <w:rsid w:val="00B91831"/>
    <w:rsid w:val="00B94737"/>
    <w:rsid w:val="00B956EE"/>
    <w:rsid w:val="00B97152"/>
    <w:rsid w:val="00BA1AD0"/>
    <w:rsid w:val="00BA2BA1"/>
    <w:rsid w:val="00BA3562"/>
    <w:rsid w:val="00BA5A42"/>
    <w:rsid w:val="00BB08C3"/>
    <w:rsid w:val="00BB27AF"/>
    <w:rsid w:val="00BB4BE0"/>
    <w:rsid w:val="00BB4D90"/>
    <w:rsid w:val="00BB4F09"/>
    <w:rsid w:val="00BB6447"/>
    <w:rsid w:val="00BB6E9C"/>
    <w:rsid w:val="00BC17C7"/>
    <w:rsid w:val="00BC2318"/>
    <w:rsid w:val="00BC427F"/>
    <w:rsid w:val="00BD3777"/>
    <w:rsid w:val="00BD4E33"/>
    <w:rsid w:val="00BE4B65"/>
    <w:rsid w:val="00BF2E22"/>
    <w:rsid w:val="00BF790C"/>
    <w:rsid w:val="00C00EDA"/>
    <w:rsid w:val="00C030DE"/>
    <w:rsid w:val="00C057E5"/>
    <w:rsid w:val="00C110DB"/>
    <w:rsid w:val="00C11CBD"/>
    <w:rsid w:val="00C1766A"/>
    <w:rsid w:val="00C22105"/>
    <w:rsid w:val="00C244B6"/>
    <w:rsid w:val="00C27CB6"/>
    <w:rsid w:val="00C27D75"/>
    <w:rsid w:val="00C3702F"/>
    <w:rsid w:val="00C4500A"/>
    <w:rsid w:val="00C45CAF"/>
    <w:rsid w:val="00C522A5"/>
    <w:rsid w:val="00C55C91"/>
    <w:rsid w:val="00C56FB5"/>
    <w:rsid w:val="00C57F14"/>
    <w:rsid w:val="00C57FE4"/>
    <w:rsid w:val="00C61795"/>
    <w:rsid w:val="00C61D89"/>
    <w:rsid w:val="00C64A37"/>
    <w:rsid w:val="00C7158E"/>
    <w:rsid w:val="00C7250B"/>
    <w:rsid w:val="00C7346B"/>
    <w:rsid w:val="00C73B5E"/>
    <w:rsid w:val="00C77C0E"/>
    <w:rsid w:val="00C8000E"/>
    <w:rsid w:val="00C91687"/>
    <w:rsid w:val="00C920B2"/>
    <w:rsid w:val="00C924A8"/>
    <w:rsid w:val="00C945FE"/>
    <w:rsid w:val="00C950B4"/>
    <w:rsid w:val="00C954CE"/>
    <w:rsid w:val="00C96FAA"/>
    <w:rsid w:val="00C97A04"/>
    <w:rsid w:val="00CA107B"/>
    <w:rsid w:val="00CA484D"/>
    <w:rsid w:val="00CA4FB6"/>
    <w:rsid w:val="00CA5C74"/>
    <w:rsid w:val="00CC17BD"/>
    <w:rsid w:val="00CC6180"/>
    <w:rsid w:val="00CC72FC"/>
    <w:rsid w:val="00CC739E"/>
    <w:rsid w:val="00CC75D3"/>
    <w:rsid w:val="00CD1E2E"/>
    <w:rsid w:val="00CD352D"/>
    <w:rsid w:val="00CD58B7"/>
    <w:rsid w:val="00CF08EF"/>
    <w:rsid w:val="00CF09F2"/>
    <w:rsid w:val="00CF4099"/>
    <w:rsid w:val="00D00796"/>
    <w:rsid w:val="00D02D2C"/>
    <w:rsid w:val="00D14C59"/>
    <w:rsid w:val="00D1564D"/>
    <w:rsid w:val="00D261A2"/>
    <w:rsid w:val="00D2668A"/>
    <w:rsid w:val="00D3440A"/>
    <w:rsid w:val="00D34567"/>
    <w:rsid w:val="00D401C9"/>
    <w:rsid w:val="00D43419"/>
    <w:rsid w:val="00D47B8D"/>
    <w:rsid w:val="00D538E4"/>
    <w:rsid w:val="00D54B01"/>
    <w:rsid w:val="00D616D2"/>
    <w:rsid w:val="00D63B5F"/>
    <w:rsid w:val="00D7066F"/>
    <w:rsid w:val="00D70EF7"/>
    <w:rsid w:val="00D7217D"/>
    <w:rsid w:val="00D7664A"/>
    <w:rsid w:val="00D76A0A"/>
    <w:rsid w:val="00D815F5"/>
    <w:rsid w:val="00D81F2B"/>
    <w:rsid w:val="00D8397C"/>
    <w:rsid w:val="00D9456F"/>
    <w:rsid w:val="00D94EED"/>
    <w:rsid w:val="00D96026"/>
    <w:rsid w:val="00DA0243"/>
    <w:rsid w:val="00DA0C7E"/>
    <w:rsid w:val="00DA433C"/>
    <w:rsid w:val="00DA52A7"/>
    <w:rsid w:val="00DA7C1C"/>
    <w:rsid w:val="00DB147A"/>
    <w:rsid w:val="00DB1B7A"/>
    <w:rsid w:val="00DC6708"/>
    <w:rsid w:val="00DC7CFA"/>
    <w:rsid w:val="00DE64C5"/>
    <w:rsid w:val="00DF712D"/>
    <w:rsid w:val="00DF7E46"/>
    <w:rsid w:val="00E01436"/>
    <w:rsid w:val="00E045BD"/>
    <w:rsid w:val="00E17A9F"/>
    <w:rsid w:val="00E17B77"/>
    <w:rsid w:val="00E23337"/>
    <w:rsid w:val="00E24A25"/>
    <w:rsid w:val="00E259EA"/>
    <w:rsid w:val="00E27E85"/>
    <w:rsid w:val="00E30793"/>
    <w:rsid w:val="00E32061"/>
    <w:rsid w:val="00E41FCF"/>
    <w:rsid w:val="00E42801"/>
    <w:rsid w:val="00E42FF9"/>
    <w:rsid w:val="00E4714C"/>
    <w:rsid w:val="00E51AEB"/>
    <w:rsid w:val="00E52175"/>
    <w:rsid w:val="00E522A7"/>
    <w:rsid w:val="00E54452"/>
    <w:rsid w:val="00E63312"/>
    <w:rsid w:val="00E664C5"/>
    <w:rsid w:val="00E671A2"/>
    <w:rsid w:val="00E67A17"/>
    <w:rsid w:val="00E75596"/>
    <w:rsid w:val="00E76D26"/>
    <w:rsid w:val="00E82C7E"/>
    <w:rsid w:val="00E93CDB"/>
    <w:rsid w:val="00E963C8"/>
    <w:rsid w:val="00EB02C9"/>
    <w:rsid w:val="00EB1390"/>
    <w:rsid w:val="00EB199D"/>
    <w:rsid w:val="00EB2C71"/>
    <w:rsid w:val="00EB4340"/>
    <w:rsid w:val="00EB4822"/>
    <w:rsid w:val="00EB4D71"/>
    <w:rsid w:val="00EB556D"/>
    <w:rsid w:val="00EB5A7D"/>
    <w:rsid w:val="00EB73D7"/>
    <w:rsid w:val="00EC2274"/>
    <w:rsid w:val="00ED55C0"/>
    <w:rsid w:val="00ED682B"/>
    <w:rsid w:val="00EE3F46"/>
    <w:rsid w:val="00EE41D5"/>
    <w:rsid w:val="00EE4ADB"/>
    <w:rsid w:val="00EE696D"/>
    <w:rsid w:val="00EF7B36"/>
    <w:rsid w:val="00F0028A"/>
    <w:rsid w:val="00F037A4"/>
    <w:rsid w:val="00F04465"/>
    <w:rsid w:val="00F04C11"/>
    <w:rsid w:val="00F10D63"/>
    <w:rsid w:val="00F12FEC"/>
    <w:rsid w:val="00F26013"/>
    <w:rsid w:val="00F27C8F"/>
    <w:rsid w:val="00F30A0C"/>
    <w:rsid w:val="00F32749"/>
    <w:rsid w:val="00F37172"/>
    <w:rsid w:val="00F42746"/>
    <w:rsid w:val="00F4477E"/>
    <w:rsid w:val="00F45717"/>
    <w:rsid w:val="00F57391"/>
    <w:rsid w:val="00F60B5D"/>
    <w:rsid w:val="00F65EEC"/>
    <w:rsid w:val="00F6637E"/>
    <w:rsid w:val="00F67D8F"/>
    <w:rsid w:val="00F739B3"/>
    <w:rsid w:val="00F73C5D"/>
    <w:rsid w:val="00F74B10"/>
    <w:rsid w:val="00F80247"/>
    <w:rsid w:val="00F802BE"/>
    <w:rsid w:val="00F80E93"/>
    <w:rsid w:val="00F8197B"/>
    <w:rsid w:val="00F86024"/>
    <w:rsid w:val="00F8611A"/>
    <w:rsid w:val="00F86C02"/>
    <w:rsid w:val="00F90BB1"/>
    <w:rsid w:val="00F93CA3"/>
    <w:rsid w:val="00FA0677"/>
    <w:rsid w:val="00FA0AB4"/>
    <w:rsid w:val="00FA5128"/>
    <w:rsid w:val="00FB2D00"/>
    <w:rsid w:val="00FB42D4"/>
    <w:rsid w:val="00FB5906"/>
    <w:rsid w:val="00FB762F"/>
    <w:rsid w:val="00FC1516"/>
    <w:rsid w:val="00FC2AED"/>
    <w:rsid w:val="00FC6AF0"/>
    <w:rsid w:val="00FD39F6"/>
    <w:rsid w:val="00FD5EA7"/>
    <w:rsid w:val="00FD7DB8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17F10099-4FAA-42F0-81B3-718B54E4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0609C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F9"/>
    <w:rPr>
      <w:rFonts w:ascii="Fira Sans" w:hAnsi="Fira Sans"/>
      <w:b/>
      <w:bCs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866B61"/>
  </w:style>
  <w:style w:type="table" w:customStyle="1" w:styleId="Tabelasiatki1jasnaakcent111">
    <w:name w:val="Tabela siatki 1 — jasna — akcent 111"/>
    <w:basedOn w:val="Standardowy"/>
    <w:uiPriority w:val="46"/>
    <w:rsid w:val="00866B6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2">
    <w:name w:val="Siatka tabeli — jasna12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6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11">
    <w:name w:val="Siatka tabeli — jasna111"/>
    <w:basedOn w:val="Standardowy"/>
    <w:uiPriority w:val="40"/>
    <w:rsid w:val="00866B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2">
    <w:name w:val="Siatka tabeli — jasna112"/>
    <w:basedOn w:val="Standardowy"/>
    <w:uiPriority w:val="40"/>
    <w:rsid w:val="00A90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864A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s://ec.europa.eu/eurostat/documents/10186/10693286/HICP_guidance.pdf" TargetMode="External"/><Relationship Id="rId26" Type="http://schemas.openxmlformats.org/officeDocument/2006/relationships/hyperlink" Target="https://stat.gov.pl/" TargetMode="External"/><Relationship Id="rId39" Type="http://schemas.openxmlformats.org/officeDocument/2006/relationships/hyperlink" Target="http://stat.gov.pl/metainformacje/slownik-pojec/pojecia-stosowane-w-statystyce-publicznej/32,pojecie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://bdm.stat.gov.pl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header" Target="header1.xml"/><Relationship Id="rId29" Type="http://schemas.openxmlformats.org/officeDocument/2006/relationships/image" Target="media/image7.png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yperlink" Target="http://stat.gov.pl/obszary-tematyczne/ceny-handel/ceny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footer" Target="footer2.xml"/><Relationship Id="rId28" Type="http://schemas.openxmlformats.org/officeDocument/2006/relationships/hyperlink" Target="https://twitter.com/GUS_STAT" TargetMode="External"/><Relationship Id="rId36" Type="http://schemas.openxmlformats.org/officeDocument/2006/relationships/hyperlink" Target="http://stat.gov.pl/obszary-tematyczne/ceny-handel/wskazniki-c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c.europa.eu/eurostat/documents/10186/10693286/HICP_lifting_lockdown_measures_guidance.pdf" TargetMode="External"/><Relationship Id="rId31" Type="http://schemas.openxmlformats.org/officeDocument/2006/relationships/hyperlink" Target="http://stat.gov.pl/sygnalne/komunikaty-i-obwieszczeni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eader" Target="header2.xm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Mięso</c:v>
                </c:pt>
                <c:pt idx="1">
                  <c:v>Ubezpieczenia</c:v>
                </c:pt>
                <c:pt idx="2">
                  <c:v>Odzież</c:v>
                </c:pt>
                <c:pt idx="3">
                  <c:v>Usługi telekomunikacyjne</c:v>
                </c:pt>
                <c:pt idx="4">
                  <c:v>Obuwie</c:v>
                </c:pt>
                <c:pt idx="5">
                  <c:v>Warzywa</c:v>
                </c:pt>
                <c:pt idx="6">
                  <c:v>Higiena osobista</c:v>
                </c:pt>
                <c:pt idx="7">
                  <c:v>Owoce</c:v>
                </c:pt>
                <c:pt idx="8">
                  <c:v>Usługi transportowe</c:v>
                </c:pt>
                <c:pt idx="9">
                  <c:v>Paliwa do prywatnych środków transportu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-0.05</c:v>
                </c:pt>
                <c:pt idx="1">
                  <c:v>-0.04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0.02</c:v>
                </c:pt>
                <c:pt idx="6">
                  <c:v>0.02</c:v>
                </c:pt>
                <c:pt idx="7">
                  <c:v>0.03</c:v>
                </c:pt>
                <c:pt idx="8">
                  <c:v>0.04</c:v>
                </c:pt>
                <c:pt idx="9">
                  <c:v>0.14000000000000001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8995296"/>
        <c:axId val="308998016"/>
      </c:barChart>
      <c:catAx>
        <c:axId val="308995296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8998016"/>
        <c:crossesAt val="0"/>
        <c:auto val="1"/>
        <c:lblAlgn val="ctr"/>
        <c:lblOffset val="750"/>
        <c:tickMarkSkip val="1"/>
        <c:noMultiLvlLbl val="0"/>
      </c:catAx>
      <c:valAx>
        <c:axId val="308998016"/>
        <c:scaling>
          <c:orientation val="minMax"/>
          <c:max val="0.15000000000000002"/>
          <c:min val="-5.000000000000001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8995296"/>
        <c:crosses val="autoZero"/>
        <c:crossBetween val="between"/>
        <c:majorUnit val="5.000000000000001E-2"/>
        <c:min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08995840"/>
        <c:axId val="309007264"/>
      </c:barChart>
      <c:catAx>
        <c:axId val="3089958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309007264"/>
        <c:crosses val="autoZero"/>
        <c:auto val="0"/>
        <c:lblAlgn val="ctr"/>
        <c:lblOffset val="100"/>
        <c:noMultiLvlLbl val="0"/>
      </c:catAx>
      <c:valAx>
        <c:axId val="30900726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30899584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801981009471848E-2"/>
                  <c:y val="-4.38915186104121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614456373691134E-2"/>
                  <c:y val="-4.186633976002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2632408784192511E-2"/>
                  <c:y val="-4.0261525316690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'M-1'!$B$38:$B$61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'M-1'!$C$38:$C$61</c:f>
              <c:numCache>
                <c:formatCode>0.0</c:formatCode>
                <c:ptCount val="24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006176"/>
        <c:axId val="309007808"/>
      </c:lineChart>
      <c:dateAx>
        <c:axId val="3090061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9007808"/>
        <c:crossesAt val="0"/>
        <c:auto val="0"/>
        <c:lblOffset val="100"/>
        <c:baseTimeUnit val="days"/>
      </c:dateAx>
      <c:valAx>
        <c:axId val="309007808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900617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248120674167937E-2"/>
                  <c:y val="-4.0655920751477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357354447323932E-2"/>
                  <c:y val="1.916548673847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1.2818091270534931E-2"/>
                  <c:y val="1.6596429520775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(+FE)'!$B$38:$B$61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(+FE)'!$D$38:$D$61</c:f>
              <c:numCache>
                <c:formatCode>0.0</c:formatCode>
                <c:ptCount val="24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9005632"/>
        <c:axId val="308993120"/>
      </c:lineChart>
      <c:dateAx>
        <c:axId val="3090056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8993120"/>
        <c:crossesAt val="0"/>
        <c:auto val="0"/>
        <c:lblOffset val="100"/>
        <c:baseTimeUnit val="days"/>
      </c:dateAx>
      <c:valAx>
        <c:axId val="308993120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30900563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m-12'!$B$39:$B$62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m-12'!$C$39:$C$62</c:f>
              <c:numCache>
                <c:formatCode>0.0</c:formatCode>
                <c:ptCount val="24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m-12'!$B$39:$B$62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m-12'!$E$39:$E$62</c:f>
              <c:numCache>
                <c:formatCode>0.0</c:formatCode>
                <c:ptCount val="24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  <c:pt idx="16">
                  <c:v>3.4</c:v>
                </c:pt>
                <c:pt idx="17">
                  <c:v>3.8</c:v>
                </c:pt>
                <c:pt idx="18">
                  <c:v>3.7</c:v>
                </c:pt>
                <c:pt idx="19">
                  <c:v>3.7</c:v>
                </c:pt>
                <c:pt idx="20">
                  <c:v>3.8</c:v>
                </c:pt>
                <c:pt idx="21">
                  <c:v>3.8</c:v>
                </c:pt>
                <c:pt idx="22">
                  <c:v>3.7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09006720"/>
        <c:axId val="309003456"/>
      </c:lineChart>
      <c:catAx>
        <c:axId val="30900672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30900345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30900345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309006720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0241510613166744"/>
          <c:y val="0.62394012961532352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0.50088</cdr:x>
      <cdr:y>0.8682</cdr:y>
    </cdr:from>
    <cdr:to>
      <cdr:x>0.50136</cdr:x>
      <cdr:y>0.9442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65779" y="2221216"/>
          <a:ext cx="2460" cy="19443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0.07799</cdr:x>
      <cdr:y>0.92792</cdr:y>
    </cdr:from>
    <cdr:to>
      <cdr:x>0.50473</cdr:x>
      <cdr:y>0.99126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00396" y="2379565"/>
          <a:ext cx="2190750" cy="1624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0.50145</cdr:x>
      <cdr:y>0.93033</cdr:y>
    </cdr:from>
    <cdr:to>
      <cdr:x>0.92928</cdr:x>
      <cdr:y>0.99362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574336" y="2385743"/>
          <a:ext cx="2196353" cy="1623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0.06813</cdr:x>
      <cdr:y>0.62248</cdr:y>
    </cdr:from>
    <cdr:to>
      <cdr:x>0.92916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8426" y="1634461"/>
          <a:ext cx="4403558" cy="73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0.29414</cdr:y>
    </cdr:from>
    <cdr:to>
      <cdr:x>0.92245</cdr:x>
      <cdr:y>0.29445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7284" y="772328"/>
          <a:ext cx="4360417" cy="80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0.92607</cdr:y>
    </cdr:from>
    <cdr:to>
      <cdr:x>0.49785</cdr:x>
      <cdr:y>0.98709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4450" y="2431733"/>
          <a:ext cx="2201706" cy="1602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0.49992</cdr:x>
      <cdr:y>0.92405</cdr:y>
    </cdr:from>
    <cdr:to>
      <cdr:x>0.9278</cdr:x>
      <cdr:y>0.98574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556740" y="2426442"/>
          <a:ext cx="2188339" cy="161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0.49764</cdr:x>
      <cdr:y>0.86819</cdr:y>
    </cdr:from>
    <cdr:to>
      <cdr:x>0.49798</cdr:x>
      <cdr:y>0.9519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545100" y="2279751"/>
          <a:ext cx="1739" cy="21981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0.16723</cdr:x>
      <cdr:y>0.21251</cdr:y>
    </cdr:from>
    <cdr:to>
      <cdr:x>0.46727</cdr:x>
      <cdr:y>0.29141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854738" y="548335"/>
          <a:ext cx="1533527" cy="2035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0.16618</cdr:x>
      <cdr:y>0.62333</cdr:y>
    </cdr:from>
    <cdr:to>
      <cdr:x>0.44737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849376" y="1608364"/>
          <a:ext cx="1437184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0.44959</cdr:x>
      <cdr:y>0.45356</cdr:y>
    </cdr:from>
    <cdr:to>
      <cdr:x>0.63876</cdr:x>
      <cdr:y>0.54036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99312" y="1190924"/>
          <a:ext cx="967470" cy="2279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0.06424</cdr:x>
      <cdr:y>0.91859</cdr:y>
    </cdr:from>
    <cdr:to>
      <cdr:x>0.93314</cdr:x>
      <cdr:y>0.98915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330574" y="2335324"/>
          <a:ext cx="4471147" cy="17938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0.49771</cdr:x>
      <cdr:y>0.85313</cdr:y>
    </cdr:from>
    <cdr:to>
      <cdr:x>0.49779</cdr:x>
      <cdr:y>0.93601</cdr:y>
    </cdr:to>
    <cdr:sp macro="" textlink="">
      <cdr:nvSpPr>
        <cdr:cNvPr id="10" name="Łącznik prosty 8"/>
        <cdr:cNvSpPr/>
      </cdr:nvSpPr>
      <cdr:spPr bwMode="auto">
        <a:xfrm xmlns:a="http://schemas.openxmlformats.org/drawingml/2006/main" flipV="1">
          <a:off x="2549525" y="2158824"/>
          <a:ext cx="427" cy="20972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933D20E0-C916-466C-A7A0-1C3D36C1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7</Pages>
  <Words>1470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2020-01-13T15:33:00Z</cp:lastPrinted>
  <dcterms:created xsi:type="dcterms:W3CDTF">2018-07-11T11:36:00Z</dcterms:created>
  <dcterms:modified xsi:type="dcterms:W3CDTF">2021-01-15T07:24:00Z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