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2969D1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 xml:space="preserve">Działalność przedsiębiorstw </w:t>
      </w:r>
      <w:r w:rsidR="00600241" w:rsidRPr="00136D4B">
        <w:t>windykacyjnych</w:t>
      </w:r>
      <w:r w:rsidR="00600241">
        <w:t xml:space="preserve"> </w:t>
      </w:r>
      <w:r w:rsidR="00600241" w:rsidRPr="00136D4B">
        <w:t>w</w:t>
      </w:r>
      <w:r w:rsidR="00E96A87">
        <w:t> </w:t>
      </w:r>
      <w:r w:rsidR="00600241" w:rsidRPr="00211706">
        <w:rPr>
          <w:color w:val="auto"/>
        </w:rPr>
        <w:t>2019</w:t>
      </w:r>
      <w:r w:rsidR="00E96A87">
        <w:rPr>
          <w:color w:val="auto"/>
        </w:rPr>
        <w:t> </w:t>
      </w:r>
      <w:r w:rsidR="00600241" w:rsidRPr="00211706">
        <w:rPr>
          <w:color w:val="auto"/>
        </w:rPr>
        <w:t>r</w:t>
      </w:r>
      <w:r w:rsidR="00E96A87">
        <w:rPr>
          <w:color w:val="auto"/>
        </w:rPr>
        <w:t>oku</w:t>
      </w:r>
    </w:p>
    <w:p w:rsidR="00393761" w:rsidRPr="00001C5B" w:rsidRDefault="00393761" w:rsidP="00074DD8">
      <w:pPr>
        <w:pStyle w:val="tytuinformacji"/>
        <w:rPr>
          <w:sz w:val="32"/>
        </w:rPr>
      </w:pPr>
    </w:p>
    <w:p w:rsidR="005916D7" w:rsidRDefault="004266DF" w:rsidP="00633014">
      <w:pPr>
        <w:pStyle w:val="LID"/>
      </w:pPr>
      <w:r w:rsidRPr="008B5365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330FD79" wp14:editId="4978E3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6944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57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1A20E3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EC06485" wp14:editId="35DD2E70">
                                  <wp:extent cx="335280" cy="335280"/>
                                  <wp:effectExtent l="0" t="0" r="7620" b="7620"/>
                                  <wp:docPr id="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280" cy="3352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F031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09</w:t>
                            </w:r>
                            <w:r w:rsidR="00074DD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F031C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</w:p>
                          <w:p w:rsidR="00933EC1" w:rsidRPr="001F6E7A" w:rsidRDefault="009010C5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1F6E7A">
                              <w:t xml:space="preserve">Dynamika </w:t>
                            </w:r>
                            <w:r w:rsidR="00F031C5">
                              <w:t>średniej wartości przyjętych wierzytelności</w:t>
                            </w:r>
                            <w:r w:rsidR="001F6E7A">
                              <w:br/>
                            </w:r>
                            <w:r w:rsidRPr="001F6E7A">
                              <w:t xml:space="preserve">wykupionych wierzytelności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30FD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47.2pt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" fillcolor="#001d77" stroked="f">
                <v:textbox>
                  <w:txbxContent>
                    <w:p w:rsidR="00933EC1" w:rsidRPr="00B66B19" w:rsidRDefault="001A20E3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EC06485" wp14:editId="35DD2E70">
                            <wp:extent cx="335280" cy="335280"/>
                            <wp:effectExtent l="0" t="0" r="7620" b="7620"/>
                            <wp:docPr id="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280" cy="3352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F031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09</w:t>
                      </w:r>
                      <w:r w:rsidR="00074DD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F031C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</w:p>
                    <w:p w:rsidR="00933EC1" w:rsidRPr="001F6E7A" w:rsidRDefault="009010C5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1F6E7A">
                        <w:t xml:space="preserve">Dynamika </w:t>
                      </w:r>
                      <w:r w:rsidR="00F031C5">
                        <w:t>średniej wartości przyjętych wierzytelności</w:t>
                      </w:r>
                      <w:r w:rsidR="001F6E7A">
                        <w:br/>
                      </w:r>
                      <w:r w:rsidRPr="001F6E7A">
                        <w:t xml:space="preserve">wykupionych wierzytelności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0C4E" w:rsidRPr="008B5365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B65552C" wp14:editId="7981847F">
                <wp:simplePos x="0" y="0"/>
                <wp:positionH relativeFrom="column">
                  <wp:posOffset>5300345</wp:posOffset>
                </wp:positionH>
                <wp:positionV relativeFrom="paragraph">
                  <wp:posOffset>76200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2DC1" w:rsidRPr="001F6E7A" w:rsidRDefault="00581A23" w:rsidP="00074DD8">
                            <w:pPr>
                              <w:pStyle w:val="tekstzboku"/>
                            </w:pPr>
                            <w:r>
                              <w:t>W 2019 r. badane przedsiębiorstwa przyjęły do obsługi</w:t>
                            </w:r>
                            <w:r w:rsidR="008B5365">
                              <w:t xml:space="preserve"> 6,9 mln </w:t>
                            </w:r>
                            <w:r>
                              <w:t>spraw dotyczących wierzytelności o wartości</w:t>
                            </w:r>
                            <w:r w:rsidR="008B5365">
                              <w:t xml:space="preserve"> 32,4 </w:t>
                            </w:r>
                            <w:r>
                              <w:t>mld 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5552C" id="_x0000_s1027" type="#_x0000_t202" style="position:absolute;margin-left:417.35pt;margin-top:6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" filled="f" stroked="f">
                <v:textbox>
                  <w:txbxContent>
                    <w:p w:rsidR="007A2DC1" w:rsidRPr="001F6E7A" w:rsidRDefault="00581A23" w:rsidP="00074DD8">
                      <w:pPr>
                        <w:pStyle w:val="tekstzboku"/>
                      </w:pPr>
                      <w:r>
                        <w:t>W 2019 r. badane przedsiębiorstwa przyjęły do obsługi</w:t>
                      </w:r>
                      <w:r w:rsidR="008B5365">
                        <w:t xml:space="preserve"> 6,9 mln </w:t>
                      </w:r>
                      <w:r>
                        <w:t>spraw dotyczących wierzytelności o wartości</w:t>
                      </w:r>
                      <w:r w:rsidR="008B5365">
                        <w:t xml:space="preserve"> 32,4 </w:t>
                      </w:r>
                      <w:r>
                        <w:t>mld 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031C5" w:rsidRPr="008B5365">
        <w:t>W 2019 r. badaniem objęto 97 podmiotów zajmujących się windykacją</w:t>
      </w:r>
      <w:r w:rsidR="00F031C5" w:rsidRPr="008B5365">
        <w:rPr>
          <w:rStyle w:val="Odwoanieprzypisudolnego"/>
        </w:rPr>
        <w:footnoteReference w:id="1"/>
      </w:r>
      <w:r w:rsidR="00F031C5" w:rsidRPr="008B5365">
        <w:t>. Nominalna wartość ogółem wszystkich wierzytelności obsługiwanych przez te podmioty, według stanu na koniec 2019 r., wyniosła 109,8 mld zł</w:t>
      </w:r>
      <w:r w:rsidR="002969D1" w:rsidRPr="008B5365">
        <w:t>.</w:t>
      </w:r>
    </w:p>
    <w:p w:rsidR="004266DF" w:rsidRDefault="004266DF" w:rsidP="00633014">
      <w:pPr>
        <w:pStyle w:val="LID"/>
      </w:pPr>
    </w:p>
    <w:p w:rsidR="00F031C5" w:rsidRDefault="00F031C5" w:rsidP="00633014">
      <w:pPr>
        <w:pStyle w:val="LID"/>
      </w:pPr>
    </w:p>
    <w:p w:rsidR="00C22105" w:rsidRPr="002969D1" w:rsidRDefault="00074DD8" w:rsidP="00074DD8">
      <w:pPr>
        <w:pStyle w:val="Nagwek1"/>
      </w:pPr>
      <w:r w:rsidRPr="002969D1">
        <w:rPr>
          <w:shd w:val="clear" w:color="auto" w:fill="FFFFFF"/>
        </w:rPr>
        <w:t xml:space="preserve"> </w:t>
      </w:r>
      <w:r w:rsidR="00B57E4A">
        <w:rPr>
          <w:shd w:val="clear" w:color="auto" w:fill="FFFFFF"/>
        </w:rPr>
        <w:t xml:space="preserve">Podstawowe </w:t>
      </w:r>
      <w:r w:rsidR="00F031C5" w:rsidRPr="00074DD8">
        <w:t>i</w:t>
      </w:r>
      <w:r w:rsidR="00F031C5">
        <w:t>nformacje na temat przedsiębiorstw windykacyjnych</w:t>
      </w:r>
    </w:p>
    <w:p w:rsidR="00F031C5" w:rsidRPr="001A6194" w:rsidRDefault="00F031C5" w:rsidP="00F031C5">
      <w:pPr>
        <w:spacing w:after="80"/>
        <w:rPr>
          <w:szCs w:val="19"/>
          <w:shd w:val="clear" w:color="auto" w:fill="FFFFFF"/>
        </w:rPr>
      </w:pPr>
      <w:r w:rsidRPr="001A6194">
        <w:rPr>
          <w:szCs w:val="19"/>
          <w:shd w:val="clear" w:color="auto" w:fill="FFFFFF"/>
        </w:rPr>
        <w:t>W grupie 97 badanych przedsiębiorstw windykacyjnych było 27 spółek akcyjnych, 44 spółki z</w:t>
      </w:r>
      <w:r w:rsidR="004915F2" w:rsidRPr="001A6194">
        <w:rPr>
          <w:szCs w:val="19"/>
          <w:shd w:val="clear" w:color="auto" w:fill="FFFFFF"/>
        </w:rPr>
        <w:t> </w:t>
      </w:r>
      <w:r w:rsidRPr="001A6194">
        <w:rPr>
          <w:szCs w:val="19"/>
          <w:shd w:val="clear" w:color="auto" w:fill="FFFFFF"/>
        </w:rPr>
        <w:t>ograniczoną odpowiedzialnością oraz 26 podmiotów o innych formach prawnych.</w:t>
      </w:r>
    </w:p>
    <w:p w:rsidR="00F031C5" w:rsidRPr="001A6194" w:rsidRDefault="00F031C5" w:rsidP="00F031C5">
      <w:pPr>
        <w:spacing w:after="80"/>
        <w:rPr>
          <w:bCs/>
          <w:szCs w:val="19"/>
          <w:shd w:val="clear" w:color="auto" w:fill="FFFFFF"/>
        </w:rPr>
      </w:pPr>
      <w:r w:rsidRPr="001A6194">
        <w:rPr>
          <w:szCs w:val="19"/>
          <w:shd w:val="clear" w:color="auto" w:fill="FFFFFF"/>
        </w:rPr>
        <w:t>Według stanu na koniec 2019 r. w badanych podmiotach działalnością w zakresie windykacji zajmowało się 6</w:t>
      </w:r>
      <w:r w:rsidR="00F81708" w:rsidRPr="001A6194">
        <w:rPr>
          <w:szCs w:val="19"/>
          <w:shd w:val="clear" w:color="auto" w:fill="FFFFFF"/>
        </w:rPr>
        <w:t> </w:t>
      </w:r>
      <w:r w:rsidRPr="001A6194">
        <w:rPr>
          <w:szCs w:val="19"/>
          <w:shd w:val="clear" w:color="auto" w:fill="FFFFFF"/>
        </w:rPr>
        <w:t xml:space="preserve">068 osób. </w:t>
      </w:r>
      <w:r w:rsidRPr="001A6194">
        <w:rPr>
          <w:bCs/>
          <w:szCs w:val="19"/>
          <w:shd w:val="clear" w:color="auto" w:fill="FFFFFF"/>
        </w:rPr>
        <w:t>Przedsiębiorstwa windykacyjne posiadały łącznie 92 oddziały i autoryzowane przedstawicielstwa.</w:t>
      </w:r>
    </w:p>
    <w:p w:rsidR="00F031C5" w:rsidRPr="001A6194" w:rsidRDefault="00F031C5" w:rsidP="00F031C5">
      <w:pPr>
        <w:rPr>
          <w:spacing w:val="-2"/>
          <w:szCs w:val="19"/>
        </w:rPr>
      </w:pPr>
      <w:r w:rsidRPr="001A6194">
        <w:rPr>
          <w:spacing w:val="-2"/>
          <w:szCs w:val="19"/>
        </w:rPr>
        <w:t xml:space="preserve">Wśród zbadanych podmiotów, 52 jednostki wskazały windykację jako jedyny zakres swojej działalności, dla 31 podmiotów był to zakres dominujący, a dla 14 firm – zakres uboczny. Do grup kapitałowych należało 26 przedsiębiorstw, w tym jednostek dominujących było 11 , jednostek zależnych – 11, jednostek jednocześnie zależnych i dominujących – 4. </w:t>
      </w:r>
    </w:p>
    <w:p w:rsidR="00DC5A7D" w:rsidRPr="001A6194" w:rsidRDefault="00F031C5" w:rsidP="00F031C5">
      <w:pPr>
        <w:rPr>
          <w:shd w:val="clear" w:color="auto" w:fill="FFFFFF"/>
        </w:rPr>
      </w:pPr>
      <w:r w:rsidRPr="001A6194">
        <w:rPr>
          <w:spacing w:val="-2"/>
          <w:szCs w:val="19"/>
        </w:rPr>
        <w:t xml:space="preserve">Według stanu na koniec 2019 r. przeważającymi udziałowcami w kapitale podstawowym w badanych przedsiębiorstwach windykacyjnych były osoby fizyczne </w:t>
      </w:r>
      <w:r w:rsidR="00F81708" w:rsidRPr="001A6194">
        <w:rPr>
          <w:spacing w:val="-2"/>
          <w:szCs w:val="19"/>
        </w:rPr>
        <w:t>–</w:t>
      </w:r>
      <w:r w:rsidRPr="001A6194">
        <w:rPr>
          <w:spacing w:val="-2"/>
          <w:szCs w:val="19"/>
        </w:rPr>
        <w:t xml:space="preserve"> w 62 podmiotach oraz przedsiębiorstwa prywatne (bez instytucji finansowych) – w 26 podmiotach. W podziale na kapitał krajowy i zagraniczny: dla 84 podmiotów windykacyjnych przeważającymi udziałowcami byli inwestorzy krajowi, a dla 13 firm – inwestorzy zagraniczni</w:t>
      </w:r>
      <w:r w:rsidR="00F81708" w:rsidRPr="001A6194">
        <w:rPr>
          <w:spacing w:val="-2"/>
          <w:szCs w:val="19"/>
        </w:rPr>
        <w:t>.</w:t>
      </w:r>
      <w:r w:rsidR="00DC5A7D" w:rsidRPr="001A6194">
        <w:rPr>
          <w:shd w:val="clear" w:color="auto" w:fill="FFFFFF"/>
        </w:rPr>
        <w:t xml:space="preserve"> </w:t>
      </w:r>
    </w:p>
    <w:p w:rsidR="00495A07" w:rsidRPr="000C5263" w:rsidRDefault="00843416" w:rsidP="00495A07">
      <w:pPr>
        <w:pStyle w:val="Nagwek1"/>
      </w:pPr>
      <w:r w:rsidRPr="000C5263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F66BD34" wp14:editId="63754DA7">
                <wp:simplePos x="0" y="0"/>
                <wp:positionH relativeFrom="column">
                  <wp:posOffset>5262880</wp:posOffset>
                </wp:positionH>
                <wp:positionV relativeFrom="paragraph">
                  <wp:posOffset>172720</wp:posOffset>
                </wp:positionV>
                <wp:extent cx="1725295" cy="1023620"/>
                <wp:effectExtent l="0" t="0" r="0" b="5080"/>
                <wp:wrapTight wrapText="bothSides">
                  <wp:wrapPolygon edited="0">
                    <wp:start x="715" y="0"/>
                    <wp:lineTo x="715" y="21305"/>
                    <wp:lineTo x="20749" y="2130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3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16D2" w:rsidRPr="000C5263" w:rsidRDefault="00F031C5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2019</w:t>
                            </w:r>
                            <w:r>
                              <w:rPr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r. przyjęto do obsługi 6,2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mln wierzytelności konsu-menckich i 0,7 mln wierzytel-ności korporacyjnyc</w:t>
                            </w:r>
                            <w:r w:rsidR="0003145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6BD34" id="_x0000_s1028" type="#_x0000_t202" style="position:absolute;margin-left:414.4pt;margin-top:13.6pt;width:135.85pt;height:80.6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" filled="f" stroked="f">
                <v:textbox>
                  <w:txbxContent>
                    <w:p w:rsidR="00D616D2" w:rsidRPr="000C5263" w:rsidRDefault="00F031C5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2019</w:t>
                      </w:r>
                      <w:r>
                        <w:rPr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r. przyjęto do obsługi 6,2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mln wierzytelności konsu-menckich i 0,7 mln wierzytel-ności korporacyjnyc</w:t>
                      </w:r>
                      <w:r w:rsidR="0003145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95A07" w:rsidRPr="000C5263">
        <w:rPr>
          <w:shd w:val="clear" w:color="auto" w:fill="FFFFFF"/>
        </w:rPr>
        <w:t xml:space="preserve">Charakterystyka usług </w:t>
      </w:r>
      <w:r w:rsidR="002904DD">
        <w:rPr>
          <w:shd w:val="clear" w:color="auto" w:fill="FFFFFF"/>
        </w:rPr>
        <w:t>windykacyjnych</w:t>
      </w:r>
    </w:p>
    <w:p w:rsidR="00F031C5" w:rsidRPr="0096287F" w:rsidRDefault="00F031C5" w:rsidP="00F23158">
      <w:pPr>
        <w:rPr>
          <w:shd w:val="clear" w:color="auto" w:fill="FFFFFF"/>
        </w:rPr>
      </w:pPr>
      <w:r w:rsidRPr="0096287F">
        <w:rPr>
          <w:shd w:val="clear" w:color="auto" w:fill="FFFFFF"/>
        </w:rPr>
        <w:t>Przedsiębiorstwa windykacyjne w ciągu 2019</w:t>
      </w:r>
      <w:r w:rsidR="00F81708" w:rsidRPr="0096287F">
        <w:rPr>
          <w:shd w:val="clear" w:color="auto" w:fill="FFFFFF"/>
        </w:rPr>
        <w:t> </w:t>
      </w:r>
      <w:r w:rsidRPr="0096287F">
        <w:rPr>
          <w:shd w:val="clear" w:color="auto" w:fill="FFFFFF"/>
        </w:rPr>
        <w:t>r. przyjęły do obsługi 6,9 mln wierzytelności o wartości nominalnej 32,4 mld zł, w których 86,9% stanowiły wierzytelności konsumenckie, a</w:t>
      </w:r>
      <w:r w:rsidR="00F81708" w:rsidRPr="0096287F">
        <w:rPr>
          <w:shd w:val="clear" w:color="auto" w:fill="FFFFFF"/>
        </w:rPr>
        <w:t> </w:t>
      </w:r>
      <w:r w:rsidRPr="0096287F">
        <w:rPr>
          <w:shd w:val="clear" w:color="auto" w:fill="FFFFFF"/>
        </w:rPr>
        <w:t>korporacyjne – 13,1%. Średnia wartość przyjętych do obsługi wierzytelności w 2019 r. wyniosła 4</w:t>
      </w:r>
      <w:r w:rsidR="00F81708" w:rsidRPr="0096287F">
        <w:rPr>
          <w:shd w:val="clear" w:color="auto" w:fill="FFFFFF"/>
        </w:rPr>
        <w:t> </w:t>
      </w:r>
      <w:r w:rsidRPr="0096287F">
        <w:rPr>
          <w:shd w:val="clear" w:color="auto" w:fill="FFFFFF"/>
        </w:rPr>
        <w:t>675 zł (w roku poprzednim 4</w:t>
      </w:r>
      <w:r w:rsidR="00F81708" w:rsidRPr="0096287F">
        <w:rPr>
          <w:shd w:val="clear" w:color="auto" w:fill="FFFFFF"/>
        </w:rPr>
        <w:t> </w:t>
      </w:r>
      <w:r w:rsidRPr="0096287F">
        <w:rPr>
          <w:shd w:val="clear" w:color="auto" w:fill="FFFFFF"/>
        </w:rPr>
        <w:t>255 zł).</w:t>
      </w:r>
    </w:p>
    <w:p w:rsidR="00F031C5" w:rsidRPr="0096287F" w:rsidRDefault="00F031C5" w:rsidP="00F23158">
      <w:pPr>
        <w:rPr>
          <w:shd w:val="clear" w:color="auto" w:fill="FFFFFF"/>
        </w:rPr>
      </w:pPr>
      <w:r w:rsidRPr="0096287F">
        <w:rPr>
          <w:shd w:val="clear" w:color="auto" w:fill="FFFFFF"/>
        </w:rPr>
        <w:t>Przedsiębiorstwa windykacyjne według stanu na koniec 2019</w:t>
      </w:r>
      <w:r w:rsidR="00F81708" w:rsidRPr="0096287F">
        <w:rPr>
          <w:shd w:val="clear" w:color="auto" w:fill="FFFFFF"/>
        </w:rPr>
        <w:t> </w:t>
      </w:r>
      <w:r w:rsidRPr="0096287F">
        <w:rPr>
          <w:shd w:val="clear" w:color="auto" w:fill="FFFFFF"/>
        </w:rPr>
        <w:t>r. obsługiwały 16,2</w:t>
      </w:r>
      <w:r w:rsidR="00F81708" w:rsidRPr="0096287F">
        <w:rPr>
          <w:shd w:val="clear" w:color="auto" w:fill="FFFFFF"/>
        </w:rPr>
        <w:t> </w:t>
      </w:r>
      <w:r w:rsidRPr="0096287F">
        <w:rPr>
          <w:shd w:val="clear" w:color="auto" w:fill="FFFFFF"/>
        </w:rPr>
        <w:t xml:space="preserve">mln spraw czynnych wierzytelności o wartości nominalnej 109,8 mld zł, w których 81,5% stanowiły wierzytelności konsumenckie, a korporacyjne 18,5%. </w:t>
      </w:r>
    </w:p>
    <w:p w:rsidR="00F031C5" w:rsidRPr="00A213B2" w:rsidRDefault="00F031C5" w:rsidP="00F031C5">
      <w:pPr>
        <w:rPr>
          <w:szCs w:val="19"/>
          <w:shd w:val="clear" w:color="auto" w:fill="FFFFFF"/>
        </w:rPr>
      </w:pPr>
      <w:r w:rsidRPr="00A213B2">
        <w:rPr>
          <w:szCs w:val="19"/>
          <w:shd w:val="clear" w:color="auto" w:fill="FFFFFF"/>
        </w:rPr>
        <w:t>Wśród ogółu wierzycieli pierwotnych dla wierzytelności konsumenckich największą grupę stanowiły: banki</w:t>
      </w:r>
      <w:r w:rsidR="00A213B2" w:rsidRPr="00A213B2">
        <w:rPr>
          <w:szCs w:val="19"/>
          <w:shd w:val="clear" w:color="auto" w:fill="FFFFFF"/>
        </w:rPr>
        <w:t xml:space="preserve"> (57,7%)</w:t>
      </w:r>
      <w:r w:rsidRPr="00A213B2">
        <w:rPr>
          <w:szCs w:val="19"/>
          <w:shd w:val="clear" w:color="auto" w:fill="FFFFFF"/>
        </w:rPr>
        <w:t xml:space="preserve">, </w:t>
      </w:r>
      <w:r w:rsidR="00A213B2" w:rsidRPr="00A213B2">
        <w:rPr>
          <w:szCs w:val="19"/>
          <w:shd w:val="clear" w:color="auto" w:fill="FFFFFF"/>
        </w:rPr>
        <w:t>firmy pożyczkowe (15,3%) oraz o</w:t>
      </w:r>
      <w:r w:rsidRPr="00A213B2">
        <w:rPr>
          <w:szCs w:val="19"/>
          <w:shd w:val="clear" w:color="auto" w:fill="FFFFFF"/>
        </w:rPr>
        <w:t xml:space="preserve">peratorzy telekomunikacji, telewizji kablowych i cyfrowych </w:t>
      </w:r>
      <w:r w:rsidR="00A213B2" w:rsidRPr="00A213B2">
        <w:rPr>
          <w:szCs w:val="19"/>
          <w:shd w:val="clear" w:color="auto" w:fill="FFFFFF"/>
        </w:rPr>
        <w:t>(4,3%)</w:t>
      </w:r>
      <w:r w:rsidRPr="00A213B2">
        <w:rPr>
          <w:szCs w:val="19"/>
          <w:shd w:val="clear" w:color="auto" w:fill="FFFFFF"/>
        </w:rPr>
        <w:t xml:space="preserve">. </w:t>
      </w:r>
    </w:p>
    <w:p w:rsidR="00F031C5" w:rsidRDefault="00F031C5" w:rsidP="00F031C5">
      <w:pPr>
        <w:rPr>
          <w:szCs w:val="19"/>
          <w:shd w:val="clear" w:color="auto" w:fill="FFFFFF"/>
        </w:rPr>
      </w:pPr>
    </w:p>
    <w:p w:rsidR="00F031C5" w:rsidRDefault="00F031C5" w:rsidP="00F031C5">
      <w:pPr>
        <w:rPr>
          <w:szCs w:val="19"/>
          <w:shd w:val="clear" w:color="auto" w:fill="FFFFFF"/>
        </w:rPr>
      </w:pPr>
    </w:p>
    <w:p w:rsidR="00F031C5" w:rsidRDefault="00F031C5" w:rsidP="00F031C5">
      <w:pPr>
        <w:rPr>
          <w:szCs w:val="19"/>
          <w:shd w:val="clear" w:color="auto" w:fill="FFFFFF"/>
        </w:rPr>
      </w:pPr>
    </w:p>
    <w:p w:rsidR="00F031C5" w:rsidRPr="00D4712D" w:rsidRDefault="00F031C5" w:rsidP="00F031C5">
      <w:pPr>
        <w:spacing w:before="240"/>
        <w:rPr>
          <w:spacing w:val="-2"/>
          <w:sz w:val="18"/>
        </w:rPr>
      </w:pPr>
      <w:r w:rsidRPr="002C382A">
        <w:rPr>
          <w:b/>
          <w:spacing w:val="-2"/>
          <w:sz w:val="18"/>
          <w:shd w:val="clear" w:color="auto" w:fill="FFFFFF"/>
        </w:rPr>
        <w:lastRenderedPageBreak/>
        <w:t xml:space="preserve">Tablica 1. Działalność badanych przedsiębiorstw windykacyjnych </w:t>
      </w:r>
      <w:r w:rsidRPr="00BD06BB">
        <w:rPr>
          <w:b/>
          <w:spacing w:val="-2"/>
          <w:sz w:val="18"/>
          <w:shd w:val="clear" w:color="auto" w:fill="FFFFFF"/>
        </w:rPr>
        <w:t xml:space="preserve">w 2019 r. </w:t>
      </w:r>
    </w:p>
    <w:tbl>
      <w:tblPr>
        <w:tblStyle w:val="Siatkatabelijasna1"/>
        <w:tblW w:w="5000" w:type="pct"/>
        <w:jc w:val="center"/>
        <w:tblBorders>
          <w:top w:val="none" w:sz="0" w:space="0" w:color="auto"/>
          <w:left w:val="none" w:sz="0" w:space="0" w:color="auto"/>
          <w:bottom w:val="single" w:sz="4" w:space="0" w:color="212492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794"/>
        <w:gridCol w:w="1416"/>
        <w:gridCol w:w="1561"/>
        <w:gridCol w:w="1512"/>
      </w:tblGrid>
      <w:tr w:rsidR="00F031C5" w:rsidRPr="00AF26D6" w:rsidTr="00B366A1">
        <w:trPr>
          <w:trHeight w:val="309"/>
          <w:jc w:val="center"/>
        </w:trPr>
        <w:tc>
          <w:tcPr>
            <w:tcW w:w="2290" w:type="pct"/>
            <w:vMerge w:val="restart"/>
            <w:tcBorders>
              <w:bottom w:val="single" w:sz="12" w:space="0" w:color="2F5496" w:themeColor="accent5" w:themeShade="BF"/>
              <w:right w:val="single" w:sz="4" w:space="0" w:color="212492"/>
            </w:tcBorders>
            <w:vAlign w:val="center"/>
          </w:tcPr>
          <w:p w:rsidR="00F031C5" w:rsidRPr="00AF26D6" w:rsidRDefault="00F031C5" w:rsidP="00F231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auto"/>
                <w:sz w:val="16"/>
                <w:szCs w:val="16"/>
              </w:rPr>
            </w:pPr>
            <w:r w:rsidRPr="00AF26D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797" w:type="pct"/>
            <w:gridSpan w:val="2"/>
            <w:tcBorders>
              <w:left w:val="single" w:sz="4" w:space="0" w:color="212492"/>
              <w:bottom w:val="single" w:sz="4" w:space="0" w:color="212492"/>
              <w:right w:val="nil"/>
            </w:tcBorders>
            <w:vAlign w:val="center"/>
          </w:tcPr>
          <w:p w:rsidR="00F031C5" w:rsidRPr="00AF26D6" w:rsidRDefault="00F031C5" w:rsidP="00F23158">
            <w:pPr>
              <w:jc w:val="center"/>
              <w:rPr>
                <w:sz w:val="16"/>
                <w:szCs w:val="16"/>
              </w:rPr>
            </w:pPr>
            <w:r w:rsidRPr="00AF26D6">
              <w:rPr>
                <w:sz w:val="16"/>
                <w:szCs w:val="16"/>
              </w:rPr>
              <w:t>Wierzytelności</w:t>
            </w:r>
          </w:p>
        </w:tc>
        <w:tc>
          <w:tcPr>
            <w:tcW w:w="913" w:type="pct"/>
            <w:vMerge w:val="restart"/>
            <w:tcBorders>
              <w:left w:val="single" w:sz="4" w:space="0" w:color="212492"/>
              <w:right w:val="nil"/>
            </w:tcBorders>
            <w:vAlign w:val="center"/>
          </w:tcPr>
          <w:p w:rsidR="00F031C5" w:rsidRPr="00AF26D6" w:rsidRDefault="00F031C5" w:rsidP="00F23158">
            <w:pPr>
              <w:jc w:val="center"/>
              <w:rPr>
                <w:sz w:val="16"/>
                <w:szCs w:val="16"/>
              </w:rPr>
            </w:pPr>
            <w:r w:rsidRPr="00AF26D6">
              <w:rPr>
                <w:sz w:val="16"/>
                <w:szCs w:val="16"/>
              </w:rPr>
              <w:t>Ogółem</w:t>
            </w:r>
          </w:p>
        </w:tc>
      </w:tr>
      <w:tr w:rsidR="00F031C5" w:rsidRPr="00AF26D6" w:rsidTr="00B366A1">
        <w:trPr>
          <w:trHeight w:val="265"/>
          <w:jc w:val="center"/>
        </w:trPr>
        <w:tc>
          <w:tcPr>
            <w:tcW w:w="2290" w:type="pct"/>
            <w:vMerge/>
            <w:tcBorders>
              <w:top w:val="single" w:sz="12" w:space="0" w:color="auto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AF26D6" w:rsidRDefault="00F031C5" w:rsidP="00F231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AF26D6" w:rsidRDefault="00F031C5" w:rsidP="00F23158">
            <w:pPr>
              <w:jc w:val="center"/>
              <w:rPr>
                <w:sz w:val="16"/>
                <w:szCs w:val="16"/>
              </w:rPr>
            </w:pPr>
            <w:r w:rsidRPr="00AF26D6">
              <w:rPr>
                <w:sz w:val="16"/>
                <w:szCs w:val="16"/>
              </w:rPr>
              <w:t>konsumenckie</w:t>
            </w:r>
          </w:p>
        </w:tc>
        <w:tc>
          <w:tcPr>
            <w:tcW w:w="942" w:type="pct"/>
            <w:tcBorders>
              <w:top w:val="single" w:sz="4" w:space="0" w:color="212492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12492"/>
            </w:tcBorders>
            <w:vAlign w:val="center"/>
          </w:tcPr>
          <w:p w:rsidR="00F031C5" w:rsidRPr="00AF26D6" w:rsidRDefault="00F031C5" w:rsidP="00F23158">
            <w:pPr>
              <w:jc w:val="center"/>
              <w:rPr>
                <w:sz w:val="16"/>
                <w:szCs w:val="16"/>
              </w:rPr>
            </w:pPr>
            <w:r w:rsidRPr="00AF26D6">
              <w:rPr>
                <w:sz w:val="16"/>
                <w:szCs w:val="16"/>
              </w:rPr>
              <w:t>korporacyjne</w:t>
            </w:r>
          </w:p>
        </w:tc>
        <w:tc>
          <w:tcPr>
            <w:tcW w:w="913" w:type="pct"/>
            <w:vMerge/>
            <w:tcBorders>
              <w:left w:val="single" w:sz="4" w:space="0" w:color="212492"/>
              <w:bottom w:val="single" w:sz="12" w:space="0" w:color="2F5496" w:themeColor="accent5" w:themeShade="BF"/>
            </w:tcBorders>
          </w:tcPr>
          <w:p w:rsidR="00F031C5" w:rsidRPr="00AF26D6" w:rsidRDefault="00F031C5" w:rsidP="00F23158">
            <w:pPr>
              <w:jc w:val="center"/>
              <w:rPr>
                <w:sz w:val="16"/>
                <w:szCs w:val="16"/>
              </w:rPr>
            </w:pPr>
          </w:p>
        </w:tc>
      </w:tr>
      <w:tr w:rsidR="00F031C5" w:rsidRPr="00AF26D6" w:rsidTr="00B366A1">
        <w:trPr>
          <w:trHeight w:val="404"/>
          <w:jc w:val="center"/>
        </w:trPr>
        <w:tc>
          <w:tcPr>
            <w:tcW w:w="2290" w:type="pct"/>
            <w:tcBorders>
              <w:top w:val="single" w:sz="12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F23158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D06BB">
              <w:rPr>
                <w:rFonts w:ascii="Fira Sans" w:hAnsi="Fira Sans"/>
                <w:color w:val="auto"/>
                <w:sz w:val="16"/>
                <w:szCs w:val="16"/>
              </w:rPr>
              <w:t>Liczba spraw przyjętych do obsługi w 2019 r.</w:t>
            </w:r>
            <w:r w:rsidR="00750AB7">
              <w:rPr>
                <w:rFonts w:ascii="Fira Sans" w:hAnsi="Fira Sans"/>
                <w:color w:val="auto"/>
                <w:sz w:val="16"/>
                <w:szCs w:val="16"/>
              </w:rPr>
              <w:t xml:space="preserve"> </w:t>
            </w:r>
            <w:r w:rsidR="00750AB7" w:rsidRPr="00750AB7">
              <w:rPr>
                <w:rFonts w:ascii="Fira Sans" w:hAnsi="Fira Sans"/>
                <w:i/>
                <w:color w:val="auto"/>
                <w:sz w:val="16"/>
                <w:szCs w:val="16"/>
              </w:rPr>
              <w:t>w tys. szt</w:t>
            </w:r>
            <w:r w:rsidR="00750AB7">
              <w:rPr>
                <w:rFonts w:ascii="Fira Sans" w:hAnsi="Fira Sans"/>
                <w:color w:val="auto"/>
                <w:sz w:val="16"/>
                <w:szCs w:val="16"/>
              </w:rPr>
              <w:t>.</w:t>
            </w:r>
          </w:p>
        </w:tc>
        <w:tc>
          <w:tcPr>
            <w:tcW w:w="855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6 23</w:t>
            </w:r>
            <w:r w:rsidR="00750AB7" w:rsidRPr="00750AB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42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750AB7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709</w:t>
            </w:r>
          </w:p>
        </w:tc>
        <w:tc>
          <w:tcPr>
            <w:tcW w:w="913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6 941</w:t>
            </w:r>
          </w:p>
        </w:tc>
      </w:tr>
      <w:tr w:rsidR="00F031C5" w:rsidRPr="00AF26D6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F512E0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BD06BB">
              <w:rPr>
                <w:rFonts w:ascii="Fira Sans" w:hAnsi="Fira Sans"/>
                <w:color w:val="auto"/>
                <w:sz w:val="16"/>
                <w:szCs w:val="16"/>
              </w:rPr>
              <w:t>Wartość ogółem wierzy</w:t>
            </w:r>
            <w:r w:rsidR="00750AB7">
              <w:rPr>
                <w:rFonts w:ascii="Fira Sans" w:hAnsi="Fira Sans"/>
                <w:color w:val="auto"/>
                <w:sz w:val="16"/>
                <w:szCs w:val="16"/>
              </w:rPr>
              <w:t xml:space="preserve">telności przyjętych do obsługi </w:t>
            </w:r>
            <w:r w:rsidR="00750AB7" w:rsidRPr="00750AB7">
              <w:rPr>
                <w:rFonts w:ascii="Fira Sans" w:hAnsi="Fira Sans"/>
                <w:i/>
                <w:color w:val="auto"/>
                <w:sz w:val="16"/>
                <w:szCs w:val="16"/>
              </w:rPr>
              <w:t>w mln </w:t>
            </w:r>
            <w:r w:rsidRPr="00750AB7">
              <w:rPr>
                <w:rFonts w:ascii="Fira Sans" w:hAnsi="Fira Sans"/>
                <w:i/>
                <w:color w:val="auto"/>
                <w:sz w:val="16"/>
                <w:szCs w:val="16"/>
              </w:rPr>
              <w:t>zł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750AB7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28 211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750AB7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4 237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32 44</w:t>
            </w:r>
            <w:r w:rsidR="00750AB7" w:rsidRPr="00750AB7">
              <w:rPr>
                <w:rFonts w:cs="Arial"/>
                <w:sz w:val="16"/>
                <w:szCs w:val="16"/>
              </w:rPr>
              <w:t>9</w:t>
            </w:r>
          </w:p>
        </w:tc>
      </w:tr>
      <w:tr w:rsidR="00F031C5" w:rsidRPr="009F296A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750AB7">
            <w:pPr>
              <w:pStyle w:val="Nagwek2"/>
              <w:tabs>
                <w:tab w:val="right" w:leader="dot" w:pos="4156"/>
              </w:tabs>
              <w:spacing w:before="0" w:line="240" w:lineRule="auto"/>
              <w:ind w:left="142"/>
              <w:contextualSpacing/>
              <w:outlineLvl w:val="1"/>
              <w:rPr>
                <w:rFonts w:ascii="Fira Sans" w:hAnsi="Fira Sans"/>
                <w:i/>
                <w:color w:val="auto"/>
                <w:sz w:val="16"/>
                <w:szCs w:val="16"/>
              </w:rPr>
            </w:pPr>
            <w:r w:rsidRPr="0096287F">
              <w:rPr>
                <w:rFonts w:ascii="Fira Sans" w:hAnsi="Fira Sans"/>
                <w:color w:val="auto"/>
                <w:sz w:val="16"/>
                <w:szCs w:val="16"/>
              </w:rPr>
              <w:t>Wierzytelności pr</w:t>
            </w:r>
            <w:r w:rsidR="00750AB7" w:rsidRPr="0096287F">
              <w:rPr>
                <w:rFonts w:ascii="Fira Sans" w:hAnsi="Fira Sans"/>
                <w:color w:val="auto"/>
                <w:sz w:val="16"/>
                <w:szCs w:val="16"/>
              </w:rPr>
              <w:t xml:space="preserve">zyjęte na zlecenie (inkaso) </w:t>
            </w:r>
            <w:r w:rsidR="00750AB7">
              <w:rPr>
                <w:rFonts w:ascii="Fira Sans" w:hAnsi="Fira Sans"/>
                <w:i/>
                <w:color w:val="auto"/>
                <w:sz w:val="16"/>
                <w:szCs w:val="16"/>
              </w:rPr>
              <w:t>– w mln </w:t>
            </w:r>
            <w:r w:rsidRPr="00BD06BB">
              <w:rPr>
                <w:rFonts w:ascii="Fira Sans" w:hAnsi="Fira Sans"/>
                <w:i/>
                <w:color w:val="auto"/>
                <w:sz w:val="16"/>
                <w:szCs w:val="16"/>
              </w:rPr>
              <w:t>zł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23 249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 xml:space="preserve">3 </w:t>
            </w:r>
            <w:r w:rsidR="00750AB7" w:rsidRPr="00750AB7"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26 64</w:t>
            </w:r>
            <w:r w:rsidR="00750AB7" w:rsidRPr="00750AB7">
              <w:rPr>
                <w:rFonts w:cs="Arial"/>
                <w:sz w:val="16"/>
                <w:szCs w:val="16"/>
              </w:rPr>
              <w:t>1</w:t>
            </w:r>
          </w:p>
        </w:tc>
      </w:tr>
      <w:tr w:rsidR="00F031C5" w:rsidRPr="009F296A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750AB7">
            <w:pPr>
              <w:tabs>
                <w:tab w:val="right" w:leader="dot" w:pos="4156"/>
              </w:tabs>
              <w:spacing w:line="240" w:lineRule="auto"/>
              <w:ind w:left="142"/>
              <w:contextualSpacing/>
              <w:rPr>
                <w:i/>
                <w:sz w:val="16"/>
                <w:szCs w:val="16"/>
              </w:rPr>
            </w:pPr>
            <w:r w:rsidRPr="0096287F">
              <w:rPr>
                <w:sz w:val="16"/>
                <w:szCs w:val="16"/>
              </w:rPr>
              <w:t>Wierzytelności zakupione</w:t>
            </w:r>
            <w:r w:rsidRPr="00BD06BB">
              <w:rPr>
                <w:i/>
                <w:sz w:val="16"/>
                <w:szCs w:val="16"/>
              </w:rPr>
              <w:t xml:space="preserve"> – w</w:t>
            </w:r>
            <w:r w:rsidR="00750AB7">
              <w:rPr>
                <w:i/>
                <w:sz w:val="16"/>
                <w:szCs w:val="16"/>
              </w:rPr>
              <w:t> mln </w:t>
            </w:r>
            <w:r w:rsidRPr="00BD06BB">
              <w:rPr>
                <w:i/>
                <w:sz w:val="16"/>
                <w:szCs w:val="16"/>
              </w:rPr>
              <w:t>zł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750AB7" w:rsidP="00750AB7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4 962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84</w:t>
            </w:r>
            <w:r w:rsidR="00750AB7" w:rsidRPr="00750AB7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i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5 80</w:t>
            </w:r>
            <w:r w:rsidR="00750AB7" w:rsidRPr="00750AB7">
              <w:rPr>
                <w:rFonts w:cs="Arial"/>
                <w:sz w:val="16"/>
                <w:szCs w:val="16"/>
              </w:rPr>
              <w:t>8</w:t>
            </w:r>
          </w:p>
        </w:tc>
      </w:tr>
      <w:tr w:rsidR="00F031C5" w:rsidRPr="00DC726A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750AB7">
            <w:pPr>
              <w:tabs>
                <w:tab w:val="right" w:leader="dot" w:pos="4156"/>
              </w:tabs>
              <w:spacing w:line="240" w:lineRule="auto"/>
              <w:contextualSpacing/>
              <w:rPr>
                <w:sz w:val="16"/>
                <w:szCs w:val="16"/>
              </w:rPr>
            </w:pPr>
            <w:r w:rsidRPr="00BD06BB">
              <w:rPr>
                <w:sz w:val="16"/>
                <w:szCs w:val="16"/>
              </w:rPr>
              <w:t xml:space="preserve">Wartość odzyskanych w 2019 r. wierzytelności – </w:t>
            </w:r>
            <w:r w:rsidRPr="00750AB7">
              <w:rPr>
                <w:i/>
                <w:sz w:val="16"/>
                <w:szCs w:val="16"/>
              </w:rPr>
              <w:t>w </w:t>
            </w:r>
            <w:r w:rsidR="00750AB7" w:rsidRPr="00750AB7">
              <w:rPr>
                <w:i/>
                <w:sz w:val="16"/>
                <w:szCs w:val="16"/>
              </w:rPr>
              <w:t>mln </w:t>
            </w:r>
            <w:r w:rsidRPr="00750AB7">
              <w:rPr>
                <w:i/>
                <w:sz w:val="16"/>
                <w:szCs w:val="16"/>
              </w:rPr>
              <w:t>zł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3 514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95</w:t>
            </w:r>
            <w:r w:rsidR="00750AB7" w:rsidRPr="00750AB7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bCs/>
                <w:sz w:val="16"/>
                <w:szCs w:val="16"/>
              </w:rPr>
              <w:t>4 467</w:t>
            </w:r>
          </w:p>
        </w:tc>
      </w:tr>
      <w:tr w:rsidR="00F031C5" w:rsidRPr="00652677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2904DD">
            <w:pPr>
              <w:tabs>
                <w:tab w:val="right" w:leader="dot" w:pos="4156"/>
              </w:tabs>
              <w:spacing w:line="240" w:lineRule="auto"/>
              <w:contextualSpacing/>
              <w:rPr>
                <w:sz w:val="16"/>
                <w:szCs w:val="16"/>
              </w:rPr>
            </w:pPr>
            <w:r w:rsidRPr="00BD06BB">
              <w:rPr>
                <w:sz w:val="16"/>
                <w:szCs w:val="16"/>
              </w:rPr>
              <w:t xml:space="preserve">Wartość czynnych wierzytelności – stan na koniec 2019 r. – </w:t>
            </w:r>
            <w:r w:rsidRPr="00B366A1">
              <w:rPr>
                <w:i/>
                <w:sz w:val="16"/>
                <w:szCs w:val="16"/>
              </w:rPr>
              <w:t>w </w:t>
            </w:r>
            <w:r w:rsidR="00750AB7" w:rsidRPr="00B366A1">
              <w:rPr>
                <w:i/>
                <w:sz w:val="16"/>
                <w:szCs w:val="16"/>
              </w:rPr>
              <w:t>mln </w:t>
            </w:r>
            <w:r w:rsidRPr="00B366A1">
              <w:rPr>
                <w:i/>
                <w:sz w:val="16"/>
                <w:szCs w:val="16"/>
              </w:rPr>
              <w:t>zł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89 40</w:t>
            </w:r>
            <w:r w:rsidR="00750AB7" w:rsidRPr="00750AB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20 35</w:t>
            </w:r>
            <w:r w:rsidR="00750AB7" w:rsidRPr="00750AB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109 761</w:t>
            </w:r>
          </w:p>
        </w:tc>
      </w:tr>
      <w:tr w:rsidR="00F031C5" w:rsidRPr="00AF26D6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750AB7">
            <w:pPr>
              <w:tabs>
                <w:tab w:val="center" w:pos="4033"/>
              </w:tabs>
              <w:spacing w:line="240" w:lineRule="auto"/>
              <w:rPr>
                <w:sz w:val="16"/>
                <w:szCs w:val="16"/>
              </w:rPr>
            </w:pPr>
            <w:r w:rsidRPr="00743C96">
              <w:rPr>
                <w:sz w:val="16"/>
                <w:szCs w:val="16"/>
                <w:shd w:val="clear" w:color="auto" w:fill="FFFFFF"/>
              </w:rPr>
              <w:t>Liczba wierzytelności obsługiwanych w</w:t>
            </w:r>
            <w:r w:rsidR="00750AB7">
              <w:rPr>
                <w:sz w:val="16"/>
                <w:szCs w:val="16"/>
                <w:shd w:val="clear" w:color="auto" w:fill="FFFFFF"/>
              </w:rPr>
              <w:t> </w:t>
            </w:r>
            <w:r w:rsidRPr="00743C96">
              <w:rPr>
                <w:sz w:val="16"/>
                <w:szCs w:val="16"/>
                <w:shd w:val="clear" w:color="auto" w:fill="FFFFFF"/>
              </w:rPr>
              <w:t>2019</w:t>
            </w:r>
            <w:r w:rsidR="00750AB7">
              <w:rPr>
                <w:sz w:val="16"/>
                <w:szCs w:val="16"/>
                <w:shd w:val="clear" w:color="auto" w:fill="FFFFFF"/>
              </w:rPr>
              <w:t> </w:t>
            </w:r>
            <w:r w:rsidRPr="00743C96">
              <w:rPr>
                <w:sz w:val="16"/>
                <w:szCs w:val="16"/>
                <w:shd w:val="clear" w:color="auto" w:fill="FFFFFF"/>
              </w:rPr>
              <w:t>r. na rzecz funduszy sekurytyzacyjnych</w:t>
            </w:r>
            <w:r w:rsidR="002904DD">
              <w:rPr>
                <w:sz w:val="16"/>
                <w:szCs w:val="16"/>
                <w:shd w:val="clear" w:color="auto" w:fill="FFFFFF"/>
              </w:rPr>
              <w:t xml:space="preserve"> </w:t>
            </w:r>
            <w:r w:rsidR="00B366A1" w:rsidRPr="00BD06BB">
              <w:rPr>
                <w:sz w:val="16"/>
                <w:szCs w:val="16"/>
              </w:rPr>
              <w:t>–</w:t>
            </w:r>
            <w:r w:rsidR="00B366A1">
              <w:rPr>
                <w:sz w:val="16"/>
                <w:szCs w:val="16"/>
              </w:rPr>
              <w:t xml:space="preserve"> </w:t>
            </w:r>
            <w:r w:rsidR="002904DD" w:rsidRPr="00B366A1">
              <w:rPr>
                <w:i/>
                <w:sz w:val="16"/>
                <w:szCs w:val="16"/>
                <w:shd w:val="clear" w:color="auto" w:fill="FFFFFF"/>
              </w:rPr>
              <w:t>w tys. szt.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11 76</w:t>
            </w:r>
            <w:r w:rsidR="00750AB7" w:rsidRPr="00750AB7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613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12 37</w:t>
            </w:r>
            <w:r w:rsidR="00750AB7" w:rsidRPr="00750AB7">
              <w:rPr>
                <w:rFonts w:cs="Arial"/>
                <w:sz w:val="16"/>
                <w:szCs w:val="16"/>
              </w:rPr>
              <w:t>8</w:t>
            </w:r>
          </w:p>
        </w:tc>
      </w:tr>
      <w:tr w:rsidR="00F031C5" w:rsidRPr="00AF26D6" w:rsidTr="00B366A1">
        <w:trPr>
          <w:trHeight w:val="57"/>
          <w:jc w:val="center"/>
        </w:trPr>
        <w:tc>
          <w:tcPr>
            <w:tcW w:w="2290" w:type="pct"/>
            <w:tcBorders>
              <w:top w:val="single" w:sz="4" w:space="0" w:color="2F5496" w:themeColor="accent5" w:themeShade="BF"/>
              <w:bottom w:val="nil"/>
              <w:right w:val="single" w:sz="4" w:space="0" w:color="2F5496" w:themeColor="accent5" w:themeShade="BF"/>
            </w:tcBorders>
            <w:vAlign w:val="center"/>
          </w:tcPr>
          <w:p w:rsidR="00F031C5" w:rsidRPr="00BD06BB" w:rsidRDefault="00F031C5" w:rsidP="00750AB7">
            <w:pPr>
              <w:tabs>
                <w:tab w:val="left" w:pos="3060"/>
              </w:tabs>
              <w:spacing w:line="240" w:lineRule="auto"/>
              <w:rPr>
                <w:sz w:val="16"/>
                <w:szCs w:val="16"/>
              </w:rPr>
            </w:pPr>
            <w:r w:rsidRPr="00743C96">
              <w:rPr>
                <w:sz w:val="16"/>
                <w:szCs w:val="16"/>
                <w:shd w:val="clear" w:color="auto" w:fill="FFFFFF"/>
              </w:rPr>
              <w:t>Wartość wierzytelności obsługiwanych w</w:t>
            </w:r>
            <w:r w:rsidR="00750AB7">
              <w:rPr>
                <w:sz w:val="16"/>
                <w:szCs w:val="16"/>
                <w:shd w:val="clear" w:color="auto" w:fill="FFFFFF"/>
              </w:rPr>
              <w:t> </w:t>
            </w:r>
            <w:r w:rsidRPr="00743C96">
              <w:rPr>
                <w:sz w:val="16"/>
                <w:szCs w:val="16"/>
                <w:shd w:val="clear" w:color="auto" w:fill="FFFFFF"/>
              </w:rPr>
              <w:t>2019</w:t>
            </w:r>
            <w:r w:rsidR="00750AB7">
              <w:rPr>
                <w:sz w:val="16"/>
                <w:szCs w:val="16"/>
                <w:shd w:val="clear" w:color="auto" w:fill="FFFFFF"/>
              </w:rPr>
              <w:t> </w:t>
            </w:r>
            <w:r w:rsidRPr="00743C96">
              <w:rPr>
                <w:sz w:val="16"/>
                <w:szCs w:val="16"/>
                <w:shd w:val="clear" w:color="auto" w:fill="FFFFFF"/>
              </w:rPr>
              <w:t>r.</w:t>
            </w:r>
            <w:r>
              <w:rPr>
                <w:sz w:val="16"/>
                <w:szCs w:val="16"/>
                <w:shd w:val="clear" w:color="auto" w:fill="FFFFFF"/>
              </w:rPr>
              <w:t xml:space="preserve"> na rzecz funduszy sekurytyzacy</w:t>
            </w:r>
            <w:r w:rsidRPr="00743C96">
              <w:rPr>
                <w:sz w:val="16"/>
                <w:szCs w:val="16"/>
                <w:shd w:val="clear" w:color="auto" w:fill="FFFFFF"/>
              </w:rPr>
              <w:t xml:space="preserve">jnych – </w:t>
            </w:r>
            <w:r w:rsidRPr="00B366A1">
              <w:rPr>
                <w:i/>
                <w:sz w:val="16"/>
                <w:szCs w:val="16"/>
                <w:shd w:val="clear" w:color="auto" w:fill="FFFFFF"/>
              </w:rPr>
              <w:t xml:space="preserve">w </w:t>
            </w:r>
            <w:r w:rsidR="002904DD" w:rsidRPr="00B366A1">
              <w:rPr>
                <w:i/>
                <w:sz w:val="16"/>
                <w:szCs w:val="16"/>
                <w:shd w:val="clear" w:color="auto" w:fill="FFFFFF"/>
              </w:rPr>
              <w:t>mln</w:t>
            </w:r>
            <w:r w:rsidRPr="00B366A1">
              <w:rPr>
                <w:i/>
                <w:sz w:val="16"/>
                <w:szCs w:val="16"/>
                <w:shd w:val="clear" w:color="auto" w:fill="FFFFFF"/>
              </w:rPr>
              <w:t xml:space="preserve"> zł</w:t>
            </w:r>
          </w:p>
        </w:tc>
        <w:tc>
          <w:tcPr>
            <w:tcW w:w="855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97 01</w:t>
            </w:r>
            <w:r w:rsidR="00750AB7" w:rsidRPr="00750AB7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942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20 48</w:t>
            </w:r>
            <w:r w:rsidR="00750AB7" w:rsidRPr="00750AB7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913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F031C5" w:rsidRPr="00750AB7" w:rsidRDefault="00F031C5" w:rsidP="00750AB7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750AB7">
              <w:rPr>
                <w:rFonts w:cs="Arial"/>
                <w:sz w:val="16"/>
                <w:szCs w:val="16"/>
              </w:rPr>
              <w:t>117 49</w:t>
            </w:r>
            <w:r w:rsidR="00750AB7" w:rsidRPr="00750AB7">
              <w:rPr>
                <w:rFonts w:cs="Arial"/>
                <w:sz w:val="16"/>
                <w:szCs w:val="16"/>
              </w:rPr>
              <w:t>9</w:t>
            </w:r>
          </w:p>
        </w:tc>
      </w:tr>
    </w:tbl>
    <w:p w:rsidR="00DA0D2D" w:rsidRPr="002969D1" w:rsidRDefault="00DA0D2D" w:rsidP="00DA0D2D">
      <w:pPr>
        <w:pStyle w:val="Nagwek1"/>
      </w:pPr>
      <w:r w:rsidRPr="00DC5A7D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9136" behindDoc="1" locked="0" layoutInCell="1" allowOverlap="1" wp14:anchorId="290EC523" wp14:editId="36AD8657">
                <wp:simplePos x="0" y="0"/>
                <wp:positionH relativeFrom="column">
                  <wp:posOffset>5262880</wp:posOffset>
                </wp:positionH>
                <wp:positionV relativeFrom="paragraph">
                  <wp:posOffset>240030</wp:posOffset>
                </wp:positionV>
                <wp:extent cx="1725295" cy="1426210"/>
                <wp:effectExtent l="0" t="0" r="0" b="2540"/>
                <wp:wrapTight wrapText="bothSides">
                  <wp:wrapPolygon edited="0">
                    <wp:start x="715" y="0"/>
                    <wp:lineTo x="715" y="21350"/>
                    <wp:lineTo x="20749" y="21350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26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0D2D" w:rsidRPr="001F6E7A" w:rsidRDefault="00F031C5" w:rsidP="00DA0D2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Według stanu na koniec 2019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r. wartość aktywów 70 badanych podmiotów windykacyjnych wyniosła </w:t>
                            </w:r>
                            <w:r w:rsidR="00F512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6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,4</w:t>
                            </w:r>
                            <w:r w:rsidR="004915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</w:t>
                            </w:r>
                            <w:r w:rsidR="004915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zł, a wartość przychodów z całokształtu działalności –</w:t>
                            </w:r>
                            <w:r w:rsidR="00F512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1,8 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mld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Pr="00F031C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zł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EC523" id="Pole tekstowe 7" o:spid="_x0000_s1029" type="#_x0000_t202" style="position:absolute;margin-left:414.4pt;margin-top:18.9pt;width:135.85pt;height:112.3pt;z-index:-251577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" filled="f" stroked="f">
                <v:textbox>
                  <w:txbxContent>
                    <w:p w:rsidR="00DA0D2D" w:rsidRPr="001F6E7A" w:rsidRDefault="00F031C5" w:rsidP="00DA0D2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Według stanu na koniec 2019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r. wartość aktywów 70 badanych podmiotów windykacyjnych wyniosła </w:t>
                      </w:r>
                      <w:r w:rsidR="00F512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6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,4</w:t>
                      </w:r>
                      <w:r w:rsidR="004915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</w:t>
                      </w:r>
                      <w:r w:rsidR="004915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zł, a wartość przychodów z całokształtu działalności –</w:t>
                      </w:r>
                      <w:r w:rsidR="00F512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1,8 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mld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Pr="00F031C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zł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84C6C">
        <w:rPr>
          <w:shd w:val="clear" w:color="auto" w:fill="FFFFFF"/>
        </w:rPr>
        <w:t xml:space="preserve">Sytuacja finansowa badanych przedsiębiorstw </w:t>
      </w:r>
      <w:r w:rsidR="002904DD">
        <w:rPr>
          <w:shd w:val="clear" w:color="auto" w:fill="FFFFFF"/>
        </w:rPr>
        <w:t>windykacyjnych</w:t>
      </w:r>
    </w:p>
    <w:p w:rsidR="00F031C5" w:rsidRPr="00FB5A1E" w:rsidRDefault="00F031C5" w:rsidP="00F031C5">
      <w:pPr>
        <w:rPr>
          <w:shd w:val="clear" w:color="auto" w:fill="FFFFFF"/>
        </w:rPr>
      </w:pPr>
      <w:r w:rsidRPr="00FB5A1E">
        <w:rPr>
          <w:shd w:val="clear" w:color="auto" w:fill="FFFFFF"/>
        </w:rPr>
        <w:t>Do oceny sytuacji finansowej wzięto pod uwagę podmioty zajmujące się działalnością windykacyjną w zakresie jedynym lub dominującym oraz jednocześnie deklarujące w badaniu prowadzenie pełnej rachunkowości –</w:t>
      </w:r>
      <w:r w:rsidR="00A213B2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70 </w:t>
      </w:r>
      <w:r w:rsidRPr="00FB5A1E">
        <w:rPr>
          <w:shd w:val="clear" w:color="auto" w:fill="FFFFFF"/>
        </w:rPr>
        <w:t>przedsiębiorstw.</w:t>
      </w:r>
    </w:p>
    <w:p w:rsidR="00F031C5" w:rsidRPr="00A15438" w:rsidRDefault="00F031C5" w:rsidP="00F031C5">
      <w:pPr>
        <w:rPr>
          <w:shd w:val="clear" w:color="auto" w:fill="FFFFFF"/>
        </w:rPr>
      </w:pPr>
      <w:r w:rsidRPr="00A15438">
        <w:rPr>
          <w:shd w:val="clear" w:color="auto" w:fill="FFFFFF"/>
        </w:rPr>
        <w:t xml:space="preserve">Wartość aktywów tych 70 podmiotów wyniosła </w:t>
      </w:r>
      <w:r w:rsidR="0094071E">
        <w:rPr>
          <w:shd w:val="clear" w:color="auto" w:fill="FFFFFF"/>
        </w:rPr>
        <w:t>6</w:t>
      </w:r>
      <w:r w:rsidRPr="00A15438">
        <w:rPr>
          <w:shd w:val="clear" w:color="auto" w:fill="FFFFFF"/>
        </w:rPr>
        <w:t xml:space="preserve">,4 mld zł w 2019 r. i w porównaniu z rokiem poprzednim wzrosła o </w:t>
      </w:r>
      <w:r w:rsidR="0094071E">
        <w:rPr>
          <w:shd w:val="clear" w:color="auto" w:fill="FFFFFF"/>
        </w:rPr>
        <w:t>3</w:t>
      </w:r>
      <w:r w:rsidRPr="00A15438">
        <w:rPr>
          <w:shd w:val="clear" w:color="auto" w:fill="FFFFFF"/>
        </w:rPr>
        <w:t>,5</w:t>
      </w:r>
      <w:r w:rsidR="00A15438">
        <w:rPr>
          <w:shd w:val="clear" w:color="auto" w:fill="FFFFFF"/>
        </w:rPr>
        <w:t>%</w:t>
      </w:r>
      <w:r w:rsidRPr="00A15438">
        <w:rPr>
          <w:shd w:val="clear" w:color="auto" w:fill="FFFFFF"/>
        </w:rPr>
        <w:t xml:space="preserve">. </w:t>
      </w:r>
    </w:p>
    <w:p w:rsidR="00F031C5" w:rsidRPr="00A15438" w:rsidRDefault="00F031C5" w:rsidP="00F031C5">
      <w:pPr>
        <w:rPr>
          <w:strike/>
        </w:rPr>
      </w:pPr>
      <w:r w:rsidRPr="00A15438">
        <w:rPr>
          <w:shd w:val="clear" w:color="auto" w:fill="FFFFFF"/>
        </w:rPr>
        <w:t>Wybrane pod względem wielkości elementy aktywów 70 podmiotów windykacyjnych w 2019 r. to: aktywa trwałe (4,8</w:t>
      </w:r>
      <w:r w:rsidR="00AB2965" w:rsidRPr="00A15438">
        <w:rPr>
          <w:shd w:val="clear" w:color="auto" w:fill="FFFFFF"/>
        </w:rPr>
        <w:t xml:space="preserve"> </w:t>
      </w:r>
      <w:r w:rsidRPr="00A15438">
        <w:rPr>
          <w:shd w:val="clear" w:color="auto" w:fill="FFFFFF"/>
        </w:rPr>
        <w:t>mld zł), w tym inwestycje długoterminowe (4,4 mld</w:t>
      </w:r>
      <w:r w:rsidR="00E91DB9" w:rsidRPr="00A15438">
        <w:rPr>
          <w:shd w:val="clear" w:color="auto" w:fill="FFFFFF"/>
        </w:rPr>
        <w:t xml:space="preserve"> </w:t>
      </w:r>
      <w:r w:rsidRPr="00A15438">
        <w:rPr>
          <w:shd w:val="clear" w:color="auto" w:fill="FFFFFF"/>
        </w:rPr>
        <w:t>zł) oraz aktywa obrotowe (</w:t>
      </w:r>
      <w:r w:rsidR="0094071E">
        <w:rPr>
          <w:shd w:val="clear" w:color="auto" w:fill="FFFFFF"/>
        </w:rPr>
        <w:t>1</w:t>
      </w:r>
      <w:r w:rsidRPr="00A15438">
        <w:rPr>
          <w:shd w:val="clear" w:color="auto" w:fill="FFFFFF"/>
        </w:rPr>
        <w:t>,</w:t>
      </w:r>
      <w:r w:rsidR="0094071E">
        <w:rPr>
          <w:shd w:val="clear" w:color="auto" w:fill="FFFFFF"/>
        </w:rPr>
        <w:t>6</w:t>
      </w:r>
      <w:r w:rsidR="00E91DB9" w:rsidRPr="00A15438">
        <w:rPr>
          <w:shd w:val="clear" w:color="auto" w:fill="FFFFFF"/>
        </w:rPr>
        <w:t xml:space="preserve"> </w:t>
      </w:r>
      <w:r w:rsidRPr="00A15438">
        <w:rPr>
          <w:shd w:val="clear" w:color="auto" w:fill="FFFFFF"/>
        </w:rPr>
        <w:t>mld</w:t>
      </w:r>
      <w:r w:rsidR="00E91DB9" w:rsidRPr="00A15438">
        <w:rPr>
          <w:shd w:val="clear" w:color="auto" w:fill="FFFFFF"/>
        </w:rPr>
        <w:t xml:space="preserve"> </w:t>
      </w:r>
      <w:r w:rsidRPr="00A15438">
        <w:rPr>
          <w:shd w:val="clear" w:color="auto" w:fill="FFFFFF"/>
        </w:rPr>
        <w:t>zł), w tym inwestycje krótkoterminowe (1,</w:t>
      </w:r>
      <w:r w:rsidR="0094071E">
        <w:rPr>
          <w:shd w:val="clear" w:color="auto" w:fill="FFFFFF"/>
        </w:rPr>
        <w:t>0</w:t>
      </w:r>
      <w:r w:rsidRPr="00A15438">
        <w:rPr>
          <w:shd w:val="clear" w:color="auto" w:fill="FFFFFF"/>
        </w:rPr>
        <w:t xml:space="preserve"> mld zł). </w:t>
      </w:r>
    </w:p>
    <w:p w:rsidR="00F031C5" w:rsidRPr="00051880" w:rsidRDefault="00F031C5" w:rsidP="00F031C5">
      <w:pPr>
        <w:rPr>
          <w:strike/>
        </w:rPr>
      </w:pPr>
      <w:r w:rsidRPr="00051880">
        <w:t>W wartości pasywów podstawowe elementy to: kapitał (fundusz) własny (2,</w:t>
      </w:r>
      <w:r w:rsidR="0094071E">
        <w:t>1</w:t>
      </w:r>
      <w:r w:rsidRPr="00051880">
        <w:t xml:space="preserve"> mld zł), w tym kapitał (fundusz) zapasowy (</w:t>
      </w:r>
      <w:r w:rsidR="0094071E">
        <w:t>0</w:t>
      </w:r>
      <w:r w:rsidRPr="00051880">
        <w:t>,</w:t>
      </w:r>
      <w:r w:rsidR="0094071E">
        <w:t>8</w:t>
      </w:r>
      <w:r w:rsidRPr="00051880">
        <w:t xml:space="preserve"> mld zł) oraz zobowiązania i rezerwy na zobowiązania (4,</w:t>
      </w:r>
      <w:r w:rsidR="0094071E">
        <w:t>2</w:t>
      </w:r>
      <w:r w:rsidR="00E91DB9" w:rsidRPr="00051880">
        <w:t> </w:t>
      </w:r>
      <w:r w:rsidRPr="00051880">
        <w:t>mld</w:t>
      </w:r>
      <w:r w:rsidR="00E91DB9" w:rsidRPr="00051880">
        <w:t> </w:t>
      </w:r>
      <w:r w:rsidRPr="00051880">
        <w:t>zł), w tym zobowiązania długoterminowe (2,7 mld zł) i krótkoterminowe (1,</w:t>
      </w:r>
      <w:r w:rsidR="0094071E">
        <w:t>2</w:t>
      </w:r>
      <w:r w:rsidRPr="00051880">
        <w:t xml:space="preserve"> mld zł).</w:t>
      </w:r>
      <w:r w:rsidRPr="00051880">
        <w:rPr>
          <w:strike/>
        </w:rPr>
        <w:t xml:space="preserve"> </w:t>
      </w:r>
    </w:p>
    <w:p w:rsidR="00F031C5" w:rsidRPr="00F512E0" w:rsidRDefault="00F031C5" w:rsidP="00F031C5">
      <w:r w:rsidRPr="00F512E0">
        <w:t xml:space="preserve">W 2019 r. przychody z całokształtu działalności badanych 70 przedsiębiorstw wyniosły </w:t>
      </w:r>
      <w:r w:rsidR="0094071E" w:rsidRPr="00F512E0">
        <w:t>1</w:t>
      </w:r>
      <w:r w:rsidRPr="00F512E0">
        <w:t>,</w:t>
      </w:r>
      <w:r w:rsidR="0094071E" w:rsidRPr="00F512E0">
        <w:t>8</w:t>
      </w:r>
      <w:r w:rsidR="00E91DB9" w:rsidRPr="00F512E0">
        <w:t> </w:t>
      </w:r>
      <w:r w:rsidRPr="00F512E0">
        <w:t>mld</w:t>
      </w:r>
      <w:r w:rsidR="00E91DB9" w:rsidRPr="00F512E0">
        <w:t> </w:t>
      </w:r>
      <w:r w:rsidRPr="00F512E0">
        <w:t xml:space="preserve">zł, zaś w roku poprzednim – </w:t>
      </w:r>
      <w:r w:rsidR="0094071E" w:rsidRPr="00F512E0">
        <w:t>1</w:t>
      </w:r>
      <w:r w:rsidRPr="00F512E0">
        <w:t>,</w:t>
      </w:r>
      <w:r w:rsidR="0094071E" w:rsidRPr="00F512E0">
        <w:t>3</w:t>
      </w:r>
      <w:r w:rsidRPr="00F512E0">
        <w:t xml:space="preserve"> mld zł. Przychody netto ze sprzedaży ukształtowały się na poziomie </w:t>
      </w:r>
      <w:r w:rsidR="0094071E" w:rsidRPr="00F512E0">
        <w:t>1</w:t>
      </w:r>
      <w:r w:rsidRPr="00F512E0">
        <w:t>,</w:t>
      </w:r>
      <w:r w:rsidR="0094071E" w:rsidRPr="00F512E0">
        <w:t>0</w:t>
      </w:r>
      <w:r w:rsidRPr="00F512E0">
        <w:t xml:space="preserve"> mld zł (w 2018 r. </w:t>
      </w:r>
      <w:r w:rsidR="0094071E" w:rsidRPr="00F512E0">
        <w:t>1</w:t>
      </w:r>
      <w:r w:rsidRPr="00F512E0">
        <w:t>,</w:t>
      </w:r>
      <w:r w:rsidR="0094071E" w:rsidRPr="00F512E0">
        <w:t>0</w:t>
      </w:r>
      <w:r w:rsidRPr="00F512E0">
        <w:t xml:space="preserve"> mld zł). Badane przedsiębiorstwa poniosły koszty z całokształtu działalności w wysokości </w:t>
      </w:r>
      <w:r w:rsidR="0094071E" w:rsidRPr="00F512E0">
        <w:t>1</w:t>
      </w:r>
      <w:r w:rsidRPr="00F512E0">
        <w:t>,</w:t>
      </w:r>
      <w:r w:rsidR="0094071E" w:rsidRPr="00F512E0">
        <w:t>3</w:t>
      </w:r>
      <w:r w:rsidRPr="00F512E0">
        <w:t xml:space="preserve"> mld zł. Spośród kosztów największą pozycję stanowiły koszty działalności operacyjnej i wyniosły </w:t>
      </w:r>
      <w:r w:rsidR="0094071E" w:rsidRPr="00F512E0">
        <w:t>1</w:t>
      </w:r>
      <w:r w:rsidRPr="00F512E0">
        <w:t>,</w:t>
      </w:r>
      <w:r w:rsidR="0094071E" w:rsidRPr="00F512E0">
        <w:t>0</w:t>
      </w:r>
      <w:r w:rsidR="00F512E0" w:rsidRPr="00F512E0">
        <w:t xml:space="preserve"> mld zł.</w:t>
      </w:r>
    </w:p>
    <w:p w:rsidR="007E7680" w:rsidRPr="00F512E0" w:rsidRDefault="00F031C5" w:rsidP="00F031C5">
      <w:r w:rsidRPr="00F512E0">
        <w:t xml:space="preserve">Spośród 70 badanych przedsiębiorstw, </w:t>
      </w:r>
      <w:r w:rsidR="00E91DB9" w:rsidRPr="00F512E0">
        <w:t>46</w:t>
      </w:r>
      <w:r w:rsidRPr="00F512E0">
        <w:t xml:space="preserve"> wypracowało w 2019 r. zysk netto, a dla </w:t>
      </w:r>
      <w:r w:rsidR="00E91DB9" w:rsidRPr="00F512E0">
        <w:t>24</w:t>
      </w:r>
      <w:r w:rsidRPr="00F512E0">
        <w:t xml:space="preserve"> firm 2019 rok zakończył się stratą netto. </w:t>
      </w:r>
    </w:p>
    <w:p w:rsidR="00E91DB9" w:rsidRDefault="00E91DB9" w:rsidP="00F031C5"/>
    <w:p w:rsidR="00E91DB9" w:rsidRDefault="00E91DB9" w:rsidP="00E91DB9">
      <w:pPr>
        <w:jc w:val="center"/>
      </w:pPr>
      <w:r>
        <w:t>***</w:t>
      </w:r>
    </w:p>
    <w:p w:rsidR="00E91DB9" w:rsidRPr="004915F2" w:rsidRDefault="00E91DB9" w:rsidP="00F031C5"/>
    <w:p w:rsidR="007E7680" w:rsidRPr="004915F2" w:rsidRDefault="007E7680" w:rsidP="007E7680">
      <w:pPr>
        <w:pStyle w:val="Nagwek1"/>
        <w:spacing w:before="120"/>
        <w:rPr>
          <w:color w:val="auto"/>
        </w:rPr>
      </w:pPr>
      <w:r>
        <w:t xml:space="preserve">Ujęcie panelowe </w:t>
      </w:r>
    </w:p>
    <w:p w:rsidR="007E7680" w:rsidRPr="00815AB6" w:rsidRDefault="007E7680" w:rsidP="007E7680">
      <w:pPr>
        <w:spacing w:after="80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Dla porównań analitycznych przedstawiamy dane panelowe, tj. dane dla grupy </w:t>
      </w:r>
      <w:r w:rsidRPr="008153B7">
        <w:rPr>
          <w:szCs w:val="19"/>
          <w:shd w:val="clear" w:color="auto" w:fill="FFFFFF"/>
        </w:rPr>
        <w:t>przedsiębiorstw (87 podmiotów), które złożyły sprawozdania w 2018 r. i w 2019 r. Porównanie tych samych przedsięb</w:t>
      </w:r>
      <w:r>
        <w:rPr>
          <w:szCs w:val="19"/>
          <w:shd w:val="clear" w:color="auto" w:fill="FFFFFF"/>
        </w:rPr>
        <w:t>iorstw pozwala na przedstawienie dynamiki osiągniętych wyników z działalności windykacyjnej tej grupy.</w:t>
      </w:r>
    </w:p>
    <w:p w:rsidR="007E7680" w:rsidRPr="0017385D" w:rsidRDefault="007E7680" w:rsidP="007E7680">
      <w:pPr>
        <w:spacing w:after="80"/>
        <w:rPr>
          <w:szCs w:val="19"/>
          <w:shd w:val="clear" w:color="auto" w:fill="FFFFFF"/>
        </w:rPr>
      </w:pPr>
      <w:r w:rsidRPr="0017385D">
        <w:rPr>
          <w:szCs w:val="19"/>
          <w:shd w:val="clear" w:color="auto" w:fill="FFFFFF"/>
        </w:rPr>
        <w:t xml:space="preserve">W grupie 87 zbadanych przedsiębiorstw windykacyjnych było 24 spółki akcyjne, 39 spółek z ograniczoną odpowiedzialnością oraz </w:t>
      </w:r>
      <w:r w:rsidR="0017385D" w:rsidRPr="0017385D">
        <w:rPr>
          <w:szCs w:val="19"/>
          <w:shd w:val="clear" w:color="auto" w:fill="FFFFFF"/>
        </w:rPr>
        <w:t xml:space="preserve">24 </w:t>
      </w:r>
      <w:r w:rsidRPr="0017385D">
        <w:rPr>
          <w:szCs w:val="19"/>
          <w:shd w:val="clear" w:color="auto" w:fill="FFFFFF"/>
        </w:rPr>
        <w:t>podmioty o innych formach</w:t>
      </w:r>
      <w:r w:rsidR="0017385D" w:rsidRPr="0017385D">
        <w:rPr>
          <w:szCs w:val="19"/>
          <w:shd w:val="clear" w:color="auto" w:fill="FFFFFF"/>
        </w:rPr>
        <w:t xml:space="preserve"> prawnych</w:t>
      </w:r>
      <w:r w:rsidRPr="0017385D">
        <w:rPr>
          <w:szCs w:val="19"/>
          <w:shd w:val="clear" w:color="auto" w:fill="FFFFFF"/>
        </w:rPr>
        <w:t xml:space="preserve">. </w:t>
      </w:r>
    </w:p>
    <w:p w:rsidR="007E7680" w:rsidRPr="002E6DAD" w:rsidRDefault="00F512E0" w:rsidP="007E7680">
      <w:pPr>
        <w:rPr>
          <w:spacing w:val="-2"/>
          <w:szCs w:val="19"/>
        </w:rPr>
      </w:pPr>
      <w:r w:rsidRPr="0017385D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5280" behindDoc="1" locked="0" layoutInCell="1" allowOverlap="1" wp14:anchorId="3EAC1F09" wp14:editId="6C2F7D99">
                <wp:simplePos x="0" y="0"/>
                <wp:positionH relativeFrom="page">
                  <wp:posOffset>5672455</wp:posOffset>
                </wp:positionH>
                <wp:positionV relativeFrom="paragraph">
                  <wp:posOffset>37465</wp:posOffset>
                </wp:positionV>
                <wp:extent cx="1895475" cy="1676400"/>
                <wp:effectExtent l="0" t="0" r="0" b="0"/>
                <wp:wrapTight wrapText="bothSides">
                  <wp:wrapPolygon edited="0">
                    <wp:start x="651" y="0"/>
                    <wp:lineTo x="651" y="21355"/>
                    <wp:lineTo x="20840" y="21355"/>
                    <wp:lineTo x="20840" y="0"/>
                    <wp:lineTo x="651" y="0"/>
                  </wp:wrapPolygon>
                </wp:wrapTight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5475" cy="1676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7680" w:rsidRPr="000E5583" w:rsidRDefault="007E7680" w:rsidP="007E7680">
                            <w:pPr>
                              <w:pStyle w:val="tekstzboku"/>
                            </w:pPr>
                            <w:r w:rsidRPr="00B1384C">
                              <w:t>W grupie panelowej podmiotów wartość nominalna wierzytelności konsumenckich przejętych do obsługi w 201</w:t>
                            </w:r>
                            <w:r>
                              <w:t>9</w:t>
                            </w:r>
                            <w:r w:rsidRPr="00B1384C">
                              <w:t xml:space="preserve"> r. </w:t>
                            </w:r>
                            <w:r>
                              <w:t>zmniejszyła się o</w:t>
                            </w:r>
                            <w:r w:rsidR="009D72CB">
                              <w:t xml:space="preserve"> 12,6</w:t>
                            </w:r>
                            <w:r w:rsidRPr="00B1384C">
                              <w:t>% w porównaniu z 201</w:t>
                            </w:r>
                            <w:r>
                              <w:t>8</w:t>
                            </w:r>
                            <w:r w:rsidR="004915F2">
                              <w:t> </w:t>
                            </w:r>
                            <w:r>
                              <w:t>r., a korporacyjnych o</w:t>
                            </w:r>
                            <w:r w:rsidR="009D72CB">
                              <w:t xml:space="preserve"> 20,1</w:t>
                            </w:r>
                            <w: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C1F09" id="_x0000_s1030" type="#_x0000_t202" style="position:absolute;margin-left:446.65pt;margin-top:2.95pt;width:149.25pt;height:132pt;z-index:-2515712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" filled="f" stroked="f">
                <v:textbox>
                  <w:txbxContent>
                    <w:p w:rsidR="007E7680" w:rsidRPr="000E5583" w:rsidRDefault="007E7680" w:rsidP="007E7680">
                      <w:pPr>
                        <w:pStyle w:val="tekstzboku"/>
                      </w:pPr>
                      <w:r w:rsidRPr="00B1384C">
                        <w:t>W grupie panelowej podmiotów wartość nominalna wierzytelności konsumenckich przejętych do obsługi w 201</w:t>
                      </w:r>
                      <w:r>
                        <w:t>9</w:t>
                      </w:r>
                      <w:r w:rsidRPr="00B1384C">
                        <w:t xml:space="preserve"> r. </w:t>
                      </w:r>
                      <w:r>
                        <w:t>zmniejszyła się o</w:t>
                      </w:r>
                      <w:r w:rsidR="009D72CB">
                        <w:t xml:space="preserve"> 12,6</w:t>
                      </w:r>
                      <w:r w:rsidRPr="00B1384C">
                        <w:t>% w porównaniu z 201</w:t>
                      </w:r>
                      <w:r>
                        <w:t>8</w:t>
                      </w:r>
                      <w:r w:rsidR="004915F2">
                        <w:t> </w:t>
                      </w:r>
                      <w:r>
                        <w:t>r., a korporacyjnych o</w:t>
                      </w:r>
                      <w:r w:rsidR="009D72CB">
                        <w:t xml:space="preserve"> 20,1</w:t>
                      </w:r>
                      <w: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7680" w:rsidRPr="0017385D">
        <w:rPr>
          <w:spacing w:val="-2"/>
          <w:szCs w:val="19"/>
        </w:rPr>
        <w:t>Wśród 87 podmiotów zbadanych w panelu, 46 jednostek wskazało windykację jako jedyny zakres swojej działalności, dla 29 podmiotów był to zakres dominujący, a dla 12 firm – zakres uboczny</w:t>
      </w:r>
      <w:r w:rsidR="007E7680" w:rsidRPr="002E6DAD">
        <w:rPr>
          <w:spacing w:val="-2"/>
          <w:szCs w:val="19"/>
        </w:rPr>
        <w:t>.</w:t>
      </w:r>
    </w:p>
    <w:p w:rsidR="007E7680" w:rsidRPr="0017385D" w:rsidRDefault="007E7680" w:rsidP="007E7680">
      <w:pPr>
        <w:spacing w:after="80"/>
        <w:rPr>
          <w:bCs/>
          <w:szCs w:val="19"/>
          <w:shd w:val="clear" w:color="auto" w:fill="FFFFFF"/>
        </w:rPr>
      </w:pPr>
      <w:r w:rsidRPr="0017385D">
        <w:rPr>
          <w:szCs w:val="19"/>
          <w:shd w:val="clear" w:color="auto" w:fill="FFFFFF"/>
        </w:rPr>
        <w:t xml:space="preserve">Według stanu na koniec 2019 r. w badanych </w:t>
      </w:r>
      <w:r w:rsidRPr="00F512E0">
        <w:rPr>
          <w:szCs w:val="19"/>
          <w:shd w:val="clear" w:color="auto" w:fill="FFFFFF"/>
        </w:rPr>
        <w:t xml:space="preserve">podmiotach </w:t>
      </w:r>
      <w:r w:rsidR="006F1BE1" w:rsidRPr="00F512E0">
        <w:rPr>
          <w:szCs w:val="19"/>
          <w:shd w:val="clear" w:color="auto" w:fill="FFFFFF"/>
        </w:rPr>
        <w:t>pracowało</w:t>
      </w:r>
      <w:r w:rsidRPr="00F512E0">
        <w:rPr>
          <w:szCs w:val="19"/>
          <w:shd w:val="clear" w:color="auto" w:fill="FFFFFF"/>
        </w:rPr>
        <w:t xml:space="preserve"> </w:t>
      </w:r>
      <w:r w:rsidRPr="0017385D">
        <w:rPr>
          <w:szCs w:val="19"/>
          <w:shd w:val="clear" w:color="auto" w:fill="FFFFFF"/>
        </w:rPr>
        <w:t>5</w:t>
      </w:r>
      <w:r w:rsidR="00E91DB9" w:rsidRPr="0017385D">
        <w:rPr>
          <w:szCs w:val="19"/>
          <w:shd w:val="clear" w:color="auto" w:fill="FFFFFF"/>
        </w:rPr>
        <w:t> </w:t>
      </w:r>
      <w:r w:rsidRPr="0017385D">
        <w:rPr>
          <w:szCs w:val="19"/>
          <w:shd w:val="clear" w:color="auto" w:fill="FFFFFF"/>
        </w:rPr>
        <w:t>661 osób</w:t>
      </w:r>
      <w:r w:rsidR="00E91DB9" w:rsidRPr="0017385D">
        <w:rPr>
          <w:szCs w:val="19"/>
          <w:shd w:val="clear" w:color="auto" w:fill="FFFFFF"/>
        </w:rPr>
        <w:t>.</w:t>
      </w:r>
      <w:r w:rsidRPr="0017385D">
        <w:rPr>
          <w:szCs w:val="19"/>
          <w:shd w:val="clear" w:color="auto" w:fill="FFFFFF"/>
        </w:rPr>
        <w:t xml:space="preserve"> </w:t>
      </w:r>
      <w:r w:rsidRPr="0017385D">
        <w:rPr>
          <w:bCs/>
          <w:szCs w:val="19"/>
          <w:shd w:val="clear" w:color="auto" w:fill="FFFFFF"/>
        </w:rPr>
        <w:t>Przedsiębiorstwa te posiadały łącznie 85 oddziałów i autoryzowanych przedstawicielstw.</w:t>
      </w:r>
    </w:p>
    <w:p w:rsidR="007E7680" w:rsidRPr="002904DD" w:rsidRDefault="007E7680" w:rsidP="007E7680">
      <w:pPr>
        <w:spacing w:before="240"/>
        <w:rPr>
          <w:spacing w:val="-2"/>
          <w:sz w:val="18"/>
        </w:rPr>
      </w:pPr>
      <w:r w:rsidRPr="002C382A">
        <w:rPr>
          <w:b/>
          <w:spacing w:val="-2"/>
          <w:sz w:val="18"/>
          <w:shd w:val="clear" w:color="auto" w:fill="FFFFFF"/>
        </w:rPr>
        <w:t xml:space="preserve">Tablica </w:t>
      </w:r>
      <w:r>
        <w:rPr>
          <w:b/>
          <w:spacing w:val="-2"/>
          <w:sz w:val="18"/>
          <w:shd w:val="clear" w:color="auto" w:fill="FFFFFF"/>
        </w:rPr>
        <w:t>2</w:t>
      </w:r>
      <w:r w:rsidRPr="002C382A">
        <w:rPr>
          <w:b/>
          <w:spacing w:val="-2"/>
          <w:sz w:val="18"/>
          <w:shd w:val="clear" w:color="auto" w:fill="FFFFFF"/>
        </w:rPr>
        <w:t xml:space="preserve">. Działalność badanych przedsiębiorstw windykacyjnych </w:t>
      </w:r>
      <w:r>
        <w:rPr>
          <w:b/>
          <w:spacing w:val="-2"/>
          <w:sz w:val="18"/>
          <w:shd w:val="clear" w:color="auto" w:fill="FFFFFF"/>
        </w:rPr>
        <w:t xml:space="preserve">– dane panelowe </w:t>
      </w:r>
    </w:p>
    <w:tbl>
      <w:tblPr>
        <w:tblStyle w:val="Siatkatabelijasna1"/>
        <w:tblW w:w="4686" w:type="pct"/>
        <w:jc w:val="center"/>
        <w:tblBorders>
          <w:top w:val="none" w:sz="0" w:space="0" w:color="auto"/>
          <w:left w:val="none" w:sz="0" w:space="0" w:color="auto"/>
          <w:bottom w:val="single" w:sz="4" w:space="0" w:color="212492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2"/>
        <w:gridCol w:w="1702"/>
        <w:gridCol w:w="1559"/>
      </w:tblGrid>
      <w:tr w:rsidR="007E7680" w:rsidRPr="00AF26D6" w:rsidTr="00F23158">
        <w:trPr>
          <w:trHeight w:val="265"/>
          <w:jc w:val="center"/>
        </w:trPr>
        <w:tc>
          <w:tcPr>
            <w:tcW w:w="2900" w:type="pct"/>
            <w:tcBorders>
              <w:top w:val="nil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E7680" w:rsidRPr="008A5F29" w:rsidRDefault="007E7680" w:rsidP="00F23158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color w:val="auto"/>
                <w:sz w:val="16"/>
                <w:szCs w:val="16"/>
              </w:rPr>
            </w:pPr>
            <w:r w:rsidRPr="00AF26D6">
              <w:rPr>
                <w:rFonts w:ascii="Fira Sans" w:hAnsi="Fira Sans" w:cs="Arial"/>
                <w:color w:val="auto"/>
                <w:sz w:val="16"/>
                <w:szCs w:val="16"/>
              </w:rPr>
              <w:t>WYSZCZEGÓLNIENIE</w:t>
            </w:r>
          </w:p>
        </w:tc>
        <w:tc>
          <w:tcPr>
            <w:tcW w:w="1096" w:type="pct"/>
            <w:tcBorders>
              <w:top w:val="nil"/>
              <w:left w:val="single" w:sz="4" w:space="0" w:color="2F5496" w:themeColor="accent5" w:themeShade="BF"/>
              <w:bottom w:val="single" w:sz="12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E7680" w:rsidRPr="00BD06BB" w:rsidRDefault="007E7680" w:rsidP="00F23158">
            <w:pPr>
              <w:jc w:val="center"/>
              <w:rPr>
                <w:sz w:val="16"/>
                <w:szCs w:val="16"/>
              </w:rPr>
            </w:pPr>
            <w:r w:rsidRPr="00BD06BB">
              <w:rPr>
                <w:sz w:val="16"/>
                <w:szCs w:val="16"/>
              </w:rPr>
              <w:t>2018</w:t>
            </w:r>
          </w:p>
        </w:tc>
        <w:tc>
          <w:tcPr>
            <w:tcW w:w="1004" w:type="pct"/>
            <w:tcBorders>
              <w:top w:val="nil"/>
              <w:left w:val="single" w:sz="4" w:space="0" w:color="2F5496" w:themeColor="accent5" w:themeShade="BF"/>
              <w:bottom w:val="single" w:sz="12" w:space="0" w:color="2F5496" w:themeColor="accent5" w:themeShade="BF"/>
              <w:right w:val="nil"/>
            </w:tcBorders>
            <w:vAlign w:val="center"/>
          </w:tcPr>
          <w:p w:rsidR="007E7680" w:rsidRPr="00BD06BB" w:rsidRDefault="007E7680" w:rsidP="00F23158">
            <w:pPr>
              <w:jc w:val="center"/>
              <w:rPr>
                <w:sz w:val="16"/>
                <w:szCs w:val="16"/>
              </w:rPr>
            </w:pPr>
            <w:r w:rsidRPr="00BD06BB">
              <w:rPr>
                <w:sz w:val="16"/>
                <w:szCs w:val="16"/>
              </w:rPr>
              <w:t>2019</w:t>
            </w:r>
          </w:p>
        </w:tc>
      </w:tr>
      <w:tr w:rsidR="007E7680" w:rsidRPr="00AF26D6" w:rsidTr="00581A23">
        <w:trPr>
          <w:trHeight w:val="57"/>
          <w:jc w:val="center"/>
        </w:trPr>
        <w:tc>
          <w:tcPr>
            <w:tcW w:w="2900" w:type="pct"/>
            <w:tcBorders>
              <w:top w:val="single" w:sz="12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E7680" w:rsidRPr="00AF26D6" w:rsidRDefault="007E7680" w:rsidP="00581A23">
            <w:pPr>
              <w:pStyle w:val="Nagwek5"/>
              <w:tabs>
                <w:tab w:val="right" w:leader="dot" w:pos="4156"/>
              </w:tabs>
              <w:spacing w:before="0" w:line="240" w:lineRule="auto"/>
              <w:contextualSpacing/>
              <w:outlineLvl w:val="4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AF26D6">
              <w:rPr>
                <w:rFonts w:ascii="Fira Sans" w:hAnsi="Fira Sans"/>
                <w:color w:val="auto"/>
                <w:sz w:val="16"/>
                <w:szCs w:val="16"/>
              </w:rPr>
              <w:t>Liczba spraw przyjętych do obsługi</w:t>
            </w:r>
            <w:r w:rsidR="00581A23">
              <w:rPr>
                <w:rFonts w:ascii="Fira Sans" w:hAnsi="Fira Sans"/>
                <w:color w:val="auto"/>
                <w:sz w:val="16"/>
                <w:szCs w:val="16"/>
              </w:rPr>
              <w:t xml:space="preserve"> w tys. szt.</w:t>
            </w:r>
          </w:p>
        </w:tc>
        <w:tc>
          <w:tcPr>
            <w:tcW w:w="1096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7E7680" w:rsidRPr="00581A23" w:rsidRDefault="007E7680" w:rsidP="00581A23">
            <w:pPr>
              <w:spacing w:line="240" w:lineRule="auto"/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6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272</w:t>
            </w:r>
          </w:p>
        </w:tc>
        <w:tc>
          <w:tcPr>
            <w:tcW w:w="1004" w:type="pct"/>
            <w:tcBorders>
              <w:top w:val="single" w:sz="12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7E7680" w:rsidRPr="00581A23" w:rsidRDefault="007E7680" w:rsidP="00581A23">
            <w:pPr>
              <w:spacing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5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44</w:t>
            </w:r>
            <w:r w:rsidR="00581A23" w:rsidRPr="00581A23">
              <w:rPr>
                <w:rFonts w:cs="Arial"/>
                <w:sz w:val="16"/>
                <w:szCs w:val="16"/>
              </w:rPr>
              <w:t>2</w:t>
            </w:r>
          </w:p>
        </w:tc>
      </w:tr>
      <w:tr w:rsidR="002904DD" w:rsidRPr="00AF26D6" w:rsidTr="002904DD">
        <w:trPr>
          <w:trHeight w:val="57"/>
          <w:jc w:val="center"/>
        </w:trPr>
        <w:tc>
          <w:tcPr>
            <w:tcW w:w="2900" w:type="pct"/>
            <w:tcBorders>
              <w:top w:val="nil"/>
              <w:bottom w:val="nil"/>
              <w:right w:val="single" w:sz="4" w:space="0" w:color="2F5496" w:themeColor="accent5" w:themeShade="BF"/>
            </w:tcBorders>
            <w:vAlign w:val="center"/>
          </w:tcPr>
          <w:p w:rsidR="002904DD" w:rsidRPr="002904DD" w:rsidRDefault="002904DD" w:rsidP="002904DD">
            <w:pPr>
              <w:pStyle w:val="Nagwek8"/>
              <w:tabs>
                <w:tab w:val="right" w:leader="dot" w:pos="4156"/>
              </w:tabs>
              <w:spacing w:before="0" w:line="240" w:lineRule="auto"/>
              <w:contextualSpacing/>
              <w:outlineLvl w:val="7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2904DD">
              <w:rPr>
                <w:rFonts w:ascii="Fira Sans" w:hAnsi="Fira Sans"/>
                <w:color w:val="auto"/>
                <w:sz w:val="16"/>
                <w:szCs w:val="16"/>
              </w:rPr>
              <w:t xml:space="preserve">Wartość ogółem wierzytelności przyjętych do obsługi </w:t>
            </w:r>
          </w:p>
          <w:p w:rsidR="002904DD" w:rsidRDefault="002904DD" w:rsidP="002904DD">
            <w:pPr>
              <w:tabs>
                <w:tab w:val="right" w:leader="dot" w:pos="4156"/>
              </w:tabs>
              <w:spacing w:line="240" w:lineRule="auto"/>
              <w:contextualSpacing/>
              <w:rPr>
                <w:sz w:val="16"/>
                <w:szCs w:val="16"/>
              </w:rPr>
            </w:pPr>
            <w:r w:rsidRPr="002904DD">
              <w:rPr>
                <w:sz w:val="16"/>
                <w:szCs w:val="16"/>
              </w:rPr>
              <w:t>(w mln zł), w tym:</w:t>
            </w:r>
          </w:p>
        </w:tc>
        <w:tc>
          <w:tcPr>
            <w:tcW w:w="1096" w:type="pct"/>
            <w:tcBorders>
              <w:top w:val="nil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2904DD" w:rsidRPr="00581A23" w:rsidRDefault="002904DD" w:rsidP="002904DD">
            <w:pPr>
              <w:spacing w:line="240" w:lineRule="auto"/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30 232</w:t>
            </w:r>
          </w:p>
        </w:tc>
        <w:tc>
          <w:tcPr>
            <w:tcW w:w="1004" w:type="pct"/>
            <w:tcBorders>
              <w:top w:val="nil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2904DD" w:rsidRPr="00581A23" w:rsidRDefault="002904DD" w:rsidP="00581A2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26 055</w:t>
            </w:r>
          </w:p>
        </w:tc>
      </w:tr>
      <w:tr w:rsidR="002904DD" w:rsidRPr="00AF26D6" w:rsidTr="002904DD">
        <w:trPr>
          <w:trHeight w:val="57"/>
          <w:jc w:val="center"/>
        </w:trPr>
        <w:tc>
          <w:tcPr>
            <w:tcW w:w="2900" w:type="pct"/>
            <w:tcBorders>
              <w:top w:val="nil"/>
              <w:bottom w:val="nil"/>
              <w:right w:val="single" w:sz="4" w:space="0" w:color="2F5496" w:themeColor="accent5" w:themeShade="BF"/>
            </w:tcBorders>
            <w:vAlign w:val="center"/>
          </w:tcPr>
          <w:p w:rsidR="002904DD" w:rsidRPr="00AF26D6" w:rsidRDefault="002904DD" w:rsidP="002904DD">
            <w:pPr>
              <w:tabs>
                <w:tab w:val="right" w:leader="dot" w:pos="4156"/>
              </w:tabs>
              <w:spacing w:line="240" w:lineRule="auto"/>
              <w:ind w:firstLine="307"/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</w:t>
            </w:r>
            <w:r w:rsidRPr="00F83E14">
              <w:rPr>
                <w:sz w:val="16"/>
                <w:szCs w:val="16"/>
              </w:rPr>
              <w:t>onsumenckie</w:t>
            </w:r>
          </w:p>
        </w:tc>
        <w:tc>
          <w:tcPr>
            <w:tcW w:w="1096" w:type="pct"/>
            <w:tcBorders>
              <w:top w:val="nil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2904DD" w:rsidRPr="00581A23" w:rsidRDefault="002904DD" w:rsidP="002904DD">
            <w:pPr>
              <w:spacing w:line="240" w:lineRule="auto"/>
              <w:ind w:firstLineChars="100" w:firstLine="160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392</w:t>
            </w:r>
          </w:p>
        </w:tc>
        <w:tc>
          <w:tcPr>
            <w:tcW w:w="1004" w:type="pct"/>
            <w:tcBorders>
              <w:top w:val="nil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2904DD" w:rsidRPr="00581A23" w:rsidRDefault="002904DD" w:rsidP="00581A2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189</w:t>
            </w:r>
          </w:p>
        </w:tc>
      </w:tr>
      <w:tr w:rsidR="002904DD" w:rsidRPr="00AF26D6" w:rsidTr="002904DD">
        <w:trPr>
          <w:trHeight w:val="57"/>
          <w:jc w:val="center"/>
        </w:trPr>
        <w:tc>
          <w:tcPr>
            <w:tcW w:w="2900" w:type="pct"/>
            <w:tcBorders>
              <w:top w:val="nil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2904DD" w:rsidRPr="00AF26D6" w:rsidRDefault="002904DD" w:rsidP="002904DD">
            <w:pPr>
              <w:tabs>
                <w:tab w:val="right" w:leader="dot" w:pos="4156"/>
              </w:tabs>
              <w:spacing w:line="240" w:lineRule="auto"/>
              <w:ind w:firstLine="307"/>
              <w:contextualSpacing/>
              <w:rPr>
                <w:sz w:val="16"/>
                <w:szCs w:val="16"/>
              </w:rPr>
            </w:pPr>
            <w:r w:rsidRPr="00F83E14">
              <w:rPr>
                <w:sz w:val="16"/>
                <w:szCs w:val="16"/>
              </w:rPr>
              <w:t>korporacyjne</w:t>
            </w:r>
          </w:p>
        </w:tc>
        <w:tc>
          <w:tcPr>
            <w:tcW w:w="1096" w:type="pct"/>
            <w:tcBorders>
              <w:top w:val="nil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2904DD" w:rsidRPr="00581A23" w:rsidRDefault="002904DD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840</w:t>
            </w:r>
          </w:p>
        </w:tc>
        <w:tc>
          <w:tcPr>
            <w:tcW w:w="1004" w:type="pct"/>
            <w:tcBorders>
              <w:top w:val="nil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2904DD" w:rsidRPr="00581A23" w:rsidRDefault="002904DD" w:rsidP="00581A2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866</w:t>
            </w:r>
          </w:p>
        </w:tc>
      </w:tr>
      <w:tr w:rsidR="007E7680" w:rsidRPr="00AF26D6" w:rsidTr="00581A23">
        <w:trPr>
          <w:trHeight w:val="57"/>
          <w:jc w:val="center"/>
        </w:trPr>
        <w:tc>
          <w:tcPr>
            <w:tcW w:w="290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E7680" w:rsidRPr="00AF26D6" w:rsidRDefault="007E7680" w:rsidP="00581A23">
            <w:pPr>
              <w:tabs>
                <w:tab w:val="right" w:leader="dot" w:pos="4156"/>
              </w:tabs>
              <w:spacing w:line="240" w:lineRule="auto"/>
              <w:contextualSpacing/>
              <w:rPr>
                <w:sz w:val="16"/>
                <w:szCs w:val="16"/>
              </w:rPr>
            </w:pPr>
            <w:r w:rsidRPr="00AF26D6">
              <w:rPr>
                <w:sz w:val="16"/>
                <w:szCs w:val="16"/>
              </w:rPr>
              <w:t>Wartość odzyskanych wierzytelności – w</w:t>
            </w:r>
            <w:r w:rsidR="00581A23">
              <w:rPr>
                <w:sz w:val="16"/>
                <w:szCs w:val="16"/>
              </w:rPr>
              <w:t xml:space="preserve"> mln</w:t>
            </w:r>
            <w:r w:rsidRPr="00AF26D6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096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7E7680" w:rsidRPr="00581A23" w:rsidRDefault="007E7680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3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749</w:t>
            </w:r>
          </w:p>
        </w:tc>
        <w:tc>
          <w:tcPr>
            <w:tcW w:w="1004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7E7680" w:rsidRPr="00581A23" w:rsidRDefault="007E7680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4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14</w:t>
            </w:r>
            <w:r w:rsidR="00581A23" w:rsidRPr="00581A23">
              <w:rPr>
                <w:rFonts w:cs="Arial"/>
                <w:sz w:val="16"/>
                <w:szCs w:val="16"/>
              </w:rPr>
              <w:t>6</w:t>
            </w:r>
          </w:p>
        </w:tc>
      </w:tr>
      <w:tr w:rsidR="007E7680" w:rsidRPr="00932941" w:rsidTr="00581A23">
        <w:trPr>
          <w:trHeight w:val="57"/>
          <w:jc w:val="center"/>
        </w:trPr>
        <w:tc>
          <w:tcPr>
            <w:tcW w:w="2900" w:type="pct"/>
            <w:tcBorders>
              <w:top w:val="single" w:sz="4" w:space="0" w:color="2F5496" w:themeColor="accent5" w:themeShade="BF"/>
              <w:bottom w:val="single" w:sz="4" w:space="0" w:color="2F5496" w:themeColor="accent5" w:themeShade="BF"/>
              <w:right w:val="single" w:sz="4" w:space="0" w:color="2F5496" w:themeColor="accent5" w:themeShade="BF"/>
            </w:tcBorders>
            <w:vAlign w:val="center"/>
          </w:tcPr>
          <w:p w:rsidR="007E7680" w:rsidRPr="00AF26D6" w:rsidRDefault="007E7680" w:rsidP="002904DD">
            <w:pPr>
              <w:tabs>
                <w:tab w:val="right" w:leader="dot" w:pos="4156"/>
              </w:tabs>
              <w:spacing w:line="240" w:lineRule="auto"/>
              <w:contextualSpacing/>
              <w:rPr>
                <w:sz w:val="16"/>
                <w:szCs w:val="16"/>
              </w:rPr>
            </w:pPr>
            <w:r w:rsidRPr="00AF26D6">
              <w:rPr>
                <w:sz w:val="16"/>
                <w:szCs w:val="16"/>
              </w:rPr>
              <w:t xml:space="preserve">Wartość czynnych wierzytelności – stan na </w:t>
            </w:r>
            <w:r>
              <w:rPr>
                <w:sz w:val="16"/>
                <w:szCs w:val="16"/>
              </w:rPr>
              <w:t xml:space="preserve">31 grudnia </w:t>
            </w:r>
            <w:r w:rsidR="00581A23">
              <w:rPr>
                <w:sz w:val="16"/>
                <w:szCs w:val="16"/>
              </w:rPr>
              <w:t>w mln</w:t>
            </w:r>
            <w:r w:rsidR="00A14AD0">
              <w:rPr>
                <w:sz w:val="16"/>
                <w:szCs w:val="16"/>
              </w:rPr>
              <w:t xml:space="preserve"> </w:t>
            </w:r>
            <w:r w:rsidRPr="00AF26D6">
              <w:rPr>
                <w:sz w:val="16"/>
                <w:szCs w:val="16"/>
              </w:rPr>
              <w:t xml:space="preserve"> zł</w:t>
            </w:r>
          </w:p>
        </w:tc>
        <w:tc>
          <w:tcPr>
            <w:tcW w:w="1096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7E7680" w:rsidRPr="00581A23" w:rsidRDefault="007E7680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87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882</w:t>
            </w:r>
          </w:p>
        </w:tc>
        <w:tc>
          <w:tcPr>
            <w:tcW w:w="1004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single" w:sz="4" w:space="0" w:color="2F5496" w:themeColor="accent5" w:themeShade="BF"/>
              <w:right w:val="nil"/>
            </w:tcBorders>
            <w:vAlign w:val="center"/>
          </w:tcPr>
          <w:p w:rsidR="007E7680" w:rsidRPr="00581A23" w:rsidRDefault="007E7680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107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35</w:t>
            </w:r>
            <w:r w:rsidR="00581A23" w:rsidRPr="00581A23">
              <w:rPr>
                <w:rFonts w:cs="Arial"/>
                <w:sz w:val="16"/>
                <w:szCs w:val="16"/>
              </w:rPr>
              <w:t>6</w:t>
            </w:r>
          </w:p>
        </w:tc>
      </w:tr>
      <w:tr w:rsidR="007E7680" w:rsidRPr="00AF26D6" w:rsidTr="00581A23">
        <w:trPr>
          <w:trHeight w:val="57"/>
          <w:jc w:val="center"/>
        </w:trPr>
        <w:tc>
          <w:tcPr>
            <w:tcW w:w="2900" w:type="pct"/>
            <w:tcBorders>
              <w:top w:val="single" w:sz="4" w:space="0" w:color="2F5496" w:themeColor="accent5" w:themeShade="BF"/>
              <w:bottom w:val="nil"/>
              <w:right w:val="single" w:sz="4" w:space="0" w:color="2F5496" w:themeColor="accent5" w:themeShade="BF"/>
            </w:tcBorders>
            <w:vAlign w:val="center"/>
          </w:tcPr>
          <w:p w:rsidR="007E7680" w:rsidRPr="00AF26D6" w:rsidRDefault="007E7680" w:rsidP="002904DD">
            <w:pPr>
              <w:tabs>
                <w:tab w:val="center" w:pos="4033"/>
              </w:tabs>
              <w:spacing w:line="240" w:lineRule="auto"/>
              <w:rPr>
                <w:sz w:val="16"/>
                <w:szCs w:val="16"/>
              </w:rPr>
            </w:pPr>
            <w:r w:rsidRPr="009E0F0D">
              <w:rPr>
                <w:sz w:val="16"/>
                <w:szCs w:val="16"/>
              </w:rPr>
              <w:t>Liczba wierzytelności obsługiwanych</w:t>
            </w:r>
            <w:r>
              <w:rPr>
                <w:sz w:val="16"/>
                <w:szCs w:val="16"/>
              </w:rPr>
              <w:t xml:space="preserve"> na rzecz funduszy sekurytyzacy</w:t>
            </w:r>
            <w:r w:rsidRPr="009E0F0D">
              <w:rPr>
                <w:sz w:val="16"/>
                <w:szCs w:val="16"/>
              </w:rPr>
              <w:t>jnych</w:t>
            </w:r>
            <w:r w:rsidR="00581A23">
              <w:rPr>
                <w:sz w:val="16"/>
                <w:szCs w:val="16"/>
              </w:rPr>
              <w:t xml:space="preserve"> w tys. szt.</w:t>
            </w:r>
          </w:p>
        </w:tc>
        <w:tc>
          <w:tcPr>
            <w:tcW w:w="1096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7E7680" w:rsidRPr="00581A23" w:rsidRDefault="007E7680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10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761</w:t>
            </w:r>
          </w:p>
        </w:tc>
        <w:tc>
          <w:tcPr>
            <w:tcW w:w="1004" w:type="pct"/>
            <w:tcBorders>
              <w:top w:val="single" w:sz="4" w:space="0" w:color="2F5496" w:themeColor="accent5" w:themeShade="BF"/>
              <w:left w:val="single" w:sz="4" w:space="0" w:color="2F5496" w:themeColor="accent5" w:themeShade="BF"/>
              <w:bottom w:val="nil"/>
              <w:right w:val="nil"/>
            </w:tcBorders>
            <w:vAlign w:val="center"/>
          </w:tcPr>
          <w:p w:rsidR="007E7680" w:rsidRPr="00581A23" w:rsidRDefault="007E7680" w:rsidP="002904DD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581A23">
              <w:rPr>
                <w:rFonts w:cs="Arial"/>
                <w:sz w:val="16"/>
                <w:szCs w:val="16"/>
              </w:rPr>
              <w:t>11</w:t>
            </w:r>
            <w:r w:rsidR="002904DD">
              <w:rPr>
                <w:rFonts w:cs="Arial"/>
                <w:sz w:val="16"/>
                <w:szCs w:val="16"/>
              </w:rPr>
              <w:t> </w:t>
            </w:r>
            <w:r w:rsidRPr="00581A23">
              <w:rPr>
                <w:rFonts w:cs="Arial"/>
                <w:sz w:val="16"/>
                <w:szCs w:val="16"/>
              </w:rPr>
              <w:t>844</w:t>
            </w:r>
          </w:p>
        </w:tc>
      </w:tr>
    </w:tbl>
    <w:p w:rsidR="007E7680" w:rsidRPr="000A2D45" w:rsidRDefault="007E7680" w:rsidP="007E7680">
      <w:pPr>
        <w:rPr>
          <w:shd w:val="clear" w:color="auto" w:fill="FFFFFF"/>
        </w:rPr>
      </w:pPr>
      <w:r w:rsidRPr="000A2D45">
        <w:rPr>
          <w:shd w:val="clear" w:color="auto" w:fill="FFFFFF"/>
        </w:rPr>
        <w:t xml:space="preserve">W ciągu 2019 r. przedsiębiorstwa windykacyjne z grupy panelowej przyjęły do obsługi 5,4 mln wierzytelności, tj. o 13,2 % mniej niż w 2018 r. Wartość nominalna wierzytelności przyjętych do obsługi w 2019 r. wyniosła 26,1 mld zł, tj. zmniejszyła się o 13,8 % w porównaniu z rokiem poprzednim </w:t>
      </w:r>
    </w:p>
    <w:p w:rsidR="007E7680" w:rsidRPr="000A2D45" w:rsidRDefault="007E7680" w:rsidP="007E7680">
      <w:pPr>
        <w:rPr>
          <w:shd w:val="clear" w:color="auto" w:fill="FFFFFF"/>
        </w:rPr>
      </w:pPr>
      <w:r w:rsidRPr="000A2D45">
        <w:rPr>
          <w:shd w:val="clear" w:color="auto" w:fill="FFFFFF"/>
        </w:rPr>
        <w:t>Przedsiębiorstwa te według stanu na koniec 2019 r. obsługiwały 15,</w:t>
      </w:r>
      <w:r w:rsidR="000A2D45" w:rsidRPr="000A2D45">
        <w:rPr>
          <w:shd w:val="clear" w:color="auto" w:fill="FFFFFF"/>
        </w:rPr>
        <w:t>2</w:t>
      </w:r>
      <w:r w:rsidRPr="000A2D45">
        <w:rPr>
          <w:shd w:val="clear" w:color="auto" w:fill="FFFFFF"/>
        </w:rPr>
        <w:t xml:space="preserve"> mln spraw czynnych wierzytelności (o 0,6% mniej niż rok wcześniej) o wartości nominalnej 107,4 mld zł (wzrost o 22,2%).</w:t>
      </w:r>
    </w:p>
    <w:p w:rsidR="007E7680" w:rsidRPr="000A2D45" w:rsidRDefault="007E7680" w:rsidP="007E7680">
      <w:pPr>
        <w:rPr>
          <w:shd w:val="clear" w:color="auto" w:fill="FFFFFF"/>
        </w:rPr>
      </w:pPr>
      <w:r w:rsidRPr="000A2D45">
        <w:rPr>
          <w:shd w:val="clear" w:color="auto" w:fill="FFFFFF"/>
        </w:rPr>
        <w:t>Wartość odzyskanych wierzytelności przez podmioty z grupy panelowej w 2019 r. wyniosła 4,1 mld zł i w porównaniu z rokiem 2018 wzrosła o 10,6%.</w:t>
      </w:r>
    </w:p>
    <w:p w:rsidR="007E7680" w:rsidRDefault="007E7680" w:rsidP="007E7680">
      <w:pPr>
        <w:rPr>
          <w:szCs w:val="19"/>
          <w:shd w:val="clear" w:color="auto" w:fill="FFFFFF"/>
        </w:rPr>
      </w:pPr>
      <w:r w:rsidRPr="000A2D45">
        <w:rPr>
          <w:shd w:val="clear" w:color="auto" w:fill="FFFFFF"/>
        </w:rPr>
        <w:t xml:space="preserve">Podmioty z grupy panelowej prowadziły 11,8 mln spraw dotyczących wierzytelności obsługiwanych na rzecz funduszy sekurytyzacyjnych, o 10,1% więcej </w:t>
      </w:r>
      <w:r w:rsidRPr="000A2D45">
        <w:rPr>
          <w:szCs w:val="19"/>
          <w:shd w:val="clear" w:color="auto" w:fill="FFFFFF"/>
        </w:rPr>
        <w:t>niż rok wcześniej</w:t>
      </w:r>
      <w:r>
        <w:rPr>
          <w:szCs w:val="19"/>
          <w:shd w:val="clear" w:color="auto" w:fill="FFFFFF"/>
        </w:rPr>
        <w:t>.</w:t>
      </w:r>
      <w:r w:rsidRPr="002C382A">
        <w:rPr>
          <w:szCs w:val="19"/>
          <w:shd w:val="clear" w:color="auto" w:fill="FFFFFF"/>
        </w:rPr>
        <w:t xml:space="preserve"> </w:t>
      </w:r>
    </w:p>
    <w:p w:rsidR="007E7680" w:rsidRDefault="007E7680" w:rsidP="007E7680">
      <w:pPr>
        <w:rPr>
          <w:szCs w:val="19"/>
          <w:shd w:val="clear" w:color="auto" w:fill="FFFFFF"/>
        </w:rPr>
      </w:pPr>
    </w:p>
    <w:p w:rsidR="003B78B9" w:rsidRDefault="003B78B9" w:rsidP="00074DD8"/>
    <w:p w:rsidR="00E91DB9" w:rsidRDefault="00E91DB9" w:rsidP="00074DD8"/>
    <w:p w:rsidR="00E91DB9" w:rsidRPr="00B57E4A" w:rsidRDefault="00E91DB9" w:rsidP="00074DD8"/>
    <w:p w:rsidR="00DA0D75" w:rsidRDefault="00DA0D75" w:rsidP="00DA0D75">
      <w:pPr>
        <w:rPr>
          <w:color w:val="000000"/>
        </w:rPr>
      </w:pPr>
      <w:r>
        <w:rPr>
          <w:color w:val="000000"/>
        </w:rPr>
        <w:t xml:space="preserve"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 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476DF4" w:rsidRPr="00703B0B" w:rsidTr="0006702A">
        <w:trPr>
          <w:trHeight w:val="1912"/>
        </w:trPr>
        <w:tc>
          <w:tcPr>
            <w:tcW w:w="4379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Departament Studiów</w:t>
            </w:r>
          </w:p>
          <w:p w:rsidR="00476DF4" w:rsidRPr="00703B0B" w:rsidRDefault="00476DF4" w:rsidP="00476DF4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b/>
                <w:color w:val="000000" w:themeColor="text1"/>
                <w:sz w:val="20"/>
              </w:rPr>
              <w:t>Makroekonomicznych i Finansów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Dyrektor Mirosław Błażej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37 73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theme="majorBidi"/>
                <w:color w:val="000000" w:themeColor="text1"/>
                <w:sz w:val="24"/>
                <w:szCs w:val="24"/>
                <w:lang w:val="fi-FI"/>
              </w:rPr>
            </w:pPr>
          </w:p>
        </w:tc>
        <w:tc>
          <w:tcPr>
            <w:tcW w:w="3942" w:type="dxa"/>
          </w:tcPr>
          <w:p w:rsidR="00476DF4" w:rsidRPr="00703B0B" w:rsidRDefault="00476DF4" w:rsidP="00476DF4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03B0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703B0B">
              <w:rPr>
                <w:rFonts w:cs="Arial"/>
                <w:color w:val="000000" w:themeColor="text1"/>
                <w:sz w:val="20"/>
              </w:rPr>
              <w:br/>
            </w:r>
            <w:r w:rsidRPr="00703B0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703B0B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703B0B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695 255 011</w:t>
            </w:r>
          </w:p>
          <w:p w:rsidR="00476DF4" w:rsidRPr="00703B0B" w:rsidRDefault="00476DF4" w:rsidP="00476DF4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476DF4" w:rsidRPr="00703B0B" w:rsidRDefault="00476DF4" w:rsidP="00476DF4">
      <w:pPr>
        <w:rPr>
          <w:sz w:val="20"/>
          <w:lang w:val="en-US"/>
        </w:rPr>
      </w:pPr>
    </w:p>
    <w:p w:rsidR="00476DF4" w:rsidRPr="00703B0B" w:rsidRDefault="00476DF4" w:rsidP="00476DF4">
      <w:pPr>
        <w:rPr>
          <w:sz w:val="18"/>
          <w:lang w:val="en-US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476DF4" w:rsidRPr="00703B0B" w:rsidTr="0006702A">
        <w:trPr>
          <w:trHeight w:val="610"/>
        </w:trPr>
        <w:tc>
          <w:tcPr>
            <w:tcW w:w="2721" w:type="pct"/>
            <w:vMerge w:val="restart"/>
            <w:vAlign w:val="center"/>
          </w:tcPr>
          <w:p w:rsidR="00476DF4" w:rsidRPr="00703B0B" w:rsidRDefault="00476DF4" w:rsidP="00476DF4">
            <w:pPr>
              <w:rPr>
                <w:b/>
                <w:sz w:val="20"/>
              </w:rPr>
            </w:pPr>
            <w:r w:rsidRPr="00703B0B">
              <w:rPr>
                <w:b/>
                <w:sz w:val="20"/>
              </w:rPr>
              <w:t xml:space="preserve">Wydział Współpracy z Mediami </w:t>
            </w:r>
          </w:p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Tel</w:t>
            </w:r>
            <w:r w:rsidRPr="00703B0B">
              <w:rPr>
                <w:b/>
                <w:sz w:val="20"/>
              </w:rPr>
              <w:t xml:space="preserve">: </w:t>
            </w:r>
            <w:r w:rsidRPr="00703B0B">
              <w:rPr>
                <w:sz w:val="20"/>
              </w:rPr>
              <w:t xml:space="preserve">22 608 34 91, 22 608 38 04 </w:t>
            </w:r>
          </w:p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b/>
                <w:sz w:val="20"/>
                <w:lang w:val="en-US"/>
              </w:rPr>
              <w:t>e-mail:</w:t>
            </w:r>
            <w:r w:rsidRPr="00703B0B">
              <w:rPr>
                <w:sz w:val="20"/>
                <w:lang w:val="en-US"/>
              </w:rPr>
              <w:t xml:space="preserve"> </w:t>
            </w:r>
            <w:hyperlink r:id="rId15" w:history="1">
              <w:r w:rsidRPr="00703B0B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  <w:lang w:val="en-US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1184" behindDoc="0" locked="0" layoutInCell="1" allowOverlap="1" wp14:anchorId="2E79F91A" wp14:editId="185631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www.stat.gov.pl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3232" behindDoc="0" locked="0" layoutInCell="1" allowOverlap="1" wp14:anchorId="3DB64AFA" wp14:editId="1567313D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sz w:val="20"/>
              </w:rPr>
              <w:t>@GUS_STAT</w:t>
            </w:r>
          </w:p>
        </w:tc>
      </w:tr>
      <w:tr w:rsidR="00476DF4" w:rsidRPr="00703B0B" w:rsidTr="0006702A">
        <w:trPr>
          <w:trHeight w:val="436"/>
        </w:trPr>
        <w:tc>
          <w:tcPr>
            <w:tcW w:w="2721" w:type="pct"/>
            <w:vMerge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476DF4" w:rsidRPr="00703B0B" w:rsidRDefault="00476DF4" w:rsidP="00476DF4">
            <w:pPr>
              <w:rPr>
                <w:sz w:val="18"/>
              </w:rPr>
            </w:pPr>
            <w:r w:rsidRPr="00703B0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2208" behindDoc="0" locked="0" layoutInCell="1" allowOverlap="1" wp14:anchorId="32D8B186" wp14:editId="3E1F3CA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476DF4" w:rsidRPr="00703B0B" w:rsidRDefault="00476DF4" w:rsidP="00476DF4">
            <w:pPr>
              <w:rPr>
                <w:sz w:val="20"/>
              </w:rPr>
            </w:pPr>
            <w:r w:rsidRPr="00703B0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1448A7" w:rsidP="00E76D26">
      <w:pPr>
        <w:rPr>
          <w:sz w:val="18"/>
        </w:rPr>
      </w:pPr>
      <w:bookmarkStart w:id="0" w:name="_GoBack"/>
      <w:bookmarkEnd w:id="0"/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6CA4074" wp14:editId="56CA4075">
                <wp:simplePos x="0" y="0"/>
                <wp:positionH relativeFrom="margin">
                  <wp:posOffset>20320</wp:posOffset>
                </wp:positionH>
                <wp:positionV relativeFrom="paragraph">
                  <wp:posOffset>424815</wp:posOffset>
                </wp:positionV>
                <wp:extent cx="6559550" cy="2545080"/>
                <wp:effectExtent l="0" t="0" r="12700" b="2667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254508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</w:rPr>
                            </w:pPr>
                            <w:r w:rsidRPr="00716AA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533D16" w:rsidRPr="004E3FAB" w:rsidRDefault="00F92F9E" w:rsidP="00533D1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1D77"/>
                                <w:szCs w:val="24"/>
                              </w:rPr>
                            </w:pPr>
                            <w:r w:rsidRPr="004E3FAB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4E3FAB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"https://stat.gov.pl/obszary-tematyczne/podmioty-gospodarcze-wyniki-finansowe/przedsiebiorstwa-finansowe/wyspecjalizowane-segmenty-rynku-finansowego-2018,18,4.html" </w:instrText>
                            </w:r>
                            <w:r w:rsidRPr="004E3FAB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533D16" w:rsidRPr="004E3FAB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Wyspecjalizowane segmenty rynku finansowego </w:t>
                            </w:r>
                          </w:p>
                          <w:p w:rsidR="00533D16" w:rsidRPr="00716AA6" w:rsidRDefault="00F92F9E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4E3FAB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533D16" w:rsidRPr="00716AA6" w:rsidRDefault="00533D16" w:rsidP="00533D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16AA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D4712D" w:rsidRPr="004E3FAB" w:rsidRDefault="00911185" w:rsidP="00D4712D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19" w:history="1">
                              <w:r w:rsidR="00D4712D" w:rsidRPr="004E3FAB">
                                <w:rPr>
                                  <w:rStyle w:val="Hipercze"/>
                                  <w:color w:val="001D77"/>
                                </w:rPr>
                                <w:t>Firma windykacyjna</w:t>
                              </w:r>
                            </w:hyperlink>
                          </w:p>
                          <w:p w:rsidR="00533D16" w:rsidRPr="004E3FAB" w:rsidRDefault="00911185" w:rsidP="00D4712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0" w:tooltip="Fundusz sekurytyzacyjny" w:history="1">
                              <w:r w:rsidR="00D4712D" w:rsidRPr="004E3FAB">
                                <w:rPr>
                                  <w:rStyle w:val="Hipercze"/>
                                  <w:color w:val="001D77"/>
                                </w:rPr>
                                <w:t>Fundusz sekurytyzacyjny</w:t>
                              </w:r>
                            </w:hyperlink>
                          </w:p>
                          <w:p w:rsidR="00AB6D25" w:rsidRPr="00716AA6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A4074" id="_x0000_s1031" type="#_x0000_t202" style="position:absolute;margin-left:1.6pt;margin-top:33.45pt;width:516.5pt;height:200.4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533D16" w:rsidRPr="00716AA6" w:rsidRDefault="00533D16" w:rsidP="00533D16">
                      <w:pPr>
                        <w:rPr>
                          <w:b/>
                        </w:rPr>
                      </w:pPr>
                      <w:r w:rsidRPr="00716AA6">
                        <w:rPr>
                          <w:b/>
                        </w:rPr>
                        <w:t>Powiązane opracowania</w:t>
                      </w:r>
                    </w:p>
                    <w:p w:rsidR="00533D16" w:rsidRPr="004E3FAB" w:rsidRDefault="00F92F9E" w:rsidP="00533D16">
                      <w:pPr>
                        <w:rPr>
                          <w:rStyle w:val="Hipercze"/>
                          <w:rFonts w:cstheme="minorBidi"/>
                          <w:b/>
                          <w:color w:val="001D77"/>
                          <w:szCs w:val="24"/>
                        </w:rPr>
                      </w:pPr>
                      <w:r w:rsidRPr="004E3FAB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E3FAB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"https://stat.gov.pl/obszary-tematyczne/podmioty-gospodarcze-wyniki-finansowe/przedsiebiorstwa-finansowe/wyspecjalizowane-segmenty-rynku-finansowego-2018,18,4.html" </w:instrText>
                      </w:r>
                      <w:r w:rsidRPr="004E3FAB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533D16" w:rsidRPr="004E3FAB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Wyspecjalizowane segmenty rynku finansowego </w:t>
                      </w:r>
                    </w:p>
                    <w:p w:rsidR="00533D16" w:rsidRPr="00716AA6" w:rsidRDefault="00F92F9E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4E3FAB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533D16" w:rsidRPr="00716AA6" w:rsidRDefault="00533D16" w:rsidP="00533D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16AA6">
                        <w:rPr>
                          <w:b/>
                          <w:color w:val="000000" w:themeColor="text1"/>
                          <w:szCs w:val="24"/>
                        </w:rPr>
                        <w:t>Ważniejsze pojęcia dostępne w słowniku</w:t>
                      </w:r>
                    </w:p>
                    <w:p w:rsidR="00D4712D" w:rsidRPr="004E3FAB" w:rsidRDefault="00911185" w:rsidP="00D4712D">
                      <w:pPr>
                        <w:rPr>
                          <w:color w:val="001D77"/>
                          <w:szCs w:val="24"/>
                        </w:rPr>
                      </w:pPr>
                      <w:hyperlink r:id="rId21" w:history="1">
                        <w:r w:rsidR="00D4712D" w:rsidRPr="004E3FAB">
                          <w:rPr>
                            <w:rStyle w:val="Hipercze"/>
                            <w:color w:val="001D77"/>
                          </w:rPr>
                          <w:t>Firma windykacyjna</w:t>
                        </w:r>
                      </w:hyperlink>
                    </w:p>
                    <w:p w:rsidR="00533D16" w:rsidRPr="004E3FAB" w:rsidRDefault="00911185" w:rsidP="00D4712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2" w:tooltip="Fundusz sekurytyzacyjny" w:history="1">
                        <w:r w:rsidR="00D4712D" w:rsidRPr="004E3FAB">
                          <w:rPr>
                            <w:rStyle w:val="Hipercze"/>
                            <w:color w:val="001D77"/>
                          </w:rPr>
                          <w:t>Fundusz sekurytyzacyjny</w:t>
                        </w:r>
                      </w:hyperlink>
                    </w:p>
                    <w:p w:rsidR="00AB6D25" w:rsidRPr="00716AA6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1185" w:rsidRDefault="00911185" w:rsidP="000662E2">
      <w:pPr>
        <w:spacing w:after="0" w:line="240" w:lineRule="auto"/>
      </w:pPr>
      <w:r>
        <w:separator/>
      </w:r>
    </w:p>
  </w:endnote>
  <w:endnote w:type="continuationSeparator" w:id="0">
    <w:p w:rsidR="00911185" w:rsidRDefault="0091118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FA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F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FA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1185" w:rsidRDefault="00911185" w:rsidP="000662E2">
      <w:pPr>
        <w:spacing w:after="0" w:line="240" w:lineRule="auto"/>
      </w:pPr>
      <w:r>
        <w:separator/>
      </w:r>
    </w:p>
  </w:footnote>
  <w:footnote w:type="continuationSeparator" w:id="0">
    <w:p w:rsidR="00911185" w:rsidRDefault="00911185" w:rsidP="000662E2">
      <w:pPr>
        <w:spacing w:after="0" w:line="240" w:lineRule="auto"/>
      </w:pPr>
      <w:r>
        <w:continuationSeparator/>
      </w:r>
    </w:p>
  </w:footnote>
  <w:footnote w:id="1">
    <w:p w:rsidR="00F031C5" w:rsidRPr="008A5F29" w:rsidRDefault="00F031C5" w:rsidP="00F031C5">
      <w:pPr>
        <w:pStyle w:val="Tekstprzypisudolnego"/>
        <w:rPr>
          <w:sz w:val="16"/>
          <w:szCs w:val="16"/>
        </w:rPr>
      </w:pPr>
      <w:r w:rsidRPr="008A5F29">
        <w:rPr>
          <w:rStyle w:val="Odwoanieprzypisudolnego"/>
          <w:sz w:val="16"/>
          <w:szCs w:val="16"/>
        </w:rPr>
        <w:footnoteRef/>
      </w:r>
      <w:r w:rsidRPr="008A5F29">
        <w:rPr>
          <w:sz w:val="16"/>
          <w:szCs w:val="16"/>
        </w:rPr>
        <w:t xml:space="preserve"> Informację opracowano na podstawie prowadzonego od 2006 r. przez Główny Urząd Statystyczny badania działalności przedsiębiorstw finansowych, które od danych za 2017</w:t>
      </w:r>
      <w:r w:rsidR="00D4712D">
        <w:rPr>
          <w:sz w:val="16"/>
          <w:szCs w:val="16"/>
        </w:rPr>
        <w:t> </w:t>
      </w:r>
      <w:r w:rsidRPr="008A5F29">
        <w:rPr>
          <w:sz w:val="16"/>
          <w:szCs w:val="16"/>
        </w:rPr>
        <w:t>r. zostało uzupełnione o badanie podmiotów prowadzących działalność windykacyjną w obszarze zarządzania wierzytelnościami.</w:t>
      </w:r>
    </w:p>
    <w:p w:rsidR="00F031C5" w:rsidRPr="008A5F29" w:rsidRDefault="00F031C5" w:rsidP="00F031C5">
      <w:pPr>
        <w:pStyle w:val="Tekstprzypisudolnego"/>
        <w:rPr>
          <w:sz w:val="16"/>
          <w:szCs w:val="16"/>
        </w:rPr>
      </w:pPr>
      <w:r>
        <w:rPr>
          <w:sz w:val="16"/>
          <w:szCs w:val="16"/>
        </w:rPr>
        <w:t>D</w:t>
      </w:r>
      <w:r w:rsidRPr="008A5F29">
        <w:rPr>
          <w:sz w:val="16"/>
          <w:szCs w:val="16"/>
        </w:rPr>
        <w:t xml:space="preserve">ane prezentujemy także w ujęciu dla podmiotów, które wystąpiły w obu edycjach, w edycji badania za </w:t>
      </w:r>
      <w:r w:rsidRPr="00BD06BB">
        <w:rPr>
          <w:sz w:val="16"/>
          <w:szCs w:val="16"/>
        </w:rPr>
        <w:t xml:space="preserve">rok 2018 oraz </w:t>
      </w:r>
      <w:r w:rsidRPr="008A5F29">
        <w:rPr>
          <w:sz w:val="16"/>
          <w:szCs w:val="16"/>
        </w:rPr>
        <w:t xml:space="preserve">za rok </w:t>
      </w:r>
      <w:r w:rsidRPr="00BD06BB">
        <w:rPr>
          <w:sz w:val="16"/>
          <w:szCs w:val="16"/>
        </w:rPr>
        <w:t xml:space="preserve">2019. </w:t>
      </w:r>
      <w:r w:rsidRPr="008A5F29">
        <w:rPr>
          <w:sz w:val="16"/>
          <w:szCs w:val="16"/>
        </w:rPr>
        <w:t>Ujęcie to zostało określone jako "dane panelowe".</w:t>
      </w:r>
    </w:p>
    <w:p w:rsidR="00F031C5" w:rsidRPr="00815AB6" w:rsidRDefault="00F031C5" w:rsidP="00F031C5">
      <w:pPr>
        <w:pStyle w:val="Tekstprzypisudolnego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6CA4083" wp14:editId="56CA408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0E9A55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437" w:rsidRDefault="00B2196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F0CDF1D" wp14:editId="7BD82244">
              <wp:simplePos x="0" y="0"/>
              <wp:positionH relativeFrom="column">
                <wp:posOffset>5150485</wp:posOffset>
              </wp:positionH>
              <wp:positionV relativeFrom="paragraph">
                <wp:posOffset>441452</wp:posOffset>
              </wp:positionV>
              <wp:extent cx="1871980" cy="2290508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94B5FD6" id="Prostokąt 10" o:spid="_x0000_s1026" style="position:absolute;margin-left:405.55pt;margin-top:34.75pt;width:147.4pt;height:1803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PCEyMTkAAAADAEAAA8AAABkcnMvZG93bnJl&#10;di54bWxMj8FOwzAQRO9I/IO1SNyoY1BDGrKpEBAJiUtpiaA3NzZJ1HgdYjcNfD3uCY6reZp5my0n&#10;07FRD661hCBmETBNlVUt1Qhvm+IqAea8JCU7SxrhWztY5udnmUyVPdKrHte+ZqGEXCoRGu/7lHNX&#10;NdpIN7O9ppB92sFIH86h5mqQx1BuOn4dRTE3sqWw0MhePzS62q8PBsFux82LKop9Wf48vq+Sp4/y&#10;a/uMeHkx3d8B83ryfzCc9IM65MFpZw+kHOsQEiFEQBHixRzYCRDRfAFsh3AT38Yx8Dzj/5/IfwE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DwhMjE5AAAAAwBAAAPAAAAAAAAAAAAAAAA&#10;APcEAABkcnMvZG93bnJldi54bWxQSwUGAAAAAAQABADzAAAACAYAAAAA&#10;" fillcolor="#f2f2f2" stroked="f" strokeweight="1pt"/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B7181E" wp14:editId="03250AE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B7181E" id="Schemat blokowy: opóźnienie 6" o:spid="_x0000_s1032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152CC9">
      <w:rPr>
        <w:noProof/>
        <w:lang w:eastAsia="pl-PL"/>
      </w:rPr>
      <w:drawing>
        <wp:inline distT="0" distB="0" distL="0" distR="0" wp14:anchorId="3F1FBE6B" wp14:editId="3FD8F6CD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BB5D9B7" wp14:editId="5A6DE85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C97596" w:rsidRDefault="0003145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D4712D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40265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191698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37172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B5D9B7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7172" w:rsidRPr="00C97596" w:rsidRDefault="0003145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D4712D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40265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191698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37172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2.95pt;height:125.65pt;visibility:visible" o:bullet="t">
        <v:imagedata r:id="rId1" o:title=""/>
      </v:shape>
    </w:pict>
  </w:numPicBullet>
  <w:numPicBullet w:numPicBulletId="1">
    <w:pict>
      <v:shape id="_x0000_i1037" type="#_x0000_t75" style="width:123.6pt;height:125.6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6635"/>
    <w:rsid w:val="0000709F"/>
    <w:rsid w:val="000108B8"/>
    <w:rsid w:val="000152F5"/>
    <w:rsid w:val="0002037F"/>
    <w:rsid w:val="00026580"/>
    <w:rsid w:val="00031456"/>
    <w:rsid w:val="0004582E"/>
    <w:rsid w:val="000470AA"/>
    <w:rsid w:val="00051880"/>
    <w:rsid w:val="000562B1"/>
    <w:rsid w:val="00057CA1"/>
    <w:rsid w:val="000662E2"/>
    <w:rsid w:val="00066883"/>
    <w:rsid w:val="00071396"/>
    <w:rsid w:val="00074DD8"/>
    <w:rsid w:val="000806F7"/>
    <w:rsid w:val="00097840"/>
    <w:rsid w:val="000A2D45"/>
    <w:rsid w:val="000A5750"/>
    <w:rsid w:val="000B0727"/>
    <w:rsid w:val="000B0D97"/>
    <w:rsid w:val="000B3242"/>
    <w:rsid w:val="000C135D"/>
    <w:rsid w:val="000C5263"/>
    <w:rsid w:val="000D1D43"/>
    <w:rsid w:val="000D225C"/>
    <w:rsid w:val="000D2A5C"/>
    <w:rsid w:val="000E0918"/>
    <w:rsid w:val="000E1C23"/>
    <w:rsid w:val="000F2697"/>
    <w:rsid w:val="001011C3"/>
    <w:rsid w:val="00110D87"/>
    <w:rsid w:val="00110E07"/>
    <w:rsid w:val="00114DB9"/>
    <w:rsid w:val="00116087"/>
    <w:rsid w:val="00121EEE"/>
    <w:rsid w:val="00130296"/>
    <w:rsid w:val="001375D8"/>
    <w:rsid w:val="001423B6"/>
    <w:rsid w:val="001438E6"/>
    <w:rsid w:val="001448A7"/>
    <w:rsid w:val="00146621"/>
    <w:rsid w:val="00151187"/>
    <w:rsid w:val="00152CC9"/>
    <w:rsid w:val="00162325"/>
    <w:rsid w:val="0017385D"/>
    <w:rsid w:val="00176646"/>
    <w:rsid w:val="00177132"/>
    <w:rsid w:val="00191698"/>
    <w:rsid w:val="001951DA"/>
    <w:rsid w:val="001A20E3"/>
    <w:rsid w:val="001A4384"/>
    <w:rsid w:val="001A5779"/>
    <w:rsid w:val="001A6194"/>
    <w:rsid w:val="001B30B7"/>
    <w:rsid w:val="001C3269"/>
    <w:rsid w:val="001D1DB4"/>
    <w:rsid w:val="001F6B80"/>
    <w:rsid w:val="001F6E7A"/>
    <w:rsid w:val="002067D4"/>
    <w:rsid w:val="002109B3"/>
    <w:rsid w:val="0022337F"/>
    <w:rsid w:val="00235E14"/>
    <w:rsid w:val="00250CAA"/>
    <w:rsid w:val="002525C8"/>
    <w:rsid w:val="002574F9"/>
    <w:rsid w:val="00262B61"/>
    <w:rsid w:val="00276811"/>
    <w:rsid w:val="0027706C"/>
    <w:rsid w:val="00282699"/>
    <w:rsid w:val="002904DD"/>
    <w:rsid w:val="002926DF"/>
    <w:rsid w:val="00296697"/>
    <w:rsid w:val="002969D1"/>
    <w:rsid w:val="002B0472"/>
    <w:rsid w:val="002B4220"/>
    <w:rsid w:val="002B6B12"/>
    <w:rsid w:val="002C4D14"/>
    <w:rsid w:val="002E6140"/>
    <w:rsid w:val="002E6985"/>
    <w:rsid w:val="002E71B6"/>
    <w:rsid w:val="002F37D0"/>
    <w:rsid w:val="002F77C8"/>
    <w:rsid w:val="00304F22"/>
    <w:rsid w:val="00306C7C"/>
    <w:rsid w:val="003179D8"/>
    <w:rsid w:val="00322EDD"/>
    <w:rsid w:val="00332320"/>
    <w:rsid w:val="00335077"/>
    <w:rsid w:val="00347D72"/>
    <w:rsid w:val="00357611"/>
    <w:rsid w:val="00367237"/>
    <w:rsid w:val="0037077F"/>
    <w:rsid w:val="00370FFF"/>
    <w:rsid w:val="00372411"/>
    <w:rsid w:val="00373882"/>
    <w:rsid w:val="003843DB"/>
    <w:rsid w:val="00393761"/>
    <w:rsid w:val="00397D18"/>
    <w:rsid w:val="003A1B36"/>
    <w:rsid w:val="003A2729"/>
    <w:rsid w:val="003B1454"/>
    <w:rsid w:val="003B18B6"/>
    <w:rsid w:val="003B78B9"/>
    <w:rsid w:val="003C59E0"/>
    <w:rsid w:val="003C6C8D"/>
    <w:rsid w:val="003D2C82"/>
    <w:rsid w:val="003D4F95"/>
    <w:rsid w:val="003D5F42"/>
    <w:rsid w:val="003D60A9"/>
    <w:rsid w:val="003D7CE1"/>
    <w:rsid w:val="003F4247"/>
    <w:rsid w:val="003F4C97"/>
    <w:rsid w:val="003F7FE6"/>
    <w:rsid w:val="004000BE"/>
    <w:rsid w:val="00400193"/>
    <w:rsid w:val="00410B36"/>
    <w:rsid w:val="004212E7"/>
    <w:rsid w:val="0042446D"/>
    <w:rsid w:val="00424CE0"/>
    <w:rsid w:val="004266DF"/>
    <w:rsid w:val="00427BF8"/>
    <w:rsid w:val="00431C02"/>
    <w:rsid w:val="00433206"/>
    <w:rsid w:val="00437395"/>
    <w:rsid w:val="00445047"/>
    <w:rsid w:val="00457A2D"/>
    <w:rsid w:val="00463E39"/>
    <w:rsid w:val="004657FC"/>
    <w:rsid w:val="00471212"/>
    <w:rsid w:val="004733F6"/>
    <w:rsid w:val="00474E69"/>
    <w:rsid w:val="00476DF4"/>
    <w:rsid w:val="004915F2"/>
    <w:rsid w:val="00494837"/>
    <w:rsid w:val="00495A07"/>
    <w:rsid w:val="0049621B"/>
    <w:rsid w:val="004B0E6F"/>
    <w:rsid w:val="004B6F25"/>
    <w:rsid w:val="004C1895"/>
    <w:rsid w:val="004C6D40"/>
    <w:rsid w:val="004D1BCB"/>
    <w:rsid w:val="004E1155"/>
    <w:rsid w:val="004E3FAB"/>
    <w:rsid w:val="004E504F"/>
    <w:rsid w:val="004F071D"/>
    <w:rsid w:val="004F0C3C"/>
    <w:rsid w:val="004F4005"/>
    <w:rsid w:val="004F544A"/>
    <w:rsid w:val="004F63FC"/>
    <w:rsid w:val="00505A92"/>
    <w:rsid w:val="005116F3"/>
    <w:rsid w:val="00512C5A"/>
    <w:rsid w:val="005145C2"/>
    <w:rsid w:val="005203F1"/>
    <w:rsid w:val="00521499"/>
    <w:rsid w:val="00521BC3"/>
    <w:rsid w:val="00523B59"/>
    <w:rsid w:val="005314BC"/>
    <w:rsid w:val="00533632"/>
    <w:rsid w:val="00533D16"/>
    <w:rsid w:val="00541E6E"/>
    <w:rsid w:val="0054251F"/>
    <w:rsid w:val="00550896"/>
    <w:rsid w:val="005520D8"/>
    <w:rsid w:val="00554EDB"/>
    <w:rsid w:val="00556CF1"/>
    <w:rsid w:val="00572B9B"/>
    <w:rsid w:val="005762A7"/>
    <w:rsid w:val="00577622"/>
    <w:rsid w:val="00581A23"/>
    <w:rsid w:val="005916D7"/>
    <w:rsid w:val="005A698C"/>
    <w:rsid w:val="005E0799"/>
    <w:rsid w:val="005E7160"/>
    <w:rsid w:val="005F5A80"/>
    <w:rsid w:val="00600241"/>
    <w:rsid w:val="006044FF"/>
    <w:rsid w:val="00607752"/>
    <w:rsid w:val="00607C2E"/>
    <w:rsid w:val="00607CC5"/>
    <w:rsid w:val="00633014"/>
    <w:rsid w:val="0063437B"/>
    <w:rsid w:val="0064319F"/>
    <w:rsid w:val="006673CA"/>
    <w:rsid w:val="0066785E"/>
    <w:rsid w:val="00673C26"/>
    <w:rsid w:val="006812AF"/>
    <w:rsid w:val="0068327D"/>
    <w:rsid w:val="006853D7"/>
    <w:rsid w:val="00691D21"/>
    <w:rsid w:val="00694AF0"/>
    <w:rsid w:val="006A4686"/>
    <w:rsid w:val="006B0E9E"/>
    <w:rsid w:val="006B5AE4"/>
    <w:rsid w:val="006C0B97"/>
    <w:rsid w:val="006D1507"/>
    <w:rsid w:val="006D4054"/>
    <w:rsid w:val="006E02EC"/>
    <w:rsid w:val="006E53FD"/>
    <w:rsid w:val="006F1BE1"/>
    <w:rsid w:val="006F2688"/>
    <w:rsid w:val="006F357F"/>
    <w:rsid w:val="00716AA6"/>
    <w:rsid w:val="007211B1"/>
    <w:rsid w:val="0073697F"/>
    <w:rsid w:val="00746187"/>
    <w:rsid w:val="00747B8F"/>
    <w:rsid w:val="00750AB7"/>
    <w:rsid w:val="0075252C"/>
    <w:rsid w:val="00754E1B"/>
    <w:rsid w:val="00760FDA"/>
    <w:rsid w:val="0076254F"/>
    <w:rsid w:val="007666E8"/>
    <w:rsid w:val="007801F5"/>
    <w:rsid w:val="00783CA4"/>
    <w:rsid w:val="007842FB"/>
    <w:rsid w:val="00786124"/>
    <w:rsid w:val="00790A4B"/>
    <w:rsid w:val="0079514B"/>
    <w:rsid w:val="007951CC"/>
    <w:rsid w:val="007A2DC1"/>
    <w:rsid w:val="007D3319"/>
    <w:rsid w:val="007D335D"/>
    <w:rsid w:val="007E3314"/>
    <w:rsid w:val="007E4B03"/>
    <w:rsid w:val="007E5CD1"/>
    <w:rsid w:val="007E7680"/>
    <w:rsid w:val="007F17E0"/>
    <w:rsid w:val="007F324B"/>
    <w:rsid w:val="0080553C"/>
    <w:rsid w:val="00805B46"/>
    <w:rsid w:val="008153B7"/>
    <w:rsid w:val="00815698"/>
    <w:rsid w:val="00815F1C"/>
    <w:rsid w:val="00825DC2"/>
    <w:rsid w:val="00834AD3"/>
    <w:rsid w:val="008350E6"/>
    <w:rsid w:val="00840265"/>
    <w:rsid w:val="008429C7"/>
    <w:rsid w:val="00843416"/>
    <w:rsid w:val="00843795"/>
    <w:rsid w:val="008475E8"/>
    <w:rsid w:val="00847F0F"/>
    <w:rsid w:val="00852448"/>
    <w:rsid w:val="008532F0"/>
    <w:rsid w:val="008632F6"/>
    <w:rsid w:val="00877F39"/>
    <w:rsid w:val="0088258A"/>
    <w:rsid w:val="00886332"/>
    <w:rsid w:val="008913BD"/>
    <w:rsid w:val="008A26D9"/>
    <w:rsid w:val="008B0F30"/>
    <w:rsid w:val="008B1059"/>
    <w:rsid w:val="008B5365"/>
    <w:rsid w:val="008C0C29"/>
    <w:rsid w:val="008E569C"/>
    <w:rsid w:val="008F3638"/>
    <w:rsid w:val="008F4441"/>
    <w:rsid w:val="008F6F31"/>
    <w:rsid w:val="008F74DF"/>
    <w:rsid w:val="008F7953"/>
    <w:rsid w:val="009010C5"/>
    <w:rsid w:val="00911185"/>
    <w:rsid w:val="009127BA"/>
    <w:rsid w:val="009227A6"/>
    <w:rsid w:val="00933EC1"/>
    <w:rsid w:val="0094071E"/>
    <w:rsid w:val="009468CE"/>
    <w:rsid w:val="009530DB"/>
    <w:rsid w:val="00953676"/>
    <w:rsid w:val="0096287F"/>
    <w:rsid w:val="009700B8"/>
    <w:rsid w:val="009705EE"/>
    <w:rsid w:val="00977927"/>
    <w:rsid w:val="0098135C"/>
    <w:rsid w:val="0098156A"/>
    <w:rsid w:val="00985843"/>
    <w:rsid w:val="00991BAC"/>
    <w:rsid w:val="00993142"/>
    <w:rsid w:val="009A6EA0"/>
    <w:rsid w:val="009B150B"/>
    <w:rsid w:val="009C1335"/>
    <w:rsid w:val="009C1AB2"/>
    <w:rsid w:val="009C7251"/>
    <w:rsid w:val="009D0F38"/>
    <w:rsid w:val="009D3905"/>
    <w:rsid w:val="009D72CB"/>
    <w:rsid w:val="009E2E91"/>
    <w:rsid w:val="00A139F5"/>
    <w:rsid w:val="00A14AD0"/>
    <w:rsid w:val="00A15438"/>
    <w:rsid w:val="00A15C18"/>
    <w:rsid w:val="00A213B2"/>
    <w:rsid w:val="00A365F4"/>
    <w:rsid w:val="00A40502"/>
    <w:rsid w:val="00A42EA2"/>
    <w:rsid w:val="00A43010"/>
    <w:rsid w:val="00A47D80"/>
    <w:rsid w:val="00A53132"/>
    <w:rsid w:val="00A563F2"/>
    <w:rsid w:val="00A566E8"/>
    <w:rsid w:val="00A7788E"/>
    <w:rsid w:val="00A810F9"/>
    <w:rsid w:val="00A817F9"/>
    <w:rsid w:val="00A83F0E"/>
    <w:rsid w:val="00A86ECC"/>
    <w:rsid w:val="00A86FCC"/>
    <w:rsid w:val="00AA0970"/>
    <w:rsid w:val="00AA710D"/>
    <w:rsid w:val="00AB2965"/>
    <w:rsid w:val="00AB6D25"/>
    <w:rsid w:val="00AC073A"/>
    <w:rsid w:val="00AC5AD6"/>
    <w:rsid w:val="00AE2D4B"/>
    <w:rsid w:val="00AE4F99"/>
    <w:rsid w:val="00B01EFB"/>
    <w:rsid w:val="00B1150E"/>
    <w:rsid w:val="00B11B69"/>
    <w:rsid w:val="00B1371A"/>
    <w:rsid w:val="00B14952"/>
    <w:rsid w:val="00B2196A"/>
    <w:rsid w:val="00B31E5A"/>
    <w:rsid w:val="00B33731"/>
    <w:rsid w:val="00B366A1"/>
    <w:rsid w:val="00B40557"/>
    <w:rsid w:val="00B43822"/>
    <w:rsid w:val="00B438D1"/>
    <w:rsid w:val="00B54232"/>
    <w:rsid w:val="00B57E4A"/>
    <w:rsid w:val="00B636CE"/>
    <w:rsid w:val="00B653AB"/>
    <w:rsid w:val="00B657E7"/>
    <w:rsid w:val="00B65F9E"/>
    <w:rsid w:val="00B66B19"/>
    <w:rsid w:val="00B914E9"/>
    <w:rsid w:val="00B956EE"/>
    <w:rsid w:val="00B96ECF"/>
    <w:rsid w:val="00BA2BA1"/>
    <w:rsid w:val="00BA3562"/>
    <w:rsid w:val="00BB302F"/>
    <w:rsid w:val="00BB42BE"/>
    <w:rsid w:val="00BB4F09"/>
    <w:rsid w:val="00BC419E"/>
    <w:rsid w:val="00BD4E33"/>
    <w:rsid w:val="00C030DE"/>
    <w:rsid w:val="00C147FB"/>
    <w:rsid w:val="00C22105"/>
    <w:rsid w:val="00C244B6"/>
    <w:rsid w:val="00C3702F"/>
    <w:rsid w:val="00C4500A"/>
    <w:rsid w:val="00C6294C"/>
    <w:rsid w:val="00C64A37"/>
    <w:rsid w:val="00C7158E"/>
    <w:rsid w:val="00C7250B"/>
    <w:rsid w:val="00C7346B"/>
    <w:rsid w:val="00C77C0E"/>
    <w:rsid w:val="00C91687"/>
    <w:rsid w:val="00C924A8"/>
    <w:rsid w:val="00C926AA"/>
    <w:rsid w:val="00C945FE"/>
    <w:rsid w:val="00C9511E"/>
    <w:rsid w:val="00C96FAA"/>
    <w:rsid w:val="00C97A04"/>
    <w:rsid w:val="00CA107B"/>
    <w:rsid w:val="00CA1409"/>
    <w:rsid w:val="00CA484D"/>
    <w:rsid w:val="00CA4FB6"/>
    <w:rsid w:val="00CB3AD2"/>
    <w:rsid w:val="00CB3F4D"/>
    <w:rsid w:val="00CC739E"/>
    <w:rsid w:val="00CD58B7"/>
    <w:rsid w:val="00CF4099"/>
    <w:rsid w:val="00D00796"/>
    <w:rsid w:val="00D03A73"/>
    <w:rsid w:val="00D07F7D"/>
    <w:rsid w:val="00D23EE2"/>
    <w:rsid w:val="00D261A2"/>
    <w:rsid w:val="00D4712D"/>
    <w:rsid w:val="00D56188"/>
    <w:rsid w:val="00D616D2"/>
    <w:rsid w:val="00D63B5F"/>
    <w:rsid w:val="00D64BDB"/>
    <w:rsid w:val="00D70EF7"/>
    <w:rsid w:val="00D8397C"/>
    <w:rsid w:val="00D84611"/>
    <w:rsid w:val="00D85690"/>
    <w:rsid w:val="00D910DC"/>
    <w:rsid w:val="00D943BA"/>
    <w:rsid w:val="00D94EED"/>
    <w:rsid w:val="00D96026"/>
    <w:rsid w:val="00DA0D2D"/>
    <w:rsid w:val="00DA0D75"/>
    <w:rsid w:val="00DA7C1C"/>
    <w:rsid w:val="00DB09B4"/>
    <w:rsid w:val="00DB147A"/>
    <w:rsid w:val="00DB1B7A"/>
    <w:rsid w:val="00DC1AF2"/>
    <w:rsid w:val="00DC4276"/>
    <w:rsid w:val="00DC5A7D"/>
    <w:rsid w:val="00DC64A0"/>
    <w:rsid w:val="00DC6708"/>
    <w:rsid w:val="00DD335F"/>
    <w:rsid w:val="00E01436"/>
    <w:rsid w:val="00E045BD"/>
    <w:rsid w:val="00E078AA"/>
    <w:rsid w:val="00E15E4E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86215"/>
    <w:rsid w:val="00E91DB9"/>
    <w:rsid w:val="00E94AE8"/>
    <w:rsid w:val="00E96A87"/>
    <w:rsid w:val="00EA3BBF"/>
    <w:rsid w:val="00EB1390"/>
    <w:rsid w:val="00EB2C71"/>
    <w:rsid w:val="00EB4340"/>
    <w:rsid w:val="00EB556D"/>
    <w:rsid w:val="00EB5A7D"/>
    <w:rsid w:val="00EC0634"/>
    <w:rsid w:val="00EC2CF7"/>
    <w:rsid w:val="00ED1618"/>
    <w:rsid w:val="00ED55C0"/>
    <w:rsid w:val="00ED62C1"/>
    <w:rsid w:val="00ED682B"/>
    <w:rsid w:val="00EE2ADD"/>
    <w:rsid w:val="00EE41D5"/>
    <w:rsid w:val="00F031C5"/>
    <w:rsid w:val="00F037A4"/>
    <w:rsid w:val="00F1055E"/>
    <w:rsid w:val="00F107B6"/>
    <w:rsid w:val="00F119C4"/>
    <w:rsid w:val="00F27C8F"/>
    <w:rsid w:val="00F32565"/>
    <w:rsid w:val="00F32749"/>
    <w:rsid w:val="00F33E8E"/>
    <w:rsid w:val="00F37172"/>
    <w:rsid w:val="00F4477E"/>
    <w:rsid w:val="00F512E0"/>
    <w:rsid w:val="00F67D8F"/>
    <w:rsid w:val="00F802BE"/>
    <w:rsid w:val="00F80C4E"/>
    <w:rsid w:val="00F80E93"/>
    <w:rsid w:val="00F81708"/>
    <w:rsid w:val="00F84C6C"/>
    <w:rsid w:val="00F86024"/>
    <w:rsid w:val="00F8611A"/>
    <w:rsid w:val="00F915F2"/>
    <w:rsid w:val="00F92F9E"/>
    <w:rsid w:val="00FA1567"/>
    <w:rsid w:val="00FA16E5"/>
    <w:rsid w:val="00FA3A20"/>
    <w:rsid w:val="00FA4813"/>
    <w:rsid w:val="00FA5128"/>
    <w:rsid w:val="00FB151A"/>
    <w:rsid w:val="00FB42D4"/>
    <w:rsid w:val="00FB5906"/>
    <w:rsid w:val="00FB762F"/>
    <w:rsid w:val="00FC2AED"/>
    <w:rsid w:val="00FC2B57"/>
    <w:rsid w:val="00FD4329"/>
    <w:rsid w:val="00FD5EA7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2321C7-181D-42F0-8E39-7F3CBCF35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rsid w:val="00C147FB"/>
    <w:pPr>
      <w:spacing w:before="0" w:after="0" w:line="360" w:lineRule="auto"/>
      <w:ind w:firstLine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147F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324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324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3242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0C52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metainformacje/slownik-pojec/pojecia-stosowane-w-statystyce-publicznej/3310,pojecie.html" TargetMode="Externa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s://stat.gov.pl/metainformacje/slownik-pojec/pojecia-stosowane-w-statystyce-publicznej/1532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emf"/><Relationship Id="rId19" Type="http://schemas.openxmlformats.org/officeDocument/2006/relationships/hyperlink" Target="https://stat.gov.pl/metainformacje/slownik-pojec/pojecia-stosowane-w-statystyce-publicznej/331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s://stat.gov.pl/metainformacje/slownik-pojec/pojecia-stosowane-w-statystyce-publicznej/153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Dzialalność przedsiębiorstw windykacyjnych w 2019 roku. Informacja sygnalna.docx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STAT\RozkrutD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F78716D6-21EC-4B99-BD16-CA85F24507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95EE2E-E1F9-4640-A09B-F536B58C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1058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2019-06-27T09:34:00Z</cp:lastPrinted>
  <dcterms:created xsi:type="dcterms:W3CDTF">2020-08-12T12:27:00Z</dcterms:created>
  <dcterms:modified xsi:type="dcterms:W3CDTF">2020-08-19T12:27:00Z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GUS-SM06.6362.3.2020.1</vt:lpwstr>
  </property>
  <property fmtid="{D5CDD505-2E9C-101B-9397-08002B2CF9AE}" pid="4" name="UNPPisma">
    <vt:lpwstr>2020-156552</vt:lpwstr>
  </property>
  <property fmtid="{D5CDD505-2E9C-101B-9397-08002B2CF9AE}" pid="5" name="ZnakSprawy">
    <vt:lpwstr>GUS-SM06.6362.3.2020</vt:lpwstr>
  </property>
  <property fmtid="{D5CDD505-2E9C-101B-9397-08002B2CF9AE}" pid="6" name="ZnakSprawyPrzedPrzeniesieniem">
    <vt:lpwstr/>
  </property>
  <property fmtid="{D5CDD505-2E9C-101B-9397-08002B2CF9AE}" pid="7" name="Autor">
    <vt:lpwstr>Nowińska Agnieszka</vt:lpwstr>
  </property>
  <property fmtid="{D5CDD505-2E9C-101B-9397-08002B2CF9AE}" pid="8" name="AutorInicjaly">
    <vt:lpwstr>AN</vt:lpwstr>
  </property>
  <property fmtid="{D5CDD505-2E9C-101B-9397-08002B2CF9AE}" pid="9" name="AutorNrTelefonu">
    <vt:lpwstr>(022) 608-3620</vt:lpwstr>
  </property>
  <property fmtid="{D5CDD505-2E9C-101B-9397-08002B2CF9AE}" pid="10" name="Stanowisko">
    <vt:lpwstr>konsultant</vt:lpwstr>
  </property>
  <property fmtid="{D5CDD505-2E9C-101B-9397-08002B2CF9AE}" pid="11" name="OpisPisma">
    <vt:lpwstr>informacja sygnalna"działalność przedsiębiorstw windykacyjnych w 2019 r." termin 20.08.2020 r.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2020-08-18</vt:lpwstr>
  </property>
  <property fmtid="{D5CDD505-2E9C-101B-9397-08002B2CF9AE}" pid="15" name="Wydzial">
    <vt:lpwstr>Samodzielne stanowisko pracy do spraw rynków finansowych i podmiotów na nich działających</vt:lpwstr>
  </property>
  <property fmtid="{D5CDD505-2E9C-101B-9397-08002B2CF9AE}" pid="16" name="KodWydzialu">
    <vt:lpwstr>SM-06</vt:lpwstr>
  </property>
  <property fmtid="{D5CDD505-2E9C-101B-9397-08002B2CF9AE}" pid="17" name="ZaakceptowanePrzez">
    <vt:lpwstr>n/d</vt:lpwstr>
  </property>
  <property fmtid="{D5CDD505-2E9C-101B-9397-08002B2CF9AE}" pid="18" name="PrzekazanieDo">
    <vt:lpwstr>Agnieszka Nowińska</vt:lpwstr>
  </property>
  <property fmtid="{D5CDD505-2E9C-101B-9397-08002B2CF9AE}" pid="19" name="PrzekazanieDoStanowisko">
    <vt:lpwstr>konsultant</vt:lpwstr>
  </property>
  <property fmtid="{D5CDD505-2E9C-101B-9397-08002B2CF9AE}" pid="20" name="PrzekazanieDoKomorkaPracownika">
    <vt:lpwstr>Samodzielne stanowisko pracy do spraw rynków finansowych i podmiotów na nich działających(SM-06)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