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5A76BC">
        <w:t>czerwiec</w:t>
      </w:r>
      <w:r w:rsidR="00F601A3">
        <w:t xml:space="preserve"> 2020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</w:p>
    <w:p w:rsidR="008F7D95" w:rsidRDefault="00CF75EC" w:rsidP="0036698B">
      <w:pPr>
        <w:pStyle w:val="LID"/>
      </w:pPr>
      <w:r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E3EE03D" wp14:editId="7EE82EA5">
                <wp:simplePos x="0" y="0"/>
                <wp:positionH relativeFrom="column">
                  <wp:posOffset>5261524</wp:posOffset>
                </wp:positionH>
                <wp:positionV relativeFrom="paragraph">
                  <wp:posOffset>138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9DE" w:rsidRPr="00083125" w:rsidRDefault="005259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 w:rsidR="00A352B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E03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3pt;margin-top:0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" filled="f" stroked="f">
                <v:textbox>
                  <w:txbxContent>
                    <w:p w:rsidR="005259DE" w:rsidRPr="00083125" w:rsidRDefault="005259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 w:rsidR="00A352B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7D95"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111A00" wp14:editId="221F5D99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9DE" w:rsidRPr="00B66B19" w:rsidRDefault="005259D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39C31B8" wp14:editId="4A2C6644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-19,9</w:t>
                            </w:r>
                          </w:p>
                          <w:p w:rsidR="005259DE" w:rsidRPr="007D3319" w:rsidRDefault="005259DE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 w:rsidR="00A352B0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 przetwórstwie przemysłowym (NSA)</w:t>
                            </w:r>
                          </w:p>
                          <w:p w:rsidR="005259DE" w:rsidRPr="007D3319" w:rsidRDefault="005259DE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11A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8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avogad0AAAAHAQAADwAAAGRycy9kb3ducmV2&#10;LnhtbEyPwU7DMBBE70j8g7VI3KiTUGgU4lQIlAMgELRcuG3jJYmI11HstuHvWU5wnJ3VzJtyPbtB&#10;HWgKvWcD6SIBRdx423Nr4H1bX+SgQkS2OHgmA98UYF2dnpRYWH/kNzpsYqskhEOBBroYx0Lr0HTk&#10;MCz8SCzep58cRpFTq+2ERwl3g86S5Fo77FkaOhzprqPma7N3BpbpS5O/ho8t++c6q5/u0T2ER2PO&#10;z+bbG1CR5vj3DL/4gg6VMO38nm1QgwEZEuW6SkGJe3m1lCE7A1mar0B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avogad0AAAAHAQAADwAAAAAAAAAAAAAAAACEBAAAZHJz&#10;L2Rvd25yZXYueG1sUEsFBgAAAAAEAAQA8wAAAI4FAAAAAA==&#10;" fillcolor="#001d77" stroked="f">
                <v:textbox>
                  <w:txbxContent>
                    <w:p w:rsidR="005259DE" w:rsidRPr="00B66B19" w:rsidRDefault="005259D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39C31B8" wp14:editId="4A2C6644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-19,9</w:t>
                      </w:r>
                    </w:p>
                    <w:p w:rsidR="005259DE" w:rsidRPr="007D3319" w:rsidRDefault="005259DE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 w:rsidR="00A352B0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w przetwórstwie przemysłowym (NSA)</w:t>
                      </w:r>
                    </w:p>
                    <w:p w:rsidR="005259DE" w:rsidRPr="007D3319" w:rsidRDefault="005259DE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63">
        <w:t xml:space="preserve">W </w:t>
      </w:r>
      <w:r w:rsidR="00263F4E">
        <w:t>czerwcu</w:t>
      </w:r>
      <w:r w:rsidR="00ED4E63" w:rsidRPr="009573A7">
        <w:t xml:space="preserve"> br.</w:t>
      </w:r>
      <w:r w:rsidR="00940FF0" w:rsidRPr="009573A7">
        <w:t xml:space="preserve"> </w:t>
      </w:r>
      <w:r w:rsidR="00A352B0">
        <w:t>wskaźnik ogólnego klimatu koniunktury</w:t>
      </w:r>
      <w:r w:rsidR="00ED4E63" w:rsidRPr="009573A7">
        <w:t xml:space="preserve"> jest </w:t>
      </w:r>
      <w:r w:rsidR="00A352B0">
        <w:t xml:space="preserve">mniej </w:t>
      </w:r>
      <w:bookmarkStart w:id="0" w:name="_GoBack"/>
      <w:bookmarkEnd w:id="0"/>
      <w:r w:rsidR="00A352B0">
        <w:t>negatywny</w:t>
      </w:r>
      <w:r w:rsidR="00B20762" w:rsidRPr="009573A7">
        <w:t xml:space="preserve"> niż w </w:t>
      </w:r>
      <w:r w:rsidR="00B4379F">
        <w:t>maju</w:t>
      </w:r>
      <w:r w:rsidR="00B20762" w:rsidRPr="009573A7">
        <w:t xml:space="preserve"> br.</w:t>
      </w:r>
      <w:r w:rsidR="00940FF0" w:rsidRPr="009573A7">
        <w:t xml:space="preserve"> </w:t>
      </w:r>
      <w:r w:rsidR="00E11FFC" w:rsidRPr="009573A7">
        <w:t>w</w:t>
      </w:r>
      <w:r w:rsidR="00A352B0">
        <w:t xml:space="preserve"> większości</w:t>
      </w:r>
      <w:r w:rsidR="00886E14" w:rsidRPr="009573A7">
        <w:t xml:space="preserve"> prezentowanych</w:t>
      </w:r>
      <w:r w:rsidR="00A352B0">
        <w:t xml:space="preserve"> obszarów</w:t>
      </w:r>
      <w:r w:rsidR="00F50BA2" w:rsidRPr="009573A7">
        <w:t xml:space="preserve"> </w:t>
      </w:r>
      <w:r w:rsidR="00ED4E63" w:rsidRPr="009573A7">
        <w:t>gospodarki</w:t>
      </w:r>
      <w:r w:rsidR="00B4379F">
        <w:t>,</w:t>
      </w:r>
      <w:r w:rsidR="00714F50">
        <w:t xml:space="preserve"> p</w:t>
      </w:r>
      <w:r w:rsidR="00597115">
        <w:t xml:space="preserve">rzy czym obserwuje się </w:t>
      </w:r>
      <w:r w:rsidR="00B4379F">
        <w:t>wolniejszą poprawę</w:t>
      </w:r>
      <w:r w:rsidR="00597115">
        <w:t xml:space="preserve"> ocen bieżących („diagnoz”) </w:t>
      </w:r>
      <w:r w:rsidR="00B4379F">
        <w:t>niż</w:t>
      </w:r>
      <w:r w:rsidR="00597115">
        <w:t xml:space="preserve"> oczekiwań („prognoz”</w:t>
      </w:r>
      <w:r w:rsidR="00E7795A">
        <w:t xml:space="preserve">). </w:t>
      </w:r>
      <w:r w:rsidR="00B4379F">
        <w:t>Jedynie oceny bieżące formułowane przez jednostki z sekcji działalność finansowa i ubezpieczeniowa są mniej korzystne od formułowanych przed miesiącem.</w:t>
      </w:r>
      <w:r w:rsidR="00597115">
        <w:t xml:space="preserve"> </w:t>
      </w:r>
    </w:p>
    <w:p w:rsidR="00F50BA2" w:rsidRDefault="00AB6723" w:rsidP="0036698B">
      <w:pPr>
        <w:pStyle w:val="LID"/>
      </w:pPr>
      <w:r>
        <w:drawing>
          <wp:anchor distT="0" distB="0" distL="114300" distR="114300" simplePos="0" relativeHeight="252268544" behindDoc="0" locked="0" layoutInCell="1" allowOverlap="1" wp14:anchorId="28568A21" wp14:editId="7C1F0C5E">
            <wp:simplePos x="0" y="0"/>
            <wp:positionH relativeFrom="column">
              <wp:posOffset>5274877</wp:posOffset>
            </wp:positionH>
            <wp:positionV relativeFrom="paragraph">
              <wp:posOffset>251031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A3">
        <w:t>Najbardziej pesymistyczn</w:t>
      </w:r>
      <w:r w:rsidR="003F484C">
        <w:t xml:space="preserve">e oceny </w:t>
      </w:r>
      <w:r w:rsidR="009C7732">
        <w:t xml:space="preserve">koniunktury </w:t>
      </w:r>
      <w:r w:rsidR="003F484C">
        <w:t>formułowane są p</w:t>
      </w:r>
      <w:r w:rsidR="00F83CA3">
        <w:t>rzez</w:t>
      </w:r>
      <w:r w:rsidR="007B5859">
        <w:t xml:space="preserve"> prowadzący</w:t>
      </w:r>
      <w:r w:rsidR="00F83CA3">
        <w:t>ch działalność w </w:t>
      </w:r>
      <w:r w:rsidR="007B5859">
        <w:t>zakresie</w:t>
      </w:r>
      <w:r w:rsidR="00F2342A">
        <w:t xml:space="preserve"> </w:t>
      </w:r>
      <w:r w:rsidR="007B5859">
        <w:t>zakwatero</w:t>
      </w:r>
      <w:r w:rsidR="00B20762">
        <w:t>wania i gastronomii, natomiast najmniej</w:t>
      </w:r>
      <w:r w:rsidR="007B5859">
        <w:t xml:space="preserve"> </w:t>
      </w:r>
      <w:r w:rsidR="00B20762">
        <w:t xml:space="preserve">niekorzystne – przez </w:t>
      </w:r>
      <w:r w:rsidR="007B5859">
        <w:t xml:space="preserve">firmy z sekcji </w:t>
      </w:r>
      <w:r w:rsidR="00B20762">
        <w:t xml:space="preserve">informacja i komunikacja </w:t>
      </w:r>
      <w:r w:rsidR="007B5859">
        <w:t>oraz</w:t>
      </w:r>
      <w:r w:rsidR="00B20762" w:rsidRPr="00B20762">
        <w:t xml:space="preserve"> </w:t>
      </w:r>
      <w:r w:rsidR="00B20762">
        <w:t>działalność finansowa i ubezpieczeniowa</w:t>
      </w:r>
      <w:r w:rsidR="007B5859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597F1D">
        <w:t>czerwiec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597F1D">
        <w:t>czerwca</w:t>
      </w:r>
      <w:r w:rsidR="00AF6380">
        <w:t xml:space="preserve"> – dołą</w:t>
      </w:r>
      <w:r>
        <w:t>czono doda</w:t>
      </w:r>
      <w:r w:rsidR="004257AE">
        <w:t xml:space="preserve">tkowy moduł pytań. Moduł ten ma na celu </w:t>
      </w:r>
      <w:r w:rsidR="0088329A">
        <w:t xml:space="preserve">dodatkowe </w:t>
      </w:r>
      <w:r w:rsidR="004257AE">
        <w:t xml:space="preserve">zdiagnozowanie </w:t>
      </w:r>
      <w:r w:rsidR="00673FB6">
        <w:t>wpływu</w:t>
      </w:r>
      <w:r w:rsidR="004257AE" w:rsidRPr="00597A64">
        <w:t xml:space="preserve"> </w:t>
      </w:r>
      <w:r w:rsidR="003B6061">
        <w:t>pandemii COVID-19</w:t>
      </w:r>
      <w:r w:rsidR="004257AE" w:rsidRPr="008D372E">
        <w:t xml:space="preserve"> na koniunkturę gospodarczą</w:t>
      </w:r>
      <w:r w:rsidR="00DC0BBB">
        <w:t xml:space="preserve">. </w:t>
      </w:r>
    </w:p>
    <w:p w:rsidR="007D4C24" w:rsidRDefault="007D4C24" w:rsidP="0036698B">
      <w:pPr>
        <w:pStyle w:val="LID"/>
      </w:pPr>
    </w:p>
    <w:p w:rsidR="00E011CF" w:rsidRPr="00083125" w:rsidRDefault="00E011CF" w:rsidP="00210192">
      <w:pPr>
        <w:pStyle w:val="Nagwek1"/>
        <w:ind w:firstLine="1077"/>
        <w:rPr>
          <w:spacing w:val="-2"/>
          <w:szCs w:val="19"/>
        </w:rPr>
      </w:pPr>
      <w:r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5D426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083125">
        <w:rPr>
          <w:rFonts w:ascii="Fira Sans" w:hAnsi="Fira Sans"/>
          <w:noProof/>
          <w:spacing w:val="-4"/>
          <w:szCs w:val="19"/>
          <w:lang w:eastAsia="pl-PL"/>
        </w:rPr>
        <w:drawing>
          <wp:anchor distT="0" distB="0" distL="114300" distR="114300" simplePos="0" relativeHeight="252227584" behindDoc="1" locked="0" layoutInCell="1" allowOverlap="1" wp14:anchorId="17E4EEDC" wp14:editId="77C650A6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577" w:rsidRPr="00486577">
        <w:rPr>
          <w:noProof/>
          <w:lang w:eastAsia="pl-PL"/>
        </w:rPr>
        <w:drawing>
          <wp:anchor distT="0" distB="0" distL="114300" distR="114300" simplePos="0" relativeHeight="252499968" behindDoc="0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687070</wp:posOffset>
            </wp:positionV>
            <wp:extent cx="1572895" cy="184023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577" w:rsidRPr="00486577">
        <w:rPr>
          <w:noProof/>
          <w:lang w:eastAsia="pl-PL"/>
        </w:rPr>
        <w:drawing>
          <wp:anchor distT="0" distB="0" distL="114300" distR="114300" simplePos="0" relativeHeight="2524989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782320</wp:posOffset>
            </wp:positionV>
            <wp:extent cx="5122800" cy="1656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BE6F0A">
        <w:rPr>
          <w:rFonts w:ascii="Fira Sans" w:hAnsi="Fira Sans"/>
          <w:noProof/>
          <w:spacing w:val="-4"/>
          <w:sz w:val="19"/>
          <w:szCs w:val="19"/>
          <w:lang w:eastAsia="pl-PL"/>
        </w:rPr>
        <w:t>czerwcu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>19</w:t>
      </w:r>
      <w:r w:rsidR="00BE6F0A">
        <w:rPr>
          <w:rFonts w:ascii="Fira Sans" w:hAnsi="Fira Sans"/>
          <w:noProof/>
          <w:spacing w:val="-4"/>
          <w:sz w:val="19"/>
          <w:szCs w:val="19"/>
          <w:lang w:eastAsia="pl-PL"/>
        </w:rPr>
        <w:t>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czyli </w:t>
      </w:r>
      <w:r w:rsidR="004924CE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w maju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</w:t>
      </w:r>
      <w:r w:rsidR="00BE6F0A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34,9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Najbardziej pesymistycznie oceniają koniunkturę firmy produkujące </w:t>
      </w:r>
      <w:r w:rsidR="00D22975">
        <w:rPr>
          <w:rFonts w:ascii="Fira Sans" w:hAnsi="Fira Sans"/>
          <w:noProof/>
          <w:spacing w:val="-4"/>
          <w:sz w:val="19"/>
          <w:szCs w:val="19"/>
          <w:lang w:eastAsia="pl-PL"/>
        </w:rPr>
        <w:t>odzież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>metale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,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natomiast nieznacznie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korzystnie –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259D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jako jedyni -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producenci </w:t>
      </w:r>
      <w:r w:rsidRPr="005D426F">
        <w:rPr>
          <w:rFonts w:ascii="Fira Sans" w:hAnsi="Fira Sans"/>
          <w:noProof/>
          <w:spacing w:val="-4"/>
          <w:sz w:val="19"/>
          <w:szCs w:val="19"/>
          <w:lang w:eastAsia="pl-PL"/>
        </w:rPr>
        <w:t>chemikaliów i wyrobów chemicznych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</w:t>
      </w:r>
      <w:r w:rsidRPr="005D426F">
        <w:rPr>
          <w:rFonts w:ascii="Fira Sans" w:hAnsi="Fira Sans"/>
          <w:noProof/>
          <w:spacing w:val="-4"/>
          <w:sz w:val="19"/>
          <w:szCs w:val="19"/>
          <w:lang w:eastAsia="pl-PL"/>
        </w:rPr>
        <w:t>wyrobów farmaceutycznych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FD285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5958A9" w:rsidRDefault="005958A9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083125" w:rsidRDefault="00B20762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21675155" wp14:editId="49193606">
            <wp:simplePos x="0" y="0"/>
            <wp:positionH relativeFrom="margin">
              <wp:align>left</wp:align>
            </wp:positionH>
            <wp:positionV relativeFrom="paragraph">
              <wp:posOffset>138989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</w:p>
    <w:p w:rsidR="00AC619B" w:rsidRPr="00AC619B" w:rsidRDefault="00335A91" w:rsidP="00AC619B">
      <w:pPr>
        <w:spacing w:before="120" w:after="120"/>
        <w:rPr>
          <w:noProof/>
        </w:rPr>
      </w:pPr>
      <w:r w:rsidRPr="00335A91">
        <w:rPr>
          <w:noProof/>
          <w:lang w:eastAsia="pl-PL"/>
        </w:rPr>
        <w:drawing>
          <wp:anchor distT="0" distB="0" distL="114300" distR="114300" simplePos="0" relativeHeight="252502016" behindDoc="0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673735</wp:posOffset>
            </wp:positionV>
            <wp:extent cx="1572895" cy="1832610"/>
            <wp:effectExtent l="0" t="0" r="8255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A91">
        <w:rPr>
          <w:noProof/>
          <w:lang w:eastAsia="pl-PL"/>
        </w:rPr>
        <w:drawing>
          <wp:anchor distT="0" distB="0" distL="114300" distR="114300" simplePos="0" relativeHeight="2525009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769620</wp:posOffset>
            </wp:positionV>
            <wp:extent cx="5122800" cy="1656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90" w:rsidRPr="009468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bieżącym miesiącu wskaźnik ogólnego klimatu koniunktury (NSA) kształtuje się na poziomie minus 25,9 </w:t>
      </w:r>
      <w:r w:rsidR="00D974CE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 w maju</w:t>
      </w:r>
      <w:r w:rsidR="00D974CE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946890" w:rsidRPr="00946890">
        <w:rPr>
          <w:rFonts w:ascii="Fira Sans" w:hAnsi="Fira Sans"/>
          <w:noProof/>
          <w:spacing w:val="-4"/>
          <w:sz w:val="19"/>
          <w:szCs w:val="19"/>
          <w:lang w:eastAsia="pl-PL"/>
        </w:rPr>
        <w:t>minus 38,8). Najgorzej koniunkturę oceniają firmy mikro i małe (do 49 pracujących), najmniej pesymistycznie – firmy duże (250 i więcej pracujących).</w:t>
      </w:r>
      <w:r w:rsidRPr="00335A9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7325161A" wp14:editId="4F34AB13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D70E20" w:rsidP="00C33455">
      <w:pPr>
        <w:spacing w:before="120" w:after="120"/>
        <w:ind w:left="1134"/>
        <w:rPr>
          <w:lang w:eastAsia="pl-PL"/>
        </w:rPr>
      </w:pPr>
      <w:r w:rsidRPr="00D70E20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</w:t>
      </w:r>
      <w:r w:rsidR="007C11A8">
        <w:rPr>
          <w:rFonts w:ascii="Fira Sans" w:hAnsi="Fira Sans"/>
          <w:noProof/>
          <w:spacing w:val="-4"/>
          <w:sz w:val="19"/>
          <w:szCs w:val="19"/>
          <w:lang w:eastAsia="pl-PL"/>
        </w:rPr>
        <w:t>je się na poziomie minus 16,5 i</w:t>
      </w:r>
      <w:r w:rsidRPr="00D70E2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jest mniej negatywny niż przed miesiącem (minus 33,3).</w:t>
      </w:r>
    </w:p>
    <w:p w:rsidR="00E011CF" w:rsidRDefault="001D7C43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1D7C43">
        <w:rPr>
          <w:noProof/>
          <w:lang w:eastAsia="pl-PL"/>
        </w:rPr>
        <w:drawing>
          <wp:anchor distT="0" distB="0" distL="114300" distR="114300" simplePos="0" relativeHeight="252504064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107950</wp:posOffset>
            </wp:positionV>
            <wp:extent cx="1572895" cy="1824990"/>
            <wp:effectExtent l="0" t="0" r="8255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43">
        <w:rPr>
          <w:noProof/>
          <w:lang w:eastAsia="pl-PL"/>
        </w:rPr>
        <w:drawing>
          <wp:anchor distT="0" distB="0" distL="114300" distR="114300" simplePos="0" relativeHeight="252503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205721</wp:posOffset>
            </wp:positionV>
            <wp:extent cx="5122800" cy="1656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71" w:rsidRPr="00B30271">
        <w:rPr>
          <w:rFonts w:ascii="Fira Sans" w:hAnsi="Fira Sans"/>
          <w:b/>
          <w:spacing w:val="-2"/>
          <w:sz w:val="18"/>
        </w:rPr>
        <w:t xml:space="preserve"> </w:t>
      </w:r>
    </w:p>
    <w:p w:rsidR="00E011CF" w:rsidRPr="00083125" w:rsidRDefault="004924CE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70826B3A" wp14:editId="51A9D9AA">
            <wp:simplePos x="0" y="0"/>
            <wp:positionH relativeFrom="margin">
              <wp:posOffset>-50800</wp:posOffset>
            </wp:positionH>
            <wp:positionV relativeFrom="paragraph">
              <wp:posOffset>1829435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Pr="000F4EBC" w:rsidRDefault="00590CC6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5D444A">
        <w:rPr>
          <w:noProof/>
          <w:lang w:eastAsia="pl-PL"/>
        </w:rPr>
        <w:drawing>
          <wp:anchor distT="0" distB="0" distL="114300" distR="114300" simplePos="0" relativeHeight="252506112" behindDoc="0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795655</wp:posOffset>
            </wp:positionV>
            <wp:extent cx="1568450" cy="1846580"/>
            <wp:effectExtent l="0" t="0" r="0" b="0"/>
            <wp:wrapTopAndBottom/>
            <wp:docPr id="193" name="Obraz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44A">
        <w:rPr>
          <w:noProof/>
          <w:lang w:eastAsia="pl-PL"/>
        </w:rPr>
        <w:drawing>
          <wp:anchor distT="0" distB="0" distL="114300" distR="114300" simplePos="0" relativeHeight="25250508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902335</wp:posOffset>
            </wp:positionV>
            <wp:extent cx="5122800" cy="1656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CC6">
        <w:rPr>
          <w:rFonts w:ascii="Fira Sans" w:hAnsi="Fira Sans"/>
          <w:spacing w:val="-4"/>
          <w:sz w:val="19"/>
          <w:szCs w:val="19"/>
        </w:rPr>
        <w:t>W czerwcu wskaźnik ogólnego klimatu koniunktury (NSA) kształtuje się na poziomie minus 25,1. Tak jak w przypadku handlu hurtowego, je</w:t>
      </w:r>
      <w:r w:rsidR="00FB558D">
        <w:rPr>
          <w:rFonts w:ascii="Fira Sans" w:hAnsi="Fira Sans"/>
          <w:spacing w:val="-4"/>
          <w:sz w:val="19"/>
          <w:szCs w:val="19"/>
        </w:rPr>
        <w:t>st on mniej pesymistyczny niż w </w:t>
      </w:r>
      <w:r w:rsidRPr="00590CC6">
        <w:rPr>
          <w:rFonts w:ascii="Fira Sans" w:hAnsi="Fira Sans"/>
          <w:spacing w:val="-4"/>
          <w:sz w:val="19"/>
          <w:szCs w:val="19"/>
        </w:rPr>
        <w:t>maju (minus 43,4) – również w podziale na klasy wielkości i prezentowane branże. Najbardziej niekorzystne oceny w tym zakresie zgłaszają przedstawiciele branży tekstylia, odzież, obuwie.</w:t>
      </w:r>
      <w:r w:rsidR="00D054DC" w:rsidRPr="00C813FB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35776" behindDoc="1" locked="0" layoutInCell="1" allowOverlap="1" wp14:anchorId="754A10A9" wp14:editId="5D56269B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B21AC8" w:rsidP="000B24BC">
      <w:pPr>
        <w:spacing w:before="120" w:after="120"/>
        <w:ind w:left="1134" w:hanging="1134"/>
        <w:rPr>
          <w:noProof/>
        </w:rPr>
      </w:pPr>
      <w:r w:rsidRPr="00B21AC8">
        <w:rPr>
          <w:noProof/>
          <w:lang w:eastAsia="pl-PL"/>
        </w:rPr>
        <w:drawing>
          <wp:anchor distT="0" distB="0" distL="114300" distR="114300" simplePos="0" relativeHeight="252508160" behindDoc="0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492125</wp:posOffset>
            </wp:positionV>
            <wp:extent cx="1572895" cy="1840865"/>
            <wp:effectExtent l="0" t="0" r="8255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402C8E">
        <w:rPr>
          <w:rFonts w:ascii="Fira Sans" w:hAnsi="Fira Sans"/>
          <w:spacing w:val="-4"/>
          <w:sz w:val="19"/>
          <w:szCs w:val="19"/>
        </w:rPr>
        <w:t>20</w:t>
      </w:r>
      <w:r w:rsidR="00474404">
        <w:rPr>
          <w:rFonts w:ascii="Fira Sans" w:hAnsi="Fira Sans"/>
          <w:spacing w:val="-4"/>
          <w:sz w:val="19"/>
          <w:szCs w:val="19"/>
        </w:rPr>
        <w:t>,4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 w maju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E1662D">
        <w:rPr>
          <w:rFonts w:ascii="Fira Sans" w:hAnsi="Fira Sans"/>
          <w:spacing w:val="-4"/>
          <w:sz w:val="19"/>
          <w:szCs w:val="19"/>
        </w:rPr>
        <w:t>39,4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E1662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B21AC8">
        <w:rPr>
          <w:noProof/>
          <w:lang w:eastAsia="pl-PL"/>
        </w:rPr>
        <w:drawing>
          <wp:anchor distT="0" distB="0" distL="114300" distR="114300" simplePos="0" relativeHeight="252507136" behindDoc="0" locked="0" layoutInCell="1" allowOverlap="1">
            <wp:simplePos x="0" y="0"/>
            <wp:positionH relativeFrom="margin">
              <wp:posOffset>90362</wp:posOffset>
            </wp:positionH>
            <wp:positionV relativeFrom="paragraph">
              <wp:posOffset>112395</wp:posOffset>
            </wp:positionV>
            <wp:extent cx="5122800" cy="16560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47040" behindDoc="1" locked="0" layoutInCell="1" allowOverlap="1" wp14:anchorId="55299B83" wp14:editId="4B3090B5">
            <wp:simplePos x="0" y="0"/>
            <wp:positionH relativeFrom="margin">
              <wp:align>left</wp:align>
            </wp:positionH>
            <wp:positionV relativeFrom="paragraph">
              <wp:posOffset>169976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8E7728" w:rsidP="009F66B2">
      <w:pPr>
        <w:spacing w:before="120" w:after="120"/>
        <w:rPr>
          <w:noProof/>
        </w:rPr>
      </w:pPr>
      <w:r w:rsidRPr="00F0689B">
        <w:rPr>
          <w:noProof/>
          <w:lang w:eastAsia="pl-PL"/>
        </w:rPr>
        <w:drawing>
          <wp:anchor distT="0" distB="0" distL="114300" distR="114300" simplePos="0" relativeHeight="25249484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2891790</wp:posOffset>
            </wp:positionV>
            <wp:extent cx="5122545" cy="1655445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C8">
        <w:rPr>
          <w:noProof/>
          <w:lang w:eastAsia="pl-PL"/>
        </w:rPr>
        <w:drawing>
          <wp:anchor distT="0" distB="0" distL="114300" distR="114300" simplePos="0" relativeHeight="252511232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614680</wp:posOffset>
            </wp:positionV>
            <wp:extent cx="1565275" cy="2023745"/>
            <wp:effectExtent l="0" t="0" r="0" b="0"/>
            <wp:wrapTopAndBottom/>
            <wp:docPr id="199" name="Obraz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AC8">
        <w:rPr>
          <w:noProof/>
          <w:lang w:eastAsia="pl-PL"/>
        </w:rPr>
        <w:drawing>
          <wp:anchor distT="0" distB="0" distL="114300" distR="114300" simplePos="0" relativeHeight="2525102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718820</wp:posOffset>
            </wp:positionV>
            <wp:extent cx="5122800" cy="18252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3C4">
        <w:rPr>
          <w:noProof/>
          <w:lang w:eastAsia="pl-PL"/>
        </w:rPr>
        <w:drawing>
          <wp:anchor distT="0" distB="0" distL="114300" distR="114300" simplePos="0" relativeHeight="252496896" behindDoc="0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2800350</wp:posOffset>
            </wp:positionV>
            <wp:extent cx="1572895" cy="1824990"/>
            <wp:effectExtent l="0" t="0" r="8255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89B">
        <w:rPr>
          <w:noProof/>
          <w:lang w:eastAsia="pl-PL"/>
        </w:rPr>
        <w:drawing>
          <wp:anchor distT="0" distB="0" distL="114300" distR="114300" simplePos="0" relativeHeight="25249587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4925060</wp:posOffset>
            </wp:positionV>
            <wp:extent cx="5122545" cy="1655445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3C4">
        <w:rPr>
          <w:noProof/>
          <w:lang w:eastAsia="pl-PL"/>
        </w:rPr>
        <w:drawing>
          <wp:anchor distT="0" distB="0" distL="114300" distR="114300" simplePos="0" relativeHeight="252497920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4824730</wp:posOffset>
            </wp:positionV>
            <wp:extent cx="1572895" cy="1824990"/>
            <wp:effectExtent l="0" t="0" r="8255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402C8E">
        <w:rPr>
          <w:rFonts w:ascii="Fira Sans" w:hAnsi="Fira Sans"/>
          <w:spacing w:val="-4"/>
          <w:sz w:val="19"/>
          <w:szCs w:val="19"/>
        </w:rPr>
        <w:t>34,0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wobec minus </w:t>
      </w:r>
      <w:r w:rsidR="00402C8E">
        <w:rPr>
          <w:rFonts w:ascii="Fira Sans" w:hAnsi="Fira Sans"/>
          <w:spacing w:val="-4"/>
          <w:sz w:val="19"/>
          <w:szCs w:val="19"/>
        </w:rPr>
        <w:t>60,4</w:t>
      </w:r>
      <w:r w:rsidR="004924CE">
        <w:rPr>
          <w:rFonts w:ascii="Fira Sans" w:hAnsi="Fira Sans"/>
          <w:spacing w:val="-4"/>
          <w:sz w:val="19"/>
          <w:szCs w:val="19"/>
        </w:rPr>
        <w:t xml:space="preserve"> w </w:t>
      </w:r>
      <w:r w:rsidR="00402C8E">
        <w:rPr>
          <w:rFonts w:ascii="Fira Sans" w:hAnsi="Fira Sans"/>
          <w:spacing w:val="-4"/>
          <w:sz w:val="19"/>
          <w:szCs w:val="19"/>
        </w:rPr>
        <w:t>maju</w:t>
      </w:r>
      <w:r w:rsidR="004F5A7C" w:rsidRPr="00C72CB8">
        <w:rPr>
          <w:rFonts w:ascii="Fira Sans" w:hAnsi="Fira Sans"/>
          <w:spacing w:val="-4"/>
          <w:sz w:val="19"/>
          <w:szCs w:val="19"/>
        </w:rPr>
        <w:t>.</w:t>
      </w:r>
      <w:r w:rsidR="00EB5095" w:rsidRPr="00C72CB8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Podmioty </w:t>
      </w:r>
      <w:r w:rsidR="00BE33C4">
        <w:rPr>
          <w:rFonts w:ascii="Fira Sans" w:hAnsi="Fira Sans"/>
          <w:spacing w:val="-4"/>
          <w:sz w:val="19"/>
          <w:szCs w:val="19"/>
        </w:rPr>
        <w:t>prowadzące działalność w </w:t>
      </w:r>
      <w:r w:rsidR="00703B4F" w:rsidRPr="00C72CB8">
        <w:rPr>
          <w:rFonts w:ascii="Fira Sans" w:hAnsi="Fira Sans"/>
          <w:spacing w:val="-4"/>
          <w:sz w:val="19"/>
          <w:szCs w:val="19"/>
        </w:rPr>
        <w:t xml:space="preserve">zakresie zakwaterowania </w:t>
      </w:r>
      <w:r w:rsidR="00FB1066" w:rsidRPr="00C72CB8">
        <w:rPr>
          <w:rFonts w:ascii="Fira Sans" w:hAnsi="Fira Sans"/>
          <w:spacing w:val="-4"/>
          <w:sz w:val="19"/>
          <w:szCs w:val="19"/>
        </w:rPr>
        <w:t>formułują b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ardziej niekorzystne oceny koniunktury </w:t>
      </w:r>
      <w:r w:rsidR="00703B4F">
        <w:rPr>
          <w:rFonts w:ascii="Fira Sans" w:hAnsi="Fira Sans"/>
          <w:spacing w:val="-4"/>
          <w:sz w:val="19"/>
          <w:szCs w:val="19"/>
        </w:rPr>
        <w:t>(minus 37,4</w:t>
      </w:r>
      <w:r w:rsidR="0018357E">
        <w:rPr>
          <w:rFonts w:ascii="Fira Sans" w:hAnsi="Fira Sans"/>
          <w:spacing w:val="-4"/>
          <w:sz w:val="19"/>
          <w:szCs w:val="19"/>
        </w:rPr>
        <w:t xml:space="preserve">) 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niż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jednostki </w:t>
      </w:r>
      <w:r w:rsidR="00703B4F" w:rsidRPr="00C72CB8">
        <w:rPr>
          <w:rFonts w:ascii="Fira Sans" w:hAnsi="Fira Sans"/>
          <w:spacing w:val="-4"/>
          <w:sz w:val="19"/>
          <w:szCs w:val="19"/>
        </w:rPr>
        <w:t>gastronomiczne</w:t>
      </w:r>
      <w:r w:rsidR="00703B4F">
        <w:rPr>
          <w:rFonts w:ascii="Fira Sans" w:hAnsi="Fira Sans"/>
          <w:spacing w:val="-4"/>
          <w:sz w:val="19"/>
          <w:szCs w:val="19"/>
        </w:rPr>
        <w:t xml:space="preserve">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703B4F">
        <w:rPr>
          <w:rFonts w:ascii="Fira Sans" w:hAnsi="Fira Sans"/>
          <w:spacing w:val="-4"/>
          <w:sz w:val="19"/>
          <w:szCs w:val="19"/>
        </w:rPr>
        <w:t>29,5</w:t>
      </w:r>
      <w:r w:rsidR="0018357E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E427CB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7A666B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3C3DDB8A" wp14:editId="67BAF1FE">
            <wp:simplePos x="0" y="0"/>
            <wp:positionH relativeFrom="column">
              <wp:posOffset>70909</wp:posOffset>
            </wp:positionH>
            <wp:positionV relativeFrom="paragraph">
              <wp:posOffset>84148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Pr="00981685" w:rsidRDefault="00E11297" w:rsidP="00981685">
      <w:pPr>
        <w:spacing w:before="120" w:after="120"/>
        <w:ind w:left="1191" w:hanging="1191"/>
        <w:rPr>
          <w:noProof/>
        </w:rPr>
      </w:pPr>
      <w:r w:rsidRPr="00E11297">
        <w:rPr>
          <w:noProof/>
          <w:lang w:eastAsia="pl-PL"/>
        </w:rPr>
        <w:drawing>
          <wp:anchor distT="0" distB="0" distL="114300" distR="114300" simplePos="0" relativeHeight="252513280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862330</wp:posOffset>
            </wp:positionV>
            <wp:extent cx="1565275" cy="1845945"/>
            <wp:effectExtent l="0" t="0" r="0" b="0"/>
            <wp:wrapTopAndBottom/>
            <wp:docPr id="209" name="Obraz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297">
        <w:rPr>
          <w:noProof/>
          <w:lang w:eastAsia="pl-PL"/>
        </w:rPr>
        <w:drawing>
          <wp:anchor distT="0" distB="0" distL="114300" distR="114300" simplePos="0" relativeHeight="2525122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978205</wp:posOffset>
            </wp:positionV>
            <wp:extent cx="5122800" cy="1656000"/>
            <wp:effectExtent l="0" t="0" r="0" b="0"/>
            <wp:wrapTopAndBottom/>
            <wp:docPr id="208" name="Obraz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 </w:t>
      </w:r>
      <w:r w:rsidR="005F6DE7">
        <w:rPr>
          <w:rFonts w:ascii="Fira Sans" w:hAnsi="Fira Sans"/>
          <w:spacing w:val="-4"/>
          <w:sz w:val="19"/>
          <w:szCs w:val="19"/>
        </w:rPr>
        <w:t>czerwcu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AC4F7B">
        <w:rPr>
          <w:rFonts w:ascii="Fira Sans" w:hAnsi="Fira Sans"/>
          <w:spacing w:val="-4"/>
          <w:sz w:val="19"/>
          <w:szCs w:val="19"/>
        </w:rPr>
        <w:t xml:space="preserve">minus </w:t>
      </w:r>
      <w:r w:rsidR="005F6DE7">
        <w:rPr>
          <w:rFonts w:ascii="Fira Sans" w:hAnsi="Fira Sans"/>
          <w:spacing w:val="-4"/>
          <w:sz w:val="19"/>
          <w:szCs w:val="19"/>
        </w:rPr>
        <w:t>4,3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A011AB">
        <w:rPr>
          <w:rFonts w:ascii="Fira Sans" w:hAnsi="Fira Sans"/>
          <w:spacing w:val="-4"/>
          <w:sz w:val="19"/>
          <w:szCs w:val="19"/>
        </w:rPr>
        <w:t>–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>wyższym niż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5F6DE7">
        <w:rPr>
          <w:rFonts w:ascii="Fira Sans" w:hAnsi="Fira Sans"/>
          <w:spacing w:val="-4"/>
          <w:sz w:val="19"/>
          <w:szCs w:val="19"/>
        </w:rPr>
        <w:t>12,0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  <w:r w:rsidR="005B15C1">
        <w:rPr>
          <w:rFonts w:ascii="Fira Sans" w:hAnsi="Fira Sans"/>
          <w:spacing w:val="-4"/>
          <w:sz w:val="19"/>
          <w:szCs w:val="19"/>
        </w:rPr>
        <w:t xml:space="preserve">Najbardziej pesymistycznie koniunkturę oceniają jednostki </w:t>
      </w:r>
      <w:r w:rsidR="005F6DE7">
        <w:rPr>
          <w:rFonts w:ascii="Fira Sans" w:hAnsi="Fira Sans"/>
          <w:spacing w:val="-4"/>
          <w:sz w:val="19"/>
          <w:szCs w:val="19"/>
        </w:rPr>
        <w:t xml:space="preserve">zajmujące się produkcją </w:t>
      </w:r>
      <w:r w:rsidR="005F6DE7" w:rsidRPr="005F6DE7">
        <w:rPr>
          <w:rFonts w:ascii="Fira Sans" w:hAnsi="Fira Sans"/>
          <w:spacing w:val="-4"/>
          <w:sz w:val="19"/>
          <w:szCs w:val="19"/>
        </w:rPr>
        <w:t>filmów, nagrań vid</w:t>
      </w:r>
      <w:r w:rsidR="005F6DE7">
        <w:rPr>
          <w:rFonts w:ascii="Fira Sans" w:hAnsi="Fira Sans"/>
          <w:spacing w:val="-4"/>
          <w:sz w:val="19"/>
          <w:szCs w:val="19"/>
        </w:rPr>
        <w:t>eo, programów TV, nagrań dźwiękowych</w:t>
      </w:r>
      <w:r w:rsidR="005F6DE7" w:rsidRPr="005F6DE7">
        <w:rPr>
          <w:rFonts w:ascii="Fira Sans" w:hAnsi="Fira Sans"/>
          <w:spacing w:val="-4"/>
          <w:sz w:val="19"/>
          <w:szCs w:val="19"/>
        </w:rPr>
        <w:t xml:space="preserve"> i muzycz</w:t>
      </w:r>
      <w:r w:rsidR="005F6DE7">
        <w:rPr>
          <w:rFonts w:ascii="Fira Sans" w:hAnsi="Fira Sans"/>
          <w:spacing w:val="-4"/>
          <w:sz w:val="19"/>
          <w:szCs w:val="19"/>
        </w:rPr>
        <w:t>nych</w:t>
      </w:r>
      <w:r w:rsidR="005B15C1">
        <w:rPr>
          <w:rFonts w:ascii="Fira Sans" w:hAnsi="Fira Sans"/>
          <w:spacing w:val="-4"/>
          <w:sz w:val="19"/>
          <w:szCs w:val="19"/>
        </w:rPr>
        <w:t xml:space="preserve"> (minus </w:t>
      </w:r>
      <w:r w:rsidR="005F6DE7">
        <w:rPr>
          <w:rFonts w:ascii="Fira Sans" w:hAnsi="Fira Sans"/>
          <w:spacing w:val="-4"/>
          <w:sz w:val="19"/>
          <w:szCs w:val="19"/>
        </w:rPr>
        <w:t>24,2</w:t>
      </w:r>
      <w:r w:rsidR="005B15C1">
        <w:rPr>
          <w:rFonts w:ascii="Fira Sans" w:hAnsi="Fira Sans"/>
          <w:spacing w:val="-4"/>
          <w:sz w:val="19"/>
          <w:szCs w:val="19"/>
        </w:rPr>
        <w:t xml:space="preserve">), natomiast </w:t>
      </w:r>
      <w:r w:rsidR="005F6DE7">
        <w:rPr>
          <w:rFonts w:ascii="Fira Sans" w:hAnsi="Fira Sans"/>
          <w:spacing w:val="-4"/>
          <w:sz w:val="19"/>
          <w:szCs w:val="19"/>
        </w:rPr>
        <w:t xml:space="preserve">pozytywnie oceniają koniunkturę </w:t>
      </w:r>
      <w:r w:rsidR="005B15C1">
        <w:rPr>
          <w:rFonts w:ascii="Fira Sans" w:hAnsi="Fira Sans"/>
          <w:spacing w:val="-4"/>
          <w:sz w:val="19"/>
          <w:szCs w:val="19"/>
        </w:rPr>
        <w:t xml:space="preserve">zajmujący się </w:t>
      </w:r>
      <w:r w:rsidR="005B15C1" w:rsidRPr="00597A64">
        <w:rPr>
          <w:rFonts w:ascii="Fira Sans" w:hAnsi="Fira Sans"/>
          <w:spacing w:val="-4"/>
          <w:sz w:val="19"/>
          <w:szCs w:val="19"/>
        </w:rPr>
        <w:t xml:space="preserve">nadawaniem programów </w:t>
      </w:r>
      <w:r w:rsidR="0022791C">
        <w:rPr>
          <w:rFonts w:ascii="Fira Sans" w:hAnsi="Fira Sans"/>
          <w:spacing w:val="-4"/>
          <w:sz w:val="19"/>
          <w:szCs w:val="19"/>
        </w:rPr>
        <w:t>ogólnodostępnych i </w:t>
      </w:r>
      <w:r w:rsidR="005B15C1" w:rsidRPr="00332DF1">
        <w:rPr>
          <w:rFonts w:ascii="Fira Sans" w:hAnsi="Fira Sans"/>
          <w:spacing w:val="-4"/>
          <w:sz w:val="19"/>
          <w:szCs w:val="19"/>
        </w:rPr>
        <w:t>abonamentowych</w:t>
      </w:r>
      <w:r w:rsidR="005F6DE7">
        <w:rPr>
          <w:rFonts w:ascii="Fira Sans" w:hAnsi="Fira Sans"/>
          <w:spacing w:val="-4"/>
          <w:sz w:val="19"/>
          <w:szCs w:val="19"/>
        </w:rPr>
        <w:t xml:space="preserve"> (plus 12,7)</w:t>
      </w:r>
      <w:r w:rsidR="005B15C1">
        <w:rPr>
          <w:rFonts w:ascii="Fira Sans" w:hAnsi="Fira Sans"/>
          <w:spacing w:val="-4"/>
          <w:sz w:val="19"/>
          <w:szCs w:val="19"/>
        </w:rPr>
        <w:t xml:space="preserve"> </w:t>
      </w:r>
      <w:r w:rsidR="005F6DE7">
        <w:rPr>
          <w:rFonts w:ascii="Fira Sans" w:hAnsi="Fira Sans"/>
          <w:spacing w:val="-4"/>
          <w:sz w:val="19"/>
          <w:szCs w:val="19"/>
        </w:rPr>
        <w:t xml:space="preserve">oraz telekomunikacją (plus 3,5).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336AA7BD" wp14:editId="766485FD">
            <wp:simplePos x="0" y="0"/>
            <wp:positionH relativeFrom="margin">
              <wp:posOffset>19050</wp:posOffset>
            </wp:positionH>
            <wp:positionV relativeFrom="paragraph">
              <wp:posOffset>97600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RDefault="00E03912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CE17CF">
        <w:rPr>
          <w:noProof/>
          <w:lang w:eastAsia="pl-PL"/>
        </w:rPr>
        <w:drawing>
          <wp:anchor distT="0" distB="0" distL="114300" distR="114300" simplePos="0" relativeHeight="252515328" behindDoc="0" locked="0" layoutInCell="1" allowOverlap="1">
            <wp:simplePos x="0" y="0"/>
            <wp:positionH relativeFrom="column">
              <wp:posOffset>5241925</wp:posOffset>
            </wp:positionH>
            <wp:positionV relativeFrom="paragraph">
              <wp:posOffset>1123315</wp:posOffset>
            </wp:positionV>
            <wp:extent cx="1572895" cy="1824990"/>
            <wp:effectExtent l="0" t="0" r="8255" b="0"/>
            <wp:wrapTopAndBottom/>
            <wp:docPr id="219" name="Obraz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7CF" w:rsidRPr="00CE17CF">
        <w:rPr>
          <w:noProof/>
          <w:lang w:eastAsia="pl-PL"/>
        </w:rPr>
        <w:drawing>
          <wp:anchor distT="0" distB="0" distL="114300" distR="114300" simplePos="0" relativeHeight="2525143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1214475</wp:posOffset>
            </wp:positionV>
            <wp:extent cx="5122800" cy="1656000"/>
            <wp:effectExtent l="0" t="0" r="0" b="0"/>
            <wp:wrapTopAndBottom/>
            <wp:docPr id="218" name="Obraz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>Wskaźnik ogólnego klimatu koniunktury (NSA) kształtuje się</w:t>
      </w:r>
      <w:r w:rsidR="00306E04" w:rsidRPr="00306E04">
        <w:rPr>
          <w:rFonts w:ascii="Fira Sans" w:hAnsi="Fira Sans"/>
          <w:spacing w:val="-4"/>
          <w:sz w:val="19"/>
          <w:szCs w:val="19"/>
        </w:rPr>
        <w:t xml:space="preserve"> </w:t>
      </w:r>
      <w:r w:rsidR="00306E04">
        <w:rPr>
          <w:rFonts w:ascii="Fira Sans" w:hAnsi="Fira Sans"/>
          <w:spacing w:val="-4"/>
          <w:sz w:val="19"/>
          <w:szCs w:val="19"/>
        </w:rPr>
        <w:t xml:space="preserve">w </w:t>
      </w:r>
      <w:r w:rsidR="00044B16">
        <w:rPr>
          <w:rFonts w:ascii="Fira Sans" w:hAnsi="Fira Sans"/>
          <w:spacing w:val="-4"/>
          <w:sz w:val="19"/>
          <w:szCs w:val="19"/>
        </w:rPr>
        <w:t>czerwcu</w:t>
      </w:r>
      <w:r w:rsidR="001C7369">
        <w:rPr>
          <w:rFonts w:ascii="Fira Sans" w:hAnsi="Fira Sans"/>
          <w:spacing w:val="-4"/>
          <w:sz w:val="19"/>
          <w:szCs w:val="19"/>
        </w:rPr>
        <w:t xml:space="preserve"> </w:t>
      </w:r>
      <w:r w:rsidR="00641278" w:rsidRPr="00641278">
        <w:rPr>
          <w:rFonts w:ascii="Fira Sans" w:hAnsi="Fira Sans"/>
          <w:spacing w:val="-4"/>
          <w:sz w:val="19"/>
          <w:szCs w:val="19"/>
        </w:rPr>
        <w:t>na poziomie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minus </w:t>
      </w:r>
      <w:r w:rsidR="00044B16">
        <w:rPr>
          <w:rFonts w:ascii="Fira Sans" w:hAnsi="Fira Sans"/>
          <w:spacing w:val="-4"/>
          <w:sz w:val="19"/>
          <w:szCs w:val="19"/>
        </w:rPr>
        <w:t>7,9</w:t>
      </w:r>
      <w:r w:rsidR="004924CE">
        <w:rPr>
          <w:rFonts w:ascii="Fira Sans" w:hAnsi="Fira Sans"/>
          <w:spacing w:val="-4"/>
          <w:sz w:val="19"/>
          <w:szCs w:val="19"/>
        </w:rPr>
        <w:t xml:space="preserve"> – </w:t>
      </w:r>
      <w:r w:rsidR="00044B16">
        <w:rPr>
          <w:rFonts w:ascii="Fira Sans" w:hAnsi="Fira Sans"/>
          <w:spacing w:val="-4"/>
          <w:sz w:val="19"/>
          <w:szCs w:val="19"/>
        </w:rPr>
        <w:t xml:space="preserve">wyższym od </w:t>
      </w:r>
      <w:r w:rsidR="009222CB">
        <w:rPr>
          <w:rFonts w:ascii="Fira Sans" w:hAnsi="Fira Sans"/>
          <w:spacing w:val="-4"/>
          <w:sz w:val="19"/>
          <w:szCs w:val="19"/>
        </w:rPr>
        <w:t xml:space="preserve">notowanego przed miesiącem </w:t>
      </w:r>
      <w:r w:rsidR="00044B16">
        <w:rPr>
          <w:rFonts w:ascii="Fira Sans" w:hAnsi="Fira Sans"/>
          <w:spacing w:val="-4"/>
          <w:sz w:val="19"/>
          <w:szCs w:val="19"/>
        </w:rPr>
        <w:t>(minus 18,8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306E04" w:rsidRPr="00695FFB">
        <w:rPr>
          <w:rFonts w:ascii="Fira Sans" w:hAnsi="Fira Sans"/>
          <w:spacing w:val="-4"/>
          <w:sz w:val="19"/>
          <w:szCs w:val="19"/>
        </w:rPr>
        <w:t xml:space="preserve">. </w:t>
      </w:r>
      <w:r w:rsidR="009222CB" w:rsidRPr="00695FFB">
        <w:rPr>
          <w:rFonts w:ascii="Fira Sans" w:hAnsi="Fira Sans"/>
          <w:spacing w:val="-4"/>
          <w:sz w:val="19"/>
          <w:szCs w:val="19"/>
        </w:rPr>
        <w:t xml:space="preserve">Zajmujący się finansową działalnością usługową z wyłączeniem ubezpieczeń i funduszów emerytalnych formułują </w:t>
      </w:r>
      <w:r w:rsidR="00535EF6">
        <w:rPr>
          <w:rFonts w:ascii="Fira Sans" w:hAnsi="Fira Sans"/>
          <w:spacing w:val="-4"/>
          <w:sz w:val="19"/>
          <w:szCs w:val="19"/>
        </w:rPr>
        <w:t>gorsze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opinie</w:t>
      </w:r>
      <w:r w:rsidR="00555D74">
        <w:rPr>
          <w:rFonts w:ascii="Fira Sans" w:hAnsi="Fira Sans"/>
          <w:spacing w:val="-4"/>
          <w:sz w:val="19"/>
          <w:szCs w:val="19"/>
        </w:rPr>
        <w:t xml:space="preserve"> (minus </w:t>
      </w:r>
      <w:r w:rsidR="00044B16">
        <w:rPr>
          <w:rFonts w:ascii="Fira Sans" w:hAnsi="Fira Sans"/>
          <w:spacing w:val="-4"/>
          <w:sz w:val="19"/>
          <w:szCs w:val="19"/>
        </w:rPr>
        <w:t>15,9</w:t>
      </w:r>
      <w:r w:rsidR="00555D74">
        <w:rPr>
          <w:rFonts w:ascii="Fira Sans" w:hAnsi="Fira Sans"/>
          <w:spacing w:val="-4"/>
          <w:sz w:val="19"/>
          <w:szCs w:val="19"/>
        </w:rPr>
        <w:t>)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w zakresie koniunktury</w:t>
      </w:r>
      <w:r w:rsidR="009222CB">
        <w:rPr>
          <w:rFonts w:ascii="Fira Sans" w:hAnsi="Fira Sans"/>
          <w:spacing w:val="-4"/>
          <w:sz w:val="19"/>
          <w:szCs w:val="19"/>
        </w:rPr>
        <w:t xml:space="preserve"> niż jednostki</w:t>
      </w:r>
      <w:r w:rsidR="00C5302A">
        <w:rPr>
          <w:rFonts w:ascii="Fira Sans" w:hAnsi="Fira Sans"/>
          <w:spacing w:val="-4"/>
          <w:sz w:val="19"/>
          <w:szCs w:val="19"/>
        </w:rPr>
        <w:t>, których przedmiotem działania są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C5302A">
        <w:rPr>
          <w:rFonts w:ascii="Fira Sans" w:hAnsi="Fira Sans"/>
          <w:spacing w:val="-4"/>
          <w:sz w:val="19"/>
          <w:szCs w:val="19"/>
        </w:rPr>
        <w:t>u</w:t>
      </w:r>
      <w:r w:rsidR="009222CB" w:rsidRPr="009222CB">
        <w:rPr>
          <w:rFonts w:ascii="Fira Sans" w:hAnsi="Fira Sans"/>
          <w:spacing w:val="-4"/>
          <w:sz w:val="19"/>
          <w:szCs w:val="19"/>
        </w:rPr>
        <w:t>bezpieczenia, rease</w:t>
      </w:r>
      <w:r w:rsidR="004924CE">
        <w:rPr>
          <w:rFonts w:ascii="Fira Sans" w:hAnsi="Fira Sans"/>
          <w:spacing w:val="-4"/>
          <w:sz w:val="19"/>
          <w:szCs w:val="19"/>
        </w:rPr>
        <w:t>kuracja i </w:t>
      </w:r>
      <w:r w:rsidR="00C5302A">
        <w:rPr>
          <w:rFonts w:ascii="Fira Sans" w:hAnsi="Fira Sans"/>
          <w:spacing w:val="-4"/>
          <w:sz w:val="19"/>
          <w:szCs w:val="19"/>
        </w:rPr>
        <w:t>fundusze emerytalne z </w:t>
      </w:r>
      <w:r w:rsidR="009222CB" w:rsidRPr="009222CB">
        <w:rPr>
          <w:rFonts w:ascii="Fira Sans" w:hAnsi="Fira Sans"/>
          <w:spacing w:val="-4"/>
          <w:sz w:val="19"/>
          <w:szCs w:val="19"/>
        </w:rPr>
        <w:t>wyłącz</w:t>
      </w:r>
      <w:r w:rsidR="00C5302A">
        <w:rPr>
          <w:rFonts w:ascii="Fira Sans" w:hAnsi="Fira Sans"/>
          <w:spacing w:val="-4"/>
          <w:sz w:val="19"/>
          <w:szCs w:val="19"/>
        </w:rPr>
        <w:t>eniem obowiązkowego ubezpieczenia s</w:t>
      </w:r>
      <w:r w:rsidR="009222CB" w:rsidRPr="009222CB">
        <w:rPr>
          <w:rFonts w:ascii="Fira Sans" w:hAnsi="Fira Sans"/>
          <w:spacing w:val="-4"/>
          <w:sz w:val="19"/>
          <w:szCs w:val="19"/>
        </w:rPr>
        <w:t>połecz</w:t>
      </w:r>
      <w:r w:rsidR="00C5302A">
        <w:rPr>
          <w:rFonts w:ascii="Fira Sans" w:hAnsi="Fira Sans"/>
          <w:spacing w:val="-4"/>
          <w:sz w:val="19"/>
          <w:szCs w:val="19"/>
        </w:rPr>
        <w:t>n</w:t>
      </w:r>
      <w:r w:rsidR="009222CB" w:rsidRPr="009222CB">
        <w:rPr>
          <w:rFonts w:ascii="Fira Sans" w:hAnsi="Fira Sans"/>
          <w:spacing w:val="-4"/>
          <w:sz w:val="19"/>
          <w:szCs w:val="19"/>
        </w:rPr>
        <w:t>ego</w:t>
      </w:r>
      <w:r w:rsidR="00535EF6">
        <w:rPr>
          <w:rFonts w:ascii="Fira Sans" w:hAnsi="Fira Sans"/>
          <w:spacing w:val="-4"/>
          <w:sz w:val="19"/>
          <w:szCs w:val="19"/>
        </w:rPr>
        <w:t xml:space="preserve"> (plus</w:t>
      </w:r>
      <w:r w:rsidR="00555D74">
        <w:rPr>
          <w:rFonts w:ascii="Fira Sans" w:hAnsi="Fira Sans"/>
          <w:spacing w:val="-4"/>
          <w:sz w:val="19"/>
          <w:szCs w:val="19"/>
        </w:rPr>
        <w:t xml:space="preserve"> </w:t>
      </w:r>
      <w:r w:rsidR="00044B16">
        <w:rPr>
          <w:rFonts w:ascii="Fira Sans" w:hAnsi="Fira Sans"/>
          <w:spacing w:val="-4"/>
          <w:sz w:val="19"/>
          <w:szCs w:val="19"/>
        </w:rPr>
        <w:t>3,0</w:t>
      </w:r>
      <w:r w:rsidR="00555D74">
        <w:rPr>
          <w:rFonts w:ascii="Fira Sans" w:hAnsi="Fira Sans"/>
          <w:spacing w:val="-4"/>
          <w:sz w:val="19"/>
          <w:szCs w:val="19"/>
        </w:rPr>
        <w:t>)</w:t>
      </w:r>
      <w:r w:rsidR="008C6ABC" w:rsidRPr="00695FFB">
        <w:rPr>
          <w:rFonts w:ascii="Fira Sans" w:hAnsi="Fira Sans"/>
          <w:spacing w:val="-4"/>
          <w:sz w:val="19"/>
          <w:szCs w:val="19"/>
        </w:rPr>
        <w:t>.</w:t>
      </w:r>
      <w:r w:rsidR="008C6ABC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17376" behindDoc="0" locked="0" layoutInCell="1" allowOverlap="1" wp14:anchorId="6F6FD9D5" wp14:editId="3104C1D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-36,7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3,4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-27,6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-0,8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-42,2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7,6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18400" behindDoc="0" locked="0" layoutInCell="1" allowOverlap="1" wp14:anchorId="1E8DC39B" wp14:editId="3F95CB0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-27,5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-5,5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-50,1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19424" behindDoc="0" locked="0" layoutInCell="1" allowOverlap="1" wp14:anchorId="7099B9F4" wp14:editId="547FC89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-29,3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-20,6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9,5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-46,0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0448" behindDoc="0" locked="0" layoutInCell="1" allowOverlap="1" wp14:anchorId="45401C5B" wp14:editId="478CA9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-43,4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="00C40EBD" w:rsidRPr="006D7274" w:rsidTr="00535EF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-52,0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-4,0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1472" behindDoc="0" locked="0" layoutInCell="1" allowOverlap="1" wp14:anchorId="7A4C7051" wp14:editId="617DDCB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-28,3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0,7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-50,4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2496" behindDoc="0" locked="0" layoutInCell="1" allowOverlap="1" wp14:anchorId="34886983" wp14:editId="7044A00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-64,9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-60,4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-71,7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-49,0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3520" behindDoc="0" locked="0" layoutInCell="1" allowOverlap="1" wp14:anchorId="13BD0E48" wp14:editId="56D9A7D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19,4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-12,0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19,5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26,1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-33,2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12,7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4544" behindDoc="0" locked="0" layoutInCell="1" allowOverlap="1" wp14:anchorId="77099C9A" wp14:editId="46C9BF8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 w:rsidR="00CC55BA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28,6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34,3</w:t>
            </w:r>
          </w:p>
        </w:tc>
      </w:tr>
      <w:tr w:rsidR="00C40EBD" w:rsidRPr="006D7274" w:rsidTr="00535EF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C40EBD" w:rsidRPr="006D7274" w:rsidRDefault="00C40EBD" w:rsidP="00C40EB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C40EBD" w:rsidRPr="00445A7C" w:rsidRDefault="00C40EBD" w:rsidP="00C40EB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-55,6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C40EBD" w:rsidRPr="00C40EBD" w:rsidRDefault="00C40EBD" w:rsidP="00535EF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C40EBD">
              <w:rPr>
                <w:rFonts w:ascii="Fira Sans" w:hAnsi="Fira Sans" w:cs="Calibri"/>
                <w:color w:val="000000"/>
                <w:sz w:val="14"/>
                <w:szCs w:val="14"/>
              </w:rPr>
              <w:t>22,9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Default="0065786D" w:rsidP="00025D3B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:rsidR="003F106B" w:rsidRPr="00B85914" w:rsidRDefault="00B85914" w:rsidP="00025D3B">
      <w:pPr>
        <w:pStyle w:val="tytuinformacji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p w:rsidR="003F106B" w:rsidRDefault="003F106B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color w:val="auto"/>
          <w:sz w:val="19"/>
          <w:szCs w:val="1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3A76AB">
        <w:tc>
          <w:tcPr>
            <w:tcW w:w="8057" w:type="dxa"/>
            <w:tcBorders>
              <w:left w:val="single" w:sz="18" w:space="0" w:color="001D77"/>
            </w:tcBorders>
            <w:shd w:val="clear" w:color="auto" w:fill="C4CBF5"/>
          </w:tcPr>
          <w:p w:rsidR="003A76AB" w:rsidRDefault="003911BB" w:rsidP="00FB13CA">
            <w:pPr>
              <w:pStyle w:val="tytuinformacji"/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FB13CA">
              <w:rPr>
                <w:rFonts w:ascii="Fira Sans" w:hAnsi="Fira Sans"/>
                <w:noProof/>
                <w:sz w:val="19"/>
                <w:szCs w:val="19"/>
              </w:rPr>
              <w:t>czerwca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W pytaniach 1, 2</w:t>
            </w:r>
            <w:r w:rsidR="00555D74">
              <w:rPr>
                <w:rFonts w:ascii="Fira Sans" w:hAnsi="Fira Sans"/>
                <w:noProof/>
                <w:sz w:val="19"/>
                <w:szCs w:val="19"/>
              </w:rPr>
              <w:t>, 6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i 7 zaprezentowana jest struktura odpowiedzi (procent odpowiedzi respondentów na dany wariant), a w pozostałych pytaniach – średnia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42E6C" w:rsidRP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:rsidR="003C4B46" w:rsidRPr="003F106B" w:rsidRDefault="003C4B46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sz w:val="19"/>
          <w:szCs w:val="19"/>
        </w:rPr>
      </w:pPr>
    </w:p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9"/>
        <w:gridCol w:w="959"/>
        <w:gridCol w:w="909"/>
        <w:gridCol w:w="926"/>
        <w:gridCol w:w="958"/>
        <w:gridCol w:w="951"/>
        <w:gridCol w:w="951"/>
      </w:tblGrid>
      <w:tr w:rsidR="002B14D5" w:rsidRPr="0059047B" w:rsidTr="00E72376">
        <w:tc>
          <w:tcPr>
            <w:tcW w:w="2460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62C918B" wp14:editId="16D83A5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0043FCD2" wp14:editId="4B46C18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747A5B10" wp14:editId="15045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63949408" wp14:editId="55FFDA8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5370901E" wp14:editId="2055A58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10BB91E5" wp14:editId="06D8C8F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5961A1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</w:t>
            </w:r>
            <w:r w:rsidR="00FC68F9">
              <w:rPr>
                <w:rFonts w:ascii="Fira Sans" w:hAnsi="Fira Sans"/>
                <w:b/>
                <w:sz w:val="14"/>
                <w:szCs w:val="14"/>
              </w:rPr>
              <w:t>rmę działalności gospodarczej były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 (w </w:t>
            </w:r>
            <w:r w:rsidR="005961A1" w:rsidRPr="00722902">
              <w:rPr>
                <w:rFonts w:ascii="Fira Sans" w:hAnsi="Fira Sans"/>
                <w:b/>
                <w:sz w:val="14"/>
                <w:szCs w:val="14"/>
              </w:rPr>
              <w:t>maju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) i będą (w 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17D26" w:rsidRPr="0059047B" w:rsidTr="00FC68F9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41,1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47,0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47,3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32,4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29,8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8,4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43,5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35,3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39,2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49,8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35,7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9,9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11,6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7,1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15,5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51,5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6,4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</w:tr>
      <w:tr w:rsidR="00617D26" w:rsidRPr="0059047B" w:rsidTr="00FC68F9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43,2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49,4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47,7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35,9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10,9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43,7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32,3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39,4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44,9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50,4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8,1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11,1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7,2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16,9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34,3 </w:t>
            </w:r>
          </w:p>
        </w:tc>
      </w:tr>
      <w:tr w:rsidR="00617D26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7,2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5,7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427C2A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firmy? Proszę ocenić ich wpływ na d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>ziałanie Państwa firmy (wpływ w 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>maju oraz przewidywany w czerwcu)</w:t>
            </w:r>
            <w:r w:rsidR="00427C2A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17D26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51,1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62,5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52,3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52,3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50,9 </w:t>
            </w:r>
          </w:p>
        </w:tc>
      </w:tr>
      <w:tr w:rsidR="00617D26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41,1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17,9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31,6 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38,2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32,7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39,4 </w:t>
            </w:r>
          </w:p>
        </w:tc>
      </w:tr>
      <w:tr w:rsidR="00617D26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19,6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16,1 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9,7 </w:t>
            </w:r>
          </w:p>
        </w:tc>
      </w:tr>
      <w:tr w:rsidR="00617D26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52,4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62,2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51,9 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55,2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59,0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43,8 </w:t>
            </w:r>
          </w:p>
        </w:tc>
      </w:tr>
      <w:tr w:rsidR="00617D26" w:rsidRPr="0059047B" w:rsidTr="0065505C">
        <w:trPr>
          <w:trHeight w:val="259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39,3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16,8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30,6 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34,8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30,4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46,8 </w:t>
            </w:r>
          </w:p>
        </w:tc>
      </w:tr>
      <w:tr w:rsidR="00617D26" w:rsidRPr="0059047B" w:rsidTr="0065505C">
        <w:trPr>
          <w:trHeight w:val="305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8,3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21,0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17,5 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10,0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10,6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9,4 </w:t>
            </w:r>
          </w:p>
        </w:tc>
      </w:tr>
    </w:tbl>
    <w:p w:rsidR="003F106B" w:rsidRDefault="003F106B" w:rsidP="00A4707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</w:p>
    <w:p w:rsidR="003F106B" w:rsidRDefault="003F106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br w:type="page"/>
      </w:r>
    </w:p>
    <w:p w:rsidR="0059047B" w:rsidRPr="00E72376" w:rsidRDefault="00E72376" w:rsidP="000E0C86">
      <w:pPr>
        <w:spacing w:line="259" w:lineRule="auto"/>
        <w:ind w:left="851" w:hanging="851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E7237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t xml:space="preserve">Tablica 2. 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Wyniki badania dot. wpływu </w:t>
      </w:r>
      <w:r w:rsidR="003B6061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pandemii COVID-19</w:t>
      </w:r>
      <w:r w:rsidR="006A72B5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na koniunkturę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(dok.)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58"/>
        <w:gridCol w:w="908"/>
        <w:gridCol w:w="13"/>
        <w:gridCol w:w="912"/>
        <w:gridCol w:w="9"/>
        <w:gridCol w:w="955"/>
        <w:gridCol w:w="950"/>
        <w:gridCol w:w="965"/>
      </w:tblGrid>
      <w:tr w:rsidR="00823177" w:rsidRPr="0059047B" w:rsidTr="0089745C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042C8" w:rsidRPr="0059047B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45A2B693" wp14:editId="0E42EF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38DCBB00" wp14:editId="06FECC1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77E74C37" wp14:editId="7F63C1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31159885" wp14:editId="2488F42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7264" behindDoc="0" locked="0" layoutInCell="1" allowOverlap="1" wp14:anchorId="350BE4E5" wp14:editId="245905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7B3BAE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A042C8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6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8288" behindDoc="0" locked="0" layoutInCell="1" allowOverlap="1" wp14:anchorId="063F5BF1" wp14:editId="47B6EC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F106B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F106B" w:rsidRPr="00C75009" w:rsidRDefault="003F106B" w:rsidP="003A76A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F106B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F106B" w:rsidRPr="00A042C8" w:rsidRDefault="003F106B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</w:t>
            </w:r>
            <w:r w:rsidR="005961A1" w:rsidRPr="00722902">
              <w:rPr>
                <w:rFonts w:ascii="Fira Sans" w:hAnsi="Fira Sans"/>
                <w:b/>
                <w:sz w:val="14"/>
                <w:szCs w:val="14"/>
              </w:rPr>
              <w:t>ma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ju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) i obejmie (w 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722902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17D26" w:rsidRPr="0059047B" w:rsidTr="008974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15,3 </w:t>
            </w:r>
          </w:p>
        </w:tc>
        <w:tc>
          <w:tcPr>
            <w:tcW w:w="90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12,7 </w:t>
            </w:r>
          </w:p>
        </w:tc>
        <w:tc>
          <w:tcPr>
            <w:tcW w:w="925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30,4 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14,5 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18,1 </w:t>
            </w:r>
          </w:p>
        </w:tc>
        <w:tc>
          <w:tcPr>
            <w:tcW w:w="96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7,2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9,0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24,4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4,7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1,8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617D26" w:rsidRPr="0059047B" w:rsidTr="008974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11,2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10,0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25,0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14,0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7,0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6,4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6,5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21,3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2,4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1,6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A042C8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5961A1" w:rsidRPr="00722902">
              <w:rPr>
                <w:rFonts w:ascii="Fira Sans" w:hAnsi="Fira Sans"/>
                <w:b/>
                <w:sz w:val="14"/>
                <w:szCs w:val="14"/>
              </w:rPr>
              <w:t>ma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ju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Maj</w:t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 xml:space="preserve"> </w:t>
            </w: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br/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-20,9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-18,9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-15,7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-17,7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-30,5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-58,4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-15,9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-15,1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-13,9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-16,3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-26,6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-34,8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5961A1" w:rsidRPr="00722902">
              <w:rPr>
                <w:rFonts w:ascii="Fira Sans" w:hAnsi="Fira Sans"/>
                <w:b/>
                <w:sz w:val="14"/>
                <w:szCs w:val="14"/>
              </w:rPr>
              <w:t>maju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) i będzie (w 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Maj</w:t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 xml:space="preserve"> </w:t>
            </w: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br/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-21,3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-20,6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-16,2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-17,0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-30,4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-60,3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-17,5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-16,9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-14,1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-18,3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-24,9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-35,9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66127C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6C6061" w:rsidRPr="006C6061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6,7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22,4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26,8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48,6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22,5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18,9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25,7 </w:t>
            </w:r>
          </w:p>
        </w:tc>
      </w:tr>
      <w:tr w:rsidR="00617D26" w:rsidRPr="0059047B" w:rsidTr="0089745C">
        <w:tc>
          <w:tcPr>
            <w:tcW w:w="851" w:type="dxa"/>
            <w:tcBorders>
              <w:top w:val="single" w:sz="4" w:space="0" w:color="FFFFFF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46,6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36,8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49,0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42,5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44,7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16,2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rPr>
          <w:trHeight w:val="366"/>
        </w:trPr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89745C">
            <w:pPr>
              <w:spacing w:before="60" w:after="6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 xml:space="preserve">Czy Państwa firma doświadczyła (w </w:t>
            </w:r>
            <w:r w:rsidR="005961A1" w:rsidRPr="00722902">
              <w:rPr>
                <w:rFonts w:ascii="Fira Sans" w:hAnsi="Fira Sans"/>
                <w:b/>
                <w:sz w:val="14"/>
                <w:szCs w:val="14"/>
              </w:rPr>
              <w:t>maju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 xml:space="preserve">) i oczekuje (w </w:t>
            </w:r>
            <w:r w:rsidR="005961A1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 w:rsidR="005262C3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617D26" w:rsidRPr="0059047B" w:rsidTr="008974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E7443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45,6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38,5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27,7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22,0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16,4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29,1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38,9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10,7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20,6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25,5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22,7 </w:t>
            </w:r>
          </w:p>
        </w:tc>
      </w:tr>
      <w:tr w:rsidR="00617D26" w:rsidRPr="0059047B" w:rsidTr="008974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24,5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22,5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42,5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2,0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</w:tr>
      <w:tr w:rsidR="00617D26" w:rsidRPr="0059047B" w:rsidTr="008974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617D26" w:rsidRPr="003F106B" w:rsidRDefault="00617D26" w:rsidP="00617D2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3F106B" w:rsidRDefault="00617D26" w:rsidP="00617D2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21,3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33,6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27,0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617D26" w:rsidRPr="00E74430" w:rsidRDefault="00617D26" w:rsidP="00617D2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E74430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23,7 </w:t>
            </w:r>
          </w:p>
        </w:tc>
      </w:tr>
    </w:tbl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49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4F94A901" wp14:editId="1524737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326D74FE" wp14:editId="2C2DFDE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7B735C23" wp14:editId="13A2B24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9D7E71" wp14:editId="2C08A78B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C09C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1047F3" wp14:editId="02A527EC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A2689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14F938C4" wp14:editId="38037B3E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789BC14D" wp14:editId="0A53A7A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6527A52" wp14:editId="652B636B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9DE" w:rsidRPr="00123319" w:rsidRDefault="005259DE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7A52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5259DE" w:rsidRPr="00123319" w:rsidRDefault="005259DE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91F296" wp14:editId="161441D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9DE" w:rsidRDefault="005259DE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5259DE" w:rsidRPr="00C75CAD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5259DE" w:rsidRPr="004C7599" w:rsidRDefault="006D4C4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5259DE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5259DE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5259DE" w:rsidRPr="002E71B6" w:rsidRDefault="005259DE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5259DE" w:rsidRPr="00C75CAD" w:rsidRDefault="006D4C4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5259DE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5259DE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5259DE" w:rsidRPr="00805B46" w:rsidRDefault="006D4C4E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5259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5259DE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259DE" w:rsidRPr="00C75CAD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5259DE" w:rsidRPr="00805B46" w:rsidRDefault="006D4C4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5259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5259DE" w:rsidRPr="00805B46" w:rsidRDefault="006D4C4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5259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5259DE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259DE" w:rsidRPr="00C75CAD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5259DE" w:rsidRPr="00C75CAD" w:rsidRDefault="006D4C4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5259DE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5259DE" w:rsidRPr="00505A92" w:rsidRDefault="005259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F296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5259DE" w:rsidRDefault="005259DE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5259DE" w:rsidRPr="00C75CAD" w:rsidRDefault="005259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5259DE" w:rsidRPr="004C7599" w:rsidRDefault="005259DE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5259DE" w:rsidRPr="002E71B6" w:rsidRDefault="005259DE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5259DE" w:rsidRPr="00C75CAD" w:rsidRDefault="005259DE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5259DE" w:rsidRPr="00805B46" w:rsidRDefault="005259DE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5259DE" w:rsidRDefault="005259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259DE" w:rsidRPr="00C75CAD" w:rsidRDefault="005259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5259DE" w:rsidRPr="00805B46" w:rsidRDefault="005259DE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5259DE" w:rsidRPr="00805B46" w:rsidRDefault="005259DE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5259DE" w:rsidRDefault="005259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5259DE" w:rsidRPr="00C75CAD" w:rsidRDefault="005259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5259DE" w:rsidRPr="00C75CAD" w:rsidRDefault="005259DE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5259DE" w:rsidRPr="00505A92" w:rsidRDefault="005259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4E" w:rsidRDefault="006D4C4E" w:rsidP="000662E2">
      <w:pPr>
        <w:spacing w:after="0" w:line="240" w:lineRule="auto"/>
      </w:pPr>
      <w:r>
        <w:separator/>
      </w:r>
    </w:p>
  </w:endnote>
  <w:endnote w:type="continuationSeparator" w:id="0">
    <w:p w:rsidR="006D4C4E" w:rsidRDefault="006D4C4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5259DE" w:rsidRPr="00B7359B" w:rsidRDefault="005259DE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845FCA">
          <w:rPr>
            <w:rFonts w:ascii="Fira Sans" w:hAnsi="Fira Sans"/>
            <w:noProof/>
            <w:sz w:val="19"/>
            <w:szCs w:val="19"/>
          </w:rPr>
          <w:t>4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5259DE" w:rsidRPr="002B1A65" w:rsidRDefault="005259DE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845FCA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4E" w:rsidRDefault="006D4C4E" w:rsidP="000662E2">
      <w:pPr>
        <w:spacing w:after="0" w:line="240" w:lineRule="auto"/>
      </w:pPr>
      <w:r>
        <w:separator/>
      </w:r>
    </w:p>
  </w:footnote>
  <w:footnote w:type="continuationSeparator" w:id="0">
    <w:p w:rsidR="006D4C4E" w:rsidRDefault="006D4C4E" w:rsidP="000662E2">
      <w:pPr>
        <w:spacing w:after="0" w:line="240" w:lineRule="auto"/>
      </w:pPr>
      <w:r>
        <w:continuationSeparator/>
      </w:r>
    </w:p>
  </w:footnote>
  <w:footnote w:id="1">
    <w:p w:rsidR="005259DE" w:rsidRDefault="005259DE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5259DE" w:rsidRDefault="005259DE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DE" w:rsidRDefault="00525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8DF7D3" wp14:editId="5F69153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01D7F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5259DE" w:rsidRDefault="00525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DE" w:rsidRDefault="005259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FEEB1" wp14:editId="4454E4F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259DE" w:rsidRPr="000201D2" w:rsidRDefault="005259DE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FEEB1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259DE" w:rsidRPr="000201D2" w:rsidRDefault="005259DE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E11B26" wp14:editId="61DB297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128B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FD39274" wp14:editId="62A63126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59DE" w:rsidRDefault="005259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CB863CF" wp14:editId="68D9D057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9DE" w:rsidRPr="000201D2" w:rsidRDefault="00525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22.06.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863C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5259DE" w:rsidRPr="000201D2" w:rsidRDefault="00525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22.06.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DE" w:rsidRDefault="005259DE">
    <w:pPr>
      <w:pStyle w:val="Nagwek"/>
    </w:pPr>
  </w:p>
  <w:p w:rsidR="005259DE" w:rsidRDefault="00525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2730"/>
    <w:rsid w:val="000259F3"/>
    <w:rsid w:val="00025D3B"/>
    <w:rsid w:val="00030CCA"/>
    <w:rsid w:val="000332B3"/>
    <w:rsid w:val="00034B19"/>
    <w:rsid w:val="000366E9"/>
    <w:rsid w:val="00044B16"/>
    <w:rsid w:val="0004582E"/>
    <w:rsid w:val="0004594F"/>
    <w:rsid w:val="00046634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B0727"/>
    <w:rsid w:val="000B1421"/>
    <w:rsid w:val="000B23C8"/>
    <w:rsid w:val="000B24BC"/>
    <w:rsid w:val="000B3DCA"/>
    <w:rsid w:val="000C135D"/>
    <w:rsid w:val="000C1AE2"/>
    <w:rsid w:val="000C362F"/>
    <w:rsid w:val="000C411C"/>
    <w:rsid w:val="000C5ECF"/>
    <w:rsid w:val="000D1D43"/>
    <w:rsid w:val="000D225C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C3"/>
    <w:rsid w:val="00101BB6"/>
    <w:rsid w:val="001027F5"/>
    <w:rsid w:val="00103062"/>
    <w:rsid w:val="00104377"/>
    <w:rsid w:val="001060F7"/>
    <w:rsid w:val="00110D87"/>
    <w:rsid w:val="00110DEB"/>
    <w:rsid w:val="00112E06"/>
    <w:rsid w:val="001138F0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62A6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C0AF0"/>
    <w:rsid w:val="001C2255"/>
    <w:rsid w:val="001C3269"/>
    <w:rsid w:val="001C7369"/>
    <w:rsid w:val="001D1DB4"/>
    <w:rsid w:val="001D3DDB"/>
    <w:rsid w:val="001D5205"/>
    <w:rsid w:val="001D5947"/>
    <w:rsid w:val="001D7C43"/>
    <w:rsid w:val="001E14AC"/>
    <w:rsid w:val="001E155C"/>
    <w:rsid w:val="001E196E"/>
    <w:rsid w:val="001E2990"/>
    <w:rsid w:val="001E2D5D"/>
    <w:rsid w:val="001E668B"/>
    <w:rsid w:val="001F0737"/>
    <w:rsid w:val="001F0BBC"/>
    <w:rsid w:val="001F0E57"/>
    <w:rsid w:val="001F135A"/>
    <w:rsid w:val="001F1BE1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6F8B"/>
    <w:rsid w:val="00273293"/>
    <w:rsid w:val="00276811"/>
    <w:rsid w:val="0027719C"/>
    <w:rsid w:val="00280F42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E1391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3029A"/>
    <w:rsid w:val="003313BA"/>
    <w:rsid w:val="00332320"/>
    <w:rsid w:val="00332DF1"/>
    <w:rsid w:val="00335366"/>
    <w:rsid w:val="00335A91"/>
    <w:rsid w:val="003407E4"/>
    <w:rsid w:val="00346D76"/>
    <w:rsid w:val="0034734A"/>
    <w:rsid w:val="00347662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106B"/>
    <w:rsid w:val="003F2706"/>
    <w:rsid w:val="003F2D95"/>
    <w:rsid w:val="003F3DA7"/>
    <w:rsid w:val="003F484C"/>
    <w:rsid w:val="003F4C97"/>
    <w:rsid w:val="003F6351"/>
    <w:rsid w:val="003F7FE6"/>
    <w:rsid w:val="004002B7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4346"/>
    <w:rsid w:val="004546ED"/>
    <w:rsid w:val="00454A5C"/>
    <w:rsid w:val="004553E8"/>
    <w:rsid w:val="00457611"/>
    <w:rsid w:val="00461C43"/>
    <w:rsid w:val="00461CA9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8008C"/>
    <w:rsid w:val="00482BBE"/>
    <w:rsid w:val="00482FAD"/>
    <w:rsid w:val="004853D3"/>
    <w:rsid w:val="0048583B"/>
    <w:rsid w:val="00486577"/>
    <w:rsid w:val="004924CE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11BFC"/>
    <w:rsid w:val="00512936"/>
    <w:rsid w:val="00516E41"/>
    <w:rsid w:val="005203F1"/>
    <w:rsid w:val="00521BC3"/>
    <w:rsid w:val="00524279"/>
    <w:rsid w:val="005259DE"/>
    <w:rsid w:val="005262C3"/>
    <w:rsid w:val="00526B0F"/>
    <w:rsid w:val="00527E03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2D3D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7115"/>
    <w:rsid w:val="00597A64"/>
    <w:rsid w:val="00597F1D"/>
    <w:rsid w:val="005A1C1A"/>
    <w:rsid w:val="005A698C"/>
    <w:rsid w:val="005A6F50"/>
    <w:rsid w:val="005A76BC"/>
    <w:rsid w:val="005B11DA"/>
    <w:rsid w:val="005B15C1"/>
    <w:rsid w:val="005B2433"/>
    <w:rsid w:val="005B44E2"/>
    <w:rsid w:val="005B5280"/>
    <w:rsid w:val="005C4F00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41E2"/>
    <w:rsid w:val="006A72B5"/>
    <w:rsid w:val="006B05FA"/>
    <w:rsid w:val="006B0BA2"/>
    <w:rsid w:val="006B0E9E"/>
    <w:rsid w:val="006B2D75"/>
    <w:rsid w:val="006B3239"/>
    <w:rsid w:val="006B3857"/>
    <w:rsid w:val="006B4C0C"/>
    <w:rsid w:val="006B5AE4"/>
    <w:rsid w:val="006C6061"/>
    <w:rsid w:val="006D2E9E"/>
    <w:rsid w:val="006D4054"/>
    <w:rsid w:val="006D4318"/>
    <w:rsid w:val="006D4C4E"/>
    <w:rsid w:val="006D6347"/>
    <w:rsid w:val="006D7274"/>
    <w:rsid w:val="006E02EC"/>
    <w:rsid w:val="006E1123"/>
    <w:rsid w:val="006E4BB4"/>
    <w:rsid w:val="006E7789"/>
    <w:rsid w:val="006F43EB"/>
    <w:rsid w:val="006F57E5"/>
    <w:rsid w:val="006F654C"/>
    <w:rsid w:val="00702737"/>
    <w:rsid w:val="00703B4F"/>
    <w:rsid w:val="00706806"/>
    <w:rsid w:val="00711297"/>
    <w:rsid w:val="00711571"/>
    <w:rsid w:val="00714F50"/>
    <w:rsid w:val="00715B9D"/>
    <w:rsid w:val="007205CE"/>
    <w:rsid w:val="007211B1"/>
    <w:rsid w:val="0072164A"/>
    <w:rsid w:val="00722902"/>
    <w:rsid w:val="00726B70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4106"/>
    <w:rsid w:val="00754C63"/>
    <w:rsid w:val="00760E3A"/>
    <w:rsid w:val="0076158A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12DFA"/>
    <w:rsid w:val="00815179"/>
    <w:rsid w:val="00821DAE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FCA"/>
    <w:rsid w:val="008468C4"/>
    <w:rsid w:val="00846BFF"/>
    <w:rsid w:val="00847F0F"/>
    <w:rsid w:val="0085032D"/>
    <w:rsid w:val="00852448"/>
    <w:rsid w:val="00854097"/>
    <w:rsid w:val="00854334"/>
    <w:rsid w:val="008672E8"/>
    <w:rsid w:val="0087165C"/>
    <w:rsid w:val="00871AEC"/>
    <w:rsid w:val="00872B57"/>
    <w:rsid w:val="00874690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745C"/>
    <w:rsid w:val="008A076C"/>
    <w:rsid w:val="008A26D9"/>
    <w:rsid w:val="008A6057"/>
    <w:rsid w:val="008A781A"/>
    <w:rsid w:val="008B1EC9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7D43"/>
    <w:rsid w:val="009205C5"/>
    <w:rsid w:val="00920B7D"/>
    <w:rsid w:val="009222CB"/>
    <w:rsid w:val="009227A6"/>
    <w:rsid w:val="0092366F"/>
    <w:rsid w:val="009269E1"/>
    <w:rsid w:val="00926CD9"/>
    <w:rsid w:val="0092753D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7649"/>
    <w:rsid w:val="00967F99"/>
    <w:rsid w:val="009705EE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B068E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22C5"/>
    <w:rsid w:val="00A44AB4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2781"/>
    <w:rsid w:val="00AF4F89"/>
    <w:rsid w:val="00AF6380"/>
    <w:rsid w:val="00B0713B"/>
    <w:rsid w:val="00B14952"/>
    <w:rsid w:val="00B20762"/>
    <w:rsid w:val="00B21AC8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7359B"/>
    <w:rsid w:val="00B76EA1"/>
    <w:rsid w:val="00B85914"/>
    <w:rsid w:val="00B86633"/>
    <w:rsid w:val="00B8712B"/>
    <w:rsid w:val="00B879D2"/>
    <w:rsid w:val="00B9073E"/>
    <w:rsid w:val="00B914E9"/>
    <w:rsid w:val="00B956EE"/>
    <w:rsid w:val="00BA0245"/>
    <w:rsid w:val="00BA0597"/>
    <w:rsid w:val="00BA2BA1"/>
    <w:rsid w:val="00BA437D"/>
    <w:rsid w:val="00BA6311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28"/>
    <w:rsid w:val="00BE6E57"/>
    <w:rsid w:val="00BE6F0A"/>
    <w:rsid w:val="00BE6F1B"/>
    <w:rsid w:val="00BF1A32"/>
    <w:rsid w:val="00BF21DD"/>
    <w:rsid w:val="00BF51AD"/>
    <w:rsid w:val="00C030DE"/>
    <w:rsid w:val="00C04116"/>
    <w:rsid w:val="00C06507"/>
    <w:rsid w:val="00C078DC"/>
    <w:rsid w:val="00C10316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318C"/>
    <w:rsid w:val="00C85214"/>
    <w:rsid w:val="00C91687"/>
    <w:rsid w:val="00C924A8"/>
    <w:rsid w:val="00C93EB3"/>
    <w:rsid w:val="00C945FE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2975"/>
    <w:rsid w:val="00D23A75"/>
    <w:rsid w:val="00D261A2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4A4"/>
    <w:rsid w:val="00DD6C42"/>
    <w:rsid w:val="00DE035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7B2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61B7"/>
    <w:rsid w:val="00E914B3"/>
    <w:rsid w:val="00E95166"/>
    <w:rsid w:val="00E95726"/>
    <w:rsid w:val="00EA0278"/>
    <w:rsid w:val="00EA0D97"/>
    <w:rsid w:val="00EA1D9A"/>
    <w:rsid w:val="00EA45BA"/>
    <w:rsid w:val="00EA56C9"/>
    <w:rsid w:val="00EA7B99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4E63"/>
    <w:rsid w:val="00ED55C0"/>
    <w:rsid w:val="00ED682B"/>
    <w:rsid w:val="00ED6FDF"/>
    <w:rsid w:val="00ED7F3A"/>
    <w:rsid w:val="00EE096A"/>
    <w:rsid w:val="00EE0F10"/>
    <w:rsid w:val="00EE4180"/>
    <w:rsid w:val="00EE41D5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2C79"/>
    <w:rsid w:val="00F2342A"/>
    <w:rsid w:val="00F27C8F"/>
    <w:rsid w:val="00F32749"/>
    <w:rsid w:val="00F37172"/>
    <w:rsid w:val="00F37483"/>
    <w:rsid w:val="00F37D5F"/>
    <w:rsid w:val="00F4061B"/>
    <w:rsid w:val="00F43795"/>
    <w:rsid w:val="00F4477E"/>
    <w:rsid w:val="00F50BA2"/>
    <w:rsid w:val="00F601A3"/>
    <w:rsid w:val="00F67D8F"/>
    <w:rsid w:val="00F70A4C"/>
    <w:rsid w:val="00F71749"/>
    <w:rsid w:val="00F82A0F"/>
    <w:rsid w:val="00F83CA3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50D1"/>
    <w:rsid w:val="00FC58C4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20B1-5386-46DF-BE31-111E75D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Gaca Olga</cp:lastModifiedBy>
  <cp:revision>8</cp:revision>
  <cp:lastPrinted>2020-04-08T12:33:00Z</cp:lastPrinted>
  <dcterms:created xsi:type="dcterms:W3CDTF">2020-06-17T10:51:00Z</dcterms:created>
  <dcterms:modified xsi:type="dcterms:W3CDTF">2020-06-22T08:42:00Z</dcterms:modified>
</cp:coreProperties>
</file>