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6842EC">
        <w:rPr>
          <w:rFonts w:cs="Arial"/>
          <w:spacing w:val="-2"/>
          <w:szCs w:val="40"/>
        </w:rPr>
        <w:t>styczniu</w:t>
      </w:r>
      <w:r w:rsidR="00472CCE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4774" w:rsidRPr="00264774" w:rsidRDefault="00F97850" w:rsidP="00264774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B630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B630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FF54D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w porównaniu </w:t>
                            </w:r>
                            <w:r w:rsidR="00B8772D">
                              <w:br/>
                            </w:r>
                            <w:r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B630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B630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FF54D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w porównaniu </w:t>
                      </w:r>
                      <w:r w:rsidR="00B8772D">
                        <w:br/>
                      </w:r>
                      <w:r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7A6B23">
        <w:rPr>
          <w:rStyle w:val="Odwoanieprzypisudolnego"/>
          <w:rFonts w:cs="Arial"/>
          <w:szCs w:val="24"/>
        </w:rPr>
        <w:footnoteReference w:id="2"/>
      </w:r>
      <w:r w:rsidR="003C2CAA" w:rsidRPr="009815A2">
        <w:rPr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6E101D">
        <w:t>styczniu</w:t>
      </w:r>
      <w:r w:rsidR="009C719E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6E101D">
        <w:t>3</w:t>
      </w:r>
      <w:r w:rsidR="00C62998" w:rsidRPr="009815A2">
        <w:t>,</w:t>
      </w:r>
      <w:r w:rsidR="006E101D">
        <w:t>4</w:t>
      </w:r>
      <w:r w:rsidR="00C62998" w:rsidRPr="009815A2">
        <w:t>% (wobec wzrostu o</w:t>
      </w:r>
      <w:r w:rsidR="00511F40" w:rsidRPr="009815A2">
        <w:t> </w:t>
      </w:r>
      <w:r w:rsidR="006E101D">
        <w:t>6</w:t>
      </w:r>
      <w:r w:rsidR="00C62998" w:rsidRPr="009815A2">
        <w:t>,</w:t>
      </w:r>
      <w:r w:rsidR="006E101D">
        <w:t>1</w:t>
      </w:r>
      <w:r w:rsidR="00C62998" w:rsidRPr="009815A2">
        <w:t>% w</w:t>
      </w:r>
      <w:r w:rsidR="002E533B">
        <w:t xml:space="preserve"> </w:t>
      </w:r>
      <w:r w:rsidR="006E101D">
        <w:t>styczniu</w:t>
      </w:r>
      <w:r w:rsidR="00BF488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A83D76">
        <w:rPr>
          <w:rFonts w:cs="Arial"/>
          <w:szCs w:val="24"/>
        </w:rPr>
        <w:t>grudniem</w:t>
      </w:r>
      <w:r w:rsidR="009C719E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spadek</w:t>
      </w:r>
      <w:r w:rsidR="009C719E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A83D76">
        <w:rPr>
          <w:rFonts w:cs="Arial"/>
          <w:spacing w:val="-10"/>
          <w:szCs w:val="24"/>
        </w:rPr>
        <w:t>20</w:t>
      </w:r>
      <w:r w:rsidR="00017FFE" w:rsidRPr="009815A2">
        <w:rPr>
          <w:rFonts w:cs="Arial"/>
          <w:spacing w:val="-10"/>
          <w:szCs w:val="24"/>
        </w:rPr>
        <w:t>,</w:t>
      </w:r>
      <w:r w:rsidR="00A83D76">
        <w:rPr>
          <w:rFonts w:cs="Arial"/>
          <w:spacing w:val="-10"/>
          <w:szCs w:val="24"/>
        </w:rPr>
        <w:t>6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EA2B44" w:rsidRDefault="00EA2B44" w:rsidP="00074DD8">
      <w:pPr>
        <w:pStyle w:val="Nagwek1"/>
      </w:pPr>
    </w:p>
    <w:p w:rsidR="00F90B1C" w:rsidRDefault="00F90B1C" w:rsidP="00F90B1C">
      <w:pPr>
        <w:rPr>
          <w:lang w:eastAsia="pl-PL"/>
        </w:rPr>
      </w:pPr>
    </w:p>
    <w:p w:rsidR="00F90B1C" w:rsidRPr="00F90B1C" w:rsidRDefault="00F90B1C" w:rsidP="00F90B1C">
      <w:pPr>
        <w:rPr>
          <w:lang w:eastAsia="pl-PL"/>
        </w:rPr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163830</wp:posOffset>
                </wp:positionV>
                <wp:extent cx="1781175" cy="1273175"/>
                <wp:effectExtent l="0" t="0" r="0" b="3175"/>
                <wp:wrapTight wrapText="bothSides">
                  <wp:wrapPolygon edited="0">
                    <wp:start x="693" y="0"/>
                    <wp:lineTo x="693" y="21331"/>
                    <wp:lineTo x="20791" y="21331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7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styczniu</w:t>
                            </w:r>
                            <w:r w:rsidR="00863A9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D6FD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9B5F0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E7AB9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 czego 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</w:t>
                            </w:r>
                            <w:r w:rsidR="007E0E92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yższy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grupie „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tekstylia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odzież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obuwie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8" type="#_x0000_t202" style="position:absolute;margin-left:449.05pt;margin-top:12.9pt;width:140.25pt;height:10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styczniu</w:t>
                      </w:r>
                      <w:r w:rsidR="00863A9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D6FD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9B5F0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E7AB9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 czego 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</w:t>
                      </w:r>
                      <w:r w:rsidR="007E0E92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yższy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grupie „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tekstylia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odzież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obuwie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”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D40147" w:rsidRPr="00D33427" w:rsidRDefault="00E80C30" w:rsidP="00F05462">
      <w:pPr>
        <w:spacing w:before="0" w:after="0"/>
        <w:rPr>
          <w:rFonts w:cs="Arial"/>
        </w:rPr>
      </w:pPr>
      <w:r w:rsidRPr="00D33427">
        <w:rPr>
          <w:rFonts w:cs="Arial"/>
        </w:rPr>
        <w:t>Wśród grup o znaczącym udziale w sprzedaży detalicznej „ogółem</w:t>
      </w:r>
      <w:r w:rsidR="00E00E46" w:rsidRPr="00D33427">
        <w:rPr>
          <w:rFonts w:cs="Arial"/>
        </w:rPr>
        <w:t>”</w:t>
      </w:r>
      <w:r w:rsidR="00C20E37" w:rsidRPr="00D33427">
        <w:rPr>
          <w:rFonts w:cs="Arial"/>
        </w:rPr>
        <w:t xml:space="preserve"> </w:t>
      </w:r>
      <w:r w:rsidR="004C2C0C" w:rsidRPr="00D33427">
        <w:rPr>
          <w:rFonts w:cs="Arial"/>
        </w:rPr>
        <w:t xml:space="preserve">wzrost </w:t>
      </w:r>
      <w:r w:rsidRPr="00D33427">
        <w:rPr>
          <w:rFonts w:cs="Arial"/>
        </w:rPr>
        <w:t>w</w:t>
      </w:r>
      <w:r w:rsidR="006C74EF" w:rsidRPr="00D33427">
        <w:rPr>
          <w:rFonts w:cs="Arial"/>
        </w:rPr>
        <w:t xml:space="preserve"> </w:t>
      </w:r>
      <w:r w:rsidR="00F35B41">
        <w:rPr>
          <w:rFonts w:cs="Arial"/>
        </w:rPr>
        <w:t xml:space="preserve">styczniu </w:t>
      </w:r>
      <w:r w:rsidRPr="00D33427">
        <w:t>20</w:t>
      </w:r>
      <w:r w:rsidR="00F35B41">
        <w:t>20</w:t>
      </w:r>
      <w:r w:rsidR="00A44540" w:rsidRPr="00D33427">
        <w:t xml:space="preserve"> </w:t>
      </w:r>
      <w:r w:rsidRPr="00D33427">
        <w:t>r</w:t>
      </w:r>
      <w:r w:rsidRPr="00D33427">
        <w:rPr>
          <w:rFonts w:cs="Arial"/>
        </w:rPr>
        <w:t xml:space="preserve">. w porównaniu z analogicznym okresem </w:t>
      </w:r>
      <w:r w:rsidR="0028585A" w:rsidRPr="00D33427">
        <w:rPr>
          <w:rFonts w:cs="Arial"/>
        </w:rPr>
        <w:t>201</w:t>
      </w:r>
      <w:r w:rsidR="00F35B41">
        <w:rPr>
          <w:rFonts w:cs="Arial"/>
        </w:rPr>
        <w:t>9</w:t>
      </w:r>
      <w:r w:rsidRPr="00D33427">
        <w:rPr>
          <w:rFonts w:cs="Arial"/>
        </w:rPr>
        <w:t xml:space="preserve"> r</w:t>
      </w:r>
      <w:r w:rsidR="00D04158" w:rsidRPr="00D33427">
        <w:rPr>
          <w:rFonts w:cs="Arial"/>
        </w:rPr>
        <w:t>.</w:t>
      </w:r>
      <w:r w:rsidR="0008767F" w:rsidRPr="00D33427">
        <w:rPr>
          <w:rFonts w:cs="Arial"/>
        </w:rPr>
        <w:t xml:space="preserve"> (w cenach stałych)</w:t>
      </w:r>
      <w:r w:rsidRPr="00D33427">
        <w:rPr>
          <w:rFonts w:cs="Arial"/>
        </w:rPr>
        <w:t xml:space="preserve"> zaobse</w:t>
      </w:r>
      <w:r w:rsidR="00C20A42" w:rsidRPr="00D33427">
        <w:rPr>
          <w:rFonts w:cs="Arial"/>
        </w:rPr>
        <w:t>rwowano</w:t>
      </w:r>
      <w:r w:rsidR="00B20CA9" w:rsidRPr="00D33427">
        <w:rPr>
          <w:rFonts w:cs="Arial"/>
        </w:rPr>
        <w:t xml:space="preserve"> </w:t>
      </w:r>
      <w:r w:rsidR="00262DA0" w:rsidRPr="00D33427">
        <w:rPr>
          <w:rFonts w:cs="Arial"/>
        </w:rPr>
        <w:t>w</w:t>
      </w:r>
      <w:r w:rsidR="00B20CA9" w:rsidRPr="00D33427">
        <w:rPr>
          <w:rFonts w:cs="Arial"/>
        </w:rPr>
        <w:t xml:space="preserve"> </w:t>
      </w:r>
      <w:r w:rsidR="003434AE" w:rsidRPr="00D33427">
        <w:rPr>
          <w:rFonts w:cs="Arial"/>
        </w:rPr>
        <w:t>przedsiębiorstwach</w:t>
      </w:r>
      <w:r w:rsidR="00185DC0" w:rsidRPr="00D33427">
        <w:rPr>
          <w:rFonts w:cs="Arial"/>
        </w:rPr>
        <w:t xml:space="preserve"> </w:t>
      </w:r>
      <w:r w:rsidR="00F35B41">
        <w:rPr>
          <w:rFonts w:cs="Arial"/>
        </w:rPr>
        <w:t>handlujących pojazdami samochodowymi, motocyklami, częściami (o 3,5%</w:t>
      </w:r>
      <w:r w:rsidR="00386DE4">
        <w:rPr>
          <w:rFonts w:cs="Arial"/>
        </w:rPr>
        <w:t xml:space="preserve"> wobec wzrostu</w:t>
      </w:r>
      <w:r w:rsidR="00B73169" w:rsidRPr="00B73169">
        <w:rPr>
          <w:rFonts w:cs="Arial"/>
        </w:rPr>
        <w:t xml:space="preserve"> </w:t>
      </w:r>
      <w:r w:rsidR="00B73169">
        <w:rPr>
          <w:rFonts w:cs="Arial"/>
        </w:rPr>
        <w:t>o 5,9%</w:t>
      </w:r>
      <w:r w:rsidR="00386DE4">
        <w:rPr>
          <w:rFonts w:cs="Arial"/>
        </w:rPr>
        <w:t xml:space="preserve"> przed rokiem </w:t>
      </w:r>
      <w:r w:rsidR="00B73169">
        <w:rPr>
          <w:rFonts w:cs="Arial"/>
        </w:rPr>
        <w:t xml:space="preserve">) </w:t>
      </w:r>
      <w:r w:rsidR="00821E99">
        <w:rPr>
          <w:rFonts w:cs="Arial"/>
        </w:rPr>
        <w:t xml:space="preserve">oraz </w:t>
      </w:r>
      <w:r w:rsidR="003040CB">
        <w:rPr>
          <w:rFonts w:cs="Arial"/>
        </w:rPr>
        <w:t xml:space="preserve">w </w:t>
      </w:r>
      <w:r w:rsidR="00821E99">
        <w:rPr>
          <w:rFonts w:cs="Arial"/>
        </w:rPr>
        <w:t>jednostkach sprzedających paliwa stałe, ciekłe i gazowe (o 2,5%</w:t>
      </w:r>
      <w:r w:rsidR="009E50B9">
        <w:rPr>
          <w:rFonts w:cs="Arial"/>
        </w:rPr>
        <w:t xml:space="preserve"> wobec wzrostu </w:t>
      </w:r>
      <w:r w:rsidR="00433150">
        <w:rPr>
          <w:rFonts w:cs="Arial"/>
        </w:rPr>
        <w:t xml:space="preserve">o 4,5% </w:t>
      </w:r>
      <w:r w:rsidR="009E50B9">
        <w:rPr>
          <w:rFonts w:cs="Arial"/>
        </w:rPr>
        <w:t>przed rokiem</w:t>
      </w:r>
      <w:r w:rsidR="00821E99">
        <w:rPr>
          <w:rFonts w:cs="Arial"/>
        </w:rPr>
        <w:t>).</w:t>
      </w:r>
      <w:r w:rsidR="00550FAF" w:rsidRPr="00D33427">
        <w:rPr>
          <w:rFonts w:cs="Arial"/>
        </w:rPr>
        <w:t xml:space="preserve"> </w:t>
      </w:r>
    </w:p>
    <w:p w:rsidR="00D27840" w:rsidRPr="00D33427" w:rsidRDefault="00D27840" w:rsidP="00F05462">
      <w:pPr>
        <w:spacing w:before="0" w:after="0"/>
        <w:rPr>
          <w:rFonts w:cs="Arial"/>
        </w:rPr>
      </w:pPr>
      <w:r w:rsidRPr="00D33427">
        <w:rPr>
          <w:rFonts w:cs="Arial"/>
        </w:rPr>
        <w:t xml:space="preserve">Spośród grup o niższym udziale w sprzedaży detalicznej „ogółem” największy wzrost </w:t>
      </w:r>
      <w:r w:rsidR="002A55BC" w:rsidRPr="00D33427">
        <w:rPr>
          <w:rFonts w:cs="Arial"/>
        </w:rPr>
        <w:t>odnotowano w</w:t>
      </w:r>
      <w:r w:rsidRPr="00D33427">
        <w:rPr>
          <w:rFonts w:cs="Arial"/>
        </w:rPr>
        <w:t xml:space="preserve"> jednostkach zaklasyfikowanych do </w:t>
      </w:r>
      <w:r w:rsidR="00C943D6" w:rsidRPr="00D33427">
        <w:rPr>
          <w:rFonts w:cs="Arial"/>
        </w:rPr>
        <w:t>grup</w:t>
      </w:r>
      <w:r w:rsidRPr="00D33427">
        <w:rPr>
          <w:rFonts w:cs="Arial"/>
        </w:rPr>
        <w:t>y</w:t>
      </w:r>
      <w:r w:rsidR="0017515F" w:rsidRPr="00D33427">
        <w:rPr>
          <w:rFonts w:cs="Arial"/>
        </w:rPr>
        <w:t>:</w:t>
      </w:r>
      <w:r w:rsidR="00F63132" w:rsidRPr="00D33427">
        <w:rPr>
          <w:rFonts w:cs="Arial"/>
        </w:rPr>
        <w:t xml:space="preserve"> </w:t>
      </w:r>
      <w:r w:rsidR="00207163" w:rsidRPr="00D33427">
        <w:rPr>
          <w:rFonts w:cs="Arial"/>
        </w:rPr>
        <w:t>„</w:t>
      </w:r>
      <w:r w:rsidR="00821E99">
        <w:rPr>
          <w:rFonts w:cs="Arial"/>
        </w:rPr>
        <w:t>tekstylia</w:t>
      </w:r>
      <w:r w:rsidR="00695A26" w:rsidRPr="00D33427">
        <w:rPr>
          <w:rFonts w:cs="Arial"/>
        </w:rPr>
        <w:t xml:space="preserve">, </w:t>
      </w:r>
      <w:r w:rsidR="00821E99">
        <w:rPr>
          <w:rFonts w:cs="Arial"/>
        </w:rPr>
        <w:t>odzież, obuwie”</w:t>
      </w:r>
      <w:r w:rsidR="00207163" w:rsidRPr="00D33427">
        <w:rPr>
          <w:rFonts w:cs="Arial"/>
        </w:rPr>
        <w:t xml:space="preserve"> </w:t>
      </w:r>
      <w:r w:rsidR="00F63132" w:rsidRPr="00D33427">
        <w:rPr>
          <w:rFonts w:cs="Arial"/>
        </w:rPr>
        <w:t>(o</w:t>
      </w:r>
      <w:r w:rsidR="00431624" w:rsidRPr="00D33427">
        <w:rPr>
          <w:rFonts w:cs="Arial"/>
        </w:rPr>
        <w:t> </w:t>
      </w:r>
      <w:r w:rsidR="00695A26" w:rsidRPr="00D33427">
        <w:rPr>
          <w:rFonts w:cs="Arial"/>
        </w:rPr>
        <w:t>1</w:t>
      </w:r>
      <w:r w:rsidR="00821E99">
        <w:rPr>
          <w:rFonts w:cs="Arial"/>
        </w:rPr>
        <w:t>0</w:t>
      </w:r>
      <w:r w:rsidR="00F63132" w:rsidRPr="00D33427">
        <w:rPr>
          <w:rFonts w:cs="Arial"/>
        </w:rPr>
        <w:t>,</w:t>
      </w:r>
      <w:r w:rsidR="00821E99">
        <w:rPr>
          <w:rFonts w:cs="Arial"/>
        </w:rPr>
        <w:t>5</w:t>
      </w:r>
      <w:r w:rsidR="007B10DE" w:rsidRPr="00D33427">
        <w:rPr>
          <w:rFonts w:cs="Arial"/>
        </w:rPr>
        <w:t>%)</w:t>
      </w:r>
      <w:r w:rsidRPr="00D33427">
        <w:rPr>
          <w:rFonts w:cs="Arial"/>
        </w:rPr>
        <w:t>.</w:t>
      </w:r>
    </w:p>
    <w:p w:rsidR="0060587D" w:rsidRPr="00D33427" w:rsidRDefault="00C30605" w:rsidP="00F05462">
      <w:pPr>
        <w:spacing w:before="0" w:after="0"/>
        <w:rPr>
          <w:rFonts w:cs="Arial"/>
        </w:rPr>
      </w:pPr>
      <w:r w:rsidRPr="00D33427">
        <w:rPr>
          <w:rFonts w:cs="Arial"/>
        </w:rPr>
        <w:t>Spadek sprzedaży</w:t>
      </w:r>
      <w:r w:rsidR="00D33427" w:rsidRPr="00D33427">
        <w:rPr>
          <w:rFonts w:cs="Arial"/>
        </w:rPr>
        <w:t xml:space="preserve"> </w:t>
      </w:r>
      <w:r w:rsidR="00B22041" w:rsidRPr="00D33427">
        <w:rPr>
          <w:rFonts w:cs="Arial"/>
        </w:rPr>
        <w:t xml:space="preserve">wykazały </w:t>
      </w:r>
      <w:r w:rsidR="000D6FD0" w:rsidRPr="00D33427">
        <w:rPr>
          <w:rFonts w:cs="Arial"/>
        </w:rPr>
        <w:t xml:space="preserve"> natomiast</w:t>
      </w:r>
      <w:r w:rsidRPr="00D33427">
        <w:rPr>
          <w:rFonts w:cs="Arial"/>
        </w:rPr>
        <w:t xml:space="preserve"> przedsiębiorstwa </w:t>
      </w:r>
      <w:r w:rsidR="00BF3A23">
        <w:rPr>
          <w:rFonts w:cs="Arial"/>
        </w:rPr>
        <w:t>z grup: „prasa, książki, pozostała sprzedaż w wyspecjalizowanych sklepach” (o 4,8%);  „</w:t>
      </w:r>
      <w:r w:rsidR="00322E4F" w:rsidRPr="00D33427">
        <w:rPr>
          <w:rFonts w:cs="Arial"/>
        </w:rPr>
        <w:t>żywnoś</w:t>
      </w:r>
      <w:r w:rsidR="00BF3A23">
        <w:rPr>
          <w:rFonts w:cs="Arial"/>
        </w:rPr>
        <w:t>ć</w:t>
      </w:r>
      <w:r w:rsidR="00322E4F" w:rsidRPr="00D33427">
        <w:rPr>
          <w:rFonts w:cs="Arial"/>
        </w:rPr>
        <w:t>, napoj</w:t>
      </w:r>
      <w:r w:rsidR="00BF3A23">
        <w:rPr>
          <w:rFonts w:cs="Arial"/>
        </w:rPr>
        <w:t>e</w:t>
      </w:r>
      <w:r w:rsidR="00316781" w:rsidRPr="00D33427">
        <w:rPr>
          <w:rFonts w:cs="Arial"/>
        </w:rPr>
        <w:t xml:space="preserve"> i</w:t>
      </w:r>
      <w:r w:rsidR="006F58E5">
        <w:rPr>
          <w:rFonts w:cs="Arial"/>
        </w:rPr>
        <w:t> </w:t>
      </w:r>
      <w:r w:rsidR="00316781" w:rsidRPr="00D33427">
        <w:rPr>
          <w:rFonts w:cs="Arial"/>
        </w:rPr>
        <w:t>wyrob</w:t>
      </w:r>
      <w:r w:rsidR="00BF3A23">
        <w:rPr>
          <w:rFonts w:cs="Arial"/>
        </w:rPr>
        <w:t>y</w:t>
      </w:r>
      <w:r w:rsidR="00322E4F" w:rsidRPr="00D33427">
        <w:rPr>
          <w:rFonts w:cs="Arial"/>
        </w:rPr>
        <w:t xml:space="preserve"> tytoniow</w:t>
      </w:r>
      <w:r w:rsidR="00BF3A23">
        <w:rPr>
          <w:rFonts w:cs="Arial"/>
        </w:rPr>
        <w:t>e”</w:t>
      </w:r>
      <w:r w:rsidR="00C43613" w:rsidRPr="00D33427">
        <w:rPr>
          <w:rFonts w:cs="Arial"/>
        </w:rPr>
        <w:t xml:space="preserve"> </w:t>
      </w:r>
      <w:r w:rsidR="00316781" w:rsidRPr="00D33427">
        <w:rPr>
          <w:rFonts w:cs="Arial"/>
        </w:rPr>
        <w:t>(o</w:t>
      </w:r>
      <w:r w:rsidR="002B17D6">
        <w:rPr>
          <w:rFonts w:cs="Arial"/>
        </w:rPr>
        <w:t> </w:t>
      </w:r>
      <w:r w:rsidR="00316781" w:rsidRPr="00D33427">
        <w:rPr>
          <w:rFonts w:cs="Arial"/>
        </w:rPr>
        <w:t>0,</w:t>
      </w:r>
      <w:r w:rsidR="00BF3A23">
        <w:rPr>
          <w:rFonts w:cs="Arial"/>
        </w:rPr>
        <w:t>9</w:t>
      </w:r>
      <w:r w:rsidR="00316781" w:rsidRPr="00D33427">
        <w:rPr>
          <w:rFonts w:cs="Arial"/>
        </w:rPr>
        <w:t>%)</w:t>
      </w:r>
      <w:r w:rsidR="00BF3A23">
        <w:rPr>
          <w:rFonts w:cs="Arial"/>
        </w:rPr>
        <w:t>; „pozostałe” (o 0,5%)</w:t>
      </w:r>
      <w:r w:rsidRPr="00D33427">
        <w:rPr>
          <w:rFonts w:cs="Arial"/>
        </w:rPr>
        <w:t>.</w:t>
      </w:r>
    </w:p>
    <w:p w:rsidR="006669BE" w:rsidRPr="009815A2" w:rsidRDefault="006669BE" w:rsidP="00F05462">
      <w:pPr>
        <w:spacing w:before="0" w:after="0"/>
        <w:rPr>
          <w:rFonts w:cs="Arial"/>
        </w:rPr>
      </w:pPr>
    </w:p>
    <w:p w:rsidR="00DA1C69" w:rsidRDefault="00B25EE8" w:rsidP="00D97A4D">
      <w:pPr>
        <w:pStyle w:val="tytuwykresu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D33427" w:rsidRDefault="00D33427" w:rsidP="00D97A4D">
      <w:pPr>
        <w:pStyle w:val="tytuwykresu"/>
        <w:rPr>
          <w:shd w:val="clear" w:color="auto" w:fill="FFFFFF"/>
        </w:rPr>
      </w:pPr>
      <w:r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72957322" wp14:editId="6A6EE6BF">
            <wp:simplePos x="0" y="0"/>
            <wp:positionH relativeFrom="margin">
              <wp:posOffset>0</wp:posOffset>
            </wp:positionH>
            <wp:positionV relativeFrom="margin">
              <wp:posOffset>4481830</wp:posOffset>
            </wp:positionV>
            <wp:extent cx="5048250" cy="2606040"/>
            <wp:effectExtent l="0" t="0" r="0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D33427" w:rsidRPr="00F05462" w:rsidRDefault="00D33427" w:rsidP="00D97A4D">
      <w:pPr>
        <w:pStyle w:val="tytuwykresu"/>
        <w:rPr>
          <w:lang w:eastAsia="pl-PL"/>
        </w:rPr>
      </w:pP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</w:p>
    <w:p w:rsidR="0010783E" w:rsidRDefault="0010783E" w:rsidP="0010783E">
      <w:pPr>
        <w:rPr>
          <w:lang w:eastAsia="pl-PL"/>
        </w:rPr>
      </w:pPr>
    </w:p>
    <w:tbl>
      <w:tblPr>
        <w:tblW w:w="8051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62"/>
        <w:gridCol w:w="1162"/>
        <w:gridCol w:w="1162"/>
        <w:gridCol w:w="1162"/>
      </w:tblGrid>
      <w:tr w:rsidR="0010783E" w:rsidRPr="00B97152" w:rsidTr="00890601">
        <w:trPr>
          <w:cantSplit/>
          <w:trHeight w:val="340"/>
        </w:trPr>
        <w:tc>
          <w:tcPr>
            <w:tcW w:w="340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0783E" w:rsidRPr="009F593B" w:rsidRDefault="0010783E" w:rsidP="00890601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F593B">
              <w:rPr>
                <w:rFonts w:cs="Arial"/>
                <w:color w:val="000000"/>
                <w:sz w:val="16"/>
                <w:szCs w:val="16"/>
              </w:rPr>
              <w:t>W</w:t>
            </w:r>
            <w:r w:rsidR="009F593B" w:rsidRPr="009F593B">
              <w:rPr>
                <w:rFonts w:cs="Arial"/>
                <w:color w:val="000000"/>
                <w:sz w:val="16"/>
                <w:szCs w:val="16"/>
              </w:rPr>
              <w:t>yszczególnienie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Ceny stałe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0783E" w:rsidRPr="00374327" w:rsidRDefault="0010783E" w:rsidP="00890601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Ceny bieżące</w:t>
            </w:r>
          </w:p>
        </w:tc>
      </w:tr>
      <w:tr w:rsidR="0010783E" w:rsidRPr="00C27062" w:rsidTr="00890601">
        <w:trPr>
          <w:cantSplit/>
          <w:trHeight w:val="340"/>
        </w:trPr>
        <w:tc>
          <w:tcPr>
            <w:tcW w:w="3403" w:type="dxa"/>
            <w:vMerge/>
            <w:shd w:val="clear" w:color="auto" w:fill="auto"/>
            <w:vAlign w:val="center"/>
          </w:tcPr>
          <w:p w:rsidR="0010783E" w:rsidRPr="0095396F" w:rsidRDefault="0010783E" w:rsidP="00890601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0783E" w:rsidRPr="00374327" w:rsidRDefault="0010783E" w:rsidP="008E296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8E2962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0783E" w:rsidRPr="00374327" w:rsidRDefault="0010783E" w:rsidP="008E296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8E2962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0783E" w:rsidRPr="00C27062" w:rsidTr="00890601">
        <w:trPr>
          <w:trHeight w:val="340"/>
        </w:trPr>
        <w:tc>
          <w:tcPr>
            <w:tcW w:w="3403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0783E" w:rsidRPr="0095396F" w:rsidRDefault="0010783E" w:rsidP="00890601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0783E" w:rsidRPr="00374327" w:rsidRDefault="0010783E" w:rsidP="008E296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XII 201</w:t>
            </w:r>
            <w:r w:rsidR="008E2962">
              <w:rPr>
                <w:rFonts w:cs="Arial"/>
                <w:color w:val="000000"/>
                <w:sz w:val="16"/>
                <w:szCs w:val="16"/>
              </w:rPr>
              <w:t>9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10783E" w:rsidP="008E296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8E2962">
              <w:rPr>
                <w:rFonts w:cs="Arial"/>
                <w:color w:val="000000"/>
                <w:sz w:val="16"/>
                <w:szCs w:val="16"/>
              </w:rPr>
              <w:t>9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10783E" w:rsidP="004554B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XII 201</w:t>
            </w:r>
            <w:r w:rsidR="004554B7">
              <w:rPr>
                <w:rFonts w:cs="Arial"/>
                <w:color w:val="000000"/>
                <w:sz w:val="16"/>
                <w:szCs w:val="16"/>
              </w:rPr>
              <w:t>9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10783E" w:rsidP="004554B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4554B7">
              <w:rPr>
                <w:rFonts w:cs="Arial"/>
                <w:color w:val="000000"/>
                <w:sz w:val="16"/>
                <w:szCs w:val="16"/>
              </w:rPr>
              <w:t>9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10783E" w:rsidRPr="00C27062" w:rsidTr="00890601">
        <w:trPr>
          <w:trHeight w:val="369"/>
        </w:trPr>
        <w:tc>
          <w:tcPr>
            <w:tcW w:w="3403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OGÓŁEM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105,7</w:t>
            </w:r>
          </w:p>
        </w:tc>
      </w:tr>
      <w:tr w:rsidR="0010783E" w:rsidRPr="009E6EE1" w:rsidTr="00890601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ind w:firstLine="176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10783E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10783E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10783E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10783E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0783E" w:rsidRPr="0095396F" w:rsidTr="00890601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  <w:tr w:rsidR="0010783E" w:rsidRPr="0095396F" w:rsidTr="00890601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</w:tr>
      <w:tr w:rsidR="0010783E" w:rsidRPr="0095396F" w:rsidTr="00890601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10783E" w:rsidRPr="0095396F" w:rsidTr="00890601">
        <w:trPr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10783E" w:rsidRPr="00374327" w:rsidRDefault="0010783E" w:rsidP="00C4659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D74AB8" w:rsidP="0089060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10783E" w:rsidRPr="0095396F" w:rsidTr="00890601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956910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</w:tr>
      <w:tr w:rsidR="0010783E" w:rsidRPr="0095396F" w:rsidTr="00890601">
        <w:trPr>
          <w:cantSplit/>
          <w:trHeight w:val="424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956910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</w:tr>
      <w:tr w:rsidR="0010783E" w:rsidRPr="0095396F" w:rsidTr="00890601">
        <w:trPr>
          <w:cantSplit/>
          <w:trHeight w:val="370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374327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74327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956910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</w:tr>
      <w:tr w:rsidR="0010783E" w:rsidRPr="0095396F" w:rsidTr="00890601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302D35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0783E" w:rsidRPr="00374327" w:rsidRDefault="00956910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</w:tr>
      <w:tr w:rsidR="0010783E" w:rsidRPr="0095396F" w:rsidTr="00890601">
        <w:trPr>
          <w:cantSplit/>
          <w:trHeight w:val="369"/>
        </w:trPr>
        <w:tc>
          <w:tcPr>
            <w:tcW w:w="340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0783E" w:rsidRPr="00374327" w:rsidRDefault="0010783E" w:rsidP="0089060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10783E" w:rsidRPr="00374327" w:rsidRDefault="008876EC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10783E" w:rsidRPr="00374327" w:rsidRDefault="0046197A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10783E" w:rsidRPr="00374327" w:rsidRDefault="0036476F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10783E" w:rsidRPr="00374327" w:rsidRDefault="00956910" w:rsidP="0089060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</w:tr>
    </w:tbl>
    <w:p w:rsidR="0010783E" w:rsidRPr="00AE035E" w:rsidRDefault="00AE035E" w:rsidP="0010783E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 xml:space="preserve">(.) </w:t>
      </w:r>
      <w:r>
        <w:rPr>
          <w:sz w:val="16"/>
          <w:szCs w:val="16"/>
          <w:lang w:eastAsia="pl-PL"/>
        </w:rPr>
        <w:t>B</w:t>
      </w:r>
      <w:r w:rsidRPr="00AE035E">
        <w:rPr>
          <w:color w:val="000000" w:themeColor="text1"/>
          <w:sz w:val="16"/>
          <w:szCs w:val="16"/>
        </w:rPr>
        <w:t>rak informacji lub konieczność zachowania tajemnicy statystycznej</w:t>
      </w:r>
    </w:p>
    <w:p w:rsidR="009A3DB0" w:rsidRDefault="009A3DB0" w:rsidP="000A2607">
      <w:pPr>
        <w:pStyle w:val="tytuwykresu"/>
        <w:spacing w:after="0"/>
        <w:ind w:left="851" w:hanging="851"/>
      </w:pPr>
    </w:p>
    <w:p w:rsidR="009A3DB0" w:rsidRDefault="009A3DB0" w:rsidP="000A2607">
      <w:pPr>
        <w:pStyle w:val="tytuwykresu"/>
        <w:spacing w:after="0"/>
        <w:ind w:left="851" w:hanging="851"/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9C2501">
        <w:rPr>
          <w:shd w:val="clear" w:color="auto" w:fill="FFFFFF"/>
        </w:rPr>
        <w:t xml:space="preserve">styczniu </w:t>
      </w:r>
      <w:r>
        <w:rPr>
          <w:shd w:val="clear" w:color="auto" w:fill="FFFFFF"/>
        </w:rPr>
        <w:t>20</w:t>
      </w:r>
      <w:r w:rsidR="009C2501">
        <w:rPr>
          <w:shd w:val="clear" w:color="auto" w:fill="FFFFFF"/>
        </w:rPr>
        <w:t>20</w:t>
      </w:r>
      <w:r w:rsidR="00FF1A4B">
        <w:rPr>
          <w:shd w:val="clear" w:color="auto" w:fill="FFFFFF"/>
        </w:rPr>
        <w:t xml:space="preserve">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B741BF" w:rsidP="00AC09F0">
      <w:pPr>
        <w:pStyle w:val="tytuwykresu"/>
        <w:rPr>
          <w:noProof/>
          <w:color w:val="339D68"/>
          <w:lang w:eastAsia="pl-PL"/>
        </w:rPr>
      </w:pPr>
    </w:p>
    <w:p w:rsidR="009A3DB0" w:rsidRDefault="009A3DB0" w:rsidP="00AC09F0">
      <w:pPr>
        <w:pStyle w:val="tytuwykresu"/>
        <w:rPr>
          <w:noProof/>
          <w:color w:val="339D68"/>
          <w:lang w:eastAsia="pl-PL"/>
        </w:rPr>
      </w:pPr>
    </w:p>
    <w:p w:rsidR="009A3DB0" w:rsidRDefault="009A3DB0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79744" behindDoc="0" locked="0" layoutInCell="1" allowOverlap="1" wp14:anchorId="1C585793" wp14:editId="042458CE">
            <wp:simplePos x="0" y="0"/>
            <wp:positionH relativeFrom="margin">
              <wp:posOffset>0</wp:posOffset>
            </wp:positionH>
            <wp:positionV relativeFrom="margin">
              <wp:posOffset>5561965</wp:posOffset>
            </wp:positionV>
            <wp:extent cx="5127625" cy="2933065"/>
            <wp:effectExtent l="0" t="0" r="0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7A6B23" w:rsidRPr="00964F10" w:rsidRDefault="007A6B23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543832" wp14:editId="4DFCA09B">
                <wp:simplePos x="0" y="0"/>
                <wp:positionH relativeFrom="rightMargin">
                  <wp:posOffset>125438</wp:posOffset>
                </wp:positionH>
                <wp:positionV relativeFrom="paragraph">
                  <wp:posOffset>234638</wp:posOffset>
                </wp:positionV>
                <wp:extent cx="1768475" cy="931125"/>
                <wp:effectExtent l="0" t="0" r="0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93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B23" w:rsidRPr="002B79B0" w:rsidRDefault="007A6B23" w:rsidP="007A6B23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styczniu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Pr="00187536">
                              <w:rPr>
                                <w:b w:val="0"/>
                                <w:color w:val="001D77"/>
                              </w:rPr>
                              <w:t xml:space="preserve">wzrost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sprzedaży detalicznej wyrównanej sez</w:t>
                            </w:r>
                            <w:bookmarkStart w:id="0" w:name="_GoBack"/>
                            <w:bookmarkEnd w:id="0"/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onowo o </w:t>
                            </w:r>
                            <w:r w:rsidRPr="00434BCA">
                              <w:rPr>
                                <w:b w:val="0"/>
                                <w:color w:val="001D77"/>
                              </w:rPr>
                              <w:t>0,1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% w porównaniu z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grudniem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2019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4383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9.9pt;margin-top:18.5pt;width:139.25pt;height:73.3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xvugIAAME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" filled="f" stroked="f">
                <v:textbox>
                  <w:txbxContent>
                    <w:p w:rsidR="007A6B23" w:rsidRPr="002B79B0" w:rsidRDefault="007A6B23" w:rsidP="007A6B23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>
                        <w:rPr>
                          <w:b w:val="0"/>
                          <w:color w:val="001D77"/>
                        </w:rPr>
                        <w:t xml:space="preserve">styczniu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Pr="00187536">
                        <w:rPr>
                          <w:b w:val="0"/>
                          <w:color w:val="001D77"/>
                        </w:rPr>
                        <w:t xml:space="preserve">wzrost </w:t>
                      </w:r>
                      <w:r w:rsidRPr="002B79B0">
                        <w:rPr>
                          <w:b w:val="0"/>
                          <w:color w:val="001D77"/>
                        </w:rPr>
                        <w:t>sprzedaży detalicznej wyrównanej sez</w:t>
                      </w:r>
                      <w:bookmarkStart w:id="1" w:name="_GoBack"/>
                      <w:bookmarkEnd w:id="1"/>
                      <w:r w:rsidRPr="002B79B0">
                        <w:rPr>
                          <w:b w:val="0"/>
                          <w:color w:val="001D77"/>
                        </w:rPr>
                        <w:t xml:space="preserve">onowo o </w:t>
                      </w:r>
                      <w:r w:rsidRPr="00434BCA">
                        <w:rPr>
                          <w:b w:val="0"/>
                          <w:color w:val="001D77"/>
                        </w:rPr>
                        <w:t>0,1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% w porównaniu z </w:t>
                      </w:r>
                      <w:r>
                        <w:rPr>
                          <w:b w:val="0"/>
                          <w:color w:val="001D77"/>
                        </w:rPr>
                        <w:t>grudniem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2019</w:t>
                      </w:r>
                      <w:r>
                        <w:rPr>
                          <w:b w:val="0"/>
                          <w:color w:val="001D77"/>
                        </w:rPr>
                        <w:t> 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7A6B23" w:rsidRDefault="007A6B23" w:rsidP="007A6B23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7A6B23" w:rsidRPr="004D1992" w:rsidRDefault="007A6B23" w:rsidP="007A6B23">
      <w:pPr>
        <w:pStyle w:val="tytuwykresu"/>
        <w:spacing w:before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>
        <w:rPr>
          <w:rFonts w:cs="Arial"/>
          <w:b w:val="0"/>
          <w:sz w:val="19"/>
          <w:szCs w:val="19"/>
        </w:rPr>
        <w:t>styczniu</w:t>
      </w:r>
      <w:r w:rsidRPr="004D1992">
        <w:rPr>
          <w:rFonts w:cs="Arial"/>
          <w:b w:val="0"/>
          <w:sz w:val="19"/>
          <w:szCs w:val="19"/>
        </w:rPr>
        <w:t xml:space="preserve"> 20</w:t>
      </w:r>
      <w:r>
        <w:rPr>
          <w:rFonts w:cs="Arial"/>
          <w:b w:val="0"/>
          <w:sz w:val="19"/>
          <w:szCs w:val="19"/>
        </w:rPr>
        <w:t>20</w:t>
      </w:r>
      <w:r w:rsidRPr="004D1992">
        <w:rPr>
          <w:rFonts w:cs="Arial"/>
          <w:b w:val="0"/>
          <w:sz w:val="19"/>
          <w:szCs w:val="19"/>
        </w:rPr>
        <w:t xml:space="preserve"> r. była </w:t>
      </w:r>
      <w:r w:rsidRPr="00187536">
        <w:rPr>
          <w:rFonts w:cs="Arial"/>
          <w:b w:val="0"/>
          <w:sz w:val="19"/>
          <w:szCs w:val="19"/>
        </w:rPr>
        <w:t xml:space="preserve">o 0,1% wyższa </w:t>
      </w:r>
      <w:r w:rsidRPr="004D1992">
        <w:rPr>
          <w:rFonts w:cs="Arial"/>
          <w:b w:val="0"/>
          <w:sz w:val="19"/>
          <w:szCs w:val="19"/>
        </w:rPr>
        <w:t>w porównaniu z</w:t>
      </w:r>
      <w:r>
        <w:rPr>
          <w:rFonts w:cs="Arial"/>
          <w:b w:val="0"/>
          <w:sz w:val="19"/>
          <w:szCs w:val="19"/>
        </w:rPr>
        <w:t xml:space="preserve"> grudniem </w:t>
      </w:r>
      <w:r w:rsidRPr="002B79B0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19</w:t>
      </w:r>
      <w:r w:rsidRPr="002B79B0">
        <w:rPr>
          <w:rFonts w:cs="Arial"/>
          <w:b w:val="0"/>
          <w:sz w:val="19"/>
          <w:szCs w:val="19"/>
        </w:rPr>
        <w:t xml:space="preserve"> r.</w:t>
      </w:r>
    </w:p>
    <w:p w:rsidR="007A6B23" w:rsidRDefault="007A6B23" w:rsidP="007A6B23">
      <w:pPr>
        <w:pStyle w:val="tytuwykresu"/>
        <w:ind w:left="851" w:hanging="851"/>
        <w:rPr>
          <w:shd w:val="clear" w:color="auto" w:fill="FFFFFF"/>
        </w:rPr>
      </w:pPr>
    </w:p>
    <w:p w:rsidR="007A6B23" w:rsidRDefault="007A6B23" w:rsidP="007A6B23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10783E" w:rsidRDefault="0010783E" w:rsidP="00AC09F0">
      <w:pPr>
        <w:pStyle w:val="tytuwykresu"/>
        <w:rPr>
          <w:rFonts w:cs="Arial"/>
          <w:color w:val="002060"/>
          <w:szCs w:val="19"/>
        </w:rPr>
      </w:pPr>
    </w:p>
    <w:p w:rsidR="0010783E" w:rsidRDefault="0010783E" w:rsidP="00AC09F0">
      <w:pPr>
        <w:pStyle w:val="tytuwykresu"/>
        <w:rPr>
          <w:rFonts w:cs="Arial"/>
          <w:color w:val="002060"/>
          <w:szCs w:val="19"/>
        </w:rPr>
      </w:pPr>
    </w:p>
    <w:p w:rsidR="0010783E" w:rsidRDefault="0010783E" w:rsidP="00AC09F0">
      <w:pPr>
        <w:pStyle w:val="tytuwykresu"/>
        <w:rPr>
          <w:rFonts w:cs="Arial"/>
          <w:color w:val="002060"/>
          <w:szCs w:val="19"/>
        </w:rPr>
      </w:pPr>
    </w:p>
    <w:p w:rsidR="0010783E" w:rsidRDefault="0010783E" w:rsidP="00AC09F0">
      <w:pPr>
        <w:pStyle w:val="tytuwykresu"/>
        <w:rPr>
          <w:rFonts w:cs="Arial"/>
          <w:color w:val="002060"/>
          <w:szCs w:val="19"/>
        </w:rPr>
      </w:pPr>
    </w:p>
    <w:p w:rsidR="0010783E" w:rsidRDefault="0010783E" w:rsidP="00AC09F0">
      <w:pPr>
        <w:pStyle w:val="tytuwykresu"/>
        <w:rPr>
          <w:rFonts w:cs="Arial"/>
          <w:color w:val="002060"/>
          <w:szCs w:val="19"/>
        </w:rPr>
      </w:pPr>
    </w:p>
    <w:p w:rsidR="00F97C2A" w:rsidRDefault="00F97C2A" w:rsidP="00AC09F0">
      <w:pPr>
        <w:pStyle w:val="tytuwykresu"/>
        <w:rPr>
          <w:rFonts w:cs="Arial"/>
          <w:color w:val="002060"/>
          <w:szCs w:val="19"/>
        </w:rPr>
      </w:pPr>
    </w:p>
    <w:p w:rsidR="00AC09F0" w:rsidRDefault="0010783E" w:rsidP="00915F93">
      <w:pPr>
        <w:pStyle w:val="tytuwykresu"/>
        <w:rPr>
          <w:noProof/>
          <w:color w:val="339D68"/>
          <w:lang w:eastAsia="pl-PL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77696" behindDoc="0" locked="0" layoutInCell="1" allowOverlap="1" wp14:anchorId="5069FA82" wp14:editId="0CBC3109">
            <wp:simplePos x="0" y="0"/>
            <wp:positionH relativeFrom="margin">
              <wp:posOffset>0</wp:posOffset>
            </wp:positionH>
            <wp:positionV relativeFrom="margin">
              <wp:posOffset>1368425</wp:posOffset>
            </wp:positionV>
            <wp:extent cx="5122545" cy="2691130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:rsidR="00915F93" w:rsidRDefault="00915F93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613606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p w:rsidR="00431F5B" w:rsidRPr="008A7446" w:rsidRDefault="00E85CB1" w:rsidP="00AB6D25">
                      <w:pPr>
                        <w:rPr>
                          <w:color w:val="001D77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instrText>HYPERLINK "https://stat.gov.pl/obszary-tematyczne/ceny-handel/handel/rynek-wewnetrzny-w-2018-roku,7,25.html"</w:instrTex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Rynek wewnęt</w: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r</w: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zny w 2018 r.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</w:p>
                    <w:bookmarkEnd w:id="1"/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Dziedzinowa Baza Wiedzy-Handel I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30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06" w:rsidRDefault="00613606" w:rsidP="000662E2">
      <w:pPr>
        <w:spacing w:after="0" w:line="240" w:lineRule="auto"/>
      </w:pPr>
      <w:r>
        <w:separator/>
      </w:r>
    </w:p>
  </w:endnote>
  <w:endnote w:type="continuationSeparator" w:id="0">
    <w:p w:rsidR="00613606" w:rsidRDefault="006136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04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04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06" w:rsidRDefault="00613606" w:rsidP="000662E2">
      <w:pPr>
        <w:spacing w:after="0" w:line="240" w:lineRule="auto"/>
      </w:pPr>
      <w:r>
        <w:separator/>
      </w:r>
    </w:p>
  </w:footnote>
  <w:footnote w:type="continuationSeparator" w:id="0">
    <w:p w:rsidR="00613606" w:rsidRDefault="00613606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7A6B23" w:rsidRDefault="007A6B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6B23">
        <w:rPr>
          <w:sz w:val="16"/>
          <w:szCs w:val="16"/>
        </w:rPr>
        <w:t>Dane wstępne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D63B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D63B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D63B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D63B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45" type="#_x0000_t75" style="width:123.85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625A"/>
    <w:rsid w:val="00016E07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3EC4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B71"/>
    <w:rsid w:val="000646CE"/>
    <w:rsid w:val="000662E2"/>
    <w:rsid w:val="00066883"/>
    <w:rsid w:val="00071458"/>
    <w:rsid w:val="00071D8E"/>
    <w:rsid w:val="00074437"/>
    <w:rsid w:val="00074DD8"/>
    <w:rsid w:val="00076FC0"/>
    <w:rsid w:val="00080236"/>
    <w:rsid w:val="000806F7"/>
    <w:rsid w:val="00081C7F"/>
    <w:rsid w:val="000830CE"/>
    <w:rsid w:val="00084858"/>
    <w:rsid w:val="0008544D"/>
    <w:rsid w:val="000857EB"/>
    <w:rsid w:val="0008767F"/>
    <w:rsid w:val="00087BD7"/>
    <w:rsid w:val="00090D48"/>
    <w:rsid w:val="00091003"/>
    <w:rsid w:val="00094D9B"/>
    <w:rsid w:val="000A077C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2E3F"/>
    <w:rsid w:val="000B4F9E"/>
    <w:rsid w:val="000B5D11"/>
    <w:rsid w:val="000B62AD"/>
    <w:rsid w:val="000B6305"/>
    <w:rsid w:val="000B6DA7"/>
    <w:rsid w:val="000B7F8D"/>
    <w:rsid w:val="000C135D"/>
    <w:rsid w:val="000C4971"/>
    <w:rsid w:val="000C62BC"/>
    <w:rsid w:val="000D0992"/>
    <w:rsid w:val="000D1241"/>
    <w:rsid w:val="000D1BA5"/>
    <w:rsid w:val="000D1D43"/>
    <w:rsid w:val="000D225C"/>
    <w:rsid w:val="000D2A5C"/>
    <w:rsid w:val="000D2D28"/>
    <w:rsid w:val="000D57B6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09F"/>
    <w:rsid w:val="00104902"/>
    <w:rsid w:val="00104914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B71"/>
    <w:rsid w:val="00114DB9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63B69"/>
    <w:rsid w:val="00170C2A"/>
    <w:rsid w:val="00170EBA"/>
    <w:rsid w:val="00171C7E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8753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2B"/>
    <w:rsid w:val="001B0F74"/>
    <w:rsid w:val="001B14F4"/>
    <w:rsid w:val="001B19A2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4C1E"/>
    <w:rsid w:val="001E6175"/>
    <w:rsid w:val="001E65F1"/>
    <w:rsid w:val="001E6704"/>
    <w:rsid w:val="001F0052"/>
    <w:rsid w:val="001F0979"/>
    <w:rsid w:val="001F1346"/>
    <w:rsid w:val="001F1577"/>
    <w:rsid w:val="001F1FA8"/>
    <w:rsid w:val="001F29DE"/>
    <w:rsid w:val="001F30FC"/>
    <w:rsid w:val="001F43F9"/>
    <w:rsid w:val="001F4BBA"/>
    <w:rsid w:val="001F59B5"/>
    <w:rsid w:val="001F67FE"/>
    <w:rsid w:val="00200FD1"/>
    <w:rsid w:val="00204C78"/>
    <w:rsid w:val="00205C7E"/>
    <w:rsid w:val="00205CC3"/>
    <w:rsid w:val="00207163"/>
    <w:rsid w:val="00214797"/>
    <w:rsid w:val="0021785F"/>
    <w:rsid w:val="0022081C"/>
    <w:rsid w:val="00221752"/>
    <w:rsid w:val="00221A5D"/>
    <w:rsid w:val="00221F3F"/>
    <w:rsid w:val="00222286"/>
    <w:rsid w:val="00222C4A"/>
    <w:rsid w:val="00223703"/>
    <w:rsid w:val="0022580C"/>
    <w:rsid w:val="002308E2"/>
    <w:rsid w:val="00232FC5"/>
    <w:rsid w:val="00236700"/>
    <w:rsid w:val="002409A5"/>
    <w:rsid w:val="00241105"/>
    <w:rsid w:val="00241994"/>
    <w:rsid w:val="00241D16"/>
    <w:rsid w:val="00242157"/>
    <w:rsid w:val="00243CD3"/>
    <w:rsid w:val="00245FC2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774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CE2"/>
    <w:rsid w:val="002910E3"/>
    <w:rsid w:val="00291958"/>
    <w:rsid w:val="002926DF"/>
    <w:rsid w:val="002947BF"/>
    <w:rsid w:val="00295B04"/>
    <w:rsid w:val="00296697"/>
    <w:rsid w:val="002A0EDA"/>
    <w:rsid w:val="002A1C5D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4B9C"/>
    <w:rsid w:val="002D6B36"/>
    <w:rsid w:val="002D7439"/>
    <w:rsid w:val="002E34A6"/>
    <w:rsid w:val="002E533B"/>
    <w:rsid w:val="002E6140"/>
    <w:rsid w:val="002E6985"/>
    <w:rsid w:val="002E71B6"/>
    <w:rsid w:val="002E7AB9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2164"/>
    <w:rsid w:val="00302D35"/>
    <w:rsid w:val="0030316F"/>
    <w:rsid w:val="00303ABA"/>
    <w:rsid w:val="003040CB"/>
    <w:rsid w:val="003045F1"/>
    <w:rsid w:val="00304994"/>
    <w:rsid w:val="00304D08"/>
    <w:rsid w:val="00304E25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16781"/>
    <w:rsid w:val="00320FEE"/>
    <w:rsid w:val="003221DD"/>
    <w:rsid w:val="00322483"/>
    <w:rsid w:val="00322E4F"/>
    <w:rsid w:val="00322EDD"/>
    <w:rsid w:val="00322F20"/>
    <w:rsid w:val="00323F78"/>
    <w:rsid w:val="00324508"/>
    <w:rsid w:val="00330A52"/>
    <w:rsid w:val="00332004"/>
    <w:rsid w:val="00332320"/>
    <w:rsid w:val="00332ABA"/>
    <w:rsid w:val="00333582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41B2"/>
    <w:rsid w:val="0036476F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5F6F"/>
    <w:rsid w:val="003779C4"/>
    <w:rsid w:val="00377D1C"/>
    <w:rsid w:val="00380C4A"/>
    <w:rsid w:val="00380CA9"/>
    <w:rsid w:val="00381472"/>
    <w:rsid w:val="00381D15"/>
    <w:rsid w:val="0038221F"/>
    <w:rsid w:val="00382477"/>
    <w:rsid w:val="0038389B"/>
    <w:rsid w:val="003843DB"/>
    <w:rsid w:val="00384426"/>
    <w:rsid w:val="003862F3"/>
    <w:rsid w:val="003864BC"/>
    <w:rsid w:val="00386DE4"/>
    <w:rsid w:val="00387315"/>
    <w:rsid w:val="00390102"/>
    <w:rsid w:val="003908FE"/>
    <w:rsid w:val="00390E0A"/>
    <w:rsid w:val="003935DC"/>
    <w:rsid w:val="00393761"/>
    <w:rsid w:val="00395347"/>
    <w:rsid w:val="00395C6C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C18"/>
    <w:rsid w:val="003B1454"/>
    <w:rsid w:val="003B2346"/>
    <w:rsid w:val="003B348B"/>
    <w:rsid w:val="003B44D8"/>
    <w:rsid w:val="003B4DDA"/>
    <w:rsid w:val="003B6876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07F5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584E"/>
    <w:rsid w:val="0041049C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B46"/>
    <w:rsid w:val="00453D83"/>
    <w:rsid w:val="004554B7"/>
    <w:rsid w:val="004571AA"/>
    <w:rsid w:val="004601C6"/>
    <w:rsid w:val="004612F3"/>
    <w:rsid w:val="0046197A"/>
    <w:rsid w:val="00463E39"/>
    <w:rsid w:val="00464756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3475"/>
    <w:rsid w:val="004E4B76"/>
    <w:rsid w:val="004E5595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DB"/>
    <w:rsid w:val="00570E69"/>
    <w:rsid w:val="00570F36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3BE0"/>
    <w:rsid w:val="005A5491"/>
    <w:rsid w:val="005A698C"/>
    <w:rsid w:val="005B0BF6"/>
    <w:rsid w:val="005B1905"/>
    <w:rsid w:val="005B23AA"/>
    <w:rsid w:val="005B390A"/>
    <w:rsid w:val="005B399D"/>
    <w:rsid w:val="005B4CA4"/>
    <w:rsid w:val="005B6AAA"/>
    <w:rsid w:val="005C08E7"/>
    <w:rsid w:val="005C1BED"/>
    <w:rsid w:val="005C211C"/>
    <w:rsid w:val="005C3677"/>
    <w:rsid w:val="005C3F44"/>
    <w:rsid w:val="005C453A"/>
    <w:rsid w:val="005C5F08"/>
    <w:rsid w:val="005C6163"/>
    <w:rsid w:val="005D01B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71E"/>
    <w:rsid w:val="005F2B4C"/>
    <w:rsid w:val="005F3758"/>
    <w:rsid w:val="005F45A0"/>
    <w:rsid w:val="005F5A80"/>
    <w:rsid w:val="005F6346"/>
    <w:rsid w:val="005F6962"/>
    <w:rsid w:val="005F6E76"/>
    <w:rsid w:val="005F79D7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2179D"/>
    <w:rsid w:val="00623E39"/>
    <w:rsid w:val="006251D0"/>
    <w:rsid w:val="006266F6"/>
    <w:rsid w:val="0062724C"/>
    <w:rsid w:val="0062734E"/>
    <w:rsid w:val="00630E43"/>
    <w:rsid w:val="00632060"/>
    <w:rsid w:val="00633014"/>
    <w:rsid w:val="00633959"/>
    <w:rsid w:val="00634344"/>
    <w:rsid w:val="0063437B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143"/>
    <w:rsid w:val="006669BE"/>
    <w:rsid w:val="00666BAB"/>
    <w:rsid w:val="006673CA"/>
    <w:rsid w:val="00672B85"/>
    <w:rsid w:val="0067353E"/>
    <w:rsid w:val="00673C26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42EC"/>
    <w:rsid w:val="006854F8"/>
    <w:rsid w:val="00691E34"/>
    <w:rsid w:val="006929E4"/>
    <w:rsid w:val="00693FEE"/>
    <w:rsid w:val="00694AF0"/>
    <w:rsid w:val="00695A26"/>
    <w:rsid w:val="00696084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689"/>
    <w:rsid w:val="006B79F1"/>
    <w:rsid w:val="006B7D5F"/>
    <w:rsid w:val="006B7D8E"/>
    <w:rsid w:val="006C0B78"/>
    <w:rsid w:val="006C170D"/>
    <w:rsid w:val="006C2C72"/>
    <w:rsid w:val="006C3BBA"/>
    <w:rsid w:val="006C5460"/>
    <w:rsid w:val="006C623C"/>
    <w:rsid w:val="006C6B63"/>
    <w:rsid w:val="006C74EF"/>
    <w:rsid w:val="006C7D16"/>
    <w:rsid w:val="006D4054"/>
    <w:rsid w:val="006D6CA3"/>
    <w:rsid w:val="006D7CD8"/>
    <w:rsid w:val="006E01A8"/>
    <w:rsid w:val="006E02EC"/>
    <w:rsid w:val="006E07BC"/>
    <w:rsid w:val="006E101D"/>
    <w:rsid w:val="006E1574"/>
    <w:rsid w:val="006E15B9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E774D"/>
    <w:rsid w:val="006F0A13"/>
    <w:rsid w:val="006F2725"/>
    <w:rsid w:val="006F27A0"/>
    <w:rsid w:val="006F2ACE"/>
    <w:rsid w:val="006F58E5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448D"/>
    <w:rsid w:val="00756F35"/>
    <w:rsid w:val="00757391"/>
    <w:rsid w:val="0076254F"/>
    <w:rsid w:val="007654BB"/>
    <w:rsid w:val="00765FD3"/>
    <w:rsid w:val="007675AC"/>
    <w:rsid w:val="00767905"/>
    <w:rsid w:val="00767D0E"/>
    <w:rsid w:val="00771FA0"/>
    <w:rsid w:val="007744FB"/>
    <w:rsid w:val="00776428"/>
    <w:rsid w:val="00776B8E"/>
    <w:rsid w:val="00777720"/>
    <w:rsid w:val="007801F5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6B23"/>
    <w:rsid w:val="007A7CE5"/>
    <w:rsid w:val="007B10DE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E0E92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272D"/>
    <w:rsid w:val="00803A1A"/>
    <w:rsid w:val="00803CA5"/>
    <w:rsid w:val="008046D8"/>
    <w:rsid w:val="0080553C"/>
    <w:rsid w:val="0080593C"/>
    <w:rsid w:val="00805B46"/>
    <w:rsid w:val="00806C5A"/>
    <w:rsid w:val="00806D8C"/>
    <w:rsid w:val="00810CCE"/>
    <w:rsid w:val="0081139F"/>
    <w:rsid w:val="008115C6"/>
    <w:rsid w:val="00813A58"/>
    <w:rsid w:val="00813C08"/>
    <w:rsid w:val="0081554D"/>
    <w:rsid w:val="00815B59"/>
    <w:rsid w:val="00816524"/>
    <w:rsid w:val="00816697"/>
    <w:rsid w:val="00821E99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8258A"/>
    <w:rsid w:val="0088323B"/>
    <w:rsid w:val="00884D6E"/>
    <w:rsid w:val="0088559B"/>
    <w:rsid w:val="00885A7C"/>
    <w:rsid w:val="00886332"/>
    <w:rsid w:val="008864F3"/>
    <w:rsid w:val="008872DA"/>
    <w:rsid w:val="008876EC"/>
    <w:rsid w:val="00887A13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5482"/>
    <w:rsid w:val="008C5B37"/>
    <w:rsid w:val="008C6674"/>
    <w:rsid w:val="008C79FC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61BF"/>
    <w:rsid w:val="008E6572"/>
    <w:rsid w:val="008F1AEF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60F3"/>
    <w:rsid w:val="009071D9"/>
    <w:rsid w:val="009127BA"/>
    <w:rsid w:val="00913B37"/>
    <w:rsid w:val="00914B36"/>
    <w:rsid w:val="00915F93"/>
    <w:rsid w:val="0091606D"/>
    <w:rsid w:val="00920D5E"/>
    <w:rsid w:val="00921356"/>
    <w:rsid w:val="009227A6"/>
    <w:rsid w:val="00925750"/>
    <w:rsid w:val="00925D01"/>
    <w:rsid w:val="009264D0"/>
    <w:rsid w:val="009265FA"/>
    <w:rsid w:val="0092681A"/>
    <w:rsid w:val="00927478"/>
    <w:rsid w:val="00930D6B"/>
    <w:rsid w:val="00932EC2"/>
    <w:rsid w:val="00933EC1"/>
    <w:rsid w:val="009373EB"/>
    <w:rsid w:val="00942C04"/>
    <w:rsid w:val="00950B93"/>
    <w:rsid w:val="00951BF9"/>
    <w:rsid w:val="009530DB"/>
    <w:rsid w:val="00953676"/>
    <w:rsid w:val="0095396F"/>
    <w:rsid w:val="00953A4E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9A1"/>
    <w:rsid w:val="009A195F"/>
    <w:rsid w:val="009A3DB0"/>
    <w:rsid w:val="009A4746"/>
    <w:rsid w:val="009A47C2"/>
    <w:rsid w:val="009A5992"/>
    <w:rsid w:val="009A6EA0"/>
    <w:rsid w:val="009B18E4"/>
    <w:rsid w:val="009B247E"/>
    <w:rsid w:val="009B34FC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5159"/>
    <w:rsid w:val="009C60F7"/>
    <w:rsid w:val="009C6ACB"/>
    <w:rsid w:val="009C719E"/>
    <w:rsid w:val="009C7251"/>
    <w:rsid w:val="009D0375"/>
    <w:rsid w:val="009D2387"/>
    <w:rsid w:val="009D4AF0"/>
    <w:rsid w:val="009D5D6A"/>
    <w:rsid w:val="009E0996"/>
    <w:rsid w:val="009E10BE"/>
    <w:rsid w:val="009E2BC5"/>
    <w:rsid w:val="009E2E91"/>
    <w:rsid w:val="009E3DEE"/>
    <w:rsid w:val="009E50B9"/>
    <w:rsid w:val="009E6EE1"/>
    <w:rsid w:val="009E7FCB"/>
    <w:rsid w:val="009F0298"/>
    <w:rsid w:val="009F1C2F"/>
    <w:rsid w:val="009F2163"/>
    <w:rsid w:val="009F593B"/>
    <w:rsid w:val="009F634C"/>
    <w:rsid w:val="009F785D"/>
    <w:rsid w:val="00A016A3"/>
    <w:rsid w:val="00A01BD2"/>
    <w:rsid w:val="00A02590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17D78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0931"/>
    <w:rsid w:val="00A41D1B"/>
    <w:rsid w:val="00A41EF1"/>
    <w:rsid w:val="00A43677"/>
    <w:rsid w:val="00A43DCF"/>
    <w:rsid w:val="00A44314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4ED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3D76"/>
    <w:rsid w:val="00A84587"/>
    <w:rsid w:val="00A85474"/>
    <w:rsid w:val="00A8686A"/>
    <w:rsid w:val="00A8696A"/>
    <w:rsid w:val="00A86C9B"/>
    <w:rsid w:val="00A86ECC"/>
    <w:rsid w:val="00A86FCC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F4D"/>
    <w:rsid w:val="00AA0FCA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035E"/>
    <w:rsid w:val="00AE12A5"/>
    <w:rsid w:val="00AE239C"/>
    <w:rsid w:val="00AE2CA9"/>
    <w:rsid w:val="00AE2D4B"/>
    <w:rsid w:val="00AE3402"/>
    <w:rsid w:val="00AE3F3D"/>
    <w:rsid w:val="00AE4F99"/>
    <w:rsid w:val="00AE51C8"/>
    <w:rsid w:val="00AE68C4"/>
    <w:rsid w:val="00AF051C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4B7"/>
    <w:rsid w:val="00B12909"/>
    <w:rsid w:val="00B14952"/>
    <w:rsid w:val="00B153F2"/>
    <w:rsid w:val="00B15824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0C59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3169"/>
    <w:rsid w:val="00B74194"/>
    <w:rsid w:val="00B741BF"/>
    <w:rsid w:val="00B74E57"/>
    <w:rsid w:val="00B76271"/>
    <w:rsid w:val="00B773CF"/>
    <w:rsid w:val="00B80E29"/>
    <w:rsid w:val="00B818D9"/>
    <w:rsid w:val="00B82E83"/>
    <w:rsid w:val="00B83519"/>
    <w:rsid w:val="00B8423C"/>
    <w:rsid w:val="00B8447B"/>
    <w:rsid w:val="00B846F9"/>
    <w:rsid w:val="00B847D7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2B32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623"/>
    <w:rsid w:val="00BE672A"/>
    <w:rsid w:val="00BE698D"/>
    <w:rsid w:val="00BF0126"/>
    <w:rsid w:val="00BF2284"/>
    <w:rsid w:val="00BF3283"/>
    <w:rsid w:val="00BF3A23"/>
    <w:rsid w:val="00BF3DEC"/>
    <w:rsid w:val="00BF4885"/>
    <w:rsid w:val="00BF4EF4"/>
    <w:rsid w:val="00C00745"/>
    <w:rsid w:val="00C030DE"/>
    <w:rsid w:val="00C05E71"/>
    <w:rsid w:val="00C07C9E"/>
    <w:rsid w:val="00C10171"/>
    <w:rsid w:val="00C12173"/>
    <w:rsid w:val="00C1275F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B1FA3"/>
    <w:rsid w:val="00CB397A"/>
    <w:rsid w:val="00CB4974"/>
    <w:rsid w:val="00CB568E"/>
    <w:rsid w:val="00CB67F3"/>
    <w:rsid w:val="00CB694F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4AB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F6B"/>
    <w:rsid w:val="00DD5817"/>
    <w:rsid w:val="00DD5E07"/>
    <w:rsid w:val="00DD6309"/>
    <w:rsid w:val="00DD6C6D"/>
    <w:rsid w:val="00DD7792"/>
    <w:rsid w:val="00DD77A5"/>
    <w:rsid w:val="00DE0069"/>
    <w:rsid w:val="00DE07B8"/>
    <w:rsid w:val="00DE0F10"/>
    <w:rsid w:val="00DE1B55"/>
    <w:rsid w:val="00DE28B3"/>
    <w:rsid w:val="00DE2961"/>
    <w:rsid w:val="00DE374F"/>
    <w:rsid w:val="00DE508F"/>
    <w:rsid w:val="00DE5118"/>
    <w:rsid w:val="00DE543C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07EAD"/>
    <w:rsid w:val="00E11119"/>
    <w:rsid w:val="00E115B7"/>
    <w:rsid w:val="00E12E48"/>
    <w:rsid w:val="00E12F35"/>
    <w:rsid w:val="00E1543B"/>
    <w:rsid w:val="00E15AE8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4F9D"/>
    <w:rsid w:val="00E664C5"/>
    <w:rsid w:val="00E664D8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34C"/>
    <w:rsid w:val="00EC3AAA"/>
    <w:rsid w:val="00EC3EA3"/>
    <w:rsid w:val="00EC4CDC"/>
    <w:rsid w:val="00EC62D7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5B41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1AC3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0B1C"/>
    <w:rsid w:val="00F93F97"/>
    <w:rsid w:val="00F95812"/>
    <w:rsid w:val="00F962C5"/>
    <w:rsid w:val="00F9694D"/>
    <w:rsid w:val="00F969AE"/>
    <w:rsid w:val="00F97850"/>
    <w:rsid w:val="00F97C2A"/>
    <w:rsid w:val="00FA22BB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C7305"/>
    <w:rsid w:val="00FD13C3"/>
    <w:rsid w:val="00FD1BBD"/>
    <w:rsid w:val="00FD2E71"/>
    <w:rsid w:val="00FD3E31"/>
    <w:rsid w:val="00FD434C"/>
    <w:rsid w:val="00FD5EA7"/>
    <w:rsid w:val="00FD63BC"/>
    <w:rsid w:val="00FD75C0"/>
    <w:rsid w:val="00FE39D8"/>
    <w:rsid w:val="00FE4641"/>
    <w:rsid w:val="00FE7552"/>
    <w:rsid w:val="00FE7A68"/>
    <w:rsid w:val="00FF053B"/>
    <w:rsid w:val="00FF1A4B"/>
    <w:rsid w:val="00FF4978"/>
    <w:rsid w:val="00FF4CE9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30" Type="http://schemas.openxmlformats.org/officeDocument/2006/relationships/hyperlink" Target="https://bdm.stat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6.8988196650857245E-2"/>
          <c:w val="0.93325015595757954"/>
          <c:h val="0.708039400776657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Arkusz1!$B$77:$C$113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Arkusz1!$D$77:$D$113</c:f>
              <c:numCache>
                <c:formatCode>General</c:formatCode>
                <c:ptCount val="37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457426736"/>
        <c:axId val="1457422928"/>
      </c:barChart>
      <c:catAx>
        <c:axId val="145742673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45742292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457422928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5742673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199507569293782E-2"/>
          <c:y val="2.7884823554882008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103,5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-2.4767801857585141E-3"/>
                  <c:y val="-1.7319766183156567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rodz_dział_miesiąc!$BP$4:$BP$11</c:f>
              <c:numCache>
                <c:formatCode>0.0</c:formatCode>
                <c:ptCount val="8"/>
                <c:pt idx="0">
                  <c:v>103.5</c:v>
                </c:pt>
                <c:pt idx="1">
                  <c:v>102.5</c:v>
                </c:pt>
                <c:pt idx="2">
                  <c:v>99.1</c:v>
                </c:pt>
                <c:pt idx="3">
                  <c:v>102.9</c:v>
                </c:pt>
                <c:pt idx="4">
                  <c:v>110.5</c:v>
                </c:pt>
                <c:pt idx="5">
                  <c:v>105.8</c:v>
                </c:pt>
                <c:pt idx="6">
                  <c:v>95.2</c:v>
                </c:pt>
                <c:pt idx="7">
                  <c:v>99.5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420752"/>
        <c:axId val="1457427280"/>
      </c:barChart>
      <c:catAx>
        <c:axId val="14574207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5742728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457427280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5742075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9.6371412752263935E-2"/>
          <c:w val="0.90120672439187943"/>
          <c:h val="0.7040544306666716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1.4875418371141688E-2"/>
                  <c:y val="2.8315243039169418E-2"/>
                </c:manualLayout>
              </c:layout>
              <c:tx>
                <c:rich>
                  <a:bodyPr/>
                  <a:lstStyle/>
                  <a:p>
                    <a:fld id="{EFA4F955-2E9C-4E29-9F48-F2EDAD6E2996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3.718854592785422E-2"/>
                  <c:y val="1.0296010296010296E-2"/>
                </c:manualLayout>
              </c:layout>
              <c:tx>
                <c:rich>
                  <a:bodyPr/>
                  <a:lstStyle/>
                  <a:p>
                    <a:fld id="{A30D9222-83EF-4AAF-AF6A-6C68236906CF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9.9169455807611249E-3"/>
                  <c:y val="-2.3596035865974561E-2"/>
                </c:manualLayout>
              </c:layout>
              <c:tx>
                <c:rich>
                  <a:bodyPr/>
                  <a:lstStyle/>
                  <a:p>
                    <a:fld id="{730A04A8-ECA7-40DF-A0AB-1E597C5941CC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1.983389116152225E-2"/>
                  <c:y val="6.1775908261585279E-2"/>
                </c:manualLayout>
              </c:layout>
              <c:tx>
                <c:rich>
                  <a:bodyPr/>
                  <a:lstStyle/>
                  <a:p>
                    <a:fld id="{55FB125F-7376-44A9-923F-E4270C05D84D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57430000"/>
        <c:axId val="1457430544"/>
      </c:lineChart>
      <c:catAx>
        <c:axId val="1457430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57430544"/>
        <c:crosses val="autoZero"/>
        <c:auto val="1"/>
        <c:lblAlgn val="ctr"/>
        <c:lblOffset val="100"/>
        <c:tickMarkSkip val="12"/>
        <c:noMultiLvlLbl val="0"/>
      </c:catAx>
      <c:valAx>
        <c:axId val="145743054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5743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0.25097</cdr:x>
      <cdr:y>0.15435</cdr:y>
    </cdr:from>
    <cdr:to>
      <cdr:x>0.44959</cdr:x>
      <cdr:y>0.25521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86880" y="452719"/>
          <a:ext cx="1018438" cy="2958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103,4</a:t>
          </a:r>
        </a:p>
      </cdr:txBody>
    </cdr:sp>
  </cdr:relSizeAnchor>
  <cdr:relSizeAnchor xmlns:cdr="http://schemas.openxmlformats.org/drawingml/2006/chartDrawing">
    <cdr:from>
      <cdr:x>0.3168</cdr:x>
      <cdr:y>0.24951</cdr:y>
    </cdr:from>
    <cdr:to>
      <cdr:x>0.35998</cdr:x>
      <cdr:y>0.33766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24457" y="731829"/>
          <a:ext cx="221411" cy="2585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0.05494</cdr:x>
      <cdr:y>0.34553</cdr:y>
    </cdr:from>
    <cdr:to>
      <cdr:x>0.9876</cdr:x>
      <cdr:y>0.34949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81728" y="1013448"/>
          <a:ext cx="4782331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F806B-C032-4C51-9ECB-31259509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styczniu 2020 roku</dc:title>
  <cp:lastPrinted>2020-02-20T08:43:00Z</cp:lastPrinted>
  <dcterms:created xsi:type="dcterms:W3CDTF">2020-02-19T07:35:00Z</dcterms:created>
  <dcterms:modified xsi:type="dcterms:W3CDTF">2020-02-20T08:50:00Z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