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Default Extension="xlsx" ContentType="application/vnd.openxmlformats-officedocument.spreadsheetml.sheet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charts/chart2.xml" ContentType="application/vnd.openxmlformats-officedocument.drawingml.chart+xml"/>
  <Override PartName="/word/drawings/drawing1.xml" ContentType="application/vnd.openxmlformats-officedocument.drawingml.chartshapes+xml"/>
  <Override PartName="/word/charts/chart3.xml" ContentType="application/vnd.openxmlformats-officedocument.drawingml.chart+xml"/>
  <Override PartName="/word/charts/style2.xml" ContentType="application/vnd.ms-office.chartstyle+xml"/>
  <Override PartName="/word/charts/colors2.xml" ContentType="application/vnd.ms-office.chartcolorstyle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627E7" w:rsidRDefault="003627E7" w:rsidP="003627E7">
      <w:pPr>
        <w:spacing w:before="0" w:after="0" w:line="240" w:lineRule="auto"/>
        <w:rPr>
          <w:rFonts w:ascii="Fira Sans Extra Condensed SemiB" w:hAnsi="Fira Sans Extra Condensed SemiB"/>
          <w:color w:val="000000" w:themeColor="text1"/>
          <w:sz w:val="40"/>
          <w:szCs w:val="26"/>
          <w:shd w:val="clear" w:color="auto" w:fill="FFFFFF"/>
        </w:rPr>
      </w:pPr>
    </w:p>
    <w:p w:rsidR="003627E7" w:rsidRPr="003627E7" w:rsidRDefault="003627E7" w:rsidP="003627E7">
      <w:pPr>
        <w:spacing w:before="0" w:after="0" w:line="240" w:lineRule="auto"/>
        <w:rPr>
          <w:rFonts w:ascii="Fira Sans Extra Condensed SemiB" w:hAnsi="Fira Sans Extra Condensed SemiB"/>
          <w:color w:val="000000" w:themeColor="text1"/>
          <w:sz w:val="40"/>
          <w:szCs w:val="26"/>
          <w:shd w:val="clear" w:color="auto" w:fill="FFFFFF"/>
        </w:rPr>
      </w:pPr>
      <w:bookmarkStart w:id="0" w:name="_GoBack"/>
      <w:r w:rsidRPr="003627E7">
        <w:rPr>
          <w:rFonts w:ascii="Fira Sans Extra Condensed SemiB" w:hAnsi="Fira Sans Extra Condensed SemiB"/>
          <w:color w:val="000000" w:themeColor="text1"/>
          <w:sz w:val="40"/>
          <w:szCs w:val="26"/>
          <w:shd w:val="clear" w:color="auto" w:fill="FFFFFF"/>
        </w:rPr>
        <w:t xml:space="preserve">Dynamika produkcji sprzedanej przemysłu </w:t>
      </w:r>
    </w:p>
    <w:p w:rsidR="003627E7" w:rsidRPr="003627E7" w:rsidRDefault="00CE5CAF" w:rsidP="003627E7">
      <w:pPr>
        <w:spacing w:before="0" w:after="0" w:line="240" w:lineRule="auto"/>
        <w:rPr>
          <w:rFonts w:ascii="Fira Sans Extra Condensed SemiB" w:hAnsi="Fira Sans Extra Condensed SemiB"/>
          <w:color w:val="000000" w:themeColor="text1"/>
          <w:sz w:val="40"/>
          <w:szCs w:val="26"/>
          <w:shd w:val="clear" w:color="auto" w:fill="FFFFFF"/>
        </w:rPr>
      </w:pPr>
      <w:proofErr w:type="gramStart"/>
      <w:r>
        <w:rPr>
          <w:rFonts w:ascii="Fira Sans Extra Condensed SemiB" w:hAnsi="Fira Sans Extra Condensed SemiB"/>
          <w:color w:val="000000" w:themeColor="text1"/>
          <w:sz w:val="40"/>
          <w:szCs w:val="26"/>
          <w:shd w:val="clear" w:color="auto" w:fill="FFFFFF"/>
        </w:rPr>
        <w:t>w</w:t>
      </w:r>
      <w:proofErr w:type="gramEnd"/>
      <w:r>
        <w:rPr>
          <w:rFonts w:ascii="Fira Sans Extra Condensed SemiB" w:hAnsi="Fira Sans Extra Condensed SemiB"/>
          <w:color w:val="000000" w:themeColor="text1"/>
          <w:sz w:val="40"/>
          <w:szCs w:val="26"/>
          <w:shd w:val="clear" w:color="auto" w:fill="FFFFFF"/>
        </w:rPr>
        <w:t xml:space="preserve"> czerwcu</w:t>
      </w:r>
      <w:r w:rsidR="003627E7" w:rsidRPr="003627E7">
        <w:rPr>
          <w:rFonts w:ascii="Fira Sans Extra Condensed SemiB" w:hAnsi="Fira Sans Extra Condensed SemiB"/>
          <w:color w:val="000000" w:themeColor="text1"/>
          <w:sz w:val="40"/>
          <w:szCs w:val="26"/>
          <w:shd w:val="clear" w:color="auto" w:fill="FFFFFF"/>
        </w:rPr>
        <w:t xml:space="preserve"> 2020 </w:t>
      </w:r>
      <w:proofErr w:type="spellStart"/>
      <w:r w:rsidR="003627E7" w:rsidRPr="003627E7">
        <w:rPr>
          <w:rFonts w:ascii="Fira Sans Extra Condensed SemiB" w:hAnsi="Fira Sans Extra Condensed SemiB"/>
          <w:color w:val="000000" w:themeColor="text1"/>
          <w:sz w:val="40"/>
          <w:szCs w:val="26"/>
          <w:shd w:val="clear" w:color="auto" w:fill="FFFFFF"/>
        </w:rPr>
        <w:t>r.</w:t>
      </w:r>
      <w:r w:rsidR="003627E7" w:rsidRPr="003627E7">
        <w:rPr>
          <w:rFonts w:ascii="Fira Sans Extra Condensed SemiB" w:hAnsi="Fira Sans Extra Condensed SemiB"/>
          <w:color w:val="000000" w:themeColor="text1"/>
          <w:sz w:val="40"/>
          <w:szCs w:val="26"/>
          <w:shd w:val="clear" w:color="auto" w:fill="FFFFFF"/>
          <w:vertAlign w:val="superscript"/>
        </w:rPr>
        <w:t>a</w:t>
      </w:r>
      <w:bookmarkEnd w:id="0"/>
      <w:proofErr w:type="spellEnd"/>
      <w:r w:rsidR="003627E7" w:rsidRPr="003627E7">
        <w:rPr>
          <w:rFonts w:ascii="Fira Sans Extra Condensed SemiB" w:hAnsi="Fira Sans Extra Condensed SemiB"/>
          <w:color w:val="000000" w:themeColor="text1"/>
          <w:sz w:val="40"/>
          <w:szCs w:val="26"/>
          <w:shd w:val="clear" w:color="auto" w:fill="FFFFFF"/>
          <w:vertAlign w:val="superscript"/>
        </w:rPr>
        <w:t>)</w:t>
      </w:r>
    </w:p>
    <w:p w:rsidR="003627E7" w:rsidRPr="003627E7" w:rsidRDefault="003627E7" w:rsidP="003627E7">
      <w:pPr>
        <w:spacing w:after="0" w:line="240" w:lineRule="auto"/>
        <w:rPr>
          <w:rFonts w:ascii="Fira Sans Extra Condensed SemiB" w:hAnsi="Fira Sans Extra Condensed SemiB"/>
          <w:color w:val="000000" w:themeColor="text1"/>
          <w:sz w:val="32"/>
          <w:szCs w:val="26"/>
        </w:rPr>
      </w:pPr>
    </w:p>
    <w:p w:rsidR="003627E7" w:rsidRPr="003627E7" w:rsidRDefault="003627E7" w:rsidP="003627E7">
      <w:pPr>
        <w:spacing w:before="0" w:after="0"/>
        <w:rPr>
          <w:b/>
          <w:noProof/>
          <w:szCs w:val="19"/>
          <w:lang w:eastAsia="pl-PL"/>
        </w:rPr>
      </w:pPr>
      <w:r w:rsidRPr="003627E7">
        <w:rPr>
          <w:b/>
          <w:noProof/>
          <w:szCs w:val="19"/>
          <w:lang w:eastAsia="pl-PL"/>
        </w:rPr>
        <mc:AlternateContent>
          <mc:Choice Requires="wps">
            <w:drawing>
              <wp:anchor distT="45720" distB="45720" distL="114300" distR="114300" simplePos="0" relativeHeight="251803648" behindDoc="0" locked="0" layoutInCell="1" allowOverlap="1" wp14:anchorId="29CF76FF" wp14:editId="3D30F504">
                <wp:simplePos x="0" y="0"/>
                <wp:positionH relativeFrom="margin">
                  <wp:align>left</wp:align>
                </wp:positionH>
                <wp:positionV relativeFrom="paragraph">
                  <wp:posOffset>4445</wp:posOffset>
                </wp:positionV>
                <wp:extent cx="1938020" cy="1407160"/>
                <wp:effectExtent l="0" t="0" r="5080" b="2540"/>
                <wp:wrapSquare wrapText="bothSides"/>
                <wp:docPr id="4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38528" cy="1407160"/>
                        </a:xfrm>
                        <a:prstGeom prst="rect">
                          <a:avLst/>
                        </a:prstGeom>
                        <a:solidFill>
                          <a:srgbClr val="001D77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3627E7" w:rsidRPr="00B66B19" w:rsidRDefault="003627E7" w:rsidP="003627E7">
                            <w:pPr>
                              <w:spacing w:after="0" w:line="240" w:lineRule="auto"/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</w:rPr>
                            </w:pPr>
                            <w:r>
                              <w:rPr>
                                <w:noProof/>
                                <w:color w:val="001D77"/>
                                <w:lang w:eastAsia="pl-PL"/>
                              </w:rPr>
                              <w:t xml:space="preserve"> </w:t>
                            </w:r>
                            <w:r>
                              <w:rPr>
                                <w:rFonts w:asciiTheme="minorHAnsi" w:hAnsiTheme="minorHAnsi"/>
                                <w:b/>
                                <w:noProof/>
                                <w:color w:val="001D77"/>
                                <w:sz w:val="22"/>
                                <w:lang w:eastAsia="pl-PL"/>
                              </w:rPr>
                              <w:drawing>
                                <wp:inline distT="0" distB="0" distL="0" distR="0" wp14:anchorId="6FFF1755" wp14:editId="4BDC9F07">
                                  <wp:extent cx="336550" cy="336550"/>
                                  <wp:effectExtent l="0" t="0" r="6350" b="6350"/>
                                  <wp:docPr id="14" name="Obraz 14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Obraz 33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0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336550" cy="3365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>
                              <w:rPr>
                                <w:noProof/>
                                <w:color w:val="001D77"/>
                                <w:lang w:eastAsia="pl-PL"/>
                              </w:rPr>
                              <w:t xml:space="preserve">  </w:t>
                            </w:r>
                            <w:r w:rsidR="00CE5CAF"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</w:rPr>
                              <w:t>0,5</w:t>
                            </w:r>
                            <w:r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</w:rPr>
                              <w:t>%</w:t>
                            </w:r>
                          </w:p>
                          <w:p w:rsidR="003627E7" w:rsidRPr="00364866" w:rsidRDefault="00CE5CAF" w:rsidP="003627E7">
                            <w:pPr>
                              <w:rPr>
                                <w:color w:val="FFFFFF" w:themeColor="background1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Wzrost</w:t>
                            </w:r>
                            <w:r w:rsidR="003627E7" w:rsidRPr="00364866">
                              <w:rPr>
                                <w:sz w:val="20"/>
                              </w:rPr>
                              <w:t xml:space="preserve"> produkcji sprzedanej przemysłu w porównaniu z</w:t>
                            </w:r>
                            <w:r w:rsidR="004C7303">
                              <w:rPr>
                                <w:sz w:val="20"/>
                              </w:rPr>
                              <w:t> </w:t>
                            </w:r>
                            <w:r>
                              <w:rPr>
                                <w:sz w:val="20"/>
                              </w:rPr>
                              <w:t>czerwcem</w:t>
                            </w:r>
                            <w:r w:rsidR="003627E7">
                              <w:rPr>
                                <w:sz w:val="20"/>
                              </w:rPr>
                              <w:t xml:space="preserve"> ub.</w:t>
                            </w:r>
                            <w:r w:rsidR="003627E7" w:rsidRPr="00364866">
                              <w:rPr>
                                <w:sz w:val="20"/>
                              </w:rPr>
                              <w:t xml:space="preserve"> r</w:t>
                            </w:r>
                            <w:r w:rsidR="003627E7">
                              <w:rPr>
                                <w:sz w:val="20"/>
                              </w:rPr>
                              <w:t>oku</w:t>
                            </w:r>
                            <w:r w:rsidR="003627E7" w:rsidRPr="00364866">
                              <w:rPr>
                                <w:sz w:val="20"/>
                              </w:rPr>
                              <w:t>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9CF76FF" id="_x0000_t202" coordsize="21600,21600" o:spt="202" path="m,l,21600r21600,l21600,xe">
                <v:stroke joinstyle="miter"/>
                <v:path gradientshapeok="t" o:connecttype="rect"/>
              </v:shapetype>
              <v:shape id="Pole tekstowe 2" o:spid="_x0000_s1026" type="#_x0000_t202" style="position:absolute;margin-left:0;margin-top:.35pt;width:152.6pt;height:110.8pt;z-index:251803648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" fillcolor="#001d77" stroked="f">
                <v:textbox>
                  <w:txbxContent>
                    <w:p w:rsidR="003627E7" w:rsidRPr="00B66B19" w:rsidRDefault="003627E7" w:rsidP="003627E7">
                      <w:pPr>
                        <w:spacing w:after="0" w:line="240" w:lineRule="auto"/>
                        <w:rPr>
                          <w:rFonts w:ascii="Fira Sans SemiBold" w:hAnsi="Fira Sans SemiBold"/>
                          <w:color w:val="FFFFFF" w:themeColor="background1"/>
                          <w:sz w:val="72"/>
                        </w:rPr>
                      </w:pPr>
                      <w:r>
                        <w:rPr>
                          <w:noProof/>
                          <w:color w:val="001D77"/>
                          <w:lang w:eastAsia="pl-PL"/>
                        </w:rPr>
                        <w:t xml:space="preserve"> </w:t>
                      </w:r>
                      <w:r>
                        <w:rPr>
                          <w:rFonts w:asciiTheme="minorHAnsi" w:hAnsiTheme="minorHAnsi"/>
                          <w:b/>
                          <w:noProof/>
                          <w:color w:val="001D77"/>
                          <w:sz w:val="22"/>
                          <w:lang w:eastAsia="pl-PL"/>
                        </w:rPr>
                        <w:drawing>
                          <wp:inline distT="0" distB="0" distL="0" distR="0" wp14:anchorId="6FFF1755" wp14:editId="4BDC9F07">
                            <wp:extent cx="336550" cy="336550"/>
                            <wp:effectExtent l="0" t="0" r="6350" b="6350"/>
                            <wp:docPr id="14" name="Obraz 14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Obraz 33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1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336550" cy="33655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>
                        <w:rPr>
                          <w:noProof/>
                          <w:color w:val="001D77"/>
                          <w:lang w:eastAsia="pl-PL"/>
                        </w:rPr>
                        <w:t xml:space="preserve">  </w:t>
                      </w:r>
                      <w:r w:rsidR="00CE5CAF">
                        <w:rPr>
                          <w:rFonts w:ascii="Fira Sans SemiBold" w:hAnsi="Fira Sans SemiBold"/>
                          <w:color w:val="FFFFFF" w:themeColor="background1"/>
                          <w:sz w:val="72"/>
                        </w:rPr>
                        <w:t>0,5</w:t>
                      </w:r>
                      <w:r>
                        <w:rPr>
                          <w:rFonts w:ascii="Fira Sans SemiBold" w:hAnsi="Fira Sans SemiBold"/>
                          <w:color w:val="FFFFFF" w:themeColor="background1"/>
                          <w:sz w:val="72"/>
                        </w:rPr>
                        <w:t>%</w:t>
                      </w:r>
                    </w:p>
                    <w:p w:rsidR="003627E7" w:rsidRPr="00364866" w:rsidRDefault="00CE5CAF" w:rsidP="003627E7">
                      <w:pPr>
                        <w:rPr>
                          <w:color w:val="FFFFFF" w:themeColor="background1"/>
                          <w:sz w:val="20"/>
                          <w:szCs w:val="20"/>
                        </w:rPr>
                      </w:pPr>
                      <w:r>
                        <w:rPr>
                          <w:sz w:val="20"/>
                        </w:rPr>
                        <w:t>Wzrost</w:t>
                      </w:r>
                      <w:r w:rsidR="003627E7" w:rsidRPr="00364866">
                        <w:rPr>
                          <w:sz w:val="20"/>
                        </w:rPr>
                        <w:t xml:space="preserve"> produkcji sprzedanej przemysłu w porównaniu z</w:t>
                      </w:r>
                      <w:r w:rsidR="004C7303">
                        <w:rPr>
                          <w:sz w:val="20"/>
                        </w:rPr>
                        <w:t> </w:t>
                      </w:r>
                      <w:r>
                        <w:rPr>
                          <w:sz w:val="20"/>
                        </w:rPr>
                        <w:t>czerwcem</w:t>
                      </w:r>
                      <w:r w:rsidR="003627E7">
                        <w:rPr>
                          <w:sz w:val="20"/>
                        </w:rPr>
                        <w:t xml:space="preserve"> ub.</w:t>
                      </w:r>
                      <w:r w:rsidR="003627E7" w:rsidRPr="00364866">
                        <w:rPr>
                          <w:sz w:val="20"/>
                        </w:rPr>
                        <w:t xml:space="preserve"> r</w:t>
                      </w:r>
                      <w:r w:rsidR="003627E7">
                        <w:rPr>
                          <w:sz w:val="20"/>
                        </w:rPr>
                        <w:t>oku</w:t>
                      </w:r>
                      <w:r w:rsidR="003627E7" w:rsidRPr="00364866">
                        <w:rPr>
                          <w:sz w:val="20"/>
                        </w:rPr>
                        <w:t>.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3627E7">
        <w:rPr>
          <w:b/>
          <w:noProof/>
          <w:szCs w:val="19"/>
          <w:lang w:eastAsia="pl-PL"/>
        </w:rPr>
        <mc:AlternateContent>
          <mc:Choice Requires="wps">
            <w:drawing>
              <wp:anchor distT="45720" distB="45720" distL="114300" distR="114300" simplePos="0" relativeHeight="251802624" behindDoc="0" locked="0" layoutInCell="1" allowOverlap="1" wp14:anchorId="1824BA78" wp14:editId="54125B85">
                <wp:simplePos x="0" y="0"/>
                <wp:positionH relativeFrom="margin">
                  <wp:align>left</wp:align>
                </wp:positionH>
                <wp:positionV relativeFrom="paragraph">
                  <wp:posOffset>83427</wp:posOffset>
                </wp:positionV>
                <wp:extent cx="1828800" cy="1189990"/>
                <wp:effectExtent l="0" t="0" r="0" b="0"/>
                <wp:wrapSquare wrapText="bothSides"/>
                <wp:docPr id="217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28800" cy="1190446"/>
                        </a:xfrm>
                        <a:prstGeom prst="rect">
                          <a:avLst/>
                        </a:prstGeom>
                        <a:solidFill>
                          <a:srgbClr val="001D77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3627E7" w:rsidRPr="00B66B19" w:rsidRDefault="003627E7" w:rsidP="003627E7">
                            <w:pPr>
                              <w:spacing w:after="0" w:line="240" w:lineRule="auto"/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</w:rPr>
                            </w:pPr>
                            <w:r>
                              <w:rPr>
                                <w:rFonts w:asciiTheme="minorHAnsi" w:hAnsiTheme="minorHAnsi"/>
                                <w:noProof/>
                                <w:color w:val="001D77"/>
                                <w:sz w:val="22"/>
                                <w:lang w:eastAsia="pl-PL"/>
                              </w:rPr>
                              <w:drawing>
                                <wp:inline distT="0" distB="0" distL="0" distR="0" wp14:anchorId="2299B293" wp14:editId="7D64840B">
                                  <wp:extent cx="361950" cy="361950"/>
                                  <wp:effectExtent l="0" t="0" r="0" b="0"/>
                                  <wp:docPr id="15" name="Obraz 15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Obraz 33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0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361950" cy="3619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>
                              <w:rPr>
                                <w:noProof/>
                                <w:color w:val="001D77"/>
                                <w:lang w:eastAsia="pl-PL"/>
                              </w:rPr>
                              <w:t xml:space="preserve"> </w:t>
                            </w:r>
                            <w:r w:rsidRPr="003F3148"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</w:rPr>
                              <w:t>109,0</w:t>
                            </w:r>
                          </w:p>
                          <w:p w:rsidR="003627E7" w:rsidRPr="003F3148" w:rsidRDefault="003627E7" w:rsidP="003627E7">
                            <w:pPr>
                              <w:pStyle w:val="tekstnaniebieskimtle"/>
                            </w:pPr>
                            <w:r w:rsidRPr="003F3148">
                              <w:t>Produkcja sprzedana przemysłu w porównaniu ze styczniem ub. roku</w:t>
                            </w:r>
                          </w:p>
                          <w:p w:rsidR="003627E7" w:rsidRPr="003F3148" w:rsidRDefault="003627E7" w:rsidP="003627E7">
                            <w:pPr>
                              <w:pStyle w:val="tekstnaniebieskimtle"/>
                              <w:rPr>
                                <w:color w:val="FFFFFF" w:themeColor="background1"/>
                                <w:sz w:val="18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824BA78" id="_x0000_s1027" type="#_x0000_t202" style="position:absolute;margin-left:0;margin-top:6.55pt;width:2in;height:93.7pt;z-index:251802624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" fillcolor="#001d77" stroked="f">
                <v:textbox>
                  <w:txbxContent>
                    <w:p w:rsidR="003627E7" w:rsidRPr="00B66B19" w:rsidRDefault="003627E7" w:rsidP="003627E7">
                      <w:pPr>
                        <w:spacing w:after="0" w:line="240" w:lineRule="auto"/>
                        <w:rPr>
                          <w:rFonts w:ascii="Fira Sans SemiBold" w:hAnsi="Fira Sans SemiBold"/>
                          <w:color w:val="FFFFFF" w:themeColor="background1"/>
                          <w:sz w:val="72"/>
                        </w:rPr>
                      </w:pPr>
                      <w:r>
                        <w:rPr>
                          <w:rFonts w:asciiTheme="minorHAnsi" w:hAnsiTheme="minorHAnsi"/>
                          <w:noProof/>
                          <w:color w:val="001D77"/>
                          <w:sz w:val="22"/>
                          <w:lang w:eastAsia="pl-PL"/>
                        </w:rPr>
                        <w:drawing>
                          <wp:inline distT="0" distB="0" distL="0" distR="0" wp14:anchorId="2299B293" wp14:editId="7D64840B">
                            <wp:extent cx="361950" cy="361950"/>
                            <wp:effectExtent l="0" t="0" r="0" b="0"/>
                            <wp:docPr id="15" name="Obraz 15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Obraz 33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1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361950" cy="36195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>
                        <w:rPr>
                          <w:noProof/>
                          <w:color w:val="001D77"/>
                          <w:lang w:eastAsia="pl-PL"/>
                        </w:rPr>
                        <w:t xml:space="preserve"> </w:t>
                      </w:r>
                      <w:r w:rsidRPr="003F3148">
                        <w:rPr>
                          <w:rFonts w:ascii="Fira Sans SemiBold" w:hAnsi="Fira Sans SemiBold"/>
                          <w:color w:val="FFFFFF" w:themeColor="background1"/>
                          <w:sz w:val="72"/>
                        </w:rPr>
                        <w:t>109,0</w:t>
                      </w:r>
                    </w:p>
                    <w:p w:rsidR="003627E7" w:rsidRPr="003F3148" w:rsidRDefault="003627E7" w:rsidP="003627E7">
                      <w:pPr>
                        <w:pStyle w:val="tekstnaniebieskimtle"/>
                      </w:pPr>
                      <w:r w:rsidRPr="003F3148">
                        <w:t>Produkcja sprzedana przemysłu w porównaniu ze styczniem ub. roku</w:t>
                      </w:r>
                    </w:p>
                    <w:p w:rsidR="003627E7" w:rsidRPr="003F3148" w:rsidRDefault="003627E7" w:rsidP="003627E7">
                      <w:pPr>
                        <w:pStyle w:val="tekstnaniebieskimtle"/>
                        <w:rPr>
                          <w:color w:val="FFFFFF" w:themeColor="background1"/>
                          <w:sz w:val="18"/>
                          <w:szCs w:val="20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4C7303">
        <w:rPr>
          <w:b/>
          <w:noProof/>
          <w:szCs w:val="19"/>
          <w:lang w:eastAsia="pl-PL"/>
        </w:rPr>
        <w:t xml:space="preserve">W </w:t>
      </w:r>
      <w:r w:rsidR="00CE5CAF">
        <w:rPr>
          <w:b/>
          <w:noProof/>
          <w:szCs w:val="19"/>
          <w:lang w:eastAsia="pl-PL"/>
        </w:rPr>
        <w:t>czerwcu</w:t>
      </w:r>
      <w:r w:rsidRPr="003627E7">
        <w:rPr>
          <w:b/>
          <w:noProof/>
          <w:szCs w:val="19"/>
          <w:lang w:eastAsia="pl-PL"/>
        </w:rPr>
        <w:t xml:space="preserve"> br. produkcja sprzed</w:t>
      </w:r>
      <w:r w:rsidR="00CE5CAF">
        <w:rPr>
          <w:b/>
          <w:noProof/>
          <w:szCs w:val="19"/>
          <w:lang w:eastAsia="pl-PL"/>
        </w:rPr>
        <w:t>ana przemysłu była wy</w:t>
      </w:r>
      <w:r w:rsidR="004C7303">
        <w:rPr>
          <w:b/>
          <w:noProof/>
          <w:szCs w:val="19"/>
          <w:lang w:eastAsia="pl-PL"/>
        </w:rPr>
        <w:t xml:space="preserve">ższa o </w:t>
      </w:r>
      <w:r w:rsidR="00CE5CAF">
        <w:rPr>
          <w:b/>
          <w:noProof/>
          <w:szCs w:val="19"/>
          <w:lang w:eastAsia="pl-PL"/>
        </w:rPr>
        <w:t>0,5</w:t>
      </w:r>
      <w:r w:rsidR="004C7303">
        <w:rPr>
          <w:b/>
          <w:noProof/>
          <w:szCs w:val="19"/>
          <w:lang w:eastAsia="pl-PL"/>
        </w:rPr>
        <w:t xml:space="preserve">% w porównaniu z </w:t>
      </w:r>
      <w:r w:rsidR="00CE5CAF">
        <w:rPr>
          <w:b/>
          <w:noProof/>
          <w:szCs w:val="19"/>
          <w:lang w:eastAsia="pl-PL"/>
        </w:rPr>
        <w:t>czerwcem</w:t>
      </w:r>
      <w:r w:rsidRPr="003627E7">
        <w:rPr>
          <w:b/>
          <w:noProof/>
          <w:szCs w:val="19"/>
          <w:lang w:eastAsia="pl-PL"/>
        </w:rPr>
        <w:t xml:space="preserve"> ub. r</w:t>
      </w:r>
      <w:r w:rsidR="004C7303">
        <w:rPr>
          <w:b/>
          <w:noProof/>
          <w:szCs w:val="19"/>
          <w:lang w:eastAsia="pl-PL"/>
        </w:rPr>
        <w:t xml:space="preserve">oku, kiedy </w:t>
      </w:r>
      <w:r w:rsidR="00C74841">
        <w:rPr>
          <w:b/>
          <w:noProof/>
          <w:szCs w:val="19"/>
          <w:lang w:eastAsia="pl-PL"/>
        </w:rPr>
        <w:t xml:space="preserve">to </w:t>
      </w:r>
      <w:r w:rsidR="004C7303">
        <w:rPr>
          <w:b/>
          <w:noProof/>
          <w:szCs w:val="19"/>
          <w:lang w:eastAsia="pl-PL"/>
        </w:rPr>
        <w:t xml:space="preserve">notowano </w:t>
      </w:r>
      <w:r w:rsidR="00CE5CAF">
        <w:rPr>
          <w:b/>
          <w:noProof/>
          <w:szCs w:val="19"/>
          <w:lang w:eastAsia="pl-PL"/>
        </w:rPr>
        <w:t>spadek</w:t>
      </w:r>
      <w:r w:rsidR="004C7303">
        <w:rPr>
          <w:b/>
          <w:noProof/>
          <w:szCs w:val="19"/>
          <w:lang w:eastAsia="pl-PL"/>
        </w:rPr>
        <w:t xml:space="preserve"> o </w:t>
      </w:r>
      <w:r w:rsidR="00CE5CAF">
        <w:rPr>
          <w:b/>
          <w:noProof/>
          <w:szCs w:val="19"/>
          <w:lang w:eastAsia="pl-PL"/>
        </w:rPr>
        <w:t>2,6</w:t>
      </w:r>
      <w:r w:rsidRPr="003627E7">
        <w:rPr>
          <w:b/>
          <w:noProof/>
          <w:szCs w:val="19"/>
          <w:lang w:eastAsia="pl-PL"/>
        </w:rPr>
        <w:t>%</w:t>
      </w:r>
      <w:r w:rsidR="00C74841" w:rsidRPr="00C74841">
        <w:t xml:space="preserve"> </w:t>
      </w:r>
      <w:r w:rsidR="00C74841" w:rsidRPr="00C74841">
        <w:rPr>
          <w:b/>
          <w:noProof/>
          <w:szCs w:val="19"/>
          <w:lang w:eastAsia="pl-PL"/>
        </w:rPr>
        <w:t>do an</w:t>
      </w:r>
      <w:r w:rsidR="006D4119" w:rsidRPr="00B55FEA">
        <w:rPr>
          <w:b/>
          <w:noProof/>
          <w:szCs w:val="19"/>
          <w:lang w:eastAsia="pl-PL"/>
        </w:rPr>
        <w:t>a</w:t>
      </w:r>
      <w:r w:rsidR="00C74841" w:rsidRPr="00C74841">
        <w:rPr>
          <w:b/>
          <w:noProof/>
          <w:szCs w:val="19"/>
          <w:lang w:eastAsia="pl-PL"/>
        </w:rPr>
        <w:t>logicznego okresu roku poprzedniego,</w:t>
      </w:r>
      <w:r w:rsidR="004C7303">
        <w:rPr>
          <w:b/>
          <w:noProof/>
          <w:szCs w:val="19"/>
          <w:lang w:eastAsia="pl-PL"/>
        </w:rPr>
        <w:t xml:space="preserve"> natomiast w porównaniu z </w:t>
      </w:r>
      <w:r w:rsidR="00CE5CAF">
        <w:rPr>
          <w:b/>
          <w:noProof/>
          <w:szCs w:val="19"/>
          <w:lang w:eastAsia="pl-PL"/>
        </w:rPr>
        <w:t>majem</w:t>
      </w:r>
      <w:r w:rsidR="004C7303">
        <w:rPr>
          <w:b/>
          <w:noProof/>
          <w:szCs w:val="19"/>
          <w:lang w:eastAsia="pl-PL"/>
        </w:rPr>
        <w:t xml:space="preserve"> br. wzrosła o </w:t>
      </w:r>
      <w:r w:rsidR="00CE5CAF">
        <w:rPr>
          <w:b/>
          <w:noProof/>
          <w:szCs w:val="19"/>
          <w:lang w:eastAsia="pl-PL"/>
        </w:rPr>
        <w:t>13,9</w:t>
      </w:r>
      <w:r w:rsidR="004C7303">
        <w:rPr>
          <w:b/>
          <w:noProof/>
          <w:szCs w:val="19"/>
          <w:lang w:eastAsia="pl-PL"/>
        </w:rPr>
        <w:t xml:space="preserve">%. W okresie styczeń – </w:t>
      </w:r>
      <w:r w:rsidR="00CE5CAF">
        <w:rPr>
          <w:b/>
          <w:noProof/>
          <w:szCs w:val="19"/>
          <w:lang w:eastAsia="pl-PL"/>
        </w:rPr>
        <w:t>czerwiec</w:t>
      </w:r>
      <w:r w:rsidRPr="003627E7">
        <w:rPr>
          <w:b/>
          <w:noProof/>
          <w:szCs w:val="19"/>
          <w:lang w:eastAsia="pl-PL"/>
        </w:rPr>
        <w:t xml:space="preserve"> br. produkcj</w:t>
      </w:r>
      <w:r w:rsidR="004C7303">
        <w:rPr>
          <w:b/>
          <w:noProof/>
          <w:szCs w:val="19"/>
          <w:lang w:eastAsia="pl-PL"/>
        </w:rPr>
        <w:t xml:space="preserve">a sprzedana przemysłu była o </w:t>
      </w:r>
      <w:r w:rsidR="006E2C76">
        <w:rPr>
          <w:b/>
          <w:noProof/>
          <w:szCs w:val="19"/>
          <w:lang w:eastAsia="pl-PL"/>
        </w:rPr>
        <w:t>6,3</w:t>
      </w:r>
      <w:r w:rsidRPr="003627E7">
        <w:rPr>
          <w:b/>
          <w:noProof/>
          <w:szCs w:val="19"/>
          <w:lang w:eastAsia="pl-PL"/>
        </w:rPr>
        <w:t>% niższa w porównaniu z analogicznym okresem ub. r</w:t>
      </w:r>
      <w:r w:rsidR="004C7303">
        <w:rPr>
          <w:b/>
          <w:noProof/>
          <w:szCs w:val="19"/>
          <w:lang w:eastAsia="pl-PL"/>
        </w:rPr>
        <w:t xml:space="preserve">oku, kiedy notowano wzrost o </w:t>
      </w:r>
      <w:r w:rsidR="006E2C76">
        <w:rPr>
          <w:b/>
          <w:noProof/>
          <w:szCs w:val="19"/>
          <w:lang w:eastAsia="pl-PL"/>
        </w:rPr>
        <w:t>5,1</w:t>
      </w:r>
      <w:r w:rsidRPr="003627E7">
        <w:rPr>
          <w:b/>
          <w:noProof/>
          <w:szCs w:val="19"/>
          <w:lang w:eastAsia="pl-PL"/>
        </w:rPr>
        <w:t xml:space="preserve">%. </w:t>
      </w:r>
    </w:p>
    <w:p w:rsidR="003627E7" w:rsidRPr="003627E7" w:rsidRDefault="003627E7" w:rsidP="003627E7">
      <w:pPr>
        <w:spacing w:before="0" w:after="0"/>
        <w:rPr>
          <w:b/>
          <w:noProof/>
          <w:szCs w:val="19"/>
          <w:lang w:eastAsia="pl-PL"/>
        </w:rPr>
      </w:pPr>
    </w:p>
    <w:p w:rsidR="003627E7" w:rsidRPr="003627E7" w:rsidRDefault="003627E7" w:rsidP="003627E7">
      <w:pPr>
        <w:spacing w:before="0" w:after="0"/>
        <w:rPr>
          <w:b/>
          <w:noProof/>
          <w:szCs w:val="19"/>
          <w:lang w:eastAsia="pl-PL"/>
        </w:rPr>
      </w:pPr>
    </w:p>
    <w:p w:rsidR="003627E7" w:rsidRPr="003627E7" w:rsidRDefault="003627E7" w:rsidP="003627E7">
      <w:pPr>
        <w:jc w:val="both"/>
        <w:rPr>
          <w:b/>
          <w:noProof/>
          <w:szCs w:val="19"/>
          <w:lang w:eastAsia="pl-PL"/>
        </w:rPr>
      </w:pPr>
    </w:p>
    <w:p w:rsidR="003627E7" w:rsidRPr="003627E7" w:rsidRDefault="003627E7" w:rsidP="003627E7">
      <w:pPr>
        <w:jc w:val="both"/>
        <w:rPr>
          <w:b/>
          <w:noProof/>
          <w:szCs w:val="19"/>
          <w:lang w:eastAsia="pl-PL"/>
        </w:rPr>
      </w:pPr>
      <w:r w:rsidRPr="003627E7">
        <w:rPr>
          <w:noProof/>
          <w:color w:val="212492"/>
          <w:spacing w:val="-2"/>
          <w:szCs w:val="19"/>
          <w:lang w:eastAsia="pl-PL"/>
        </w:rPr>
        <mc:AlternateContent>
          <mc:Choice Requires="wps">
            <w:drawing>
              <wp:anchor distT="45720" distB="45720" distL="114300" distR="114300" simplePos="0" relativeHeight="251801600" behindDoc="1" locked="0" layoutInCell="1" allowOverlap="1" wp14:anchorId="5F4DD38F" wp14:editId="160B0B62">
                <wp:simplePos x="0" y="0"/>
                <wp:positionH relativeFrom="column">
                  <wp:posOffset>5257800</wp:posOffset>
                </wp:positionH>
                <wp:positionV relativeFrom="paragraph">
                  <wp:posOffset>77470</wp:posOffset>
                </wp:positionV>
                <wp:extent cx="1701165" cy="1019175"/>
                <wp:effectExtent l="0" t="0" r="0" b="0"/>
                <wp:wrapTight wrapText="bothSides">
                  <wp:wrapPolygon edited="0">
                    <wp:start x="726" y="0"/>
                    <wp:lineTo x="726" y="20994"/>
                    <wp:lineTo x="20802" y="20994"/>
                    <wp:lineTo x="20802" y="0"/>
                    <wp:lineTo x="726" y="0"/>
                  </wp:wrapPolygon>
                </wp:wrapTight>
                <wp:docPr id="29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01165" cy="101917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3627E7" w:rsidRPr="00AE62E1" w:rsidRDefault="003627E7" w:rsidP="003627E7">
                            <w:pPr>
                              <w:pStyle w:val="tekstzboku"/>
                              <w:suppressAutoHyphens/>
                            </w:pPr>
                            <w:r w:rsidRPr="00AE62E1">
                              <w:t>Po wyrównaniu sezonowym, spadek produkcji</w:t>
                            </w:r>
                            <w:r w:rsidR="00AE62E1">
                              <w:t xml:space="preserve"> sprzedanej przemysłu w </w:t>
                            </w:r>
                            <w:r w:rsidR="00334B93">
                              <w:t>czerwcu</w:t>
                            </w:r>
                            <w:r w:rsidRPr="00AE62E1">
                              <w:t xml:space="preserve"> br. wyniósł </w:t>
                            </w:r>
                            <w:r w:rsidR="00334B93">
                              <w:t>4,9</w:t>
                            </w:r>
                            <w:r w:rsidRPr="00AE62E1">
                              <w:t xml:space="preserve">% w skali roku </w:t>
                            </w:r>
                          </w:p>
                          <w:p w:rsidR="003627E7" w:rsidRPr="00AE62E1" w:rsidRDefault="003627E7" w:rsidP="003627E7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F4DD38F" id="_x0000_s1028" type="#_x0000_t202" style="position:absolute;left:0;text-align:left;margin-left:414pt;margin-top:6.1pt;width:133.95pt;height:80.25pt;z-index:-25151488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" filled="f" stroked="f">
                <v:textbox>
                  <w:txbxContent>
                    <w:p w:rsidR="003627E7" w:rsidRPr="00AE62E1" w:rsidRDefault="003627E7" w:rsidP="003627E7">
                      <w:pPr>
                        <w:pStyle w:val="tekstzboku"/>
                        <w:suppressAutoHyphens/>
                      </w:pPr>
                      <w:r w:rsidRPr="00AE62E1">
                        <w:t>Po wyrównaniu sezonowym, spadek produkcji</w:t>
                      </w:r>
                      <w:r w:rsidR="00AE62E1">
                        <w:t xml:space="preserve"> sprzedanej przemysłu w </w:t>
                      </w:r>
                      <w:r w:rsidR="00334B93">
                        <w:t>czerwcu</w:t>
                      </w:r>
                      <w:r w:rsidRPr="00AE62E1">
                        <w:t xml:space="preserve"> br. wyniósł </w:t>
                      </w:r>
                      <w:r w:rsidR="00334B93">
                        <w:t>4,9</w:t>
                      </w:r>
                      <w:r w:rsidRPr="00AE62E1">
                        <w:t xml:space="preserve">% w skali roku </w:t>
                      </w:r>
                    </w:p>
                    <w:p w:rsidR="003627E7" w:rsidRPr="00AE62E1" w:rsidRDefault="003627E7" w:rsidP="003627E7"/>
                  </w:txbxContent>
                </v:textbox>
                <w10:wrap type="tight"/>
              </v:shape>
            </w:pict>
          </mc:Fallback>
        </mc:AlternateContent>
      </w:r>
    </w:p>
    <w:p w:rsidR="003627E7" w:rsidRPr="00AE62E1" w:rsidRDefault="003627E7" w:rsidP="003627E7">
      <w:pPr>
        <w:rPr>
          <w:noProof/>
          <w:szCs w:val="19"/>
          <w:lang w:eastAsia="pl-PL"/>
        </w:rPr>
      </w:pPr>
      <w:r w:rsidRPr="00AE62E1">
        <w:rPr>
          <w:noProof/>
          <w:szCs w:val="19"/>
          <w:lang w:eastAsia="pl-PL"/>
        </w:rPr>
        <w:t>Po wyeliminowaniu wpływu czynników o c</w:t>
      </w:r>
      <w:r w:rsidR="00AE62E1">
        <w:rPr>
          <w:noProof/>
          <w:szCs w:val="19"/>
          <w:lang w:eastAsia="pl-PL"/>
        </w:rPr>
        <w:t xml:space="preserve">harakterze sezonowym, w </w:t>
      </w:r>
      <w:r w:rsidR="00334B93">
        <w:rPr>
          <w:noProof/>
          <w:szCs w:val="19"/>
          <w:lang w:eastAsia="pl-PL"/>
        </w:rPr>
        <w:t>czerwcu</w:t>
      </w:r>
      <w:r w:rsidRPr="00AE62E1">
        <w:rPr>
          <w:noProof/>
          <w:szCs w:val="19"/>
          <w:lang w:eastAsia="pl-PL"/>
        </w:rPr>
        <w:t xml:space="preserve"> br. produkcja sprzedana przemysłu ukształtowała się na poziomie o </w:t>
      </w:r>
      <w:r w:rsidR="00334B93">
        <w:rPr>
          <w:noProof/>
          <w:szCs w:val="19"/>
          <w:lang w:eastAsia="pl-PL"/>
        </w:rPr>
        <w:t>4,9</w:t>
      </w:r>
      <w:r w:rsidRPr="00AE62E1">
        <w:rPr>
          <w:noProof/>
          <w:szCs w:val="19"/>
          <w:lang w:eastAsia="pl-PL"/>
        </w:rPr>
        <w:t xml:space="preserve">% niższym niż w analogicznym miesiącu ub. roku i o </w:t>
      </w:r>
      <w:r w:rsidR="00334B93">
        <w:rPr>
          <w:noProof/>
          <w:szCs w:val="19"/>
          <w:lang w:eastAsia="pl-PL"/>
        </w:rPr>
        <w:t>9,7</w:t>
      </w:r>
      <w:r w:rsidR="00AE62E1">
        <w:rPr>
          <w:noProof/>
          <w:szCs w:val="19"/>
          <w:lang w:eastAsia="pl-PL"/>
        </w:rPr>
        <w:t>% wy</w:t>
      </w:r>
      <w:r w:rsidRPr="00AE62E1">
        <w:rPr>
          <w:noProof/>
          <w:szCs w:val="19"/>
          <w:lang w:eastAsia="pl-PL"/>
        </w:rPr>
        <w:t xml:space="preserve">ższym w porównaniu z </w:t>
      </w:r>
      <w:r w:rsidR="00334B93">
        <w:rPr>
          <w:noProof/>
          <w:szCs w:val="19"/>
          <w:lang w:eastAsia="pl-PL"/>
        </w:rPr>
        <w:t>majem</w:t>
      </w:r>
      <w:r w:rsidRPr="00AE62E1">
        <w:rPr>
          <w:noProof/>
          <w:szCs w:val="19"/>
          <w:lang w:eastAsia="pl-PL"/>
        </w:rPr>
        <w:t xml:space="preserve"> br.</w:t>
      </w:r>
    </w:p>
    <w:p w:rsidR="003627E7" w:rsidRPr="003627E7" w:rsidRDefault="003627E7" w:rsidP="003627E7">
      <w:pPr>
        <w:jc w:val="both"/>
        <w:rPr>
          <w:b/>
          <w:noProof/>
          <w:szCs w:val="19"/>
          <w:lang w:eastAsia="pl-PL"/>
        </w:rPr>
      </w:pPr>
    </w:p>
    <w:p w:rsidR="003627E7" w:rsidRPr="003627E7" w:rsidRDefault="00334B93" w:rsidP="003627E7">
      <w:pPr>
        <w:rPr>
          <w:b/>
          <w:spacing w:val="-2"/>
          <w:sz w:val="18"/>
          <w:szCs w:val="18"/>
          <w:shd w:val="clear" w:color="auto" w:fill="FFFFFF"/>
        </w:rPr>
      </w:pPr>
      <w:r>
        <w:rPr>
          <w:noProof/>
          <w:lang w:eastAsia="pl-PL"/>
        </w:rPr>
        <w:drawing>
          <wp:anchor distT="0" distB="0" distL="114300" distR="114300" simplePos="0" relativeHeight="251806720" behindDoc="0" locked="0" layoutInCell="1" allowOverlap="1" wp14:anchorId="4FF1D806" wp14:editId="7FBAE210">
            <wp:simplePos x="0" y="0"/>
            <wp:positionH relativeFrom="margin">
              <wp:align>right</wp:align>
            </wp:positionH>
            <wp:positionV relativeFrom="paragraph">
              <wp:posOffset>265430</wp:posOffset>
            </wp:positionV>
            <wp:extent cx="5179060" cy="3151505"/>
            <wp:effectExtent l="0" t="0" r="2540" b="0"/>
            <wp:wrapSquare wrapText="bothSides"/>
            <wp:docPr id="1" name="Wykres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2"/>
              </a:graphicData>
            </a:graphic>
            <wp14:sizeRelH relativeFrom="margin">
              <wp14:pctWidth>0</wp14:pctWidth>
            </wp14:sizeRelH>
          </wp:anchor>
        </w:drawing>
      </w:r>
      <w:r w:rsidR="003627E7" w:rsidRPr="003627E7">
        <w:rPr>
          <w:b/>
          <w:spacing w:val="-2"/>
          <w:sz w:val="18"/>
          <w:szCs w:val="18"/>
        </w:rPr>
        <w:t>Wykres 1.</w:t>
      </w:r>
      <w:r w:rsidR="003627E7" w:rsidRPr="003627E7">
        <w:rPr>
          <w:b/>
          <w:spacing w:val="-2"/>
          <w:sz w:val="18"/>
          <w:szCs w:val="18"/>
          <w:shd w:val="clear" w:color="auto" w:fill="FFFFFF"/>
        </w:rPr>
        <w:t xml:space="preserve"> Produkcja sprzedana przemysłu (przeciętna miesięczna 2015=100)</w:t>
      </w:r>
    </w:p>
    <w:p w:rsidR="003627E7" w:rsidRPr="003627E7" w:rsidRDefault="003627E7" w:rsidP="003627E7">
      <w:pPr>
        <w:rPr>
          <w:b/>
          <w:spacing w:val="-2"/>
          <w:sz w:val="18"/>
          <w:szCs w:val="18"/>
          <w:shd w:val="clear" w:color="auto" w:fill="FFFFFF"/>
        </w:rPr>
      </w:pPr>
    </w:p>
    <w:p w:rsidR="003627E7" w:rsidRPr="003627E7" w:rsidRDefault="003627E7" w:rsidP="003627E7">
      <w:pPr>
        <w:spacing w:after="0"/>
        <w:jc w:val="both"/>
        <w:rPr>
          <w:b/>
          <w:sz w:val="18"/>
          <w:szCs w:val="18"/>
          <w:shd w:val="clear" w:color="auto" w:fill="FFFFFF"/>
        </w:rPr>
      </w:pPr>
    </w:p>
    <w:p w:rsidR="00334B93" w:rsidRDefault="00334B93" w:rsidP="00334B93">
      <w:pPr>
        <w:spacing w:before="0" w:after="0" w:line="240" w:lineRule="auto"/>
        <w:rPr>
          <w:sz w:val="16"/>
          <w:szCs w:val="16"/>
          <w:shd w:val="clear" w:color="auto" w:fill="FFFFFF"/>
        </w:rPr>
      </w:pPr>
      <w:r w:rsidRPr="00DD58F4">
        <w:rPr>
          <w:rFonts w:eastAsia="Calibri" w:cs="Times New Roman"/>
        </w:rPr>
        <w:t>W większości gł</w:t>
      </w:r>
      <w:r>
        <w:rPr>
          <w:rFonts w:eastAsia="Calibri" w:cs="Times New Roman"/>
        </w:rPr>
        <w:t>ównych grupowań przemysłowych w czerwcu br.</w:t>
      </w:r>
      <w:r w:rsidRPr="00DD58F4">
        <w:rPr>
          <w:rFonts w:eastAsia="Calibri" w:cs="Times New Roman"/>
        </w:rPr>
        <w:t xml:space="preserve"> odnotowano </w:t>
      </w:r>
      <w:r>
        <w:rPr>
          <w:rFonts w:eastAsia="Calibri" w:cs="Times New Roman"/>
        </w:rPr>
        <w:t>wzrost</w:t>
      </w:r>
      <w:r w:rsidRPr="00DD58F4">
        <w:rPr>
          <w:rFonts w:eastAsia="Calibri" w:cs="Times New Roman"/>
        </w:rPr>
        <w:t xml:space="preserve"> produkcji w skali roku. Produkcja dóbr konsumpcyjnych trwałych</w:t>
      </w:r>
      <w:r>
        <w:rPr>
          <w:rFonts w:eastAsia="Calibri" w:cs="Times New Roman"/>
        </w:rPr>
        <w:t xml:space="preserve"> wzrosła o 16,2</w:t>
      </w:r>
      <w:r w:rsidRPr="00DD58F4">
        <w:rPr>
          <w:rFonts w:eastAsia="Calibri" w:cs="Times New Roman"/>
        </w:rPr>
        <w:t>%</w:t>
      </w:r>
      <w:r>
        <w:rPr>
          <w:rFonts w:eastAsia="Calibri" w:cs="Times New Roman"/>
        </w:rPr>
        <w:t xml:space="preserve">, </w:t>
      </w:r>
      <w:r w:rsidRPr="00DD58F4">
        <w:rPr>
          <w:rFonts w:eastAsia="Calibri" w:cs="Times New Roman"/>
        </w:rPr>
        <w:t xml:space="preserve">dóbr zaopatrzeniowych </w:t>
      </w:r>
      <w:r>
        <w:rPr>
          <w:rFonts w:eastAsia="Calibri" w:cs="Times New Roman"/>
        </w:rPr>
        <w:t xml:space="preserve">– </w:t>
      </w:r>
      <w:r w:rsidRPr="00DD58F4">
        <w:rPr>
          <w:rFonts w:eastAsia="Calibri" w:cs="Times New Roman"/>
        </w:rPr>
        <w:t>o</w:t>
      </w:r>
      <w:r>
        <w:rPr>
          <w:rFonts w:eastAsia="Calibri" w:cs="Times New Roman"/>
        </w:rPr>
        <w:t xml:space="preserve"> 3,5</w:t>
      </w:r>
      <w:r w:rsidRPr="00DD58F4">
        <w:rPr>
          <w:rFonts w:eastAsia="Calibri" w:cs="Times New Roman"/>
        </w:rPr>
        <w:t>%</w:t>
      </w:r>
      <w:r>
        <w:rPr>
          <w:rFonts w:eastAsia="Calibri" w:cs="Times New Roman"/>
        </w:rPr>
        <w:t>, a</w:t>
      </w:r>
      <w:r w:rsidRPr="00AB7068">
        <w:rPr>
          <w:rFonts w:eastAsia="Calibri" w:cs="Times New Roman"/>
        </w:rPr>
        <w:t xml:space="preserve"> </w:t>
      </w:r>
      <w:r>
        <w:rPr>
          <w:rFonts w:eastAsia="Calibri" w:cs="Times New Roman"/>
        </w:rPr>
        <w:t xml:space="preserve">dóbr </w:t>
      </w:r>
      <w:r w:rsidRPr="00DD58F4">
        <w:rPr>
          <w:rFonts w:eastAsia="Calibri" w:cs="Times New Roman"/>
        </w:rPr>
        <w:t xml:space="preserve">konsumpcyjnych nietrwałych – o </w:t>
      </w:r>
      <w:r>
        <w:rPr>
          <w:rFonts w:eastAsia="Calibri" w:cs="Times New Roman"/>
        </w:rPr>
        <w:t>3,3</w:t>
      </w:r>
      <w:r w:rsidRPr="00DD58F4">
        <w:rPr>
          <w:rFonts w:eastAsia="Calibri" w:cs="Times New Roman"/>
        </w:rPr>
        <w:t>%.</w:t>
      </w:r>
      <w:r>
        <w:rPr>
          <w:rFonts w:eastAsia="Calibri" w:cs="Times New Roman"/>
        </w:rPr>
        <w:t xml:space="preserve"> Zmniejszyła</w:t>
      </w:r>
      <w:r w:rsidRPr="00DD58F4">
        <w:rPr>
          <w:rFonts w:eastAsia="Calibri" w:cs="Times New Roman"/>
        </w:rPr>
        <w:t xml:space="preserve"> się natomiast produkcja</w:t>
      </w:r>
      <w:r w:rsidRPr="00AA4DEF">
        <w:rPr>
          <w:rFonts w:eastAsia="Calibri" w:cs="Times New Roman"/>
        </w:rPr>
        <w:t xml:space="preserve"> </w:t>
      </w:r>
      <w:r w:rsidRPr="00DD58F4">
        <w:rPr>
          <w:rFonts w:eastAsia="Calibri" w:cs="Times New Roman"/>
        </w:rPr>
        <w:t xml:space="preserve">dóbr związanych z energią </w:t>
      </w:r>
      <w:r w:rsidR="00043821">
        <w:rPr>
          <w:rFonts w:eastAsia="Calibri" w:cs="Times New Roman"/>
        </w:rPr>
        <w:t xml:space="preserve">– o 9,9% oraz </w:t>
      </w:r>
      <w:r w:rsidRPr="00DD58F4">
        <w:rPr>
          <w:rFonts w:eastAsia="Calibri" w:cs="Times New Roman"/>
        </w:rPr>
        <w:t xml:space="preserve">dóbr inwestycyjnych </w:t>
      </w:r>
      <w:r>
        <w:rPr>
          <w:rFonts w:eastAsia="Calibri" w:cs="Times New Roman"/>
        </w:rPr>
        <w:t>–</w:t>
      </w:r>
      <w:r w:rsidRPr="00DD58F4">
        <w:rPr>
          <w:rFonts w:eastAsia="Calibri" w:cs="Times New Roman"/>
        </w:rPr>
        <w:t xml:space="preserve"> o</w:t>
      </w:r>
      <w:r>
        <w:rPr>
          <w:rFonts w:eastAsia="Calibri" w:cs="Times New Roman"/>
        </w:rPr>
        <w:t> 8,6%.</w:t>
      </w:r>
    </w:p>
    <w:p w:rsidR="003627E7" w:rsidRPr="003627E7" w:rsidRDefault="003627E7" w:rsidP="003627E7">
      <w:pPr>
        <w:spacing w:after="0"/>
        <w:jc w:val="both"/>
        <w:rPr>
          <w:b/>
          <w:sz w:val="18"/>
          <w:szCs w:val="18"/>
          <w:shd w:val="clear" w:color="auto" w:fill="FFFFFF"/>
        </w:rPr>
      </w:pPr>
    </w:p>
    <w:p w:rsidR="003627E7" w:rsidRPr="003627E7" w:rsidRDefault="003627E7" w:rsidP="003627E7">
      <w:pPr>
        <w:spacing w:after="0"/>
        <w:jc w:val="both"/>
        <w:rPr>
          <w:b/>
          <w:sz w:val="18"/>
          <w:szCs w:val="18"/>
          <w:shd w:val="clear" w:color="auto" w:fill="FFFFFF"/>
        </w:rPr>
      </w:pPr>
    </w:p>
    <w:p w:rsidR="003627E7" w:rsidRPr="003627E7" w:rsidRDefault="003627E7" w:rsidP="003627E7">
      <w:pPr>
        <w:spacing w:before="0" w:after="0" w:line="240" w:lineRule="auto"/>
        <w:rPr>
          <w:sz w:val="16"/>
          <w:szCs w:val="16"/>
          <w:shd w:val="clear" w:color="auto" w:fill="FFFFFF"/>
        </w:rPr>
      </w:pPr>
      <w:proofErr w:type="gramStart"/>
      <w:r w:rsidRPr="003627E7">
        <w:rPr>
          <w:i/>
          <w:sz w:val="16"/>
          <w:szCs w:val="16"/>
          <w:shd w:val="clear" w:color="auto" w:fill="FFFFFF"/>
          <w:vertAlign w:val="superscript"/>
        </w:rPr>
        <w:t>a</w:t>
      </w:r>
      <w:proofErr w:type="gramEnd"/>
      <w:r w:rsidRPr="003627E7">
        <w:rPr>
          <w:sz w:val="16"/>
          <w:szCs w:val="16"/>
          <w:shd w:val="clear" w:color="auto" w:fill="FFFFFF"/>
          <w:vertAlign w:val="superscript"/>
        </w:rPr>
        <w:t xml:space="preserve">) </w:t>
      </w:r>
      <w:r w:rsidRPr="003627E7">
        <w:rPr>
          <w:sz w:val="16"/>
          <w:szCs w:val="16"/>
          <w:shd w:val="clear" w:color="auto" w:fill="FFFFFF"/>
        </w:rPr>
        <w:t>Dane meldunkowe; obejmują przedsiębiorstwa o liczbie pracujących 10 osób i więcej.</w:t>
      </w:r>
    </w:p>
    <w:p w:rsidR="001B64CB" w:rsidRDefault="001B64CB" w:rsidP="003627E7">
      <w:pPr>
        <w:spacing w:after="0"/>
        <w:jc w:val="both"/>
        <w:rPr>
          <w:b/>
          <w:sz w:val="18"/>
          <w:szCs w:val="18"/>
          <w:shd w:val="clear" w:color="auto" w:fill="FFFFFF"/>
        </w:rPr>
      </w:pPr>
    </w:p>
    <w:p w:rsidR="003627E7" w:rsidRPr="003627E7" w:rsidRDefault="003627E7" w:rsidP="003627E7">
      <w:pPr>
        <w:spacing w:after="0"/>
        <w:jc w:val="both"/>
        <w:rPr>
          <w:b/>
          <w:sz w:val="18"/>
          <w:szCs w:val="18"/>
          <w:shd w:val="clear" w:color="auto" w:fill="FFFFFF"/>
        </w:rPr>
      </w:pPr>
      <w:r w:rsidRPr="003627E7">
        <w:rPr>
          <w:b/>
          <w:sz w:val="18"/>
          <w:szCs w:val="18"/>
          <w:shd w:val="clear" w:color="auto" w:fill="FFFFFF"/>
        </w:rPr>
        <w:t>Tablica 1. Dynamika produkcji sprzedanej przemysłu (ceny stałe)</w:t>
      </w:r>
    </w:p>
    <w:tbl>
      <w:tblPr>
        <w:tblStyle w:val="Siatkatabelijasna"/>
        <w:tblpPr w:leftFromText="141" w:rightFromText="141" w:vertAnchor="text" w:horzAnchor="margin" w:tblpY="176"/>
        <w:tblW w:w="809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single" w:sz="4" w:space="0" w:color="212492"/>
          <w:insideV w:val="single" w:sz="4" w:space="0" w:color="212492"/>
        </w:tblBorders>
        <w:tblCellMar>
          <w:top w:w="57" w:type="dxa"/>
          <w:bottom w:w="57" w:type="dxa"/>
        </w:tblCellMar>
        <w:tblLook w:val="0000" w:firstRow="0" w:lastRow="0" w:firstColumn="0" w:lastColumn="0" w:noHBand="0" w:noVBand="0"/>
      </w:tblPr>
      <w:tblGrid>
        <w:gridCol w:w="2552"/>
        <w:gridCol w:w="1417"/>
        <w:gridCol w:w="1418"/>
        <w:gridCol w:w="1427"/>
        <w:gridCol w:w="1278"/>
      </w:tblGrid>
      <w:tr w:rsidR="003627E7" w:rsidRPr="003627E7" w:rsidTr="00F84574">
        <w:trPr>
          <w:trHeight w:val="57"/>
        </w:trPr>
        <w:tc>
          <w:tcPr>
            <w:tcW w:w="2552" w:type="dxa"/>
            <w:vMerge w:val="restart"/>
            <w:vAlign w:val="center"/>
          </w:tcPr>
          <w:p w:rsidR="003627E7" w:rsidRPr="003627E7" w:rsidRDefault="003627E7" w:rsidP="003627E7">
            <w:pPr>
              <w:jc w:val="center"/>
              <w:rPr>
                <w:b/>
                <w:sz w:val="16"/>
                <w:szCs w:val="18"/>
                <w:shd w:val="clear" w:color="auto" w:fill="FFFFFF"/>
              </w:rPr>
            </w:pPr>
            <w:r w:rsidRPr="003627E7">
              <w:rPr>
                <w:bCs/>
                <w:sz w:val="16"/>
                <w:szCs w:val="18"/>
                <w:shd w:val="clear" w:color="auto" w:fill="FFFFFF"/>
              </w:rPr>
              <w:t>WYSZCZEGÓLNIENIE</w:t>
            </w:r>
          </w:p>
        </w:tc>
        <w:tc>
          <w:tcPr>
            <w:tcW w:w="4262" w:type="dxa"/>
            <w:gridSpan w:val="3"/>
            <w:vAlign w:val="center"/>
          </w:tcPr>
          <w:p w:rsidR="003627E7" w:rsidRPr="003627E7" w:rsidRDefault="003627E7" w:rsidP="003627E7">
            <w:pPr>
              <w:jc w:val="center"/>
              <w:rPr>
                <w:sz w:val="16"/>
                <w:szCs w:val="18"/>
                <w:shd w:val="clear" w:color="auto" w:fill="FFFFFF"/>
              </w:rPr>
            </w:pPr>
            <w:r w:rsidRPr="003627E7">
              <w:rPr>
                <w:sz w:val="16"/>
                <w:szCs w:val="18"/>
                <w:shd w:val="clear" w:color="auto" w:fill="FFFFFF"/>
              </w:rPr>
              <w:t>V</w:t>
            </w:r>
            <w:r w:rsidR="006E2C76">
              <w:rPr>
                <w:sz w:val="16"/>
                <w:szCs w:val="18"/>
                <w:shd w:val="clear" w:color="auto" w:fill="FFFFFF"/>
              </w:rPr>
              <w:t>I</w:t>
            </w:r>
            <w:r w:rsidRPr="003627E7">
              <w:rPr>
                <w:sz w:val="16"/>
                <w:szCs w:val="18"/>
                <w:shd w:val="clear" w:color="auto" w:fill="FFFFFF"/>
              </w:rPr>
              <w:t xml:space="preserve"> 2020</w:t>
            </w:r>
          </w:p>
        </w:tc>
        <w:tc>
          <w:tcPr>
            <w:tcW w:w="1278" w:type="dxa"/>
            <w:vAlign w:val="center"/>
          </w:tcPr>
          <w:p w:rsidR="003627E7" w:rsidRPr="003627E7" w:rsidRDefault="00CA3894" w:rsidP="003627E7">
            <w:pPr>
              <w:jc w:val="center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I-</w:t>
            </w:r>
            <w:r w:rsidR="003627E7" w:rsidRPr="003627E7">
              <w:rPr>
                <w:sz w:val="16"/>
                <w:szCs w:val="18"/>
                <w:shd w:val="clear" w:color="auto" w:fill="FFFFFF"/>
              </w:rPr>
              <w:t>V</w:t>
            </w:r>
            <w:r w:rsidR="006E2C76">
              <w:rPr>
                <w:sz w:val="16"/>
                <w:szCs w:val="18"/>
                <w:shd w:val="clear" w:color="auto" w:fill="FFFFFF"/>
              </w:rPr>
              <w:t>I</w:t>
            </w:r>
            <w:r w:rsidR="003627E7" w:rsidRPr="003627E7">
              <w:rPr>
                <w:sz w:val="16"/>
                <w:szCs w:val="18"/>
                <w:shd w:val="clear" w:color="auto" w:fill="FFFFFF"/>
              </w:rPr>
              <w:t xml:space="preserve"> 2020</w:t>
            </w:r>
            <w:r w:rsidR="003627E7" w:rsidRPr="003627E7">
              <w:rPr>
                <w:b/>
                <w:i/>
                <w:sz w:val="16"/>
                <w:szCs w:val="18"/>
                <w:shd w:val="clear" w:color="auto" w:fill="FFFFFF"/>
                <w:vertAlign w:val="superscript"/>
              </w:rPr>
              <w:t xml:space="preserve"> a)</w:t>
            </w:r>
          </w:p>
        </w:tc>
      </w:tr>
      <w:tr w:rsidR="003627E7" w:rsidRPr="003627E7" w:rsidTr="00F84574">
        <w:trPr>
          <w:trHeight w:val="57"/>
        </w:trPr>
        <w:tc>
          <w:tcPr>
            <w:tcW w:w="2552" w:type="dxa"/>
            <w:vMerge/>
            <w:tcBorders>
              <w:bottom w:val="single" w:sz="12" w:space="0" w:color="212492"/>
            </w:tcBorders>
            <w:vAlign w:val="center"/>
          </w:tcPr>
          <w:p w:rsidR="003627E7" w:rsidRPr="003627E7" w:rsidRDefault="003627E7" w:rsidP="003627E7">
            <w:pPr>
              <w:jc w:val="both"/>
              <w:rPr>
                <w:b/>
                <w:bCs/>
                <w:sz w:val="16"/>
                <w:szCs w:val="18"/>
                <w:shd w:val="clear" w:color="auto" w:fill="FFFFFF"/>
              </w:rPr>
            </w:pPr>
          </w:p>
        </w:tc>
        <w:tc>
          <w:tcPr>
            <w:tcW w:w="1417" w:type="dxa"/>
            <w:tcBorders>
              <w:bottom w:val="single" w:sz="12" w:space="0" w:color="212492"/>
            </w:tcBorders>
            <w:vAlign w:val="center"/>
          </w:tcPr>
          <w:p w:rsidR="003627E7" w:rsidRPr="003627E7" w:rsidRDefault="00CA3894" w:rsidP="003627E7">
            <w:pPr>
              <w:jc w:val="center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V</w:t>
            </w:r>
            <w:r w:rsidR="003627E7" w:rsidRPr="003627E7">
              <w:rPr>
                <w:sz w:val="16"/>
                <w:szCs w:val="18"/>
                <w:shd w:val="clear" w:color="auto" w:fill="FFFFFF"/>
              </w:rPr>
              <w:t xml:space="preserve"> 2020=100</w:t>
            </w:r>
          </w:p>
        </w:tc>
        <w:tc>
          <w:tcPr>
            <w:tcW w:w="1418" w:type="dxa"/>
            <w:tcBorders>
              <w:bottom w:val="single" w:sz="12" w:space="0" w:color="212492"/>
            </w:tcBorders>
            <w:vAlign w:val="center"/>
          </w:tcPr>
          <w:p w:rsidR="003627E7" w:rsidRPr="003627E7" w:rsidRDefault="003627E7" w:rsidP="003627E7">
            <w:pPr>
              <w:jc w:val="center"/>
              <w:rPr>
                <w:sz w:val="16"/>
                <w:szCs w:val="18"/>
                <w:shd w:val="clear" w:color="auto" w:fill="FFFFFF"/>
              </w:rPr>
            </w:pPr>
            <w:r w:rsidRPr="003627E7">
              <w:rPr>
                <w:sz w:val="16"/>
                <w:szCs w:val="18"/>
                <w:shd w:val="clear" w:color="auto" w:fill="FFFFFF"/>
              </w:rPr>
              <w:t>V</w:t>
            </w:r>
            <w:r w:rsidR="006E2C76">
              <w:rPr>
                <w:sz w:val="16"/>
                <w:szCs w:val="18"/>
                <w:shd w:val="clear" w:color="auto" w:fill="FFFFFF"/>
              </w:rPr>
              <w:t>I</w:t>
            </w:r>
            <w:r w:rsidRPr="003627E7">
              <w:rPr>
                <w:sz w:val="16"/>
                <w:szCs w:val="18"/>
                <w:shd w:val="clear" w:color="auto" w:fill="FFFFFF"/>
              </w:rPr>
              <w:t xml:space="preserve"> 2019=100</w:t>
            </w:r>
          </w:p>
        </w:tc>
        <w:tc>
          <w:tcPr>
            <w:tcW w:w="1427" w:type="dxa"/>
            <w:tcBorders>
              <w:bottom w:val="single" w:sz="12" w:space="0" w:color="212492"/>
            </w:tcBorders>
            <w:vAlign w:val="center"/>
          </w:tcPr>
          <w:p w:rsidR="003627E7" w:rsidRPr="003627E7" w:rsidRDefault="003627E7" w:rsidP="003627E7">
            <w:pPr>
              <w:spacing w:before="0" w:after="0"/>
              <w:jc w:val="center"/>
              <w:rPr>
                <w:sz w:val="16"/>
                <w:szCs w:val="18"/>
                <w:shd w:val="clear" w:color="auto" w:fill="FFFFFF"/>
              </w:rPr>
            </w:pPr>
            <w:proofErr w:type="gramStart"/>
            <w:r w:rsidRPr="003627E7">
              <w:rPr>
                <w:sz w:val="16"/>
                <w:szCs w:val="18"/>
                <w:shd w:val="clear" w:color="auto" w:fill="FFFFFF"/>
              </w:rPr>
              <w:t>przeciętna</w:t>
            </w:r>
            <w:proofErr w:type="gramEnd"/>
            <w:r w:rsidRPr="003627E7">
              <w:rPr>
                <w:sz w:val="16"/>
                <w:szCs w:val="18"/>
                <w:shd w:val="clear" w:color="auto" w:fill="FFFFFF"/>
              </w:rPr>
              <w:t xml:space="preserve"> </w:t>
            </w:r>
          </w:p>
          <w:p w:rsidR="003627E7" w:rsidRPr="003627E7" w:rsidRDefault="003627E7" w:rsidP="003627E7">
            <w:pPr>
              <w:spacing w:before="0" w:after="0"/>
              <w:jc w:val="center"/>
              <w:rPr>
                <w:sz w:val="16"/>
                <w:szCs w:val="18"/>
                <w:shd w:val="clear" w:color="auto" w:fill="FFFFFF"/>
              </w:rPr>
            </w:pPr>
            <w:proofErr w:type="gramStart"/>
            <w:r w:rsidRPr="003627E7">
              <w:rPr>
                <w:sz w:val="16"/>
                <w:szCs w:val="18"/>
                <w:shd w:val="clear" w:color="auto" w:fill="FFFFFF"/>
              </w:rPr>
              <w:t>miesięczna</w:t>
            </w:r>
            <w:proofErr w:type="gramEnd"/>
            <w:r w:rsidRPr="003627E7">
              <w:rPr>
                <w:sz w:val="16"/>
                <w:szCs w:val="18"/>
                <w:shd w:val="clear" w:color="auto" w:fill="FFFFFF"/>
              </w:rPr>
              <w:t xml:space="preserve"> 2015=100</w:t>
            </w:r>
          </w:p>
        </w:tc>
        <w:tc>
          <w:tcPr>
            <w:tcW w:w="1278" w:type="dxa"/>
            <w:tcBorders>
              <w:bottom w:val="single" w:sz="12" w:space="0" w:color="212492"/>
            </w:tcBorders>
            <w:vAlign w:val="center"/>
          </w:tcPr>
          <w:p w:rsidR="003627E7" w:rsidRPr="003627E7" w:rsidRDefault="003627E7" w:rsidP="00CA3894">
            <w:pPr>
              <w:jc w:val="center"/>
              <w:rPr>
                <w:sz w:val="16"/>
                <w:szCs w:val="18"/>
                <w:shd w:val="clear" w:color="auto" w:fill="FFFFFF"/>
              </w:rPr>
            </w:pPr>
            <w:r w:rsidRPr="003627E7">
              <w:rPr>
                <w:sz w:val="16"/>
                <w:szCs w:val="18"/>
                <w:shd w:val="clear" w:color="auto" w:fill="FFFFFF"/>
              </w:rPr>
              <w:t>I-V</w:t>
            </w:r>
            <w:r w:rsidR="006E2C76">
              <w:rPr>
                <w:sz w:val="16"/>
                <w:szCs w:val="18"/>
                <w:shd w:val="clear" w:color="auto" w:fill="FFFFFF"/>
              </w:rPr>
              <w:t>I</w:t>
            </w:r>
            <w:r w:rsidRPr="003627E7">
              <w:rPr>
                <w:sz w:val="16"/>
                <w:szCs w:val="18"/>
                <w:shd w:val="clear" w:color="auto" w:fill="FFFFFF"/>
              </w:rPr>
              <w:t xml:space="preserve"> 2019=100</w:t>
            </w:r>
          </w:p>
        </w:tc>
      </w:tr>
      <w:tr w:rsidR="003627E7" w:rsidRPr="003627E7" w:rsidTr="00F84574">
        <w:trPr>
          <w:trHeight w:val="57"/>
        </w:trPr>
        <w:tc>
          <w:tcPr>
            <w:tcW w:w="2552" w:type="dxa"/>
            <w:tcBorders>
              <w:top w:val="single" w:sz="12" w:space="0" w:color="212492"/>
            </w:tcBorders>
            <w:vAlign w:val="center"/>
          </w:tcPr>
          <w:p w:rsidR="003627E7" w:rsidRPr="003627E7" w:rsidRDefault="003627E7" w:rsidP="003627E7">
            <w:pPr>
              <w:spacing w:before="60" w:after="60"/>
              <w:jc w:val="both"/>
              <w:rPr>
                <w:b/>
                <w:sz w:val="16"/>
                <w:szCs w:val="18"/>
                <w:shd w:val="clear" w:color="auto" w:fill="FFFFFF"/>
              </w:rPr>
            </w:pPr>
            <w:r w:rsidRPr="003627E7">
              <w:rPr>
                <w:b/>
                <w:sz w:val="16"/>
                <w:szCs w:val="18"/>
                <w:shd w:val="clear" w:color="auto" w:fill="FFFFFF"/>
              </w:rPr>
              <w:t>PRZEMYSŁ</w:t>
            </w:r>
          </w:p>
        </w:tc>
        <w:tc>
          <w:tcPr>
            <w:tcW w:w="1417" w:type="dxa"/>
            <w:tcBorders>
              <w:top w:val="single" w:sz="12" w:space="0" w:color="212492"/>
            </w:tcBorders>
            <w:vAlign w:val="center"/>
          </w:tcPr>
          <w:p w:rsidR="003627E7" w:rsidRPr="003627E7" w:rsidRDefault="006E2C76" w:rsidP="003627E7">
            <w:pPr>
              <w:spacing w:before="60" w:after="60"/>
              <w:jc w:val="right"/>
              <w:rPr>
                <w:b/>
                <w:sz w:val="16"/>
                <w:szCs w:val="18"/>
                <w:shd w:val="clear" w:color="auto" w:fill="FFFFFF"/>
              </w:rPr>
            </w:pPr>
            <w:r>
              <w:rPr>
                <w:b/>
                <w:sz w:val="16"/>
                <w:szCs w:val="18"/>
                <w:shd w:val="clear" w:color="auto" w:fill="FFFFFF"/>
              </w:rPr>
              <w:t>113,9</w:t>
            </w:r>
          </w:p>
        </w:tc>
        <w:tc>
          <w:tcPr>
            <w:tcW w:w="1418" w:type="dxa"/>
            <w:tcBorders>
              <w:top w:val="single" w:sz="12" w:space="0" w:color="212492"/>
            </w:tcBorders>
            <w:vAlign w:val="center"/>
          </w:tcPr>
          <w:p w:rsidR="003627E7" w:rsidRPr="003627E7" w:rsidRDefault="006E2C76" w:rsidP="003627E7">
            <w:pPr>
              <w:spacing w:before="60" w:after="60"/>
              <w:jc w:val="right"/>
              <w:rPr>
                <w:b/>
                <w:sz w:val="16"/>
                <w:szCs w:val="18"/>
                <w:shd w:val="clear" w:color="auto" w:fill="FFFFFF"/>
              </w:rPr>
            </w:pPr>
            <w:r>
              <w:rPr>
                <w:b/>
                <w:sz w:val="16"/>
                <w:szCs w:val="18"/>
                <w:shd w:val="clear" w:color="auto" w:fill="FFFFFF"/>
              </w:rPr>
              <w:t>100,5</w:t>
            </w:r>
          </w:p>
        </w:tc>
        <w:tc>
          <w:tcPr>
            <w:tcW w:w="1427" w:type="dxa"/>
            <w:tcBorders>
              <w:top w:val="single" w:sz="12" w:space="0" w:color="212492"/>
            </w:tcBorders>
            <w:vAlign w:val="center"/>
          </w:tcPr>
          <w:p w:rsidR="003627E7" w:rsidRPr="003627E7" w:rsidRDefault="00334B93" w:rsidP="003627E7">
            <w:pPr>
              <w:spacing w:before="60" w:after="60"/>
              <w:jc w:val="right"/>
              <w:rPr>
                <w:b/>
                <w:sz w:val="16"/>
                <w:szCs w:val="18"/>
                <w:shd w:val="clear" w:color="auto" w:fill="FFFFFF"/>
              </w:rPr>
            </w:pPr>
            <w:r>
              <w:rPr>
                <w:b/>
                <w:sz w:val="16"/>
                <w:szCs w:val="18"/>
                <w:shd w:val="clear" w:color="auto" w:fill="FFFFFF"/>
              </w:rPr>
              <w:t>116,4</w:t>
            </w:r>
          </w:p>
        </w:tc>
        <w:tc>
          <w:tcPr>
            <w:tcW w:w="1278" w:type="dxa"/>
            <w:tcBorders>
              <w:top w:val="single" w:sz="12" w:space="0" w:color="212492"/>
            </w:tcBorders>
            <w:vAlign w:val="center"/>
          </w:tcPr>
          <w:p w:rsidR="003627E7" w:rsidRPr="003627E7" w:rsidRDefault="006E2C76" w:rsidP="003627E7">
            <w:pPr>
              <w:spacing w:before="60" w:after="60"/>
              <w:jc w:val="right"/>
              <w:rPr>
                <w:b/>
                <w:sz w:val="16"/>
                <w:szCs w:val="18"/>
                <w:shd w:val="clear" w:color="auto" w:fill="FFFFFF"/>
              </w:rPr>
            </w:pPr>
            <w:r>
              <w:rPr>
                <w:b/>
                <w:sz w:val="16"/>
                <w:szCs w:val="18"/>
                <w:shd w:val="clear" w:color="auto" w:fill="FFFFFF"/>
              </w:rPr>
              <w:t>93,7</w:t>
            </w:r>
          </w:p>
        </w:tc>
      </w:tr>
      <w:tr w:rsidR="003627E7" w:rsidRPr="003627E7" w:rsidTr="00F84574">
        <w:trPr>
          <w:trHeight w:val="57"/>
        </w:trPr>
        <w:tc>
          <w:tcPr>
            <w:tcW w:w="2552" w:type="dxa"/>
            <w:vAlign w:val="center"/>
          </w:tcPr>
          <w:p w:rsidR="003627E7" w:rsidRPr="003627E7" w:rsidRDefault="003627E7" w:rsidP="003627E7">
            <w:pPr>
              <w:spacing w:before="60" w:after="60"/>
              <w:jc w:val="both"/>
              <w:rPr>
                <w:sz w:val="16"/>
                <w:szCs w:val="18"/>
                <w:shd w:val="clear" w:color="auto" w:fill="FFFFFF"/>
              </w:rPr>
            </w:pPr>
            <w:r w:rsidRPr="003627E7">
              <w:rPr>
                <w:sz w:val="16"/>
                <w:szCs w:val="18"/>
                <w:shd w:val="clear" w:color="auto" w:fill="FFFFFF"/>
              </w:rPr>
              <w:t xml:space="preserve">Górnictwo i wydobywanie </w:t>
            </w:r>
          </w:p>
        </w:tc>
        <w:tc>
          <w:tcPr>
            <w:tcW w:w="1417" w:type="dxa"/>
            <w:vAlign w:val="center"/>
          </w:tcPr>
          <w:p w:rsidR="003627E7" w:rsidRPr="003627E7" w:rsidRDefault="006E2C76" w:rsidP="003627E7">
            <w:pPr>
              <w:spacing w:before="60" w:after="60"/>
              <w:jc w:val="right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108,4</w:t>
            </w:r>
          </w:p>
        </w:tc>
        <w:tc>
          <w:tcPr>
            <w:tcW w:w="1418" w:type="dxa"/>
            <w:vAlign w:val="center"/>
          </w:tcPr>
          <w:p w:rsidR="003627E7" w:rsidRPr="003627E7" w:rsidRDefault="006E2C76" w:rsidP="003627E7">
            <w:pPr>
              <w:spacing w:before="60" w:after="60"/>
              <w:jc w:val="right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93,5</w:t>
            </w:r>
          </w:p>
        </w:tc>
        <w:tc>
          <w:tcPr>
            <w:tcW w:w="1427" w:type="dxa"/>
            <w:vAlign w:val="center"/>
          </w:tcPr>
          <w:p w:rsidR="003627E7" w:rsidRPr="003627E7" w:rsidRDefault="00334B93" w:rsidP="003627E7">
            <w:pPr>
              <w:spacing w:before="60" w:after="60"/>
              <w:jc w:val="right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86,1</w:t>
            </w:r>
          </w:p>
        </w:tc>
        <w:tc>
          <w:tcPr>
            <w:tcW w:w="1278" w:type="dxa"/>
            <w:vAlign w:val="center"/>
          </w:tcPr>
          <w:p w:rsidR="003627E7" w:rsidRPr="003627E7" w:rsidRDefault="006E2C76" w:rsidP="003627E7">
            <w:pPr>
              <w:spacing w:before="60" w:after="60"/>
              <w:jc w:val="right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90,7</w:t>
            </w:r>
          </w:p>
        </w:tc>
      </w:tr>
      <w:tr w:rsidR="003627E7" w:rsidRPr="003627E7" w:rsidTr="00F84574">
        <w:trPr>
          <w:trHeight w:val="57"/>
        </w:trPr>
        <w:tc>
          <w:tcPr>
            <w:tcW w:w="2552" w:type="dxa"/>
            <w:vAlign w:val="center"/>
          </w:tcPr>
          <w:p w:rsidR="003627E7" w:rsidRPr="003627E7" w:rsidRDefault="003627E7" w:rsidP="003627E7">
            <w:pPr>
              <w:spacing w:before="60" w:after="60"/>
              <w:jc w:val="both"/>
              <w:rPr>
                <w:sz w:val="16"/>
                <w:szCs w:val="18"/>
                <w:shd w:val="clear" w:color="auto" w:fill="FFFFFF"/>
              </w:rPr>
            </w:pPr>
            <w:r w:rsidRPr="003627E7">
              <w:rPr>
                <w:sz w:val="16"/>
                <w:szCs w:val="18"/>
                <w:shd w:val="clear" w:color="auto" w:fill="FFFFFF"/>
              </w:rPr>
              <w:t xml:space="preserve">Przetwórstwo przemysłowe </w:t>
            </w:r>
          </w:p>
        </w:tc>
        <w:tc>
          <w:tcPr>
            <w:tcW w:w="1417" w:type="dxa"/>
            <w:vAlign w:val="center"/>
          </w:tcPr>
          <w:p w:rsidR="003627E7" w:rsidRPr="003627E7" w:rsidRDefault="006E2C76" w:rsidP="003627E7">
            <w:pPr>
              <w:spacing w:before="60" w:after="60"/>
              <w:jc w:val="right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115,9</w:t>
            </w:r>
          </w:p>
        </w:tc>
        <w:tc>
          <w:tcPr>
            <w:tcW w:w="1418" w:type="dxa"/>
            <w:vAlign w:val="center"/>
          </w:tcPr>
          <w:p w:rsidR="003627E7" w:rsidRPr="003627E7" w:rsidRDefault="006E2C76" w:rsidP="003627E7">
            <w:pPr>
              <w:spacing w:before="60" w:after="60"/>
              <w:jc w:val="right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100,9</w:t>
            </w:r>
          </w:p>
        </w:tc>
        <w:tc>
          <w:tcPr>
            <w:tcW w:w="1427" w:type="dxa"/>
            <w:vAlign w:val="center"/>
          </w:tcPr>
          <w:p w:rsidR="003627E7" w:rsidRPr="003627E7" w:rsidRDefault="00334B93" w:rsidP="003627E7">
            <w:pPr>
              <w:spacing w:before="60" w:after="60"/>
              <w:jc w:val="right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119,8</w:t>
            </w:r>
          </w:p>
        </w:tc>
        <w:tc>
          <w:tcPr>
            <w:tcW w:w="1278" w:type="dxa"/>
            <w:vAlign w:val="center"/>
          </w:tcPr>
          <w:p w:rsidR="003627E7" w:rsidRPr="003627E7" w:rsidRDefault="006E2C76" w:rsidP="003627E7">
            <w:pPr>
              <w:spacing w:before="60" w:after="60"/>
              <w:jc w:val="right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93,0</w:t>
            </w:r>
          </w:p>
        </w:tc>
      </w:tr>
      <w:tr w:rsidR="003627E7" w:rsidRPr="003627E7" w:rsidTr="00F84574">
        <w:trPr>
          <w:trHeight w:val="57"/>
        </w:trPr>
        <w:tc>
          <w:tcPr>
            <w:tcW w:w="2552" w:type="dxa"/>
            <w:vAlign w:val="center"/>
          </w:tcPr>
          <w:p w:rsidR="003627E7" w:rsidRPr="003627E7" w:rsidRDefault="003627E7" w:rsidP="003627E7">
            <w:pPr>
              <w:spacing w:before="0" w:after="0"/>
              <w:rPr>
                <w:sz w:val="16"/>
                <w:szCs w:val="18"/>
                <w:shd w:val="clear" w:color="auto" w:fill="FFFFFF"/>
              </w:rPr>
            </w:pPr>
            <w:r w:rsidRPr="003627E7">
              <w:rPr>
                <w:sz w:val="16"/>
                <w:szCs w:val="18"/>
                <w:shd w:val="clear" w:color="auto" w:fill="FFFFFF"/>
              </w:rPr>
              <w:t>Wytwarzanie i zaopatrywanie w energię elektryczną, gaz, parę wodną i gorącą wodę</w:t>
            </w:r>
            <w:r w:rsidRPr="003627E7">
              <w:rPr>
                <w:sz w:val="16"/>
                <w:szCs w:val="18"/>
                <w:shd w:val="clear" w:color="auto" w:fill="FFFFFF"/>
                <w:vertAlign w:val="superscript"/>
              </w:rPr>
              <w:sym w:font="Symbol" w:char="F044"/>
            </w:r>
          </w:p>
        </w:tc>
        <w:tc>
          <w:tcPr>
            <w:tcW w:w="1417" w:type="dxa"/>
            <w:vAlign w:val="center"/>
          </w:tcPr>
          <w:p w:rsidR="003627E7" w:rsidRPr="003627E7" w:rsidRDefault="006E2C76" w:rsidP="003627E7">
            <w:pPr>
              <w:spacing w:before="0" w:after="0"/>
              <w:jc w:val="right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94,2</w:t>
            </w:r>
          </w:p>
        </w:tc>
        <w:tc>
          <w:tcPr>
            <w:tcW w:w="1418" w:type="dxa"/>
            <w:vAlign w:val="center"/>
          </w:tcPr>
          <w:p w:rsidR="003627E7" w:rsidRPr="003627E7" w:rsidRDefault="006E2C76" w:rsidP="003627E7">
            <w:pPr>
              <w:spacing w:before="0" w:after="0"/>
              <w:jc w:val="right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95,7</w:t>
            </w:r>
          </w:p>
        </w:tc>
        <w:tc>
          <w:tcPr>
            <w:tcW w:w="1427" w:type="dxa"/>
            <w:vAlign w:val="center"/>
          </w:tcPr>
          <w:p w:rsidR="003627E7" w:rsidRPr="003627E7" w:rsidRDefault="00334B93" w:rsidP="003627E7">
            <w:pPr>
              <w:spacing w:before="0" w:after="0"/>
              <w:jc w:val="right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90,4</w:t>
            </w:r>
          </w:p>
        </w:tc>
        <w:tc>
          <w:tcPr>
            <w:tcW w:w="1278" w:type="dxa"/>
            <w:vAlign w:val="center"/>
          </w:tcPr>
          <w:p w:rsidR="003627E7" w:rsidRPr="003627E7" w:rsidRDefault="006E2C76" w:rsidP="003627E7">
            <w:pPr>
              <w:spacing w:before="0" w:after="0"/>
              <w:jc w:val="right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98,7</w:t>
            </w:r>
          </w:p>
        </w:tc>
      </w:tr>
      <w:tr w:rsidR="003627E7" w:rsidRPr="003627E7" w:rsidTr="00F84574">
        <w:trPr>
          <w:trHeight w:val="624"/>
        </w:trPr>
        <w:tc>
          <w:tcPr>
            <w:tcW w:w="2552" w:type="dxa"/>
            <w:vAlign w:val="center"/>
          </w:tcPr>
          <w:p w:rsidR="003627E7" w:rsidRPr="003627E7" w:rsidRDefault="003627E7" w:rsidP="003627E7">
            <w:pPr>
              <w:spacing w:before="0" w:after="0"/>
              <w:rPr>
                <w:sz w:val="16"/>
                <w:szCs w:val="18"/>
                <w:shd w:val="clear" w:color="auto" w:fill="FFFFFF"/>
              </w:rPr>
            </w:pPr>
            <w:r w:rsidRPr="003627E7">
              <w:rPr>
                <w:sz w:val="16"/>
                <w:szCs w:val="18"/>
                <w:shd w:val="clear" w:color="auto" w:fill="FFFFFF"/>
              </w:rPr>
              <w:t>Dostawa wody; gospodarowanie ściekami i odpadami; rekultywacja</w:t>
            </w:r>
            <w:r w:rsidRPr="003627E7">
              <w:rPr>
                <w:sz w:val="16"/>
                <w:szCs w:val="18"/>
                <w:shd w:val="clear" w:color="auto" w:fill="FFFFFF"/>
                <w:vertAlign w:val="superscript"/>
              </w:rPr>
              <w:sym w:font="Symbol" w:char="F044"/>
            </w:r>
            <w:r w:rsidRPr="003627E7">
              <w:rPr>
                <w:sz w:val="16"/>
                <w:szCs w:val="18"/>
                <w:shd w:val="clear" w:color="auto" w:fill="FFFFFF"/>
              </w:rPr>
              <w:t xml:space="preserve"> </w:t>
            </w:r>
          </w:p>
        </w:tc>
        <w:tc>
          <w:tcPr>
            <w:tcW w:w="1417" w:type="dxa"/>
            <w:vAlign w:val="center"/>
          </w:tcPr>
          <w:p w:rsidR="003627E7" w:rsidRPr="003627E7" w:rsidRDefault="006E2C76" w:rsidP="003627E7">
            <w:pPr>
              <w:spacing w:before="0" w:after="0"/>
              <w:jc w:val="right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109,5</w:t>
            </w:r>
          </w:p>
        </w:tc>
        <w:tc>
          <w:tcPr>
            <w:tcW w:w="1418" w:type="dxa"/>
            <w:vAlign w:val="center"/>
          </w:tcPr>
          <w:p w:rsidR="003627E7" w:rsidRPr="003627E7" w:rsidRDefault="006E2C76" w:rsidP="003627E7">
            <w:pPr>
              <w:spacing w:before="0" w:after="0"/>
              <w:jc w:val="right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108,9</w:t>
            </w:r>
          </w:p>
        </w:tc>
        <w:tc>
          <w:tcPr>
            <w:tcW w:w="1427" w:type="dxa"/>
            <w:vAlign w:val="center"/>
          </w:tcPr>
          <w:p w:rsidR="003627E7" w:rsidRPr="003627E7" w:rsidRDefault="00334B93" w:rsidP="003627E7">
            <w:pPr>
              <w:spacing w:before="0" w:after="0"/>
              <w:jc w:val="right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132,3</w:t>
            </w:r>
          </w:p>
        </w:tc>
        <w:tc>
          <w:tcPr>
            <w:tcW w:w="1278" w:type="dxa"/>
            <w:vAlign w:val="center"/>
          </w:tcPr>
          <w:p w:rsidR="003627E7" w:rsidRPr="003627E7" w:rsidRDefault="006E2C76" w:rsidP="003627E7">
            <w:pPr>
              <w:spacing w:before="0" w:after="0"/>
              <w:jc w:val="right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104,6</w:t>
            </w:r>
          </w:p>
        </w:tc>
      </w:tr>
    </w:tbl>
    <w:p w:rsidR="003627E7" w:rsidRPr="003627E7" w:rsidRDefault="003627E7" w:rsidP="003627E7">
      <w:pPr>
        <w:spacing w:before="0" w:after="0" w:line="240" w:lineRule="auto"/>
        <w:rPr>
          <w:i/>
          <w:sz w:val="16"/>
          <w:szCs w:val="16"/>
          <w:shd w:val="clear" w:color="auto" w:fill="FFFFFF"/>
          <w:vertAlign w:val="superscript"/>
        </w:rPr>
      </w:pPr>
    </w:p>
    <w:p w:rsidR="003627E7" w:rsidRPr="003627E7" w:rsidRDefault="003627E7" w:rsidP="003627E7">
      <w:pPr>
        <w:spacing w:before="0" w:after="0" w:line="240" w:lineRule="auto"/>
        <w:rPr>
          <w:sz w:val="16"/>
          <w:szCs w:val="16"/>
          <w:shd w:val="clear" w:color="auto" w:fill="FFFFFF"/>
        </w:rPr>
      </w:pPr>
      <w:proofErr w:type="gramStart"/>
      <w:r w:rsidRPr="003627E7">
        <w:rPr>
          <w:i/>
          <w:sz w:val="16"/>
          <w:szCs w:val="16"/>
          <w:shd w:val="clear" w:color="auto" w:fill="FFFFFF"/>
          <w:vertAlign w:val="superscript"/>
        </w:rPr>
        <w:t>a</w:t>
      </w:r>
      <w:proofErr w:type="gramEnd"/>
      <w:r w:rsidRPr="003627E7">
        <w:rPr>
          <w:sz w:val="16"/>
          <w:szCs w:val="16"/>
          <w:shd w:val="clear" w:color="auto" w:fill="FFFFFF"/>
          <w:vertAlign w:val="superscript"/>
        </w:rPr>
        <w:t xml:space="preserve">) </w:t>
      </w:r>
      <w:r w:rsidRPr="003627E7">
        <w:rPr>
          <w:sz w:val="16"/>
          <w:szCs w:val="16"/>
          <w:shd w:val="clear" w:color="auto" w:fill="FFFFFF"/>
        </w:rPr>
        <w:t>Dane z uwzględnieniem ostatecznych informacji o produkcji</w:t>
      </w:r>
      <w:r w:rsidR="00CA3894">
        <w:rPr>
          <w:sz w:val="16"/>
          <w:szCs w:val="16"/>
          <w:shd w:val="clear" w:color="auto" w:fill="FFFFFF"/>
        </w:rPr>
        <w:t xml:space="preserve"> i cenach w</w:t>
      </w:r>
      <w:r w:rsidR="002145F8">
        <w:rPr>
          <w:sz w:val="16"/>
          <w:szCs w:val="16"/>
          <w:shd w:val="clear" w:color="auto" w:fill="FFFFFF"/>
        </w:rPr>
        <w:t xml:space="preserve"> maju oraz meldunkowych w czerwcu</w:t>
      </w:r>
      <w:r w:rsidRPr="003627E7">
        <w:rPr>
          <w:sz w:val="16"/>
          <w:szCs w:val="16"/>
          <w:shd w:val="clear" w:color="auto" w:fill="FFFFFF"/>
        </w:rPr>
        <w:t>.</w:t>
      </w:r>
    </w:p>
    <w:p w:rsidR="003627E7" w:rsidRPr="003627E7" w:rsidRDefault="003627E7" w:rsidP="003627E7">
      <w:pPr>
        <w:spacing w:before="0" w:after="0" w:line="360" w:lineRule="auto"/>
        <w:rPr>
          <w:sz w:val="16"/>
          <w:szCs w:val="16"/>
          <w:shd w:val="clear" w:color="auto" w:fill="FFFFFF"/>
        </w:rPr>
      </w:pPr>
      <w:r w:rsidRPr="003627E7">
        <w:rPr>
          <w:b/>
          <w:noProof/>
          <w:spacing w:val="-2"/>
          <w:szCs w:val="19"/>
          <w:lang w:eastAsia="pl-PL"/>
        </w:rPr>
        <mc:AlternateContent>
          <mc:Choice Requires="wps">
            <w:drawing>
              <wp:anchor distT="45720" distB="45720" distL="114300" distR="114300" simplePos="0" relativeHeight="251793408" behindDoc="1" locked="0" layoutInCell="1" allowOverlap="1" wp14:anchorId="36474B1A" wp14:editId="22A72D40">
                <wp:simplePos x="0" y="0"/>
                <wp:positionH relativeFrom="rightMargin">
                  <wp:posOffset>104775</wp:posOffset>
                </wp:positionH>
                <wp:positionV relativeFrom="paragraph">
                  <wp:posOffset>123190</wp:posOffset>
                </wp:positionV>
                <wp:extent cx="1729740" cy="847725"/>
                <wp:effectExtent l="0" t="0" r="0" b="0"/>
                <wp:wrapTight wrapText="bothSides">
                  <wp:wrapPolygon edited="0">
                    <wp:start x="714" y="0"/>
                    <wp:lineTo x="714" y="20872"/>
                    <wp:lineTo x="20696" y="20872"/>
                    <wp:lineTo x="20696" y="0"/>
                    <wp:lineTo x="714" y="0"/>
                  </wp:wrapPolygon>
                </wp:wrapTight>
                <wp:docPr id="25" name="Pole tekstowe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9740" cy="84772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3627E7" w:rsidRPr="00D616D2" w:rsidRDefault="005E4AF4" w:rsidP="003627E7">
                            <w:pPr>
                              <w:spacing w:before="0" w:after="0"/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</w:pPr>
                            <w:r w:rsidRPr="005E4AF4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 xml:space="preserve">Udział wartości produkcji działów przemysłu, w których odnotowano </w:t>
                            </w:r>
                            <w:r w:rsidR="006E2C76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wzrost</w:t>
                            </w:r>
                            <w:r w:rsidRPr="005E4AF4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 xml:space="preserve"> w </w:t>
                            </w:r>
                            <w:r w:rsidRPr="00B55FEA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sto</w:t>
                            </w:r>
                            <w:r w:rsidR="00195DB9" w:rsidRPr="00B55FEA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s</w:t>
                            </w:r>
                            <w:r w:rsidRPr="00B55FEA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unku</w:t>
                            </w:r>
                            <w:r w:rsidRPr="00195DB9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 xml:space="preserve"> </w:t>
                            </w:r>
                            <w:r w:rsidRPr="005E4AF4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do</w:t>
                            </w:r>
                            <w:r w:rsidR="004C7303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 xml:space="preserve"> </w:t>
                            </w:r>
                            <w:r w:rsidR="006E2C76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czerwca</w:t>
                            </w:r>
                            <w:r w:rsidR="004C7303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 xml:space="preserve"> ub. roku, wyniósł </w:t>
                            </w:r>
                            <w:r w:rsidR="006E2C76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68,4</w:t>
                            </w:r>
                            <w:r w:rsidRPr="005E4AF4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%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6474B1A" id="_x0000_t202" coordsize="21600,21600" o:spt="202" path="m,l,21600r21600,l21600,xe">
                <v:stroke joinstyle="miter"/>
                <v:path gradientshapeok="t" o:connecttype="rect"/>
              </v:shapetype>
              <v:shape id="Pole tekstowe 25" o:spid="_x0000_s1029" type="#_x0000_t202" style="position:absolute;margin-left:8.25pt;margin-top:9.7pt;width:136.2pt;height:66.75pt;z-index:-251523072;visibility:visible;mso-wrap-style:square;mso-width-percent:0;mso-height-percent:0;mso-wrap-distance-left:9pt;mso-wrap-distance-top:3.6pt;mso-wrap-distance-right:9pt;mso-wrap-distance-bottom:3.6pt;mso-position-horizontal:absolute;mso-position-horizontal-relative:right-margin-area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" filled="f" stroked="f">
                <v:textbox>
                  <w:txbxContent>
                    <w:p w:rsidR="003627E7" w:rsidRPr="00D616D2" w:rsidRDefault="005E4AF4" w:rsidP="003627E7">
                      <w:pPr>
                        <w:spacing w:before="0" w:after="0"/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</w:pPr>
                      <w:r w:rsidRPr="005E4AF4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 xml:space="preserve">Udział wartości produkcji działów przemysłu, w których odnotowano </w:t>
                      </w:r>
                      <w:r w:rsidR="006E2C76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wzrost</w:t>
                      </w:r>
                      <w:r w:rsidRPr="005E4AF4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 xml:space="preserve"> w </w:t>
                      </w:r>
                      <w:r w:rsidRPr="00B55FEA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sto</w:t>
                      </w:r>
                      <w:r w:rsidR="00195DB9" w:rsidRPr="00B55FEA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s</w:t>
                      </w:r>
                      <w:r w:rsidRPr="00B55FEA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unku</w:t>
                      </w:r>
                      <w:r w:rsidRPr="00195DB9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 xml:space="preserve"> </w:t>
                      </w:r>
                      <w:r w:rsidRPr="005E4AF4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do</w:t>
                      </w:r>
                      <w:r w:rsidR="004C7303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 xml:space="preserve"> </w:t>
                      </w:r>
                      <w:r w:rsidR="006E2C76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czerwca</w:t>
                      </w:r>
                      <w:r w:rsidR="004C7303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 xml:space="preserve"> ub. roku, wyniósł </w:t>
                      </w:r>
                      <w:r w:rsidR="006E2C76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68,4</w:t>
                      </w:r>
                      <w:r w:rsidRPr="005E4AF4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%</w:t>
                      </w:r>
                    </w:p>
                  </w:txbxContent>
                </v:textbox>
                <w10:wrap type="tight" anchorx="margin"/>
              </v:shape>
            </w:pict>
          </mc:Fallback>
        </mc:AlternateContent>
      </w:r>
      <w:r w:rsidRPr="003627E7">
        <w:rPr>
          <w:sz w:val="16"/>
          <w:szCs w:val="16"/>
          <w:shd w:val="clear" w:color="auto" w:fill="FFFFFF"/>
          <w:vertAlign w:val="superscript"/>
        </w:rPr>
        <w:t xml:space="preserve"> </w:t>
      </w:r>
      <w:r w:rsidRPr="003627E7">
        <w:rPr>
          <w:sz w:val="16"/>
          <w:szCs w:val="16"/>
          <w:shd w:val="clear" w:color="auto" w:fill="FFFFFF"/>
          <w:vertAlign w:val="superscript"/>
        </w:rPr>
        <w:sym w:font="Symbol" w:char="F044"/>
      </w:r>
      <w:r w:rsidRPr="003627E7">
        <w:rPr>
          <w:sz w:val="16"/>
          <w:szCs w:val="16"/>
          <w:shd w:val="clear" w:color="auto" w:fill="FFFFFF"/>
          <w:vertAlign w:val="superscript"/>
        </w:rPr>
        <w:t xml:space="preserve">  </w:t>
      </w:r>
      <w:r w:rsidRPr="003627E7">
        <w:rPr>
          <w:sz w:val="16"/>
          <w:szCs w:val="16"/>
          <w:shd w:val="clear" w:color="auto" w:fill="FFFFFF"/>
        </w:rPr>
        <w:t>Nazwa skrócona według PKD 2007</w:t>
      </w:r>
    </w:p>
    <w:p w:rsidR="001932FE" w:rsidRDefault="003627E7" w:rsidP="003627E7">
      <w:pPr>
        <w:suppressAutoHyphens/>
        <w:spacing w:before="0" w:after="0"/>
        <w:rPr>
          <w:shd w:val="clear" w:color="auto" w:fill="FFFFFF"/>
        </w:rPr>
      </w:pPr>
      <w:r w:rsidRPr="003627E7">
        <w:rPr>
          <w:shd w:val="clear" w:color="auto" w:fill="FFFFFF"/>
        </w:rPr>
        <w:t>We</w:t>
      </w:r>
      <w:r w:rsidR="001932FE">
        <w:rPr>
          <w:shd w:val="clear" w:color="auto" w:fill="FFFFFF"/>
        </w:rPr>
        <w:t>dług wstępnych danych w czerwcu</w:t>
      </w:r>
      <w:r w:rsidRPr="003627E7">
        <w:rPr>
          <w:shd w:val="clear" w:color="auto" w:fill="FFFFFF"/>
        </w:rPr>
        <w:t xml:space="preserve"> br., w stosunku</w:t>
      </w:r>
      <w:r w:rsidR="004C7303">
        <w:rPr>
          <w:shd w:val="clear" w:color="auto" w:fill="FFFFFF"/>
        </w:rPr>
        <w:t xml:space="preserve"> do </w:t>
      </w:r>
      <w:r w:rsidR="001932FE">
        <w:rPr>
          <w:shd w:val="clear" w:color="auto" w:fill="FFFFFF"/>
        </w:rPr>
        <w:t xml:space="preserve">czerwca </w:t>
      </w:r>
      <w:r w:rsidRPr="003627E7">
        <w:rPr>
          <w:shd w:val="clear" w:color="auto" w:fill="FFFFFF"/>
        </w:rPr>
        <w:t xml:space="preserve">ub. roku, </w:t>
      </w:r>
      <w:r w:rsidR="001932FE">
        <w:rPr>
          <w:shd w:val="clear" w:color="auto" w:fill="FFFFFF"/>
        </w:rPr>
        <w:t>wzrost</w:t>
      </w:r>
      <w:r w:rsidRPr="003627E7">
        <w:rPr>
          <w:shd w:val="clear" w:color="auto" w:fill="FFFFFF"/>
        </w:rPr>
        <w:t xml:space="preserve"> produkcji sprzedanej (w cenach stałych) odnotowano w </w:t>
      </w:r>
      <w:r w:rsidR="001932FE">
        <w:rPr>
          <w:shd w:val="clear" w:color="auto" w:fill="FFFFFF"/>
        </w:rPr>
        <w:t>21</w:t>
      </w:r>
      <w:r w:rsidRPr="003627E7">
        <w:rPr>
          <w:shd w:val="clear" w:color="auto" w:fill="FFFFFF"/>
        </w:rPr>
        <w:t xml:space="preserve"> (spośród 34) działach przemysłu, m.in. </w:t>
      </w:r>
    </w:p>
    <w:p w:rsidR="001932FE" w:rsidRDefault="003627E7" w:rsidP="003627E7">
      <w:pPr>
        <w:suppressAutoHyphens/>
        <w:spacing w:before="0" w:after="0"/>
        <w:rPr>
          <w:shd w:val="clear" w:color="auto" w:fill="FFFFFF"/>
        </w:rPr>
      </w:pPr>
      <w:proofErr w:type="gramStart"/>
      <w:r w:rsidRPr="003627E7">
        <w:rPr>
          <w:shd w:val="clear" w:color="auto" w:fill="FFFFFF"/>
        </w:rPr>
        <w:t>w</w:t>
      </w:r>
      <w:proofErr w:type="gramEnd"/>
      <w:r w:rsidRPr="003627E7">
        <w:rPr>
          <w:shd w:val="clear" w:color="auto" w:fill="FFFFFF"/>
        </w:rPr>
        <w:t xml:space="preserve"> produkcji </w:t>
      </w:r>
      <w:r w:rsidR="001932FE">
        <w:rPr>
          <w:shd w:val="clear" w:color="auto" w:fill="FFFFFF"/>
        </w:rPr>
        <w:t xml:space="preserve">mebli – o 19,3%, </w:t>
      </w:r>
      <w:r w:rsidR="001932FE" w:rsidRPr="001932FE">
        <w:rPr>
          <w:shd w:val="clear" w:color="auto" w:fill="FFFFFF"/>
        </w:rPr>
        <w:t>wyrobów z drewna, korka, słomy i wikliny</w:t>
      </w:r>
      <w:r w:rsidR="001932FE">
        <w:rPr>
          <w:shd w:val="clear" w:color="auto" w:fill="FFFFFF"/>
        </w:rPr>
        <w:t xml:space="preserve"> – o 17,6%,</w:t>
      </w:r>
      <w:r w:rsidR="001932FE" w:rsidRPr="001932FE">
        <w:rPr>
          <w:shd w:val="clear" w:color="auto" w:fill="FFFFFF"/>
        </w:rPr>
        <w:t xml:space="preserve"> </w:t>
      </w:r>
      <w:r w:rsidR="001932FE">
        <w:rPr>
          <w:shd w:val="clear" w:color="auto" w:fill="FFFFFF"/>
        </w:rPr>
        <w:t xml:space="preserve">urządzeń elektrycznych – o 16,9%, </w:t>
      </w:r>
      <w:r w:rsidR="001932FE" w:rsidRPr="001932FE">
        <w:rPr>
          <w:shd w:val="clear" w:color="auto" w:fill="FFFFFF"/>
        </w:rPr>
        <w:t>komputerów, wyrobów elektronicznych</w:t>
      </w:r>
      <w:r w:rsidR="001932FE">
        <w:rPr>
          <w:shd w:val="clear" w:color="auto" w:fill="FFFFFF"/>
        </w:rPr>
        <w:t xml:space="preserve"> </w:t>
      </w:r>
      <w:r w:rsidR="001932FE" w:rsidRPr="001932FE">
        <w:rPr>
          <w:shd w:val="clear" w:color="auto" w:fill="FFFFFF"/>
        </w:rPr>
        <w:t>i optycznych</w:t>
      </w:r>
      <w:r w:rsidR="001932FE">
        <w:rPr>
          <w:shd w:val="clear" w:color="auto" w:fill="FFFFFF"/>
        </w:rPr>
        <w:t xml:space="preserve"> – o 7,0%, w naprawie</w:t>
      </w:r>
      <w:r w:rsidR="001932FE" w:rsidRPr="001932FE">
        <w:rPr>
          <w:shd w:val="clear" w:color="auto" w:fill="FFFFFF"/>
        </w:rPr>
        <w:t>, kons</w:t>
      </w:r>
      <w:r w:rsidR="001932FE">
        <w:rPr>
          <w:shd w:val="clear" w:color="auto" w:fill="FFFFFF"/>
        </w:rPr>
        <w:t>erwacji i instalowaniu</w:t>
      </w:r>
      <w:r w:rsidR="001932FE" w:rsidRPr="001932FE">
        <w:rPr>
          <w:shd w:val="clear" w:color="auto" w:fill="FFFFFF"/>
        </w:rPr>
        <w:t xml:space="preserve"> maszyn i urządzeń</w:t>
      </w:r>
      <w:r w:rsidR="00043821">
        <w:rPr>
          <w:shd w:val="clear" w:color="auto" w:fill="FFFFFF"/>
        </w:rPr>
        <w:t xml:space="preserve"> – o 6,9%,</w:t>
      </w:r>
      <w:r w:rsidR="001932FE">
        <w:rPr>
          <w:shd w:val="clear" w:color="auto" w:fill="FFFFFF"/>
        </w:rPr>
        <w:t xml:space="preserve"> w produkcji artykułów spożywczych – o 6,3%.</w:t>
      </w:r>
    </w:p>
    <w:p w:rsidR="009278E9" w:rsidRDefault="009278E9" w:rsidP="001932FE">
      <w:pPr>
        <w:suppressAutoHyphens/>
        <w:spacing w:before="0" w:after="0"/>
        <w:rPr>
          <w:shd w:val="clear" w:color="auto" w:fill="FFFFFF"/>
        </w:rPr>
      </w:pPr>
      <w:r>
        <w:rPr>
          <w:shd w:val="clear" w:color="auto" w:fill="FFFFFF"/>
        </w:rPr>
        <w:t>Spadek</w:t>
      </w:r>
      <w:r w:rsidR="003627E7" w:rsidRPr="003627E7">
        <w:rPr>
          <w:shd w:val="clear" w:color="auto" w:fill="FFFFFF"/>
        </w:rPr>
        <w:t xml:space="preserve"> produkcji sprzedanej prz</w:t>
      </w:r>
      <w:r w:rsidR="004C7303">
        <w:rPr>
          <w:shd w:val="clear" w:color="auto" w:fill="FFFFFF"/>
        </w:rPr>
        <w:t xml:space="preserve">emysłu, w porównaniu z </w:t>
      </w:r>
      <w:r>
        <w:rPr>
          <w:shd w:val="clear" w:color="auto" w:fill="FFFFFF"/>
        </w:rPr>
        <w:t>czerwcem</w:t>
      </w:r>
      <w:r w:rsidR="003627E7" w:rsidRPr="003627E7">
        <w:rPr>
          <w:shd w:val="clear" w:color="auto" w:fill="FFFFFF"/>
        </w:rPr>
        <w:t xml:space="preserve"> ub. roku, wystąpił w </w:t>
      </w:r>
      <w:r>
        <w:rPr>
          <w:shd w:val="clear" w:color="auto" w:fill="FFFFFF"/>
        </w:rPr>
        <w:t>13</w:t>
      </w:r>
      <w:r w:rsidR="003627E7" w:rsidRPr="003627E7">
        <w:rPr>
          <w:shd w:val="clear" w:color="auto" w:fill="FFFFFF"/>
        </w:rPr>
        <w:t xml:space="preserve"> działach, m.in. w produkcji </w:t>
      </w:r>
      <w:r w:rsidRPr="003627E7">
        <w:rPr>
          <w:shd w:val="clear" w:color="auto" w:fill="FFFFFF"/>
        </w:rPr>
        <w:t xml:space="preserve">koksu i produktów rafinacji ropy naftowej – o </w:t>
      </w:r>
      <w:r>
        <w:rPr>
          <w:shd w:val="clear" w:color="auto" w:fill="FFFFFF"/>
        </w:rPr>
        <w:t>17,2</w:t>
      </w:r>
      <w:r w:rsidRPr="003627E7">
        <w:rPr>
          <w:shd w:val="clear" w:color="auto" w:fill="FFFFFF"/>
        </w:rPr>
        <w:t>%,</w:t>
      </w:r>
      <w:r w:rsidRPr="009278E9">
        <w:rPr>
          <w:shd w:val="clear" w:color="auto" w:fill="FFFFFF"/>
        </w:rPr>
        <w:t xml:space="preserve"> </w:t>
      </w:r>
      <w:r>
        <w:rPr>
          <w:shd w:val="clear" w:color="auto" w:fill="FFFFFF"/>
        </w:rPr>
        <w:t>w </w:t>
      </w:r>
      <w:r w:rsidRPr="001055A7">
        <w:rPr>
          <w:shd w:val="clear" w:color="auto" w:fill="FFFFFF"/>
        </w:rPr>
        <w:t>wydobywaniu wę</w:t>
      </w:r>
      <w:r>
        <w:rPr>
          <w:shd w:val="clear" w:color="auto" w:fill="FFFFFF"/>
        </w:rPr>
        <w:t xml:space="preserve">gla kamiennego i brunatnego </w:t>
      </w:r>
      <w:r w:rsidRPr="00D63B1C">
        <w:rPr>
          <w:noProof/>
          <w:spacing w:val="-2"/>
          <w:szCs w:val="19"/>
          <w:lang w:eastAsia="pl-PL"/>
        </w:rPr>
        <w:t>–</w:t>
      </w:r>
      <w:r>
        <w:rPr>
          <w:shd w:val="clear" w:color="auto" w:fill="FFFFFF"/>
        </w:rPr>
        <w:t xml:space="preserve"> o 17,0%,</w:t>
      </w:r>
      <w:r w:rsidRPr="009278E9">
        <w:rPr>
          <w:shd w:val="clear" w:color="auto" w:fill="FFFFFF"/>
        </w:rPr>
        <w:t xml:space="preserve"> </w:t>
      </w:r>
      <w:r>
        <w:rPr>
          <w:shd w:val="clear" w:color="auto" w:fill="FFFFFF"/>
        </w:rPr>
        <w:t xml:space="preserve">w produkcji </w:t>
      </w:r>
      <w:r w:rsidRPr="003627E7">
        <w:rPr>
          <w:shd w:val="clear" w:color="auto" w:fill="FFFFFF"/>
        </w:rPr>
        <w:t>pojazdów samochodowych, przyczep i naczep – o</w:t>
      </w:r>
      <w:proofErr w:type="gramStart"/>
      <w:r w:rsidRPr="003627E7">
        <w:rPr>
          <w:shd w:val="clear" w:color="auto" w:fill="FFFFFF"/>
        </w:rPr>
        <w:t xml:space="preserve"> </w:t>
      </w:r>
      <w:r>
        <w:rPr>
          <w:shd w:val="clear" w:color="auto" w:fill="FFFFFF"/>
        </w:rPr>
        <w:t>15,2</w:t>
      </w:r>
      <w:r w:rsidRPr="003627E7">
        <w:rPr>
          <w:shd w:val="clear" w:color="auto" w:fill="FFFFFF"/>
        </w:rPr>
        <w:t>%, maszyn</w:t>
      </w:r>
      <w:proofErr w:type="gramEnd"/>
      <w:r w:rsidRPr="003627E7">
        <w:rPr>
          <w:shd w:val="clear" w:color="auto" w:fill="FFFFFF"/>
        </w:rPr>
        <w:t xml:space="preserve"> i urządzeń </w:t>
      </w:r>
      <w:r w:rsidRPr="003627E7">
        <w:rPr>
          <w:noProof/>
          <w:spacing w:val="-2"/>
          <w:szCs w:val="19"/>
          <w:lang w:eastAsia="pl-PL"/>
        </w:rPr>
        <w:t>–</w:t>
      </w:r>
      <w:r w:rsidRPr="003627E7">
        <w:rPr>
          <w:shd w:val="clear" w:color="auto" w:fill="FFFFFF"/>
        </w:rPr>
        <w:t xml:space="preserve"> o </w:t>
      </w:r>
      <w:r>
        <w:rPr>
          <w:shd w:val="clear" w:color="auto" w:fill="FFFFFF"/>
        </w:rPr>
        <w:t>13,0</w:t>
      </w:r>
      <w:r w:rsidRPr="003627E7">
        <w:rPr>
          <w:shd w:val="clear" w:color="auto" w:fill="FFFFFF"/>
        </w:rPr>
        <w:t>%,</w:t>
      </w:r>
      <w:r>
        <w:rPr>
          <w:shd w:val="clear" w:color="auto" w:fill="FFFFFF"/>
        </w:rPr>
        <w:t xml:space="preserve"> </w:t>
      </w:r>
      <w:r w:rsidR="00043821">
        <w:rPr>
          <w:shd w:val="clear" w:color="auto" w:fill="FFFFFF"/>
        </w:rPr>
        <w:t xml:space="preserve">skóry i wyrobów skórzanych – o 8,3%, </w:t>
      </w:r>
      <w:r>
        <w:rPr>
          <w:shd w:val="clear" w:color="auto" w:fill="FFFFFF"/>
        </w:rPr>
        <w:t>metali – o 7,3%.</w:t>
      </w:r>
    </w:p>
    <w:p w:rsidR="007B0FEC" w:rsidRDefault="007B0FEC" w:rsidP="003627E7">
      <w:pPr>
        <w:suppressAutoHyphens/>
        <w:spacing w:before="0" w:after="0"/>
        <w:rPr>
          <w:shd w:val="clear" w:color="auto" w:fill="FFFFFF"/>
        </w:rPr>
      </w:pPr>
    </w:p>
    <w:p w:rsidR="003627E7" w:rsidRPr="003627E7" w:rsidRDefault="003627E7" w:rsidP="003627E7">
      <w:pPr>
        <w:suppressAutoHyphens/>
        <w:spacing w:before="0" w:after="0"/>
        <w:rPr>
          <w:b/>
          <w:sz w:val="18"/>
          <w:szCs w:val="18"/>
          <w:shd w:val="clear" w:color="auto" w:fill="FFFFFF"/>
        </w:rPr>
      </w:pPr>
      <w:r w:rsidRPr="003627E7">
        <w:rPr>
          <w:b/>
          <w:sz w:val="18"/>
          <w:szCs w:val="18"/>
          <w:shd w:val="clear" w:color="auto" w:fill="FFFFFF"/>
        </w:rPr>
        <w:t>Wykres 2. Dynamika produkcji sprzedanej przemysłu według wybranych działów PKD (ceny stał</w:t>
      </w:r>
      <w:r w:rsidR="00C022D8">
        <w:rPr>
          <w:b/>
          <w:sz w:val="18"/>
          <w:szCs w:val="18"/>
          <w:shd w:val="clear" w:color="auto" w:fill="FFFFFF"/>
        </w:rPr>
        <w:t>e</w:t>
      </w:r>
      <w:r w:rsidR="00515E5A">
        <w:rPr>
          <w:b/>
          <w:sz w:val="18"/>
          <w:szCs w:val="18"/>
          <w:shd w:val="clear" w:color="auto" w:fill="FFFFFF"/>
        </w:rPr>
        <w:t>;</w:t>
      </w:r>
      <w:r w:rsidRPr="003627E7">
        <w:rPr>
          <w:b/>
          <w:sz w:val="18"/>
          <w:szCs w:val="18"/>
          <w:shd w:val="clear" w:color="auto" w:fill="FFFFFF"/>
        </w:rPr>
        <w:t xml:space="preserve">       </w:t>
      </w:r>
    </w:p>
    <w:p w:rsidR="00334B93" w:rsidRPr="00334B93" w:rsidRDefault="00043821" w:rsidP="00334B93">
      <w:pPr>
        <w:suppressAutoHyphens/>
        <w:spacing w:before="0" w:after="0"/>
        <w:rPr>
          <w:b/>
          <w:sz w:val="18"/>
          <w:szCs w:val="18"/>
          <w:shd w:val="clear" w:color="auto" w:fill="FFFFFF"/>
        </w:rPr>
      </w:pPr>
      <w:r>
        <w:rPr>
          <w:noProof/>
          <w:lang w:eastAsia="pl-PL"/>
        </w:rPr>
        <w:drawing>
          <wp:anchor distT="0" distB="0" distL="114300" distR="114300" simplePos="0" relativeHeight="251807744" behindDoc="0" locked="0" layoutInCell="1" allowOverlap="1" wp14:anchorId="02E45E4B" wp14:editId="0444AB68">
            <wp:simplePos x="0" y="0"/>
            <wp:positionH relativeFrom="column">
              <wp:posOffset>32664</wp:posOffset>
            </wp:positionH>
            <wp:positionV relativeFrom="paragraph">
              <wp:posOffset>161620</wp:posOffset>
            </wp:positionV>
            <wp:extent cx="4754880" cy="3547745"/>
            <wp:effectExtent l="0" t="0" r="7620" b="0"/>
            <wp:wrapSquare wrapText="bothSides"/>
            <wp:docPr id="8" name="Wykres 8">
              <a:extLst xmlns:a="http://schemas.openxmlformats.org/drawingml/2006/main">
                <a:ext uri="{FF2B5EF4-FFF2-40B4-BE49-F238E27FC236}">
                  <a16:creationId xmlns:lc="http://schemas.openxmlformats.org/drawingml/2006/lockedCanvas" xmlns:a16="http://schemas.microsoft.com/office/drawing/2014/main" xmlns="" xmlns:xdr="http://schemas.openxmlformats.org/drawingml/2006/spreadsheetDrawing" xmlns:w="http://schemas.openxmlformats.org/wordprocessingml/2006/main" xmlns:w10="urn:schemas-microsoft-com:office:word" xmlns:v="urn:schemas-microsoft-com:vml" xmlns:o="urn:schemas-microsoft-com:office:office" id="{00000000-0008-0000-0000-000002000000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3"/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3627E7" w:rsidRPr="003627E7">
        <w:rPr>
          <w:b/>
          <w:sz w:val="18"/>
          <w:szCs w:val="18"/>
          <w:shd w:val="clear" w:color="auto" w:fill="FFFFFF"/>
        </w:rPr>
        <w:t xml:space="preserve">                   </w:t>
      </w:r>
      <w:proofErr w:type="gramStart"/>
      <w:r w:rsidR="003627E7" w:rsidRPr="003627E7">
        <w:rPr>
          <w:b/>
          <w:sz w:val="18"/>
          <w:szCs w:val="18"/>
          <w:shd w:val="clear" w:color="auto" w:fill="FFFFFF"/>
        </w:rPr>
        <w:t>poprzedni</w:t>
      </w:r>
      <w:proofErr w:type="gramEnd"/>
      <w:r w:rsidR="003627E7" w:rsidRPr="003627E7">
        <w:rPr>
          <w:b/>
          <w:sz w:val="18"/>
          <w:szCs w:val="18"/>
          <w:shd w:val="clear" w:color="auto" w:fill="FFFFFF"/>
        </w:rPr>
        <w:t xml:space="preserve"> rok=100)</w:t>
      </w:r>
    </w:p>
    <w:p w:rsidR="001C51BC" w:rsidRDefault="00BE0B67" w:rsidP="003B5910">
      <w:pPr>
        <w:rPr>
          <w:shd w:val="clear" w:color="auto" w:fill="FFFFFF"/>
        </w:rPr>
      </w:pPr>
      <w:r>
        <w:lastRenderedPageBreak/>
        <w:t>W porównaniu z majem</w:t>
      </w:r>
      <w:r w:rsidR="00A6597F">
        <w:t xml:space="preserve"> br., wzrost</w:t>
      </w:r>
      <w:r w:rsidR="00730CB8" w:rsidRPr="00730CB8">
        <w:t xml:space="preserve"> </w:t>
      </w:r>
      <w:r w:rsidR="00A6597F" w:rsidRPr="003627E7">
        <w:rPr>
          <w:shd w:val="clear" w:color="auto" w:fill="FFFFFF"/>
        </w:rPr>
        <w:t>produkcji sprzedanej (w</w:t>
      </w:r>
      <w:r w:rsidR="00A6597F">
        <w:rPr>
          <w:shd w:val="clear" w:color="auto" w:fill="FFFFFF"/>
        </w:rPr>
        <w:t xml:space="preserve"> cenach stałych) </w:t>
      </w:r>
      <w:r w:rsidR="000A6E89">
        <w:rPr>
          <w:shd w:val="clear" w:color="auto" w:fill="FFFFFF"/>
        </w:rPr>
        <w:t xml:space="preserve">w </w:t>
      </w:r>
      <w:r>
        <w:rPr>
          <w:shd w:val="clear" w:color="auto" w:fill="FFFFFF"/>
        </w:rPr>
        <w:t>czerwcu</w:t>
      </w:r>
      <w:r w:rsidR="000A6E89">
        <w:rPr>
          <w:shd w:val="clear" w:color="auto" w:fill="FFFFFF"/>
        </w:rPr>
        <w:t xml:space="preserve"> br. </w:t>
      </w:r>
      <w:r>
        <w:rPr>
          <w:shd w:val="clear" w:color="auto" w:fill="FFFFFF"/>
        </w:rPr>
        <w:t>odnotowano w 29</w:t>
      </w:r>
      <w:r w:rsidR="00A6597F" w:rsidRPr="003627E7">
        <w:rPr>
          <w:shd w:val="clear" w:color="auto" w:fill="FFFFFF"/>
        </w:rPr>
        <w:t xml:space="preserve"> działach przemysłu, m.in.</w:t>
      </w:r>
      <w:r w:rsidR="00A6597F" w:rsidRPr="00A6597F">
        <w:rPr>
          <w:shd w:val="clear" w:color="auto" w:fill="FFFFFF"/>
        </w:rPr>
        <w:t xml:space="preserve"> </w:t>
      </w:r>
      <w:r w:rsidR="00A6597F">
        <w:rPr>
          <w:shd w:val="clear" w:color="auto" w:fill="FFFFFF"/>
        </w:rPr>
        <w:t xml:space="preserve">w </w:t>
      </w:r>
      <w:r w:rsidR="00A6597F" w:rsidRPr="003627E7">
        <w:rPr>
          <w:shd w:val="clear" w:color="auto" w:fill="FFFFFF"/>
        </w:rPr>
        <w:t>produkcji pojazdów samochodowych, przyczep i naczep – o</w:t>
      </w:r>
      <w:proofErr w:type="gramStart"/>
      <w:r w:rsidR="00A6597F" w:rsidRPr="003627E7">
        <w:rPr>
          <w:shd w:val="clear" w:color="auto" w:fill="FFFFFF"/>
        </w:rPr>
        <w:t xml:space="preserve"> </w:t>
      </w:r>
      <w:r>
        <w:rPr>
          <w:shd w:val="clear" w:color="auto" w:fill="FFFFFF"/>
        </w:rPr>
        <w:t>80,5</w:t>
      </w:r>
      <w:r w:rsidR="00A6597F" w:rsidRPr="003627E7">
        <w:rPr>
          <w:shd w:val="clear" w:color="auto" w:fill="FFFFFF"/>
        </w:rPr>
        <w:t>%, </w:t>
      </w:r>
      <w:r w:rsidR="00A30855">
        <w:rPr>
          <w:shd w:val="clear" w:color="auto" w:fill="FFFFFF"/>
        </w:rPr>
        <w:t>skóry</w:t>
      </w:r>
      <w:proofErr w:type="gramEnd"/>
      <w:r w:rsidR="00A30855">
        <w:rPr>
          <w:shd w:val="clear" w:color="auto" w:fill="FFFFFF"/>
        </w:rPr>
        <w:t xml:space="preserve"> i wyrobów skórzanych – o </w:t>
      </w:r>
      <w:r>
        <w:rPr>
          <w:shd w:val="clear" w:color="auto" w:fill="FFFFFF"/>
        </w:rPr>
        <w:t>37,2</w:t>
      </w:r>
      <w:r w:rsidR="00A30855">
        <w:rPr>
          <w:shd w:val="clear" w:color="auto" w:fill="FFFFFF"/>
        </w:rPr>
        <w:t xml:space="preserve">%, </w:t>
      </w:r>
      <w:r>
        <w:rPr>
          <w:shd w:val="clear" w:color="auto" w:fill="FFFFFF"/>
        </w:rPr>
        <w:t>mebli – o 33,4</w:t>
      </w:r>
      <w:r w:rsidR="00A6597F">
        <w:rPr>
          <w:shd w:val="clear" w:color="auto" w:fill="FFFFFF"/>
        </w:rPr>
        <w:t xml:space="preserve">%, </w:t>
      </w:r>
      <w:r>
        <w:rPr>
          <w:shd w:val="clear" w:color="auto" w:fill="FFFFFF"/>
        </w:rPr>
        <w:t>maszyn i urządzeń</w:t>
      </w:r>
      <w:r w:rsidR="00A6597F">
        <w:rPr>
          <w:shd w:val="clear" w:color="auto" w:fill="FFFFFF"/>
        </w:rPr>
        <w:t xml:space="preserve"> – o </w:t>
      </w:r>
      <w:r>
        <w:rPr>
          <w:shd w:val="clear" w:color="auto" w:fill="FFFFFF"/>
        </w:rPr>
        <w:t>22,0</w:t>
      </w:r>
      <w:r w:rsidR="00A6597F">
        <w:rPr>
          <w:shd w:val="clear" w:color="auto" w:fill="FFFFFF"/>
        </w:rPr>
        <w:t>%,</w:t>
      </w:r>
      <w:r w:rsidR="00A6597F" w:rsidRPr="00A6597F">
        <w:t xml:space="preserve"> </w:t>
      </w:r>
      <w:r w:rsidR="00A30855">
        <w:t xml:space="preserve">wyrobów </w:t>
      </w:r>
      <w:r>
        <w:t>farmaceutycznych</w:t>
      </w:r>
      <w:r w:rsidR="00A30855">
        <w:t xml:space="preserve"> – o </w:t>
      </w:r>
      <w:r>
        <w:t>20,0</w:t>
      </w:r>
      <w:r w:rsidR="00A30855">
        <w:t xml:space="preserve">%, </w:t>
      </w:r>
      <w:r w:rsidR="00A6597F" w:rsidRPr="003627E7">
        <w:rPr>
          <w:shd w:val="clear" w:color="auto" w:fill="FFFFFF"/>
        </w:rPr>
        <w:t>wyrobów z gumy i tworzyw sztucznych – o </w:t>
      </w:r>
      <w:r>
        <w:rPr>
          <w:shd w:val="clear" w:color="auto" w:fill="FFFFFF"/>
        </w:rPr>
        <w:t>15,7</w:t>
      </w:r>
      <w:r w:rsidR="00A6597F" w:rsidRPr="003627E7">
        <w:rPr>
          <w:shd w:val="clear" w:color="auto" w:fill="FFFFFF"/>
        </w:rPr>
        <w:t>%,</w:t>
      </w:r>
      <w:r w:rsidR="00A6597F" w:rsidRPr="00A6597F">
        <w:t xml:space="preserve"> </w:t>
      </w:r>
      <w:r w:rsidR="00A6597F" w:rsidRPr="00A6597F">
        <w:rPr>
          <w:shd w:val="clear" w:color="auto" w:fill="FFFFFF"/>
        </w:rPr>
        <w:t>komputerów, wyrobów elektronicznych</w:t>
      </w:r>
      <w:r w:rsidR="00A6597F">
        <w:rPr>
          <w:shd w:val="clear" w:color="auto" w:fill="FFFFFF"/>
        </w:rPr>
        <w:t xml:space="preserve"> i optycznych – o </w:t>
      </w:r>
      <w:r>
        <w:rPr>
          <w:shd w:val="clear" w:color="auto" w:fill="FFFFFF"/>
        </w:rPr>
        <w:t>13,2%</w:t>
      </w:r>
      <w:r w:rsidR="00A6597F">
        <w:rPr>
          <w:shd w:val="clear" w:color="auto" w:fill="FFFFFF"/>
        </w:rPr>
        <w:t>.</w:t>
      </w:r>
      <w:r w:rsidR="00A6597F" w:rsidRPr="00A6597F">
        <w:rPr>
          <w:shd w:val="clear" w:color="auto" w:fill="FFFFFF"/>
        </w:rPr>
        <w:t xml:space="preserve"> </w:t>
      </w:r>
    </w:p>
    <w:p w:rsidR="00C062AB" w:rsidRDefault="00A6597F" w:rsidP="003B5910">
      <w:r>
        <w:rPr>
          <w:shd w:val="clear" w:color="auto" w:fill="FFFFFF"/>
        </w:rPr>
        <w:t>Spadek</w:t>
      </w:r>
      <w:r w:rsidRPr="003627E7">
        <w:rPr>
          <w:shd w:val="clear" w:color="auto" w:fill="FFFFFF"/>
        </w:rPr>
        <w:t xml:space="preserve"> produkcji sprzedanej prz</w:t>
      </w:r>
      <w:r>
        <w:rPr>
          <w:shd w:val="clear" w:color="auto" w:fill="FFFFFF"/>
        </w:rPr>
        <w:t xml:space="preserve">emysłu, w porównaniu z </w:t>
      </w:r>
      <w:r w:rsidR="00BE0B67">
        <w:rPr>
          <w:shd w:val="clear" w:color="auto" w:fill="FFFFFF"/>
        </w:rPr>
        <w:t>majem</w:t>
      </w:r>
      <w:r>
        <w:rPr>
          <w:shd w:val="clear" w:color="auto" w:fill="FFFFFF"/>
        </w:rPr>
        <w:t xml:space="preserve"> br., wystąpił w </w:t>
      </w:r>
      <w:r w:rsidR="00BE0B67">
        <w:rPr>
          <w:shd w:val="clear" w:color="auto" w:fill="FFFFFF"/>
        </w:rPr>
        <w:t>5</w:t>
      </w:r>
      <w:r w:rsidRPr="003627E7">
        <w:rPr>
          <w:shd w:val="clear" w:color="auto" w:fill="FFFFFF"/>
        </w:rPr>
        <w:t xml:space="preserve"> działach, m.in.</w:t>
      </w:r>
      <w:r w:rsidR="00BE0B67" w:rsidRPr="00BE0B67">
        <w:rPr>
          <w:shd w:val="clear" w:color="auto" w:fill="FFFFFF"/>
        </w:rPr>
        <w:t xml:space="preserve"> </w:t>
      </w:r>
      <w:r w:rsidR="00BE0B67">
        <w:rPr>
          <w:shd w:val="clear" w:color="auto" w:fill="FFFFFF"/>
        </w:rPr>
        <w:t xml:space="preserve">w produkcji </w:t>
      </w:r>
      <w:r w:rsidR="00BE0B67" w:rsidRPr="003627E7">
        <w:rPr>
          <w:shd w:val="clear" w:color="auto" w:fill="FFFFFF"/>
        </w:rPr>
        <w:t xml:space="preserve">koksu i produktów rafinacji ropy naftowej – o </w:t>
      </w:r>
      <w:r w:rsidR="00043821">
        <w:rPr>
          <w:shd w:val="clear" w:color="auto" w:fill="FFFFFF"/>
        </w:rPr>
        <w:t>6,5%,</w:t>
      </w:r>
      <w:r w:rsidRPr="00A6597F">
        <w:rPr>
          <w:shd w:val="clear" w:color="auto" w:fill="FFFFFF"/>
        </w:rPr>
        <w:t xml:space="preserve"> </w:t>
      </w:r>
      <w:r>
        <w:rPr>
          <w:shd w:val="clear" w:color="auto" w:fill="FFFFFF"/>
        </w:rPr>
        <w:t>w wytwarzaniu i zaopatrywaniu</w:t>
      </w:r>
      <w:r w:rsidRPr="00A6597F">
        <w:rPr>
          <w:shd w:val="clear" w:color="auto" w:fill="FFFFFF"/>
        </w:rPr>
        <w:t xml:space="preserve"> w energię elektryczną, gaz, parę wodną i gorącą wodę</w:t>
      </w:r>
      <w:r>
        <w:rPr>
          <w:shd w:val="clear" w:color="auto" w:fill="FFFFFF"/>
        </w:rPr>
        <w:t xml:space="preserve"> – o </w:t>
      </w:r>
      <w:r w:rsidR="00BE0B67">
        <w:rPr>
          <w:shd w:val="clear" w:color="auto" w:fill="FFFFFF"/>
        </w:rPr>
        <w:t>5</w:t>
      </w:r>
      <w:r w:rsidR="005E6573">
        <w:rPr>
          <w:shd w:val="clear" w:color="auto" w:fill="FFFFFF"/>
        </w:rPr>
        <w:t>,8%</w:t>
      </w:r>
      <w:r w:rsidR="00BE0B67">
        <w:t>.</w:t>
      </w:r>
    </w:p>
    <w:p w:rsidR="0066739B" w:rsidRDefault="0066739B" w:rsidP="003B5910"/>
    <w:p w:rsidR="00F52A68" w:rsidRPr="003627E7" w:rsidRDefault="00F52A68" w:rsidP="00F52A68">
      <w:pPr>
        <w:suppressAutoHyphens/>
        <w:spacing w:before="0" w:after="0"/>
        <w:rPr>
          <w:b/>
          <w:sz w:val="18"/>
          <w:szCs w:val="18"/>
          <w:shd w:val="clear" w:color="auto" w:fill="FFFFFF"/>
        </w:rPr>
      </w:pPr>
      <w:r>
        <w:rPr>
          <w:b/>
          <w:sz w:val="18"/>
          <w:szCs w:val="18"/>
          <w:shd w:val="clear" w:color="auto" w:fill="FFFFFF"/>
        </w:rPr>
        <w:t>Wykres 3</w:t>
      </w:r>
      <w:r w:rsidRPr="003627E7">
        <w:rPr>
          <w:b/>
          <w:sz w:val="18"/>
          <w:szCs w:val="18"/>
          <w:shd w:val="clear" w:color="auto" w:fill="FFFFFF"/>
        </w:rPr>
        <w:t>. Dynamika produkcji sprzedanej przemysłu według wybranych działów PKD (ceny stał</w:t>
      </w:r>
      <w:r>
        <w:rPr>
          <w:b/>
          <w:sz w:val="18"/>
          <w:szCs w:val="18"/>
          <w:shd w:val="clear" w:color="auto" w:fill="FFFFFF"/>
        </w:rPr>
        <w:t>e</w:t>
      </w:r>
      <w:r w:rsidR="00515E5A">
        <w:rPr>
          <w:b/>
          <w:sz w:val="18"/>
          <w:szCs w:val="18"/>
          <w:shd w:val="clear" w:color="auto" w:fill="FFFFFF"/>
        </w:rPr>
        <w:t>;</w:t>
      </w:r>
      <w:r w:rsidRPr="003627E7">
        <w:rPr>
          <w:b/>
          <w:sz w:val="18"/>
          <w:szCs w:val="18"/>
          <w:shd w:val="clear" w:color="auto" w:fill="FFFFFF"/>
        </w:rPr>
        <w:t xml:space="preserve">       </w:t>
      </w:r>
    </w:p>
    <w:p w:rsidR="00F52A68" w:rsidRPr="003627E7" w:rsidRDefault="00926821" w:rsidP="00F52A68">
      <w:pPr>
        <w:suppressAutoHyphens/>
        <w:spacing w:before="0" w:after="0"/>
        <w:rPr>
          <w:b/>
          <w:sz w:val="18"/>
          <w:szCs w:val="18"/>
          <w:shd w:val="clear" w:color="auto" w:fill="FFFFFF"/>
        </w:rPr>
      </w:pPr>
      <w:r>
        <w:rPr>
          <w:noProof/>
          <w:lang w:eastAsia="pl-PL"/>
        </w:rPr>
        <w:drawing>
          <wp:anchor distT="0" distB="0" distL="114300" distR="114300" simplePos="0" relativeHeight="251808768" behindDoc="0" locked="0" layoutInCell="1" allowOverlap="1">
            <wp:simplePos x="0" y="0"/>
            <wp:positionH relativeFrom="margin">
              <wp:align>right</wp:align>
            </wp:positionH>
            <wp:positionV relativeFrom="paragraph">
              <wp:posOffset>274983</wp:posOffset>
            </wp:positionV>
            <wp:extent cx="5122545" cy="3442335"/>
            <wp:effectExtent l="0" t="0" r="1905" b="5715"/>
            <wp:wrapSquare wrapText="bothSides"/>
            <wp:docPr id="3" name="Wykres 3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4"/>
              </a:graphicData>
            </a:graphic>
            <wp14:sizeRelV relativeFrom="margin">
              <wp14:pctHeight>0</wp14:pctHeight>
            </wp14:sizeRelV>
          </wp:anchor>
        </w:drawing>
      </w:r>
      <w:r w:rsidR="00C74841">
        <w:rPr>
          <w:b/>
          <w:sz w:val="18"/>
          <w:szCs w:val="18"/>
          <w:shd w:val="clear" w:color="auto" w:fill="FFFFFF"/>
        </w:rPr>
        <w:t xml:space="preserve"> </w:t>
      </w:r>
      <w:r w:rsidR="00F52A68">
        <w:rPr>
          <w:b/>
          <w:sz w:val="18"/>
          <w:szCs w:val="18"/>
          <w:shd w:val="clear" w:color="auto" w:fill="FFFFFF"/>
        </w:rPr>
        <w:t xml:space="preserve">                  </w:t>
      </w:r>
      <w:proofErr w:type="gramStart"/>
      <w:r w:rsidR="00F52A68">
        <w:rPr>
          <w:b/>
          <w:sz w:val="18"/>
          <w:szCs w:val="18"/>
          <w:shd w:val="clear" w:color="auto" w:fill="FFFFFF"/>
        </w:rPr>
        <w:t>miesiąc</w:t>
      </w:r>
      <w:proofErr w:type="gramEnd"/>
      <w:r w:rsidR="00F52A68">
        <w:rPr>
          <w:b/>
          <w:sz w:val="18"/>
          <w:szCs w:val="18"/>
          <w:shd w:val="clear" w:color="auto" w:fill="FFFFFF"/>
        </w:rPr>
        <w:t xml:space="preserve"> poprzedni</w:t>
      </w:r>
      <w:r w:rsidR="00F52A68" w:rsidRPr="003627E7">
        <w:rPr>
          <w:b/>
          <w:sz w:val="18"/>
          <w:szCs w:val="18"/>
          <w:shd w:val="clear" w:color="auto" w:fill="FFFFFF"/>
        </w:rPr>
        <w:t>=100)</w:t>
      </w:r>
    </w:p>
    <w:p w:rsidR="00C062AB" w:rsidRDefault="00C062AB" w:rsidP="003B5910"/>
    <w:p w:rsidR="00C062AB" w:rsidRDefault="00C062AB" w:rsidP="003B5910"/>
    <w:p w:rsidR="0070018F" w:rsidRDefault="0070018F" w:rsidP="00BA0518">
      <w:pPr>
        <w:spacing w:line="240" w:lineRule="auto"/>
        <w:rPr>
          <w:noProof/>
          <w:lang w:eastAsia="pl-PL"/>
        </w:rPr>
      </w:pPr>
    </w:p>
    <w:p w:rsidR="003009A1" w:rsidRDefault="003009A1" w:rsidP="00BA0518">
      <w:pPr>
        <w:spacing w:line="240" w:lineRule="auto"/>
        <w:rPr>
          <w:noProof/>
          <w:lang w:eastAsia="pl-PL"/>
        </w:rPr>
      </w:pPr>
    </w:p>
    <w:p w:rsidR="003009A1" w:rsidRDefault="003009A1" w:rsidP="00BA0518">
      <w:pPr>
        <w:spacing w:line="240" w:lineRule="auto"/>
        <w:rPr>
          <w:noProof/>
          <w:lang w:eastAsia="pl-PL"/>
        </w:rPr>
      </w:pPr>
    </w:p>
    <w:p w:rsidR="003009A1" w:rsidRDefault="003009A1" w:rsidP="00BA0518">
      <w:pPr>
        <w:spacing w:line="240" w:lineRule="auto"/>
        <w:rPr>
          <w:noProof/>
          <w:lang w:eastAsia="pl-PL"/>
        </w:rPr>
      </w:pPr>
    </w:p>
    <w:p w:rsidR="003009A1" w:rsidRDefault="003009A1" w:rsidP="00BA0518">
      <w:pPr>
        <w:spacing w:line="240" w:lineRule="auto"/>
        <w:rPr>
          <w:noProof/>
          <w:lang w:eastAsia="pl-PL"/>
        </w:rPr>
      </w:pPr>
    </w:p>
    <w:p w:rsidR="003009A1" w:rsidRDefault="003009A1" w:rsidP="00BA0518">
      <w:pPr>
        <w:spacing w:line="240" w:lineRule="auto"/>
        <w:rPr>
          <w:noProof/>
          <w:lang w:eastAsia="pl-PL"/>
        </w:rPr>
      </w:pPr>
    </w:p>
    <w:p w:rsidR="003009A1" w:rsidRDefault="003009A1" w:rsidP="00BA0518">
      <w:pPr>
        <w:spacing w:line="240" w:lineRule="auto"/>
        <w:rPr>
          <w:noProof/>
          <w:lang w:eastAsia="pl-PL"/>
        </w:rPr>
      </w:pPr>
    </w:p>
    <w:p w:rsidR="003009A1" w:rsidRDefault="003009A1" w:rsidP="00BA0518">
      <w:pPr>
        <w:spacing w:line="240" w:lineRule="auto"/>
        <w:rPr>
          <w:noProof/>
          <w:lang w:eastAsia="pl-PL"/>
        </w:rPr>
      </w:pPr>
    </w:p>
    <w:p w:rsidR="003009A1" w:rsidRDefault="003009A1" w:rsidP="00BA0518">
      <w:pPr>
        <w:spacing w:line="240" w:lineRule="auto"/>
        <w:rPr>
          <w:noProof/>
          <w:lang w:eastAsia="pl-PL"/>
        </w:rPr>
      </w:pPr>
    </w:p>
    <w:p w:rsidR="003009A1" w:rsidRDefault="003009A1" w:rsidP="00BA0518">
      <w:pPr>
        <w:spacing w:line="240" w:lineRule="auto"/>
        <w:rPr>
          <w:noProof/>
          <w:lang w:eastAsia="pl-PL"/>
        </w:rPr>
      </w:pPr>
    </w:p>
    <w:p w:rsidR="003009A1" w:rsidRDefault="003009A1" w:rsidP="00BA0518">
      <w:pPr>
        <w:spacing w:line="240" w:lineRule="auto"/>
        <w:rPr>
          <w:noProof/>
          <w:lang w:eastAsia="pl-PL"/>
        </w:rPr>
      </w:pPr>
    </w:p>
    <w:p w:rsidR="003009A1" w:rsidRDefault="003009A1" w:rsidP="00BA0518">
      <w:pPr>
        <w:spacing w:line="240" w:lineRule="auto"/>
        <w:rPr>
          <w:szCs w:val="19"/>
        </w:rPr>
      </w:pPr>
    </w:p>
    <w:p w:rsidR="00BA0518" w:rsidRPr="00BA0518" w:rsidRDefault="00BA0518" w:rsidP="00BA0518">
      <w:pPr>
        <w:spacing w:line="240" w:lineRule="auto"/>
        <w:rPr>
          <w:szCs w:val="19"/>
        </w:rPr>
      </w:pPr>
    </w:p>
    <w:p w:rsidR="00724458" w:rsidRPr="0070018F" w:rsidRDefault="001C51BC" w:rsidP="00F52A68">
      <w:pPr>
        <w:rPr>
          <w:b/>
          <w:sz w:val="18"/>
          <w:szCs w:val="18"/>
        </w:rPr>
        <w:sectPr w:rsidR="00724458" w:rsidRPr="0070018F" w:rsidSect="006A19B6">
          <w:headerReference w:type="default" r:id="rId15"/>
          <w:footerReference w:type="default" r:id="rId16"/>
          <w:headerReference w:type="first" r:id="rId17"/>
          <w:footerReference w:type="first" r:id="rId18"/>
          <w:type w:val="continuous"/>
          <w:pgSz w:w="11906" w:h="16838"/>
          <w:pgMar w:top="720" w:right="3119" w:bottom="720" w:left="720" w:header="283" w:footer="397" w:gutter="0"/>
          <w:pgNumType w:start="1"/>
          <w:cols w:space="708"/>
          <w:titlePg/>
          <w:docGrid w:linePitch="360"/>
        </w:sectPr>
      </w:pPr>
      <w:r>
        <w:t>W przypadku cytowania danych Głównego Urzędu Statystycznego prosimy o zamieszczenie informacji: „Źródło danych GUS”, a</w:t>
      </w:r>
      <w:r w:rsidR="00B96F7C">
        <w:t xml:space="preserve"> </w:t>
      </w:r>
      <w:r w:rsidR="00B96F7C" w:rsidRPr="00B55FEA">
        <w:t>w</w:t>
      </w:r>
      <w:r>
        <w:t xml:space="preserve"> przypadku publikowania obliczeń dokonanych na danych opublikowanych przez GUS prosimy o zamieszczenie informacji: „Opracowanie własne na </w:t>
      </w:r>
      <w:r w:rsidR="0070018F">
        <w:t>podstawie danych GUS”</w:t>
      </w:r>
      <w:r w:rsidR="00B96F7C">
        <w:t>.</w:t>
      </w:r>
    </w:p>
    <w:p w:rsidR="0021268C" w:rsidRPr="00033D0D" w:rsidRDefault="0021268C" w:rsidP="0046503D">
      <w:pPr>
        <w:rPr>
          <w:sz w:val="18"/>
        </w:rPr>
      </w:pPr>
    </w:p>
    <w:tbl>
      <w:tblPr>
        <w:tblpPr w:leftFromText="141" w:rightFromText="141" w:vertAnchor="text" w:horzAnchor="margin" w:tblpY="155"/>
        <w:tblW w:w="0" w:type="auto"/>
        <w:tblLook w:val="04A0" w:firstRow="1" w:lastRow="0" w:firstColumn="1" w:lastColumn="0" w:noHBand="0" w:noVBand="1"/>
      </w:tblPr>
      <w:tblGrid>
        <w:gridCol w:w="4218"/>
        <w:gridCol w:w="3779"/>
      </w:tblGrid>
      <w:tr w:rsidR="003627E7" w:rsidRPr="003627E7" w:rsidTr="00F84574">
        <w:trPr>
          <w:trHeight w:val="1344"/>
        </w:trPr>
        <w:tc>
          <w:tcPr>
            <w:tcW w:w="4218" w:type="dxa"/>
            <w:vAlign w:val="center"/>
          </w:tcPr>
          <w:p w:rsidR="003627E7" w:rsidRPr="003627E7" w:rsidRDefault="003627E7" w:rsidP="003627E7">
            <w:pPr>
              <w:spacing w:before="0" w:after="0" w:line="276" w:lineRule="auto"/>
              <w:rPr>
                <w:rFonts w:cs="Arial"/>
                <w:color w:val="000000" w:themeColor="text1"/>
                <w:sz w:val="20"/>
              </w:rPr>
            </w:pPr>
            <w:r w:rsidRPr="003627E7">
              <w:rPr>
                <w:rFonts w:cs="Arial"/>
                <w:color w:val="000000" w:themeColor="text1"/>
                <w:sz w:val="20"/>
              </w:rPr>
              <w:t>Opracowanie merytoryczne:</w:t>
            </w:r>
          </w:p>
          <w:p w:rsidR="003627E7" w:rsidRPr="003627E7" w:rsidRDefault="003627E7" w:rsidP="003627E7">
            <w:pPr>
              <w:spacing w:before="0" w:after="0" w:line="240" w:lineRule="auto"/>
              <w:rPr>
                <w:rFonts w:cs="Arial"/>
                <w:b/>
                <w:color w:val="000000" w:themeColor="text1"/>
                <w:sz w:val="20"/>
              </w:rPr>
            </w:pPr>
            <w:r w:rsidRPr="003627E7">
              <w:rPr>
                <w:rFonts w:cs="Arial"/>
                <w:b/>
                <w:color w:val="000000" w:themeColor="text1"/>
                <w:sz w:val="20"/>
              </w:rPr>
              <w:t>Departament Przedsiębiorstw</w:t>
            </w:r>
          </w:p>
          <w:p w:rsidR="003627E7" w:rsidRPr="003627E7" w:rsidRDefault="003627E7" w:rsidP="003627E7">
            <w:pPr>
              <w:spacing w:before="0" w:after="0" w:line="240" w:lineRule="auto"/>
              <w:rPr>
                <w:rFonts w:cs="Arial"/>
                <w:b/>
                <w:color w:val="000000" w:themeColor="text1"/>
                <w:sz w:val="20"/>
              </w:rPr>
            </w:pPr>
            <w:r w:rsidRPr="003627E7">
              <w:rPr>
                <w:rFonts w:cs="Arial"/>
                <w:b/>
                <w:color w:val="000000" w:themeColor="text1"/>
                <w:sz w:val="20"/>
              </w:rPr>
              <w:t>Katarzyna Walkowska</w:t>
            </w:r>
          </w:p>
          <w:p w:rsidR="003627E7" w:rsidRPr="003627E7" w:rsidRDefault="003627E7" w:rsidP="003627E7">
            <w:pPr>
              <w:spacing w:before="0" w:after="0" w:line="240" w:lineRule="auto"/>
              <w:rPr>
                <w:rFonts w:cs="Arial"/>
                <w:b/>
                <w:color w:val="000000" w:themeColor="text1"/>
                <w:sz w:val="20"/>
                <w:lang w:val="en-US"/>
              </w:rPr>
            </w:pPr>
            <w:r w:rsidRPr="003627E7">
              <w:rPr>
                <w:rFonts w:cs="Arial"/>
                <w:color w:val="000000" w:themeColor="text1"/>
                <w:sz w:val="20"/>
                <w:lang w:val="fi-FI"/>
              </w:rPr>
              <w:t>Tel: 22</w:t>
            </w:r>
            <w:r w:rsidRPr="003627E7">
              <w:rPr>
                <w:rFonts w:cs="Arial"/>
                <w:color w:val="000000" w:themeColor="text1"/>
                <w:sz w:val="20"/>
                <w:lang w:val="en-US"/>
              </w:rPr>
              <w:t xml:space="preserve"> 608 31 25</w:t>
            </w:r>
          </w:p>
        </w:tc>
        <w:tc>
          <w:tcPr>
            <w:tcW w:w="3779" w:type="dxa"/>
            <w:vAlign w:val="center"/>
          </w:tcPr>
          <w:p w:rsidR="003627E7" w:rsidRPr="003627E7" w:rsidRDefault="003627E7" w:rsidP="003627E7">
            <w:pPr>
              <w:spacing w:before="0" w:after="0" w:line="276" w:lineRule="auto"/>
              <w:rPr>
                <w:rFonts w:cs="Arial"/>
                <w:b/>
                <w:color w:val="000000" w:themeColor="text1"/>
                <w:sz w:val="20"/>
              </w:rPr>
            </w:pPr>
            <w:r w:rsidRPr="003627E7">
              <w:rPr>
                <w:rFonts w:cs="Arial"/>
                <w:color w:val="000000" w:themeColor="text1"/>
                <w:sz w:val="20"/>
              </w:rPr>
              <w:t>Rozpowszechnianie</w:t>
            </w:r>
            <w:proofErr w:type="gramStart"/>
            <w:r w:rsidRPr="003627E7">
              <w:rPr>
                <w:rFonts w:cs="Arial"/>
                <w:color w:val="000000" w:themeColor="text1"/>
                <w:sz w:val="20"/>
              </w:rPr>
              <w:t>:</w:t>
            </w:r>
            <w:r w:rsidRPr="003627E7">
              <w:rPr>
                <w:rFonts w:cs="Arial"/>
                <w:color w:val="000000" w:themeColor="text1"/>
                <w:sz w:val="20"/>
              </w:rPr>
              <w:br/>
            </w:r>
            <w:r w:rsidRPr="003627E7">
              <w:rPr>
                <w:rFonts w:cs="Arial"/>
                <w:b/>
                <w:color w:val="000000" w:themeColor="text1"/>
                <w:sz w:val="20"/>
              </w:rPr>
              <w:t>Rzecznik</w:t>
            </w:r>
            <w:proofErr w:type="gramEnd"/>
            <w:r w:rsidRPr="003627E7">
              <w:rPr>
                <w:rFonts w:cs="Arial"/>
                <w:b/>
                <w:color w:val="000000" w:themeColor="text1"/>
                <w:sz w:val="20"/>
              </w:rPr>
              <w:t xml:space="preserve"> Prasowy Prezesa GUS</w:t>
            </w:r>
          </w:p>
          <w:p w:rsidR="003627E7" w:rsidRPr="003627E7" w:rsidRDefault="003627E7" w:rsidP="003627E7">
            <w:pPr>
              <w:keepNext/>
              <w:keepLines/>
              <w:spacing w:before="0" w:after="0" w:line="240" w:lineRule="auto"/>
              <w:outlineLvl w:val="2"/>
              <w:rPr>
                <w:rFonts w:eastAsiaTheme="majorEastAsia" w:cs="Arial"/>
                <w:b/>
                <w:color w:val="000000" w:themeColor="text1"/>
                <w:sz w:val="20"/>
                <w:szCs w:val="28"/>
              </w:rPr>
            </w:pPr>
            <w:r w:rsidRPr="003627E7">
              <w:rPr>
                <w:rFonts w:eastAsiaTheme="majorEastAsia" w:cs="Arial"/>
                <w:b/>
                <w:color w:val="000000" w:themeColor="text1"/>
                <w:sz w:val="20"/>
                <w:szCs w:val="28"/>
              </w:rPr>
              <w:t>Karolina Banaszek</w:t>
            </w:r>
          </w:p>
          <w:p w:rsidR="003627E7" w:rsidRPr="003627E7" w:rsidRDefault="003627E7" w:rsidP="003627E7">
            <w:pPr>
              <w:keepNext/>
              <w:keepLines/>
              <w:spacing w:before="0" w:after="0" w:line="240" w:lineRule="auto"/>
              <w:outlineLvl w:val="2"/>
              <w:rPr>
                <w:rFonts w:eastAsiaTheme="majorEastAsia" w:cs="Arial"/>
                <w:color w:val="000000" w:themeColor="text1"/>
                <w:sz w:val="20"/>
                <w:szCs w:val="20"/>
                <w:lang w:val="en-US"/>
              </w:rPr>
            </w:pPr>
            <w:r w:rsidRPr="003627E7">
              <w:rPr>
                <w:rFonts w:eastAsiaTheme="majorEastAsia" w:cs="Arial"/>
                <w:color w:val="000000" w:themeColor="text1"/>
                <w:sz w:val="20"/>
                <w:szCs w:val="24"/>
                <w:lang w:val="fi-FI"/>
              </w:rPr>
              <w:t>Tel: 695 255 011</w:t>
            </w:r>
          </w:p>
        </w:tc>
      </w:tr>
    </w:tbl>
    <w:p w:rsidR="003627E7" w:rsidRPr="003627E7" w:rsidRDefault="003627E7" w:rsidP="003627E7">
      <w:pPr>
        <w:rPr>
          <w:sz w:val="18"/>
          <w:lang w:val="en-US"/>
        </w:rPr>
      </w:pPr>
    </w:p>
    <w:tbl>
      <w:tblPr>
        <w:tblStyle w:val="Tabela-Siatka2"/>
        <w:tblpPr w:leftFromText="141" w:rightFromText="141" w:vertAnchor="text" w:horzAnchor="margin" w:tblpY="99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4390"/>
        <w:gridCol w:w="595"/>
        <w:gridCol w:w="3082"/>
      </w:tblGrid>
      <w:tr w:rsidR="003627E7" w:rsidRPr="003627E7" w:rsidTr="00F84574">
        <w:trPr>
          <w:trHeight w:val="610"/>
        </w:trPr>
        <w:tc>
          <w:tcPr>
            <w:tcW w:w="2721" w:type="pct"/>
            <w:vMerge w:val="restart"/>
            <w:vAlign w:val="center"/>
          </w:tcPr>
          <w:p w:rsidR="003627E7" w:rsidRPr="003627E7" w:rsidRDefault="003627E7" w:rsidP="003627E7">
            <w:pPr>
              <w:spacing w:before="0" w:after="0" w:line="276" w:lineRule="auto"/>
              <w:rPr>
                <w:b/>
                <w:sz w:val="20"/>
              </w:rPr>
            </w:pPr>
            <w:r w:rsidRPr="003627E7">
              <w:rPr>
                <w:b/>
                <w:sz w:val="20"/>
              </w:rPr>
              <w:t xml:space="preserve">Wydział Współpracy z Mediami </w:t>
            </w:r>
          </w:p>
          <w:p w:rsidR="003627E7" w:rsidRPr="003627E7" w:rsidRDefault="003627E7" w:rsidP="003627E7">
            <w:pPr>
              <w:spacing w:before="0" w:after="0" w:line="276" w:lineRule="auto"/>
              <w:rPr>
                <w:sz w:val="20"/>
              </w:rPr>
            </w:pPr>
            <w:r w:rsidRPr="003627E7">
              <w:rPr>
                <w:sz w:val="20"/>
              </w:rPr>
              <w:t>Tel:</w:t>
            </w:r>
            <w:r w:rsidRPr="003627E7">
              <w:rPr>
                <w:b/>
                <w:sz w:val="20"/>
              </w:rPr>
              <w:t xml:space="preserve"> </w:t>
            </w:r>
            <w:r w:rsidRPr="003627E7">
              <w:rPr>
                <w:sz w:val="20"/>
              </w:rPr>
              <w:t xml:space="preserve">22 608 34 91, 22 608 38 04 </w:t>
            </w:r>
          </w:p>
          <w:p w:rsidR="003627E7" w:rsidRPr="003627E7" w:rsidRDefault="003627E7" w:rsidP="003627E7">
            <w:pPr>
              <w:spacing w:before="0" w:after="0" w:line="276" w:lineRule="auto"/>
              <w:rPr>
                <w:sz w:val="18"/>
                <w:lang w:val="en-US"/>
              </w:rPr>
            </w:pPr>
            <w:r w:rsidRPr="003627E7">
              <w:rPr>
                <w:b/>
                <w:sz w:val="20"/>
                <w:lang w:val="en-US"/>
              </w:rPr>
              <w:t>e-mail:</w:t>
            </w:r>
            <w:r w:rsidRPr="003627E7">
              <w:rPr>
                <w:sz w:val="20"/>
                <w:lang w:val="en-US"/>
              </w:rPr>
              <w:t xml:space="preserve"> </w:t>
            </w:r>
            <w:hyperlink r:id="rId19" w:history="1">
              <w:r w:rsidRPr="003627E7">
                <w:rPr>
                  <w:b/>
                  <w:sz w:val="20"/>
                  <w:u w:val="single"/>
                  <w:lang w:val="en-US"/>
                </w:rPr>
                <w:t>obslugaprasowa@stat.gov.pl</w:t>
              </w:r>
            </w:hyperlink>
          </w:p>
        </w:tc>
        <w:tc>
          <w:tcPr>
            <w:tcW w:w="369" w:type="pct"/>
            <w:vAlign w:val="center"/>
          </w:tcPr>
          <w:p w:rsidR="003627E7" w:rsidRPr="003627E7" w:rsidRDefault="003627E7" w:rsidP="003627E7">
            <w:pPr>
              <w:rPr>
                <w:sz w:val="18"/>
                <w:lang w:val="en-US"/>
              </w:rPr>
            </w:pPr>
            <w:r w:rsidRPr="003627E7"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97504" behindDoc="0" locked="0" layoutInCell="1" allowOverlap="1" wp14:anchorId="790980A8" wp14:editId="7C99B506">
                  <wp:simplePos x="0" y="0"/>
                  <wp:positionH relativeFrom="column">
                    <wp:posOffset>78740</wp:posOffset>
                  </wp:positionH>
                  <wp:positionV relativeFrom="paragraph">
                    <wp:posOffset>21590</wp:posOffset>
                  </wp:positionV>
                  <wp:extent cx="256540" cy="251460"/>
                  <wp:effectExtent l="0" t="0" r="0" b="0"/>
                  <wp:wrapNone/>
                  <wp:docPr id="21" name="Obraz 2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" name="logo-03.png"/>
                          <pic:cNvPicPr/>
                        </pic:nvPicPr>
                        <pic:blipFill>
                          <a:blip r:embed="rId2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654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1910" w:type="pct"/>
            <w:vAlign w:val="center"/>
          </w:tcPr>
          <w:p w:rsidR="003627E7" w:rsidRPr="003627E7" w:rsidRDefault="00333431" w:rsidP="003627E7">
            <w:pPr>
              <w:rPr>
                <w:sz w:val="20"/>
                <w:szCs w:val="20"/>
              </w:rPr>
            </w:pPr>
            <w:hyperlink r:id="rId21" w:history="1">
              <w:r w:rsidR="003627E7" w:rsidRPr="003627E7">
                <w:rPr>
                  <w:sz w:val="20"/>
                  <w:szCs w:val="20"/>
                </w:rPr>
                <w:t>www.stat.gov.pl</w:t>
              </w:r>
            </w:hyperlink>
          </w:p>
        </w:tc>
      </w:tr>
      <w:tr w:rsidR="003627E7" w:rsidRPr="003627E7" w:rsidTr="00F84574">
        <w:trPr>
          <w:trHeight w:val="436"/>
        </w:trPr>
        <w:tc>
          <w:tcPr>
            <w:tcW w:w="2721" w:type="pct"/>
            <w:vMerge/>
            <w:vAlign w:val="center"/>
          </w:tcPr>
          <w:p w:rsidR="003627E7" w:rsidRPr="003627E7" w:rsidRDefault="003627E7" w:rsidP="003627E7">
            <w:pPr>
              <w:rPr>
                <w:sz w:val="18"/>
              </w:rPr>
            </w:pPr>
          </w:p>
        </w:tc>
        <w:tc>
          <w:tcPr>
            <w:tcW w:w="369" w:type="pct"/>
            <w:vAlign w:val="center"/>
          </w:tcPr>
          <w:p w:rsidR="003627E7" w:rsidRPr="003627E7" w:rsidRDefault="003627E7" w:rsidP="003627E7">
            <w:pPr>
              <w:rPr>
                <w:sz w:val="18"/>
              </w:rPr>
            </w:pPr>
            <w:r w:rsidRPr="003627E7"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99552" behindDoc="0" locked="0" layoutInCell="1" allowOverlap="1" wp14:anchorId="2FC29B18" wp14:editId="57C4C18F">
                  <wp:simplePos x="0" y="0"/>
                  <wp:positionH relativeFrom="column">
                    <wp:posOffset>81280</wp:posOffset>
                  </wp:positionH>
                  <wp:positionV relativeFrom="paragraph">
                    <wp:posOffset>18415</wp:posOffset>
                  </wp:positionV>
                  <wp:extent cx="256540" cy="251460"/>
                  <wp:effectExtent l="0" t="0" r="0" b="0"/>
                  <wp:wrapNone/>
                  <wp:docPr id="22" name="Obraz 2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" name="logo-04.png"/>
                          <pic:cNvPicPr/>
                        </pic:nvPicPr>
                        <pic:blipFill>
                          <a:blip r:embed="rId2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654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1910" w:type="pct"/>
          </w:tcPr>
          <w:p w:rsidR="003627E7" w:rsidRPr="003627E7" w:rsidRDefault="003627E7" w:rsidP="003627E7">
            <w:pPr>
              <w:rPr>
                <w:sz w:val="18"/>
              </w:rPr>
            </w:pPr>
            <w:r w:rsidRPr="003627E7">
              <w:rPr>
                <w:sz w:val="20"/>
              </w:rPr>
              <w:t>@GUS_STAT</w:t>
            </w:r>
          </w:p>
        </w:tc>
      </w:tr>
      <w:tr w:rsidR="003627E7" w:rsidRPr="003627E7" w:rsidTr="00F84574">
        <w:trPr>
          <w:trHeight w:val="436"/>
        </w:trPr>
        <w:tc>
          <w:tcPr>
            <w:tcW w:w="2721" w:type="pct"/>
            <w:vMerge/>
            <w:vAlign w:val="center"/>
          </w:tcPr>
          <w:p w:rsidR="003627E7" w:rsidRPr="003627E7" w:rsidRDefault="003627E7" w:rsidP="003627E7">
            <w:pPr>
              <w:rPr>
                <w:sz w:val="18"/>
              </w:rPr>
            </w:pPr>
          </w:p>
        </w:tc>
        <w:tc>
          <w:tcPr>
            <w:tcW w:w="369" w:type="pct"/>
            <w:vAlign w:val="center"/>
          </w:tcPr>
          <w:p w:rsidR="003627E7" w:rsidRPr="003627E7" w:rsidRDefault="003627E7" w:rsidP="003627E7">
            <w:pPr>
              <w:rPr>
                <w:sz w:val="18"/>
              </w:rPr>
            </w:pPr>
            <w:r w:rsidRPr="003627E7"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98528" behindDoc="0" locked="0" layoutInCell="1" allowOverlap="1" wp14:anchorId="32425C9F" wp14:editId="36E81927">
                  <wp:simplePos x="0" y="0"/>
                  <wp:positionH relativeFrom="column">
                    <wp:posOffset>78740</wp:posOffset>
                  </wp:positionH>
                  <wp:positionV relativeFrom="paragraph">
                    <wp:posOffset>15240</wp:posOffset>
                  </wp:positionV>
                  <wp:extent cx="256540" cy="251460"/>
                  <wp:effectExtent l="0" t="0" r="0" b="0"/>
                  <wp:wrapNone/>
                  <wp:docPr id="23" name="Obraz 2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654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1910" w:type="pct"/>
          </w:tcPr>
          <w:p w:rsidR="003627E7" w:rsidRPr="003627E7" w:rsidRDefault="003627E7" w:rsidP="003627E7">
            <w:pPr>
              <w:rPr>
                <w:sz w:val="20"/>
              </w:rPr>
            </w:pPr>
            <w:r w:rsidRPr="003627E7">
              <w:rPr>
                <w:sz w:val="20"/>
              </w:rPr>
              <w:t>@</w:t>
            </w:r>
            <w:proofErr w:type="spellStart"/>
            <w:r w:rsidRPr="003627E7">
              <w:rPr>
                <w:sz w:val="20"/>
              </w:rPr>
              <w:t>GlownyUrzadStatystyczny</w:t>
            </w:r>
            <w:proofErr w:type="spellEnd"/>
          </w:p>
        </w:tc>
      </w:tr>
    </w:tbl>
    <w:p w:rsidR="003627E7" w:rsidRPr="003627E7" w:rsidRDefault="003627E7" w:rsidP="003627E7">
      <w:pPr>
        <w:rPr>
          <w:sz w:val="18"/>
        </w:rPr>
      </w:pPr>
      <w:r w:rsidRPr="003627E7">
        <w:rPr>
          <w:noProof/>
          <w:sz w:val="18"/>
          <w:lang w:eastAsia="pl-PL"/>
        </w:rPr>
        <mc:AlternateContent>
          <mc:Choice Requires="wps">
            <w:drawing>
              <wp:anchor distT="45720" distB="45720" distL="114300" distR="114300" simplePos="0" relativeHeight="251796480" behindDoc="0" locked="0" layoutInCell="1" allowOverlap="1" wp14:anchorId="0119BB66" wp14:editId="5336DD71">
                <wp:simplePos x="0" y="0"/>
                <wp:positionH relativeFrom="margin">
                  <wp:align>left</wp:align>
                </wp:positionH>
                <wp:positionV relativeFrom="paragraph">
                  <wp:posOffset>1553210</wp:posOffset>
                </wp:positionV>
                <wp:extent cx="6559550" cy="5111115"/>
                <wp:effectExtent l="0" t="0" r="12700" b="13335"/>
                <wp:wrapSquare wrapText="bothSides"/>
                <wp:docPr id="28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559550" cy="5111262"/>
                        </a:xfrm>
                        <a:prstGeom prst="rect">
                          <a:avLst/>
                        </a:prstGeom>
                        <a:solidFill>
                          <a:sysClr val="window" lastClr="FFFFFF">
                            <a:lumMod val="95000"/>
                          </a:sysClr>
                        </a:solidFill>
                        <a:ln w="9525">
                          <a:solidFill>
                            <a:sysClr val="window" lastClr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3627E7" w:rsidRDefault="003627E7" w:rsidP="003627E7">
                            <w:pPr>
                              <w:rPr>
                                <w:b/>
                              </w:rPr>
                            </w:pPr>
                          </w:p>
                          <w:p w:rsidR="003627E7" w:rsidRDefault="003627E7" w:rsidP="003627E7">
                            <w:pPr>
                              <w:rPr>
                                <w:b/>
                              </w:rPr>
                            </w:pPr>
                            <w:r w:rsidRPr="007C79C9">
                              <w:rPr>
                                <w:b/>
                              </w:rPr>
                              <w:t>Powiązane opracowania</w:t>
                            </w:r>
                          </w:p>
                          <w:p w:rsidR="003627E7" w:rsidRPr="00781CE2" w:rsidRDefault="003627E7" w:rsidP="003627E7">
                            <w:pPr>
                              <w:rPr>
                                <w:rStyle w:val="Hipercze"/>
                                <w:rFonts w:cstheme="minorBidi"/>
                                <w:color w:val="002060"/>
                                <w:sz w:val="18"/>
                              </w:rPr>
                            </w:pPr>
                            <w:r w:rsidRPr="00781CE2">
                              <w:rPr>
                                <w:rStyle w:val="Hipercze"/>
                                <w:rFonts w:cstheme="minorBidi"/>
                                <w:color w:val="002060"/>
                                <w:sz w:val="18"/>
                              </w:rPr>
                              <w:fldChar w:fldCharType="begin"/>
                            </w:r>
                            <w:r w:rsidR="00812747">
                              <w:rPr>
                                <w:rStyle w:val="Hipercze"/>
                                <w:rFonts w:cstheme="minorBidi"/>
                                <w:color w:val="002060"/>
                                <w:sz w:val="18"/>
                              </w:rPr>
                              <w:instrText>HYPERLINK "https://stat.gov.pl/obszary-tematyczne/inne-opracowania/informacje-o-sytuacji-spoleczno-gospodarczej/biuletyn-statystyczny-nr-52020,4,100.html"</w:instrText>
                            </w:r>
                            <w:r w:rsidRPr="00781CE2">
                              <w:rPr>
                                <w:rStyle w:val="Hipercze"/>
                                <w:rFonts w:cstheme="minorBidi"/>
                                <w:color w:val="002060"/>
                                <w:sz w:val="18"/>
                              </w:rPr>
                              <w:fldChar w:fldCharType="separate"/>
                            </w:r>
                            <w:r w:rsidRPr="00781CE2">
                              <w:rPr>
                                <w:rStyle w:val="Hipercze"/>
                                <w:rFonts w:cstheme="minorBidi"/>
                                <w:color w:val="002060"/>
                                <w:sz w:val="18"/>
                              </w:rPr>
                              <w:t>Biuletyn Statystyczny</w:t>
                            </w:r>
                          </w:p>
                          <w:p w:rsidR="003627E7" w:rsidRPr="00781CE2" w:rsidRDefault="003627E7" w:rsidP="003627E7">
                            <w:pPr>
                              <w:rPr>
                                <w:rStyle w:val="Hipercze"/>
                                <w:rFonts w:cstheme="minorBidi"/>
                                <w:color w:val="002060"/>
                                <w:sz w:val="18"/>
                              </w:rPr>
                            </w:pPr>
                            <w:r w:rsidRPr="00781CE2">
                              <w:rPr>
                                <w:rStyle w:val="Hipercze"/>
                                <w:rFonts w:cstheme="minorBidi"/>
                                <w:color w:val="002060"/>
                                <w:sz w:val="18"/>
                              </w:rPr>
                              <w:fldChar w:fldCharType="end"/>
                            </w:r>
                            <w:r w:rsidRPr="00781CE2">
                              <w:rPr>
                                <w:rStyle w:val="Hipercze"/>
                                <w:rFonts w:cstheme="minorBidi"/>
                                <w:color w:val="002060"/>
                                <w:sz w:val="18"/>
                              </w:rPr>
                              <w:fldChar w:fldCharType="begin"/>
                            </w:r>
                            <w:r w:rsidR="00812747">
                              <w:rPr>
                                <w:rStyle w:val="Hipercze"/>
                                <w:rFonts w:cstheme="minorBidi"/>
                                <w:color w:val="002060"/>
                                <w:sz w:val="18"/>
                              </w:rPr>
                              <w:instrText>HYPERLINK "https://stat.gov.pl/obszary-tematyczne/inne-opracowania/informacje-o-sytuacji-spoleczno-gospodarczej/sytuacja-spoleczno-gospodarcza-kraju-w-maju-2020-r-,1,97.html"</w:instrText>
                            </w:r>
                            <w:r w:rsidRPr="00781CE2">
                              <w:rPr>
                                <w:rStyle w:val="Hipercze"/>
                                <w:rFonts w:cstheme="minorBidi"/>
                                <w:color w:val="002060"/>
                                <w:sz w:val="18"/>
                              </w:rPr>
                              <w:fldChar w:fldCharType="separate"/>
                            </w:r>
                            <w:r w:rsidRPr="00781CE2">
                              <w:rPr>
                                <w:rStyle w:val="Hipercze"/>
                                <w:rFonts w:cstheme="minorBidi"/>
                                <w:color w:val="002060"/>
                                <w:sz w:val="18"/>
                              </w:rPr>
                              <w:t>Sytuacja społeczno-gospodarcza kraju</w:t>
                            </w:r>
                          </w:p>
                          <w:p w:rsidR="003627E7" w:rsidRPr="007C79C9" w:rsidRDefault="003627E7" w:rsidP="003627E7">
                            <w:pPr>
                              <w:rPr>
                                <w:b/>
                                <w:color w:val="000000" w:themeColor="text1"/>
                                <w:szCs w:val="24"/>
                              </w:rPr>
                            </w:pPr>
                            <w:r w:rsidRPr="00781CE2">
                              <w:rPr>
                                <w:rStyle w:val="Hipercze"/>
                                <w:rFonts w:cstheme="minorBidi"/>
                                <w:color w:val="002060"/>
                                <w:sz w:val="18"/>
                              </w:rPr>
                              <w:fldChar w:fldCharType="end"/>
                            </w:r>
                            <w:hyperlink r:id="rId24" w:history="1"/>
                          </w:p>
                          <w:p w:rsidR="003627E7" w:rsidRPr="007C79C9" w:rsidRDefault="003627E7" w:rsidP="003627E7">
                            <w:pPr>
                              <w:rPr>
                                <w:b/>
                                <w:color w:val="000000" w:themeColor="text1"/>
                                <w:szCs w:val="24"/>
                              </w:rPr>
                            </w:pPr>
                            <w:r w:rsidRPr="007C79C9">
                              <w:rPr>
                                <w:b/>
                                <w:color w:val="000000" w:themeColor="text1"/>
                                <w:szCs w:val="24"/>
                              </w:rPr>
                              <w:t>Temat dostępny w bazach danych</w:t>
                            </w:r>
                          </w:p>
                          <w:p w:rsidR="003627E7" w:rsidRPr="00364866" w:rsidRDefault="00333431" w:rsidP="003627E7">
                            <w:pPr>
                              <w:rPr>
                                <w:color w:val="001D77"/>
                                <w:sz w:val="18"/>
                                <w:u w:val="single"/>
                              </w:rPr>
                            </w:pPr>
                            <w:hyperlink r:id="rId25" w:history="1">
                              <w:r w:rsidR="003627E7" w:rsidRPr="00364866">
                                <w:rPr>
                                  <w:rStyle w:val="Hipercze"/>
                                  <w:rFonts w:cstheme="minorBidi"/>
                                  <w:color w:val="001D77"/>
                                  <w:sz w:val="18"/>
                                </w:rPr>
                                <w:t>Dziedzinowe Bazy Wiedzy - Produkcja Przemysłowa</w:t>
                              </w:r>
                            </w:hyperlink>
                          </w:p>
                          <w:p w:rsidR="003627E7" w:rsidRPr="00364866" w:rsidRDefault="00333431" w:rsidP="003627E7">
                            <w:pPr>
                              <w:rPr>
                                <w:color w:val="001D77"/>
                                <w:sz w:val="18"/>
                                <w:u w:val="single"/>
                              </w:rPr>
                            </w:pPr>
                            <w:hyperlink r:id="rId26" w:history="1">
                              <w:r w:rsidR="003627E7" w:rsidRPr="00364866">
                                <w:rPr>
                                  <w:rStyle w:val="Hipercze"/>
                                  <w:rFonts w:cstheme="minorBidi"/>
                                  <w:color w:val="001D77"/>
                                  <w:sz w:val="18"/>
                                </w:rPr>
                                <w:t>Wskaźniki makroekonomiczne</w:t>
                              </w:r>
                            </w:hyperlink>
                          </w:p>
                          <w:p w:rsidR="003627E7" w:rsidRPr="00364866" w:rsidRDefault="00333431" w:rsidP="003627E7">
                            <w:pPr>
                              <w:rPr>
                                <w:color w:val="001D77"/>
                                <w:sz w:val="18"/>
                              </w:rPr>
                            </w:pPr>
                            <w:hyperlink r:id="rId27" w:history="1">
                              <w:r w:rsidR="003627E7" w:rsidRPr="00364866">
                                <w:rPr>
                                  <w:rStyle w:val="Hipercze"/>
                                  <w:rFonts w:cstheme="minorBidi"/>
                                  <w:color w:val="001D77"/>
                                  <w:sz w:val="18"/>
                                </w:rPr>
                                <w:t>Bank Danych Makroekonomicznych</w:t>
                              </w:r>
                            </w:hyperlink>
                          </w:p>
                          <w:p w:rsidR="003627E7" w:rsidRPr="00364866" w:rsidRDefault="00333431" w:rsidP="003627E7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6"/>
                                <w:szCs w:val="30"/>
                                <w:shd w:val="clear" w:color="auto" w:fill="F0F0F0"/>
                              </w:rPr>
                            </w:pPr>
                            <w:hyperlink r:id="rId28" w:history="1">
                              <w:r w:rsidR="003627E7" w:rsidRPr="00364866">
                                <w:rPr>
                                  <w:rStyle w:val="Hipercze"/>
                                  <w:rFonts w:cstheme="minorBidi"/>
                                  <w:color w:val="001D77"/>
                                  <w:sz w:val="18"/>
                                </w:rPr>
                                <w:t>Bank Danych Lokalnych</w:t>
                              </w:r>
                            </w:hyperlink>
                          </w:p>
                          <w:p w:rsidR="003627E7" w:rsidRPr="007C79C9" w:rsidRDefault="003627E7" w:rsidP="003627E7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</w:pPr>
                          </w:p>
                          <w:p w:rsidR="003627E7" w:rsidRDefault="003627E7" w:rsidP="003627E7">
                            <w:pPr>
                              <w:rPr>
                                <w:b/>
                                <w:color w:val="000000" w:themeColor="text1"/>
                                <w:szCs w:val="24"/>
                              </w:rPr>
                            </w:pPr>
                            <w:r>
                              <w:rPr>
                                <w:b/>
                                <w:color w:val="000000" w:themeColor="text1"/>
                                <w:szCs w:val="24"/>
                              </w:rPr>
                              <w:t>Ważniejsze</w:t>
                            </w:r>
                            <w:r w:rsidRPr="00505A92">
                              <w:rPr>
                                <w:b/>
                                <w:color w:val="000000" w:themeColor="text1"/>
                                <w:szCs w:val="24"/>
                              </w:rPr>
                              <w:t xml:space="preserve"> pojęcia dostępne w słowniku</w:t>
                            </w:r>
                          </w:p>
                          <w:p w:rsidR="003627E7" w:rsidRPr="00364866" w:rsidRDefault="00333431" w:rsidP="003627E7">
                            <w:pPr>
                              <w:rPr>
                                <w:color w:val="001D77"/>
                                <w:sz w:val="18"/>
                              </w:rPr>
                            </w:pPr>
                            <w:hyperlink r:id="rId29" w:history="1">
                              <w:r w:rsidR="003627E7" w:rsidRPr="00364866">
                                <w:rPr>
                                  <w:rStyle w:val="Hipercze"/>
                                  <w:rFonts w:cstheme="minorBidi"/>
                                  <w:color w:val="001D77"/>
                                  <w:sz w:val="18"/>
                                </w:rPr>
                                <w:t>Produkcja sprzedana przemysłu</w:t>
                              </w:r>
                            </w:hyperlink>
                            <w:r w:rsidR="003627E7" w:rsidRPr="00364866">
                              <w:rPr>
                                <w:color w:val="001D77"/>
                                <w:sz w:val="18"/>
                              </w:rPr>
                              <w:t xml:space="preserve"> </w:t>
                            </w:r>
                          </w:p>
                          <w:p w:rsidR="003627E7" w:rsidRPr="00364866" w:rsidRDefault="00333431" w:rsidP="003627E7">
                            <w:pPr>
                              <w:rPr>
                                <w:color w:val="001D77"/>
                                <w:sz w:val="18"/>
                                <w:u w:val="single"/>
                              </w:rPr>
                            </w:pPr>
                            <w:hyperlink r:id="rId30" w:history="1">
                              <w:r w:rsidR="003627E7" w:rsidRPr="00364866">
                                <w:rPr>
                                  <w:rStyle w:val="Hipercze"/>
                                  <w:rFonts w:cstheme="minorBidi"/>
                                  <w:color w:val="001D77"/>
                                  <w:sz w:val="18"/>
                                </w:rPr>
                                <w:t>Indeks (dynamika) produkcji sprzedanej przemysłu (niewyrównany sezonowo)</w:t>
                              </w:r>
                            </w:hyperlink>
                          </w:p>
                          <w:p w:rsidR="003627E7" w:rsidRPr="00364866" w:rsidRDefault="00333431" w:rsidP="003627E7">
                            <w:pPr>
                              <w:rPr>
                                <w:color w:val="001D77"/>
                                <w:sz w:val="18"/>
                                <w:u w:val="single"/>
                              </w:rPr>
                            </w:pPr>
                            <w:hyperlink r:id="rId31" w:history="1">
                              <w:r w:rsidR="003627E7" w:rsidRPr="00364866">
                                <w:rPr>
                                  <w:rStyle w:val="Hipercze"/>
                                  <w:rFonts w:cstheme="minorBidi"/>
                                  <w:color w:val="001D77"/>
                                  <w:sz w:val="18"/>
                                </w:rPr>
                                <w:t>Indeks (dynamika) produkcji sprzedanej przemysłu (wyrównany sezonowo)</w:t>
                              </w:r>
                            </w:hyperlink>
                            <w:r w:rsidR="003627E7" w:rsidRPr="00364866">
                              <w:rPr>
                                <w:color w:val="001D77"/>
                                <w:sz w:val="18"/>
                              </w:rPr>
                              <w:t xml:space="preserve"> </w:t>
                            </w:r>
                          </w:p>
                          <w:p w:rsidR="003627E7" w:rsidRPr="00364866" w:rsidRDefault="00333431" w:rsidP="003627E7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19"/>
                                <w:shd w:val="clear" w:color="auto" w:fill="F0F0F0"/>
                              </w:rPr>
                            </w:pPr>
                            <w:hyperlink r:id="rId32" w:history="1">
                              <w:r w:rsidR="003627E7" w:rsidRPr="00364866">
                                <w:rPr>
                                  <w:rStyle w:val="Hipercze"/>
                                  <w:rFonts w:cs="Arial"/>
                                  <w:color w:val="001D77"/>
                                  <w:sz w:val="18"/>
                                  <w:szCs w:val="19"/>
                                  <w:shd w:val="clear" w:color="auto" w:fill="F0F0F0"/>
                                </w:rPr>
                                <w:t>Produkcja dóbr inwestycyjnych</w:t>
                              </w:r>
                            </w:hyperlink>
                          </w:p>
                          <w:p w:rsidR="003627E7" w:rsidRPr="00364866" w:rsidRDefault="00333431" w:rsidP="003627E7">
                            <w:pPr>
                              <w:rPr>
                                <w:color w:val="001D77"/>
                                <w:sz w:val="18"/>
                                <w:szCs w:val="24"/>
                              </w:rPr>
                            </w:pPr>
                            <w:hyperlink r:id="rId33" w:history="1">
                              <w:r w:rsidR="003627E7" w:rsidRPr="00364866">
                                <w:rPr>
                                  <w:rStyle w:val="Hipercze"/>
                                  <w:rFonts w:cstheme="minorBidi"/>
                                  <w:color w:val="001D77"/>
                                  <w:sz w:val="18"/>
                                  <w:szCs w:val="24"/>
                                </w:rPr>
                                <w:t>Produkcja dóbr konsumpcyjnych nietrwałych</w:t>
                              </w:r>
                            </w:hyperlink>
                          </w:p>
                          <w:p w:rsidR="003627E7" w:rsidRPr="00364866" w:rsidRDefault="00333431" w:rsidP="003627E7">
                            <w:pPr>
                              <w:rPr>
                                <w:color w:val="001D77"/>
                                <w:sz w:val="18"/>
                                <w:szCs w:val="24"/>
                              </w:rPr>
                            </w:pPr>
                            <w:hyperlink r:id="rId34" w:history="1">
                              <w:r w:rsidR="003627E7" w:rsidRPr="00364866">
                                <w:rPr>
                                  <w:rStyle w:val="Hipercze"/>
                                  <w:rFonts w:cstheme="minorBidi"/>
                                  <w:color w:val="001D77"/>
                                  <w:sz w:val="18"/>
                                  <w:szCs w:val="24"/>
                                </w:rPr>
                                <w:t>Produkcja dóbr konsumpcyjnych trwałych</w:t>
                              </w:r>
                            </w:hyperlink>
                          </w:p>
                          <w:p w:rsidR="003627E7" w:rsidRPr="00364866" w:rsidRDefault="00333431" w:rsidP="003627E7">
                            <w:pPr>
                              <w:rPr>
                                <w:color w:val="001D77"/>
                                <w:sz w:val="18"/>
                                <w:szCs w:val="24"/>
                              </w:rPr>
                            </w:pPr>
                            <w:hyperlink r:id="rId35" w:history="1">
                              <w:r w:rsidR="003627E7" w:rsidRPr="00364866">
                                <w:rPr>
                                  <w:rStyle w:val="Hipercze"/>
                                  <w:rFonts w:cstheme="minorBidi"/>
                                  <w:color w:val="001D77"/>
                                  <w:sz w:val="18"/>
                                  <w:szCs w:val="24"/>
                                </w:rPr>
                                <w:t>Produkcja dóbr zaopatrzeniowych</w:t>
                              </w:r>
                            </w:hyperlink>
                          </w:p>
                          <w:p w:rsidR="003627E7" w:rsidRPr="00364866" w:rsidRDefault="00333431" w:rsidP="003627E7">
                            <w:pPr>
                              <w:rPr>
                                <w:color w:val="001D77"/>
                                <w:sz w:val="18"/>
                                <w:szCs w:val="24"/>
                              </w:rPr>
                            </w:pPr>
                            <w:hyperlink r:id="rId36" w:history="1">
                              <w:r w:rsidR="003627E7" w:rsidRPr="00364866">
                                <w:rPr>
                                  <w:rStyle w:val="Hipercze"/>
                                  <w:rFonts w:cstheme="minorBidi"/>
                                  <w:color w:val="001D77"/>
                                  <w:sz w:val="18"/>
                                  <w:szCs w:val="24"/>
                                </w:rPr>
                                <w:t>Produkcja dóbr związanych z energią</w:t>
                              </w:r>
                            </w:hyperlink>
                          </w:p>
                          <w:p w:rsidR="003627E7" w:rsidRDefault="003627E7" w:rsidP="003627E7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119BB66" id="_x0000_s1030" type="#_x0000_t202" style="position:absolute;margin-left:0;margin-top:122.3pt;width:516.5pt;height:402.45pt;z-index:251796480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" fillcolor="#f2f2f2" strokecolor="window">
                <v:textbox>
                  <w:txbxContent>
                    <w:p w:rsidR="003627E7" w:rsidRDefault="003627E7" w:rsidP="003627E7">
                      <w:pPr>
                        <w:rPr>
                          <w:b/>
                        </w:rPr>
                      </w:pPr>
                    </w:p>
                    <w:p w:rsidR="003627E7" w:rsidRDefault="003627E7" w:rsidP="003627E7">
                      <w:pPr>
                        <w:rPr>
                          <w:b/>
                        </w:rPr>
                      </w:pPr>
                      <w:r w:rsidRPr="007C79C9">
                        <w:rPr>
                          <w:b/>
                        </w:rPr>
                        <w:t>Powiązane opracowania</w:t>
                      </w:r>
                    </w:p>
                    <w:p w:rsidR="003627E7" w:rsidRPr="00781CE2" w:rsidRDefault="003627E7" w:rsidP="003627E7">
                      <w:pPr>
                        <w:rPr>
                          <w:rStyle w:val="Hipercze"/>
                          <w:rFonts w:cstheme="minorBidi"/>
                          <w:color w:val="002060"/>
                          <w:sz w:val="18"/>
                        </w:rPr>
                      </w:pPr>
                      <w:r w:rsidRPr="00781CE2">
                        <w:rPr>
                          <w:rStyle w:val="Hipercze"/>
                          <w:rFonts w:cstheme="minorBidi"/>
                          <w:color w:val="002060"/>
                          <w:sz w:val="18"/>
                        </w:rPr>
                        <w:fldChar w:fldCharType="begin"/>
                      </w:r>
                      <w:r w:rsidR="00812747">
                        <w:rPr>
                          <w:rStyle w:val="Hipercze"/>
                          <w:rFonts w:cstheme="minorBidi"/>
                          <w:color w:val="002060"/>
                          <w:sz w:val="18"/>
                        </w:rPr>
                        <w:instrText>HYPERLINK "https://stat.gov.pl/obszary-tematyczne/inne-opracowania/informacje-o-sytuacji-spoleczno-gospodarczej/biuletyn-statystyczny-nr-52020,4,100.html"</w:instrText>
                      </w:r>
                      <w:r w:rsidRPr="00781CE2">
                        <w:rPr>
                          <w:rStyle w:val="Hipercze"/>
                          <w:rFonts w:cstheme="minorBidi"/>
                          <w:color w:val="002060"/>
                          <w:sz w:val="18"/>
                        </w:rPr>
                        <w:fldChar w:fldCharType="separate"/>
                      </w:r>
                      <w:r w:rsidRPr="00781CE2">
                        <w:rPr>
                          <w:rStyle w:val="Hipercze"/>
                          <w:rFonts w:cstheme="minorBidi"/>
                          <w:color w:val="002060"/>
                          <w:sz w:val="18"/>
                        </w:rPr>
                        <w:t>Biuletyn Statystyczny</w:t>
                      </w:r>
                    </w:p>
                    <w:p w:rsidR="003627E7" w:rsidRPr="00781CE2" w:rsidRDefault="003627E7" w:rsidP="003627E7">
                      <w:pPr>
                        <w:rPr>
                          <w:rStyle w:val="Hipercze"/>
                          <w:rFonts w:cstheme="minorBidi"/>
                          <w:color w:val="002060"/>
                          <w:sz w:val="18"/>
                        </w:rPr>
                      </w:pPr>
                      <w:r w:rsidRPr="00781CE2">
                        <w:rPr>
                          <w:rStyle w:val="Hipercze"/>
                          <w:rFonts w:cstheme="minorBidi"/>
                          <w:color w:val="002060"/>
                          <w:sz w:val="18"/>
                        </w:rPr>
                        <w:fldChar w:fldCharType="end"/>
                      </w:r>
                      <w:r w:rsidRPr="00781CE2">
                        <w:rPr>
                          <w:rStyle w:val="Hipercze"/>
                          <w:rFonts w:cstheme="minorBidi"/>
                          <w:color w:val="002060"/>
                          <w:sz w:val="18"/>
                        </w:rPr>
                        <w:fldChar w:fldCharType="begin"/>
                      </w:r>
                      <w:r w:rsidR="00812747">
                        <w:rPr>
                          <w:rStyle w:val="Hipercze"/>
                          <w:rFonts w:cstheme="minorBidi"/>
                          <w:color w:val="002060"/>
                          <w:sz w:val="18"/>
                        </w:rPr>
                        <w:instrText>HYPERLINK "https://stat.gov.pl/obszary-tematyczne/inne-opracowania/informacje-o-sytuacji-spoleczno-gospodarczej/sytuacja-spoleczno-gospodarcza-kraju-w-maju-2020-r-,1,97.html"</w:instrText>
                      </w:r>
                      <w:r w:rsidRPr="00781CE2">
                        <w:rPr>
                          <w:rStyle w:val="Hipercze"/>
                          <w:rFonts w:cstheme="minorBidi"/>
                          <w:color w:val="002060"/>
                          <w:sz w:val="18"/>
                        </w:rPr>
                        <w:fldChar w:fldCharType="separate"/>
                      </w:r>
                      <w:r w:rsidRPr="00781CE2">
                        <w:rPr>
                          <w:rStyle w:val="Hipercze"/>
                          <w:rFonts w:cstheme="minorBidi"/>
                          <w:color w:val="002060"/>
                          <w:sz w:val="18"/>
                        </w:rPr>
                        <w:t>Sytuacja społeczno-gospodarcza kraju</w:t>
                      </w:r>
                    </w:p>
                    <w:p w:rsidR="003627E7" w:rsidRPr="007C79C9" w:rsidRDefault="003627E7" w:rsidP="003627E7">
                      <w:pPr>
                        <w:rPr>
                          <w:b/>
                          <w:color w:val="000000" w:themeColor="text1"/>
                          <w:szCs w:val="24"/>
                        </w:rPr>
                      </w:pPr>
                      <w:r w:rsidRPr="00781CE2">
                        <w:rPr>
                          <w:rStyle w:val="Hipercze"/>
                          <w:rFonts w:cstheme="minorBidi"/>
                          <w:color w:val="002060"/>
                          <w:sz w:val="18"/>
                        </w:rPr>
                        <w:fldChar w:fldCharType="end"/>
                      </w:r>
                      <w:hyperlink r:id="rId37" w:history="1"/>
                    </w:p>
                    <w:p w:rsidR="003627E7" w:rsidRPr="007C79C9" w:rsidRDefault="003627E7" w:rsidP="003627E7">
                      <w:pPr>
                        <w:rPr>
                          <w:b/>
                          <w:color w:val="000000" w:themeColor="text1"/>
                          <w:szCs w:val="24"/>
                        </w:rPr>
                      </w:pPr>
                      <w:r w:rsidRPr="007C79C9">
                        <w:rPr>
                          <w:b/>
                          <w:color w:val="000000" w:themeColor="text1"/>
                          <w:szCs w:val="24"/>
                        </w:rPr>
                        <w:t>Temat dostępny w bazach danych</w:t>
                      </w:r>
                    </w:p>
                    <w:p w:rsidR="003627E7" w:rsidRPr="00364866" w:rsidRDefault="008D52A9" w:rsidP="003627E7">
                      <w:pPr>
                        <w:rPr>
                          <w:color w:val="001D77"/>
                          <w:sz w:val="18"/>
                          <w:u w:val="single"/>
                        </w:rPr>
                      </w:pPr>
                      <w:hyperlink r:id="rId38" w:history="1">
                        <w:r w:rsidR="003627E7" w:rsidRPr="00364866">
                          <w:rPr>
                            <w:rStyle w:val="Hipercze"/>
                            <w:rFonts w:cstheme="minorBidi"/>
                            <w:color w:val="001D77"/>
                            <w:sz w:val="18"/>
                          </w:rPr>
                          <w:t>Dziedzinowe Bazy Wiedzy - Produkcja Przemysłowa</w:t>
                        </w:r>
                      </w:hyperlink>
                    </w:p>
                    <w:p w:rsidR="003627E7" w:rsidRPr="00364866" w:rsidRDefault="008D52A9" w:rsidP="003627E7">
                      <w:pPr>
                        <w:rPr>
                          <w:color w:val="001D77"/>
                          <w:sz w:val="18"/>
                          <w:u w:val="single"/>
                        </w:rPr>
                      </w:pPr>
                      <w:hyperlink r:id="rId39" w:history="1">
                        <w:r w:rsidR="003627E7" w:rsidRPr="00364866">
                          <w:rPr>
                            <w:rStyle w:val="Hipercze"/>
                            <w:rFonts w:cstheme="minorBidi"/>
                            <w:color w:val="001D77"/>
                            <w:sz w:val="18"/>
                          </w:rPr>
                          <w:t>Wskaźniki makroekonomiczne</w:t>
                        </w:r>
                      </w:hyperlink>
                    </w:p>
                    <w:p w:rsidR="003627E7" w:rsidRPr="00364866" w:rsidRDefault="008D52A9" w:rsidP="003627E7">
                      <w:pPr>
                        <w:rPr>
                          <w:color w:val="001D77"/>
                          <w:sz w:val="18"/>
                        </w:rPr>
                      </w:pPr>
                      <w:hyperlink r:id="rId40" w:history="1">
                        <w:r w:rsidR="003627E7" w:rsidRPr="00364866">
                          <w:rPr>
                            <w:rStyle w:val="Hipercze"/>
                            <w:rFonts w:cstheme="minorBidi"/>
                            <w:color w:val="001D77"/>
                            <w:sz w:val="18"/>
                          </w:rPr>
                          <w:t>Bank Danych Makroekonomicznych</w:t>
                        </w:r>
                      </w:hyperlink>
                    </w:p>
                    <w:p w:rsidR="003627E7" w:rsidRPr="00364866" w:rsidRDefault="008D52A9" w:rsidP="003627E7">
                      <w:pPr>
                        <w:rPr>
                          <w:rStyle w:val="Hipercze"/>
                          <w:rFonts w:cs="Arial"/>
                          <w:color w:val="001D77"/>
                          <w:sz w:val="16"/>
                          <w:szCs w:val="30"/>
                          <w:shd w:val="clear" w:color="auto" w:fill="F0F0F0"/>
                        </w:rPr>
                      </w:pPr>
                      <w:hyperlink r:id="rId41" w:history="1">
                        <w:r w:rsidR="003627E7" w:rsidRPr="00364866">
                          <w:rPr>
                            <w:rStyle w:val="Hipercze"/>
                            <w:rFonts w:cstheme="minorBidi"/>
                            <w:color w:val="001D77"/>
                            <w:sz w:val="18"/>
                          </w:rPr>
                          <w:t>Bank Danych Lokalnych</w:t>
                        </w:r>
                      </w:hyperlink>
                    </w:p>
                    <w:p w:rsidR="003627E7" w:rsidRPr="007C79C9" w:rsidRDefault="003627E7" w:rsidP="003627E7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</w:pPr>
                    </w:p>
                    <w:p w:rsidR="003627E7" w:rsidRDefault="003627E7" w:rsidP="003627E7">
                      <w:pPr>
                        <w:rPr>
                          <w:b/>
                          <w:color w:val="000000" w:themeColor="text1"/>
                          <w:szCs w:val="24"/>
                        </w:rPr>
                      </w:pPr>
                      <w:r>
                        <w:rPr>
                          <w:b/>
                          <w:color w:val="000000" w:themeColor="text1"/>
                          <w:szCs w:val="24"/>
                        </w:rPr>
                        <w:t>Ważniejsze</w:t>
                      </w:r>
                      <w:r w:rsidRPr="00505A92">
                        <w:rPr>
                          <w:b/>
                          <w:color w:val="000000" w:themeColor="text1"/>
                          <w:szCs w:val="24"/>
                        </w:rPr>
                        <w:t xml:space="preserve"> pojęcia dostępne w słowniku</w:t>
                      </w:r>
                    </w:p>
                    <w:p w:rsidR="003627E7" w:rsidRPr="00364866" w:rsidRDefault="008D52A9" w:rsidP="003627E7">
                      <w:pPr>
                        <w:rPr>
                          <w:color w:val="001D77"/>
                          <w:sz w:val="18"/>
                        </w:rPr>
                      </w:pPr>
                      <w:hyperlink r:id="rId42" w:history="1">
                        <w:r w:rsidR="003627E7" w:rsidRPr="00364866">
                          <w:rPr>
                            <w:rStyle w:val="Hipercze"/>
                            <w:rFonts w:cstheme="minorBidi"/>
                            <w:color w:val="001D77"/>
                            <w:sz w:val="18"/>
                          </w:rPr>
                          <w:t>Produkcja sprzedana przemysłu</w:t>
                        </w:r>
                      </w:hyperlink>
                      <w:r w:rsidR="003627E7" w:rsidRPr="00364866">
                        <w:rPr>
                          <w:color w:val="001D77"/>
                          <w:sz w:val="18"/>
                        </w:rPr>
                        <w:t xml:space="preserve"> </w:t>
                      </w:r>
                    </w:p>
                    <w:p w:rsidR="003627E7" w:rsidRPr="00364866" w:rsidRDefault="008D52A9" w:rsidP="003627E7">
                      <w:pPr>
                        <w:rPr>
                          <w:color w:val="001D77"/>
                          <w:sz w:val="18"/>
                          <w:u w:val="single"/>
                        </w:rPr>
                      </w:pPr>
                      <w:hyperlink r:id="rId43" w:history="1">
                        <w:r w:rsidR="003627E7" w:rsidRPr="00364866">
                          <w:rPr>
                            <w:rStyle w:val="Hipercze"/>
                            <w:rFonts w:cstheme="minorBidi"/>
                            <w:color w:val="001D77"/>
                            <w:sz w:val="18"/>
                          </w:rPr>
                          <w:t>Indeks (dynamika) produkcji sprzedanej przemysłu (niewyrównany sezonowo)</w:t>
                        </w:r>
                      </w:hyperlink>
                    </w:p>
                    <w:p w:rsidR="003627E7" w:rsidRPr="00364866" w:rsidRDefault="008D52A9" w:rsidP="003627E7">
                      <w:pPr>
                        <w:rPr>
                          <w:color w:val="001D77"/>
                          <w:sz w:val="18"/>
                          <w:u w:val="single"/>
                        </w:rPr>
                      </w:pPr>
                      <w:hyperlink r:id="rId44" w:history="1">
                        <w:r w:rsidR="003627E7" w:rsidRPr="00364866">
                          <w:rPr>
                            <w:rStyle w:val="Hipercze"/>
                            <w:rFonts w:cstheme="minorBidi"/>
                            <w:color w:val="001D77"/>
                            <w:sz w:val="18"/>
                          </w:rPr>
                          <w:t>Indeks (dynamika) produkcji sprzedanej przemysłu (wyrównany sezonowo)</w:t>
                        </w:r>
                      </w:hyperlink>
                      <w:r w:rsidR="003627E7" w:rsidRPr="00364866">
                        <w:rPr>
                          <w:color w:val="001D77"/>
                          <w:sz w:val="18"/>
                        </w:rPr>
                        <w:t xml:space="preserve"> </w:t>
                      </w:r>
                    </w:p>
                    <w:p w:rsidR="003627E7" w:rsidRPr="00364866" w:rsidRDefault="008D52A9" w:rsidP="003627E7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19"/>
                          <w:shd w:val="clear" w:color="auto" w:fill="F0F0F0"/>
                        </w:rPr>
                      </w:pPr>
                      <w:hyperlink r:id="rId45" w:history="1">
                        <w:r w:rsidR="003627E7" w:rsidRPr="00364866">
                          <w:rPr>
                            <w:rStyle w:val="Hipercze"/>
                            <w:rFonts w:cs="Arial"/>
                            <w:color w:val="001D77"/>
                            <w:sz w:val="18"/>
                            <w:szCs w:val="19"/>
                            <w:shd w:val="clear" w:color="auto" w:fill="F0F0F0"/>
                          </w:rPr>
                          <w:t>Produkcja dóbr inwestycyjnych</w:t>
                        </w:r>
                      </w:hyperlink>
                    </w:p>
                    <w:p w:rsidR="003627E7" w:rsidRPr="00364866" w:rsidRDefault="008D52A9" w:rsidP="003627E7">
                      <w:pPr>
                        <w:rPr>
                          <w:color w:val="001D77"/>
                          <w:sz w:val="18"/>
                          <w:szCs w:val="24"/>
                        </w:rPr>
                      </w:pPr>
                      <w:hyperlink r:id="rId46" w:history="1">
                        <w:r w:rsidR="003627E7" w:rsidRPr="00364866">
                          <w:rPr>
                            <w:rStyle w:val="Hipercze"/>
                            <w:rFonts w:cstheme="minorBidi"/>
                            <w:color w:val="001D77"/>
                            <w:sz w:val="18"/>
                            <w:szCs w:val="24"/>
                          </w:rPr>
                          <w:t>Produkcja dóbr konsumpcyjnych nietrwałych</w:t>
                        </w:r>
                      </w:hyperlink>
                    </w:p>
                    <w:p w:rsidR="003627E7" w:rsidRPr="00364866" w:rsidRDefault="008D52A9" w:rsidP="003627E7">
                      <w:pPr>
                        <w:rPr>
                          <w:color w:val="001D77"/>
                          <w:sz w:val="18"/>
                          <w:szCs w:val="24"/>
                        </w:rPr>
                      </w:pPr>
                      <w:hyperlink r:id="rId47" w:history="1">
                        <w:r w:rsidR="003627E7" w:rsidRPr="00364866">
                          <w:rPr>
                            <w:rStyle w:val="Hipercze"/>
                            <w:rFonts w:cstheme="minorBidi"/>
                            <w:color w:val="001D77"/>
                            <w:sz w:val="18"/>
                            <w:szCs w:val="24"/>
                          </w:rPr>
                          <w:t>Produkcja dóbr konsumpcyjnych trwałych</w:t>
                        </w:r>
                      </w:hyperlink>
                    </w:p>
                    <w:p w:rsidR="003627E7" w:rsidRPr="00364866" w:rsidRDefault="008D52A9" w:rsidP="003627E7">
                      <w:pPr>
                        <w:rPr>
                          <w:color w:val="001D77"/>
                          <w:sz w:val="18"/>
                          <w:szCs w:val="24"/>
                        </w:rPr>
                      </w:pPr>
                      <w:hyperlink r:id="rId48" w:history="1">
                        <w:r w:rsidR="003627E7" w:rsidRPr="00364866">
                          <w:rPr>
                            <w:rStyle w:val="Hipercze"/>
                            <w:rFonts w:cstheme="minorBidi"/>
                            <w:color w:val="001D77"/>
                            <w:sz w:val="18"/>
                            <w:szCs w:val="24"/>
                          </w:rPr>
                          <w:t>Produkcja dóbr zaopatrzeniowych</w:t>
                        </w:r>
                      </w:hyperlink>
                    </w:p>
                    <w:p w:rsidR="003627E7" w:rsidRPr="00364866" w:rsidRDefault="008D52A9" w:rsidP="003627E7">
                      <w:pPr>
                        <w:rPr>
                          <w:color w:val="001D77"/>
                          <w:sz w:val="18"/>
                          <w:szCs w:val="24"/>
                        </w:rPr>
                      </w:pPr>
                      <w:hyperlink r:id="rId49" w:history="1">
                        <w:r w:rsidR="003627E7" w:rsidRPr="00364866">
                          <w:rPr>
                            <w:rStyle w:val="Hipercze"/>
                            <w:rFonts w:cstheme="minorBidi"/>
                            <w:color w:val="001D77"/>
                            <w:sz w:val="18"/>
                            <w:szCs w:val="24"/>
                          </w:rPr>
                          <w:t>Produkcja dóbr związanych z energią</w:t>
                        </w:r>
                      </w:hyperlink>
                    </w:p>
                    <w:p w:rsidR="003627E7" w:rsidRDefault="003627E7" w:rsidP="003627E7"/>
                  </w:txbxContent>
                </v:textbox>
                <w10:wrap type="square" anchorx="margin"/>
              </v:shape>
            </w:pict>
          </mc:Fallback>
        </mc:AlternateContent>
      </w:r>
    </w:p>
    <w:p w:rsidR="00D261A2" w:rsidRPr="00001C5B" w:rsidRDefault="00D261A2" w:rsidP="0046503D">
      <w:pPr>
        <w:rPr>
          <w:sz w:val="18"/>
        </w:rPr>
      </w:pPr>
    </w:p>
    <w:sectPr w:rsidR="00D261A2" w:rsidRPr="00001C5B" w:rsidSect="00AE4F99">
      <w:headerReference w:type="default" r:id="rId50"/>
      <w:pgSz w:w="11906" w:h="16838"/>
      <w:pgMar w:top="720" w:right="3119" w:bottom="720" w:left="720" w:header="170" w:footer="39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33431" w:rsidRDefault="00333431" w:rsidP="000662E2">
      <w:pPr>
        <w:spacing w:after="0" w:line="240" w:lineRule="auto"/>
      </w:pPr>
      <w:r>
        <w:separator/>
      </w:r>
    </w:p>
  </w:endnote>
  <w:endnote w:type="continuationSeparator" w:id="0">
    <w:p w:rsidR="00333431" w:rsidRDefault="00333431" w:rsidP="000662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Fira Sans">
    <w:panose1 w:val="020B0503050000020004"/>
    <w:charset w:val="EE"/>
    <w:family w:val="swiss"/>
    <w:pitch w:val="variable"/>
    <w:sig w:usb0="600002FF" w:usb1="02000001" w:usb2="00000000" w:usb3="00000000" w:csb0="0000019F" w:csb1="00000000"/>
  </w:font>
  <w:font w:name="Fira Sans Light">
    <w:panose1 w:val="020B0403050000020004"/>
    <w:charset w:val="EE"/>
    <w:family w:val="swiss"/>
    <w:pitch w:val="variable"/>
    <w:sig w:usb0="600002FF" w:usb1="02000001" w:usb2="00000000" w:usb3="00000000" w:csb0="0000019F" w:csb1="00000000"/>
  </w:font>
  <w:font w:name="Fira Sans SemiBold">
    <w:panose1 w:val="020B0603050000020004"/>
    <w:charset w:val="EE"/>
    <w:family w:val="swiss"/>
    <w:pitch w:val="variable"/>
    <w:sig w:usb0="600002FF" w:usb1="02000001" w:usb2="00000000" w:usb3="00000000" w:csb0="0000019F" w:csb1="00000000"/>
  </w:font>
  <w:font w:name="Fira Sans Medium">
    <w:panose1 w:val="020B0603050000020004"/>
    <w:charset w:val="EE"/>
    <w:family w:val="swiss"/>
    <w:pitch w:val="variable"/>
    <w:sig w:usb0="600002FF" w:usb1="02000001" w:usb2="00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Fira Sans Extra Condensed SemiB">
    <w:panose1 w:val="020B0603050000020004"/>
    <w:charset w:val="EE"/>
    <w:family w:val="swiss"/>
    <w:pitch w:val="variable"/>
    <w:sig w:usb0="600002FF" w:usb1="00000001" w:usb2="00000000" w:usb3="00000000" w:csb0="0000019F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783922496"/>
      <w:docPartObj>
        <w:docPartGallery w:val="Page Numbers (Bottom of Page)"/>
        <w:docPartUnique/>
      </w:docPartObj>
    </w:sdtPr>
    <w:sdtEndPr/>
    <w:sdtContent>
      <w:p w:rsidR="004862B6" w:rsidRDefault="000A39FD">
        <w:pPr>
          <w:pStyle w:val="Stopka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424384">
          <w:rPr>
            <w:noProof/>
          </w:rPr>
          <w:t>4</w:t>
        </w:r>
        <w:r>
          <w:rPr>
            <w:noProof/>
          </w:rPr>
          <w:fldChar w:fldCharType="end"/>
        </w:r>
      </w:p>
    </w:sdtContent>
  </w:sdt>
  <w:p w:rsidR="004862B6" w:rsidRPr="007B4F73" w:rsidRDefault="004862B6" w:rsidP="007B4F73">
    <w:pPr>
      <w:pStyle w:val="Stopka"/>
      <w:jc w:val="cen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437650841"/>
      <w:docPartObj>
        <w:docPartGallery w:val="Page Numbers (Bottom of Page)"/>
        <w:docPartUnique/>
      </w:docPartObj>
    </w:sdtPr>
    <w:sdtEndPr/>
    <w:sdtContent>
      <w:p w:rsidR="004862B6" w:rsidRDefault="000A39FD">
        <w:pPr>
          <w:pStyle w:val="Stopka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424384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4862B6" w:rsidRPr="00CC1C7C" w:rsidRDefault="004862B6" w:rsidP="00CC1C7C">
    <w:pPr>
      <w:pStyle w:val="Stopka"/>
      <w:jc w:val="cen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33431" w:rsidRDefault="00333431" w:rsidP="000662E2">
      <w:pPr>
        <w:spacing w:after="0" w:line="240" w:lineRule="auto"/>
      </w:pPr>
      <w:r>
        <w:separator/>
      </w:r>
    </w:p>
  </w:footnote>
  <w:footnote w:type="continuationSeparator" w:id="0">
    <w:p w:rsidR="00333431" w:rsidRDefault="00333431" w:rsidP="000662E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862B6" w:rsidRDefault="005F302D">
    <w:pPr>
      <w:pStyle w:val="Nagwek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2336" behindDoc="1" locked="0" layoutInCell="1" allowOverlap="1" wp14:anchorId="236BA303" wp14:editId="73598281">
              <wp:simplePos x="0" y="0"/>
              <wp:positionH relativeFrom="column">
                <wp:posOffset>5214620</wp:posOffset>
              </wp:positionH>
              <wp:positionV relativeFrom="paragraph">
                <wp:posOffset>-178435</wp:posOffset>
              </wp:positionV>
              <wp:extent cx="1874520" cy="22680295"/>
              <wp:effectExtent l="0" t="0" r="0" b="8255"/>
              <wp:wrapNone/>
              <wp:docPr id="24" name="Prostokąt 2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1874520" cy="22680295"/>
                      </a:xfrm>
                      <a:prstGeom prst="rect">
                        <a:avLst/>
                      </a:prstGeom>
                      <a:solidFill>
                        <a:schemeClr val="bg1">
                          <a:lumMod val="95000"/>
                        </a:schemeClr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287D780B" id="Prostokąt 24" o:spid="_x0000_s1026" style="position:absolute;margin-left:410.6pt;margin-top:-14.05pt;width:147.6pt;height:1785.85pt;z-index:-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" fillcolor="#f2f2f2 [3052]" stroked="f" strokeweight="1pt">
              <v:path arrowok="t"/>
            </v:rect>
          </w:pict>
        </mc:Fallback>
      </mc:AlternateConten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862B6" w:rsidRDefault="00CA3894">
    <w:pPr>
      <w:pStyle w:val="Nagwek"/>
      <w:rPr>
        <w:noProof/>
        <w:lang w:eastAsia="pl-PL"/>
      </w:rPr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8480" behindDoc="0" locked="0" layoutInCell="1" allowOverlap="1" wp14:anchorId="21973953" wp14:editId="78A340E6">
              <wp:simplePos x="0" y="0"/>
              <wp:positionH relativeFrom="rightMargin">
                <wp:align>left</wp:align>
              </wp:positionH>
              <wp:positionV relativeFrom="paragraph">
                <wp:posOffset>213360</wp:posOffset>
              </wp:positionV>
              <wp:extent cx="2060575" cy="357505"/>
              <wp:effectExtent l="0" t="0" r="0" b="4445"/>
              <wp:wrapNone/>
              <wp:docPr id="2" name="Schemat blokowy: opóźnienie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 flipH="1">
                        <a:off x="0" y="0"/>
                        <a:ext cx="2060575" cy="357505"/>
                      </a:xfrm>
                      <a:custGeom>
                        <a:avLst/>
                        <a:gdLst>
                          <a:gd name="connsiteX0" fmla="*/ 0 w 612140"/>
                          <a:gd name="connsiteY0" fmla="*/ 0 h 612140"/>
                          <a:gd name="connsiteX1" fmla="*/ 306070 w 612140"/>
                          <a:gd name="connsiteY1" fmla="*/ 0 h 612140"/>
                          <a:gd name="connsiteX2" fmla="*/ 612140 w 612140"/>
                          <a:gd name="connsiteY2" fmla="*/ 306070 h 612140"/>
                          <a:gd name="connsiteX3" fmla="*/ 306070 w 612140"/>
                          <a:gd name="connsiteY3" fmla="*/ 612140 h 612140"/>
                          <a:gd name="connsiteX4" fmla="*/ 0 w 612140"/>
                          <a:gd name="connsiteY4" fmla="*/ 612140 h 612140"/>
                          <a:gd name="connsiteX5" fmla="*/ 0 w 612140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1327068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0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1 w 3113643"/>
                          <a:gd name="connsiteY0" fmla="*/ 10131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1 w 3113643"/>
                          <a:gd name="connsiteY5" fmla="*/ 10131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0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788886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546911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546911 w 3902529"/>
                          <a:gd name="connsiteY5" fmla="*/ 0 h 612140"/>
                          <a:gd name="connsiteX0" fmla="*/ 23272 w 3378890"/>
                          <a:gd name="connsiteY0" fmla="*/ 0 h 612140"/>
                          <a:gd name="connsiteX1" fmla="*/ 3072820 w 3378890"/>
                          <a:gd name="connsiteY1" fmla="*/ 0 h 612140"/>
                          <a:gd name="connsiteX2" fmla="*/ 3378890 w 3378890"/>
                          <a:gd name="connsiteY2" fmla="*/ 306070 h 612140"/>
                          <a:gd name="connsiteX3" fmla="*/ 3072820 w 3378890"/>
                          <a:gd name="connsiteY3" fmla="*/ 612140 h 612140"/>
                          <a:gd name="connsiteX4" fmla="*/ 0 w 3378890"/>
                          <a:gd name="connsiteY4" fmla="*/ 612140 h 612140"/>
                          <a:gd name="connsiteX5" fmla="*/ 23272 w 3378890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19571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0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171400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21835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0 w 3527018"/>
                          <a:gd name="connsiteY4" fmla="*/ 612140 h 612140"/>
                          <a:gd name="connsiteX5" fmla="*/ 0 w 3527018"/>
                          <a:gd name="connsiteY5" fmla="*/ 0 h 612140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  <a:cxn ang="0">
                            <a:pos x="connsiteX4" y="connsiteY4"/>
                          </a:cxn>
                          <a:cxn ang="0">
                            <a:pos x="connsiteX5" y="connsiteY5"/>
                          </a:cxn>
                        </a:cxnLst>
                        <a:rect l="l" t="t" r="r" b="b"/>
                        <a:pathLst>
                          <a:path w="3527018" h="612140">
                            <a:moveTo>
                              <a:pt x="0" y="0"/>
                            </a:moveTo>
                            <a:lnTo>
                              <a:pt x="3220948" y="0"/>
                            </a:lnTo>
                            <a:cubicBezTo>
                              <a:pt x="3389986" y="0"/>
                              <a:pt x="3527018" y="137032"/>
                              <a:pt x="3527018" y="306070"/>
                            </a:cubicBezTo>
                            <a:cubicBezTo>
                              <a:pt x="3527018" y="475108"/>
                              <a:pt x="3389986" y="612140"/>
                              <a:pt x="3220948" y="612140"/>
                            </a:cubicBezTo>
                            <a:lnTo>
                              <a:pt x="0" y="612140"/>
                            </a:lnTo>
                            <a:lnTo>
                              <a:pt x="0" y="0"/>
                            </a:lnTo>
                            <a:close/>
                          </a:path>
                        </a:pathLst>
                      </a:custGeom>
                      <a:solidFill>
                        <a:srgbClr val="001D77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:rsidR="004862B6" w:rsidRPr="003C6C8D" w:rsidRDefault="004862B6" w:rsidP="00074DD8">
                          <w:pPr>
                            <w:spacing w:before="0" w:after="0" w:line="240" w:lineRule="auto"/>
                            <w:ind w:left="227"/>
                            <w:jc w:val="both"/>
                            <w:rPr>
                              <w:rFonts w:ascii="Fira Sans SemiBold" w:hAnsi="Fira Sans SemiBold"/>
                            </w:rPr>
                          </w:pPr>
                          <w:r>
                            <w:rPr>
                              <w:rFonts w:ascii="Fira Sans SemiBold" w:hAnsi="Fira Sans SemiBold"/>
                            </w:rPr>
                            <w:t>INFORMACJE SYGNALNE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21973953" id="Schemat blokowy: opóźnienie 6" o:spid="_x0000_s1031" style="position:absolute;margin-left:0;margin-top:16.8pt;width:162.25pt;height:28.15pt;flip:x;z-index:251668480;visibility:visible;mso-wrap-style:square;mso-width-percent:0;mso-height-percent:0;mso-wrap-distance-left:9pt;mso-wrap-distance-top:0;mso-wrap-distance-right:9pt;mso-wrap-distance-bottom:0;mso-position-horizontal:left;mso-position-horizontal-relative:right-margin-area;mso-position-vertical:absolute;mso-position-vertical-relative:text;mso-width-percent:0;mso-height-percent:0;mso-width-relative:margin;mso-height-relative:margin;v-text-anchor:middle" coordsize="3527018,61214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" adj="-11796480,,5400" path="m,l3220948,v169038,,306070,137032,306070,306070c3527018,475108,3389986,612140,3220948,612140l,612140,,xe" fillcolor="#001d77" stroked="f" strokeweight="1pt">
              <v:stroke joinstyle="miter"/>
              <v:formulas/>
              <v:path arrowok="t" o:connecttype="custom" o:connectlocs="0,0;1881761,0;2060575,178753;1881761,357505;0,357505;0,0" o:connectangles="0,0,0,0,0,0" textboxrect="0,0,3527018,612140"/>
              <v:textbox>
                <w:txbxContent>
                  <w:p w:rsidR="004862B6" w:rsidRPr="003C6C8D" w:rsidRDefault="004862B6" w:rsidP="00074DD8">
                    <w:pPr>
                      <w:spacing w:before="0" w:after="0" w:line="240" w:lineRule="auto"/>
                      <w:ind w:left="227"/>
                      <w:jc w:val="both"/>
                      <w:rPr>
                        <w:rFonts w:ascii="Fira Sans SemiBold" w:hAnsi="Fira Sans SemiBold"/>
                      </w:rPr>
                    </w:pPr>
                    <w:r>
                      <w:rPr>
                        <w:rFonts w:ascii="Fira Sans SemiBold" w:hAnsi="Fira Sans SemiBold"/>
                      </w:rPr>
                      <w:t>INFORMACJE SYGNALNE</w:t>
                    </w:r>
                  </w:p>
                </w:txbxContent>
              </v:textbox>
              <w10:wrap anchorx="margin"/>
            </v:shape>
          </w:pict>
        </mc:Fallback>
      </mc:AlternateContent>
    </w:r>
    <w:r w:rsidR="003627E7">
      <w:rPr>
        <w:noProof/>
        <w:lang w:eastAsia="pl-PL"/>
      </w:rPr>
      <w:drawing>
        <wp:inline distT="0" distB="0" distL="0" distR="0" wp14:anchorId="04DACEDD" wp14:editId="593EA80F">
          <wp:extent cx="1219200" cy="677383"/>
          <wp:effectExtent l="0" t="0" r="0" b="0"/>
          <wp:docPr id="5" name="Obraz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ogo GUS wersja podstawowa wariant kolorowy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218747" cy="67713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112A4D">
      <w:rPr>
        <w:noProof/>
        <w:lang w:eastAsia="pl-PL"/>
      </w:rPr>
      <mc:AlternateContent>
        <mc:Choice Requires="wps">
          <w:drawing>
            <wp:anchor distT="45720" distB="45720" distL="114300" distR="114300" simplePos="0" relativeHeight="251671552" behindDoc="0" locked="0" layoutInCell="1" allowOverlap="1" wp14:anchorId="4BF07597" wp14:editId="6D390807">
              <wp:simplePos x="0" y="0"/>
              <wp:positionH relativeFrom="column">
                <wp:posOffset>5238750</wp:posOffset>
              </wp:positionH>
              <wp:positionV relativeFrom="paragraph">
                <wp:posOffset>861060</wp:posOffset>
              </wp:positionV>
              <wp:extent cx="1432560" cy="336550"/>
              <wp:effectExtent l="0" t="0" r="0" b="6350"/>
              <wp:wrapNone/>
              <wp:docPr id="7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32560" cy="33655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112A4D" w:rsidRPr="00C97596" w:rsidRDefault="00CE5CAF" w:rsidP="00A267AB">
                          <w:pPr>
                            <w:rPr>
                              <w:rFonts w:ascii="Fira Sans SemiBold" w:hAnsi="Fira Sans SemiBold"/>
                              <w:color w:val="001D77"/>
                            </w:rPr>
                          </w:pPr>
                          <w:r>
                            <w:rPr>
                              <w:rFonts w:ascii="Fira Sans SemiBold" w:hAnsi="Fira Sans SemiBold"/>
                              <w:color w:val="001D77"/>
                            </w:rPr>
                            <w:t>20.07</w:t>
                          </w:r>
                          <w:r w:rsidR="003B1105" w:rsidRPr="00194201">
                            <w:rPr>
                              <w:rFonts w:ascii="Fira Sans SemiBold" w:hAnsi="Fira Sans SemiBold"/>
                              <w:color w:val="001D77"/>
                            </w:rPr>
                            <w:t>.2020</w:t>
                          </w:r>
                          <w:r w:rsidR="00112A4D" w:rsidRPr="00194201">
                            <w:rPr>
                              <w:rFonts w:ascii="Fira Sans SemiBold" w:hAnsi="Fira Sans SemiBold"/>
                              <w:color w:val="001D77"/>
                            </w:rPr>
                            <w:t xml:space="preserve"> </w:t>
                          </w:r>
                          <w:proofErr w:type="gramStart"/>
                          <w:r w:rsidR="00112A4D" w:rsidRPr="00194201">
                            <w:rPr>
                              <w:rFonts w:ascii="Fira Sans SemiBold" w:hAnsi="Fira Sans SemiBold"/>
                              <w:color w:val="001D77"/>
                            </w:rPr>
                            <w:t>r</w:t>
                          </w:r>
                          <w:proofErr w:type="gramEnd"/>
                          <w:r w:rsidR="00112A4D" w:rsidRPr="00194201">
                            <w:rPr>
                              <w:rFonts w:ascii="Fira Sans SemiBold" w:hAnsi="Fira Sans SemiBold"/>
                              <w:color w:val="001D77"/>
                            </w:rPr>
                            <w:t>.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4BF07597" id="_x0000_t202" coordsize="21600,21600" o:spt="202" path="m,l,21600r21600,l21600,xe">
              <v:stroke joinstyle="miter"/>
              <v:path gradientshapeok="t" o:connecttype="rect"/>
            </v:shapetype>
            <v:shape id="_x0000_s1032" type="#_x0000_t202" style="position:absolute;margin-left:412.5pt;margin-top:67.8pt;width:112.8pt;height:26.5pt;z-index:25167155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" filled="f" stroked="f">
              <v:textbox>
                <w:txbxContent>
                  <w:p w:rsidR="00112A4D" w:rsidRPr="00C97596" w:rsidRDefault="00CE5CAF" w:rsidP="00A267AB">
                    <w:pPr>
                      <w:rPr>
                        <w:rFonts w:ascii="Fira Sans SemiBold" w:hAnsi="Fira Sans SemiBold"/>
                        <w:color w:val="001D77"/>
                      </w:rPr>
                    </w:pPr>
                    <w:r>
                      <w:rPr>
                        <w:rFonts w:ascii="Fira Sans SemiBold" w:hAnsi="Fira Sans SemiBold"/>
                        <w:color w:val="001D77"/>
                      </w:rPr>
                      <w:t>20.07</w:t>
                    </w:r>
                    <w:r w:rsidR="003B1105" w:rsidRPr="00194201">
                      <w:rPr>
                        <w:rFonts w:ascii="Fira Sans SemiBold" w:hAnsi="Fira Sans SemiBold"/>
                        <w:color w:val="001D77"/>
                      </w:rPr>
                      <w:t>.2020</w:t>
                    </w:r>
                    <w:r w:rsidR="00112A4D" w:rsidRPr="00194201">
                      <w:rPr>
                        <w:rFonts w:ascii="Fira Sans SemiBold" w:hAnsi="Fira Sans SemiBold"/>
                        <w:color w:val="001D77"/>
                      </w:rPr>
                      <w:t xml:space="preserve"> r.</w:t>
                    </w:r>
                  </w:p>
                </w:txbxContent>
              </v:textbox>
            </v:shape>
          </w:pict>
        </mc:Fallback>
      </mc:AlternateContent>
    </w:r>
    <w:r w:rsidR="005F302D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6432" behindDoc="1" locked="0" layoutInCell="1" allowOverlap="1" wp14:anchorId="3B3ADF4C" wp14:editId="5C953F19">
              <wp:simplePos x="0" y="0"/>
              <wp:positionH relativeFrom="column">
                <wp:posOffset>5219065</wp:posOffset>
              </wp:positionH>
              <wp:positionV relativeFrom="paragraph">
                <wp:posOffset>511810</wp:posOffset>
              </wp:positionV>
              <wp:extent cx="1871980" cy="22905085"/>
              <wp:effectExtent l="0" t="0" r="0" b="0"/>
              <wp:wrapTight wrapText="bothSides">
                <wp:wrapPolygon edited="0">
                  <wp:start x="0" y="0"/>
                  <wp:lineTo x="0" y="21575"/>
                  <wp:lineTo x="21322" y="21575"/>
                  <wp:lineTo x="21322" y="0"/>
                  <wp:lineTo x="0" y="0"/>
                </wp:wrapPolygon>
              </wp:wrapTight>
              <wp:docPr id="10" name="Prostokąt 1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1871980" cy="22905085"/>
                      </a:xfrm>
                      <a:prstGeom prst="rect">
                        <a:avLst/>
                      </a:prstGeom>
                      <a:solidFill>
                        <a:srgbClr val="F2F2F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43BF8434" id="Prostokąt 10" o:spid="_x0000_s1026" style="position:absolute;margin-left:410.95pt;margin-top:40.3pt;width:147.4pt;height:1803.55pt;z-index:-251650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" fillcolor="#f2f2f2" stroked="f" strokeweight="1pt">
              <v:path arrowok="t"/>
              <w10:wrap type="tight"/>
            </v:rect>
          </w:pict>
        </mc:Fallback>
      </mc:AlternateConten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862B6" w:rsidRDefault="004862B6">
    <w:pPr>
      <w:pStyle w:val="Nagwek"/>
    </w:pPr>
  </w:p>
  <w:p w:rsidR="004862B6" w:rsidRDefault="004862B6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81" type="#_x0000_t75" style="width:123.6pt;height:126pt;visibility:visible;mso-wrap-style:square" o:bullet="t">
        <v:imagedata r:id="rId1" o:title=""/>
      </v:shape>
    </w:pict>
  </w:numPicBullet>
  <w:numPicBullet w:numPicBulletId="1">
    <w:pict>
      <v:shape id="_x0000_i1082" type="#_x0000_t75" style="width:124.2pt;height:126pt;visibility:visible;mso-wrap-style:square" o:bullet="t">
        <v:imagedata r:id="rId2" o:title=""/>
      </v:shape>
    </w:pict>
  </w:numPicBullet>
  <w:abstractNum w:abstractNumId="0" w15:restartNumberingAfterBreak="0">
    <w:nsid w:val="10497FAF"/>
    <w:multiLevelType w:val="hybridMultilevel"/>
    <w:tmpl w:val="7BEC98E0"/>
    <w:lvl w:ilvl="0" w:tplc="74F2CACE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048EDF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DD0127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35642B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BB8832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88E2D9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ABC63C1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CFABB2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68CCFA4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" w15:restartNumberingAfterBreak="0">
    <w:nsid w:val="143A2AC6"/>
    <w:multiLevelType w:val="hybridMultilevel"/>
    <w:tmpl w:val="DC8453EE"/>
    <w:lvl w:ilvl="0" w:tplc="8B42DD9A">
      <w:start w:val="4"/>
      <w:numFmt w:val="lowerLetter"/>
      <w:lvlText w:val="%1)"/>
      <w:lvlJc w:val="left"/>
      <w:pPr>
        <w:ind w:left="720" w:hanging="360"/>
      </w:pPr>
      <w:rPr>
        <w:rFonts w:ascii="Fira Sans" w:hAnsi="Fira Sans" w:cstheme="minorBidi"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63C40E5"/>
    <w:multiLevelType w:val="hybridMultilevel"/>
    <w:tmpl w:val="06E62100"/>
    <w:lvl w:ilvl="0" w:tplc="0E3A2FE0">
      <w:start w:val="1"/>
      <w:numFmt w:val="lowerLetter"/>
      <w:lvlText w:val="%1)"/>
      <w:lvlJc w:val="left"/>
      <w:pPr>
        <w:ind w:left="360" w:hanging="360"/>
      </w:pPr>
      <w:rPr>
        <w:rFonts w:hint="default"/>
        <w:i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1E6B2415"/>
    <w:multiLevelType w:val="hybridMultilevel"/>
    <w:tmpl w:val="4FDC4178"/>
    <w:lvl w:ilvl="0" w:tplc="18DACBBA">
      <w:start w:val="1"/>
      <w:numFmt w:val="lowerLetter"/>
      <w:lvlText w:val="%1)"/>
      <w:lvlJc w:val="left"/>
      <w:pPr>
        <w:ind w:left="720" w:hanging="360"/>
      </w:pPr>
      <w:rPr>
        <w:rFonts w:hint="default"/>
        <w:sz w:val="16"/>
        <w:vertAlign w:val="superscrip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A2E6E9E"/>
    <w:multiLevelType w:val="hybridMultilevel"/>
    <w:tmpl w:val="11FC347E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23A230B"/>
    <w:multiLevelType w:val="hybridMultilevel"/>
    <w:tmpl w:val="125A64C4"/>
    <w:lvl w:ilvl="0" w:tplc="340AEF3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C06B20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42AE0D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514F69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968D82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80C77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D82700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F7430E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D18BEB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6" w15:restartNumberingAfterBreak="0">
    <w:nsid w:val="44C0299B"/>
    <w:multiLevelType w:val="hybridMultilevel"/>
    <w:tmpl w:val="06E62100"/>
    <w:lvl w:ilvl="0" w:tplc="0E3A2FE0">
      <w:start w:val="1"/>
      <w:numFmt w:val="lowerLetter"/>
      <w:lvlText w:val="%1)"/>
      <w:lvlJc w:val="left"/>
      <w:pPr>
        <w:ind w:left="360" w:hanging="360"/>
      </w:pPr>
      <w:rPr>
        <w:rFonts w:hint="default"/>
        <w:i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487318E2"/>
    <w:multiLevelType w:val="hybridMultilevel"/>
    <w:tmpl w:val="06E62100"/>
    <w:lvl w:ilvl="0" w:tplc="0E3A2FE0">
      <w:start w:val="1"/>
      <w:numFmt w:val="lowerLetter"/>
      <w:lvlText w:val="%1)"/>
      <w:lvlJc w:val="left"/>
      <w:pPr>
        <w:ind w:left="360" w:hanging="360"/>
      </w:pPr>
      <w:rPr>
        <w:rFonts w:hint="default"/>
        <w:i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62011809"/>
    <w:multiLevelType w:val="hybridMultilevel"/>
    <w:tmpl w:val="06E62100"/>
    <w:lvl w:ilvl="0" w:tplc="0E3A2FE0">
      <w:start w:val="1"/>
      <w:numFmt w:val="lowerLetter"/>
      <w:lvlText w:val="%1)"/>
      <w:lvlJc w:val="left"/>
      <w:pPr>
        <w:ind w:left="360" w:hanging="360"/>
      </w:pPr>
      <w:rPr>
        <w:rFonts w:hint="default"/>
        <w:i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5"/>
  </w:num>
  <w:num w:numId="2">
    <w:abstractNumId w:val="0"/>
  </w:num>
  <w:num w:numId="3">
    <w:abstractNumId w:val="7"/>
  </w:num>
  <w:num w:numId="4">
    <w:abstractNumId w:val="2"/>
  </w:num>
  <w:num w:numId="5">
    <w:abstractNumId w:val="8"/>
  </w:num>
  <w:num w:numId="6">
    <w:abstractNumId w:val="6"/>
  </w:num>
  <w:num w:numId="7">
    <w:abstractNumId w:val="4"/>
  </w:num>
  <w:num w:numId="8">
    <w:abstractNumId w:val="1"/>
  </w:num>
  <w:num w:numId="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9"/>
  <w:autoHyphenation/>
  <w:hyphenationZone w:val="425"/>
  <w:drawingGridHorizontalSpacing w:val="57"/>
  <w:drawingGridVerticalSpacing w:val="57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10D87"/>
    <w:rsid w:val="000001B5"/>
    <w:rsid w:val="00001866"/>
    <w:rsid w:val="00001C5B"/>
    <w:rsid w:val="00001F8E"/>
    <w:rsid w:val="0000301D"/>
    <w:rsid w:val="00003437"/>
    <w:rsid w:val="000045FF"/>
    <w:rsid w:val="00005657"/>
    <w:rsid w:val="0000709F"/>
    <w:rsid w:val="00007996"/>
    <w:rsid w:val="00007AEB"/>
    <w:rsid w:val="00007BF9"/>
    <w:rsid w:val="000108B8"/>
    <w:rsid w:val="00011182"/>
    <w:rsid w:val="000111EC"/>
    <w:rsid w:val="00013599"/>
    <w:rsid w:val="000152F5"/>
    <w:rsid w:val="000167C7"/>
    <w:rsid w:val="000169EB"/>
    <w:rsid w:val="00016E48"/>
    <w:rsid w:val="00021CD6"/>
    <w:rsid w:val="00024626"/>
    <w:rsid w:val="00027227"/>
    <w:rsid w:val="0003236F"/>
    <w:rsid w:val="000325B5"/>
    <w:rsid w:val="00033D0D"/>
    <w:rsid w:val="0003435E"/>
    <w:rsid w:val="00035886"/>
    <w:rsid w:val="0003752A"/>
    <w:rsid w:val="000375C3"/>
    <w:rsid w:val="000409DE"/>
    <w:rsid w:val="00042A1D"/>
    <w:rsid w:val="00043821"/>
    <w:rsid w:val="0004500E"/>
    <w:rsid w:val="00045213"/>
    <w:rsid w:val="0004582E"/>
    <w:rsid w:val="000470AA"/>
    <w:rsid w:val="00047CF8"/>
    <w:rsid w:val="000502F4"/>
    <w:rsid w:val="0005122F"/>
    <w:rsid w:val="00053190"/>
    <w:rsid w:val="0005394E"/>
    <w:rsid w:val="00053AF8"/>
    <w:rsid w:val="00055004"/>
    <w:rsid w:val="000565D8"/>
    <w:rsid w:val="00056AD0"/>
    <w:rsid w:val="00057CA1"/>
    <w:rsid w:val="000612F7"/>
    <w:rsid w:val="00061DAF"/>
    <w:rsid w:val="000657FC"/>
    <w:rsid w:val="00066081"/>
    <w:rsid w:val="000662E2"/>
    <w:rsid w:val="00066883"/>
    <w:rsid w:val="000668BF"/>
    <w:rsid w:val="00066B05"/>
    <w:rsid w:val="0007222B"/>
    <w:rsid w:val="00073259"/>
    <w:rsid w:val="00073311"/>
    <w:rsid w:val="00074DD8"/>
    <w:rsid w:val="000761AC"/>
    <w:rsid w:val="00076D95"/>
    <w:rsid w:val="00076F86"/>
    <w:rsid w:val="00077B8C"/>
    <w:rsid w:val="000806F7"/>
    <w:rsid w:val="000809C8"/>
    <w:rsid w:val="00081C1B"/>
    <w:rsid w:val="00082958"/>
    <w:rsid w:val="00084531"/>
    <w:rsid w:val="00086360"/>
    <w:rsid w:val="00086B7D"/>
    <w:rsid w:val="000870D1"/>
    <w:rsid w:val="00090DAE"/>
    <w:rsid w:val="00091304"/>
    <w:rsid w:val="000925FF"/>
    <w:rsid w:val="00092A8F"/>
    <w:rsid w:val="00094C33"/>
    <w:rsid w:val="00095A05"/>
    <w:rsid w:val="000A09E4"/>
    <w:rsid w:val="000A1172"/>
    <w:rsid w:val="000A39FD"/>
    <w:rsid w:val="000A3ACF"/>
    <w:rsid w:val="000A4C12"/>
    <w:rsid w:val="000A4E2A"/>
    <w:rsid w:val="000A6E89"/>
    <w:rsid w:val="000B0727"/>
    <w:rsid w:val="000B1D63"/>
    <w:rsid w:val="000B256C"/>
    <w:rsid w:val="000B318F"/>
    <w:rsid w:val="000B4DA2"/>
    <w:rsid w:val="000B4E03"/>
    <w:rsid w:val="000B4F0D"/>
    <w:rsid w:val="000C0137"/>
    <w:rsid w:val="000C09C3"/>
    <w:rsid w:val="000C0B2E"/>
    <w:rsid w:val="000C135D"/>
    <w:rsid w:val="000C4E6B"/>
    <w:rsid w:val="000C6E2B"/>
    <w:rsid w:val="000D07D3"/>
    <w:rsid w:val="000D1427"/>
    <w:rsid w:val="000D1D43"/>
    <w:rsid w:val="000D20FE"/>
    <w:rsid w:val="000D2217"/>
    <w:rsid w:val="000D225C"/>
    <w:rsid w:val="000D2A5C"/>
    <w:rsid w:val="000D2E0B"/>
    <w:rsid w:val="000E0918"/>
    <w:rsid w:val="000E2DE4"/>
    <w:rsid w:val="000F0212"/>
    <w:rsid w:val="000F156F"/>
    <w:rsid w:val="000F1626"/>
    <w:rsid w:val="000F3D8E"/>
    <w:rsid w:val="000F435D"/>
    <w:rsid w:val="000F6B6E"/>
    <w:rsid w:val="001011C3"/>
    <w:rsid w:val="00101571"/>
    <w:rsid w:val="001030FA"/>
    <w:rsid w:val="001039FA"/>
    <w:rsid w:val="0010569E"/>
    <w:rsid w:val="00105A2D"/>
    <w:rsid w:val="001070E5"/>
    <w:rsid w:val="00110A62"/>
    <w:rsid w:val="00110D87"/>
    <w:rsid w:val="001113A6"/>
    <w:rsid w:val="00112607"/>
    <w:rsid w:val="00112A4D"/>
    <w:rsid w:val="00113A2A"/>
    <w:rsid w:val="00114DB9"/>
    <w:rsid w:val="00114DEC"/>
    <w:rsid w:val="00115520"/>
    <w:rsid w:val="00116087"/>
    <w:rsid w:val="00117BBE"/>
    <w:rsid w:val="00120701"/>
    <w:rsid w:val="00120D8D"/>
    <w:rsid w:val="00121455"/>
    <w:rsid w:val="0012289A"/>
    <w:rsid w:val="00122F7C"/>
    <w:rsid w:val="00123367"/>
    <w:rsid w:val="00127150"/>
    <w:rsid w:val="00127C74"/>
    <w:rsid w:val="00127D4E"/>
    <w:rsid w:val="00127F26"/>
    <w:rsid w:val="00130296"/>
    <w:rsid w:val="001310B7"/>
    <w:rsid w:val="00131962"/>
    <w:rsid w:val="0013232F"/>
    <w:rsid w:val="00134E2D"/>
    <w:rsid w:val="001409E1"/>
    <w:rsid w:val="001423B6"/>
    <w:rsid w:val="001425F1"/>
    <w:rsid w:val="001448A7"/>
    <w:rsid w:val="00146621"/>
    <w:rsid w:val="001467DB"/>
    <w:rsid w:val="00147118"/>
    <w:rsid w:val="00152273"/>
    <w:rsid w:val="00152BFE"/>
    <w:rsid w:val="00161220"/>
    <w:rsid w:val="00162325"/>
    <w:rsid w:val="00163C91"/>
    <w:rsid w:val="00164CF6"/>
    <w:rsid w:val="00165D6F"/>
    <w:rsid w:val="00174825"/>
    <w:rsid w:val="00175380"/>
    <w:rsid w:val="001753B5"/>
    <w:rsid w:val="00175AE8"/>
    <w:rsid w:val="0017779B"/>
    <w:rsid w:val="00177A36"/>
    <w:rsid w:val="00177DD6"/>
    <w:rsid w:val="001821C4"/>
    <w:rsid w:val="001823A4"/>
    <w:rsid w:val="001850EA"/>
    <w:rsid w:val="001852BE"/>
    <w:rsid w:val="00186B6B"/>
    <w:rsid w:val="0018730D"/>
    <w:rsid w:val="00187A74"/>
    <w:rsid w:val="0019166D"/>
    <w:rsid w:val="001932FE"/>
    <w:rsid w:val="00193519"/>
    <w:rsid w:val="00194103"/>
    <w:rsid w:val="00194201"/>
    <w:rsid w:val="001945FA"/>
    <w:rsid w:val="001951DA"/>
    <w:rsid w:val="001952F2"/>
    <w:rsid w:val="00195767"/>
    <w:rsid w:val="00195C5A"/>
    <w:rsid w:val="00195DB9"/>
    <w:rsid w:val="00196493"/>
    <w:rsid w:val="001A4380"/>
    <w:rsid w:val="001A55D0"/>
    <w:rsid w:val="001A6A6A"/>
    <w:rsid w:val="001A6EC1"/>
    <w:rsid w:val="001B1CE5"/>
    <w:rsid w:val="001B2F6C"/>
    <w:rsid w:val="001B38EE"/>
    <w:rsid w:val="001B3932"/>
    <w:rsid w:val="001B48A8"/>
    <w:rsid w:val="001B4968"/>
    <w:rsid w:val="001B4DCC"/>
    <w:rsid w:val="001B64CB"/>
    <w:rsid w:val="001C0B7D"/>
    <w:rsid w:val="001C3269"/>
    <w:rsid w:val="001C3694"/>
    <w:rsid w:val="001C3FF0"/>
    <w:rsid w:val="001C51BC"/>
    <w:rsid w:val="001D02DA"/>
    <w:rsid w:val="001D03B4"/>
    <w:rsid w:val="001D1018"/>
    <w:rsid w:val="001D1DB4"/>
    <w:rsid w:val="001D270F"/>
    <w:rsid w:val="001D2AD6"/>
    <w:rsid w:val="001D37BB"/>
    <w:rsid w:val="001D651F"/>
    <w:rsid w:val="001D70D1"/>
    <w:rsid w:val="001E02B7"/>
    <w:rsid w:val="001E286F"/>
    <w:rsid w:val="001E307A"/>
    <w:rsid w:val="001E475A"/>
    <w:rsid w:val="001E482E"/>
    <w:rsid w:val="001E7919"/>
    <w:rsid w:val="001F2005"/>
    <w:rsid w:val="001F23B3"/>
    <w:rsid w:val="001F31BD"/>
    <w:rsid w:val="001F3686"/>
    <w:rsid w:val="001F5E14"/>
    <w:rsid w:val="001F649C"/>
    <w:rsid w:val="001F6CD0"/>
    <w:rsid w:val="001F6D7C"/>
    <w:rsid w:val="0020139E"/>
    <w:rsid w:val="00202E71"/>
    <w:rsid w:val="00204447"/>
    <w:rsid w:val="002056B1"/>
    <w:rsid w:val="00207360"/>
    <w:rsid w:val="002076EF"/>
    <w:rsid w:val="00210A6F"/>
    <w:rsid w:val="0021268C"/>
    <w:rsid w:val="00213DF1"/>
    <w:rsid w:val="002145F8"/>
    <w:rsid w:val="00215B0B"/>
    <w:rsid w:val="00216F21"/>
    <w:rsid w:val="002173E8"/>
    <w:rsid w:val="00217D5E"/>
    <w:rsid w:val="0022113D"/>
    <w:rsid w:val="002217A8"/>
    <w:rsid w:val="0022605C"/>
    <w:rsid w:val="00226CDB"/>
    <w:rsid w:val="00226D83"/>
    <w:rsid w:val="002300C4"/>
    <w:rsid w:val="002308C6"/>
    <w:rsid w:val="00231001"/>
    <w:rsid w:val="0023461B"/>
    <w:rsid w:val="00237327"/>
    <w:rsid w:val="00240ECE"/>
    <w:rsid w:val="002452B8"/>
    <w:rsid w:val="00245985"/>
    <w:rsid w:val="00247C71"/>
    <w:rsid w:val="00250FEE"/>
    <w:rsid w:val="00252C19"/>
    <w:rsid w:val="00254171"/>
    <w:rsid w:val="002549DC"/>
    <w:rsid w:val="00254FBD"/>
    <w:rsid w:val="002566A2"/>
    <w:rsid w:val="00257031"/>
    <w:rsid w:val="002574F9"/>
    <w:rsid w:val="002606E1"/>
    <w:rsid w:val="00260AC7"/>
    <w:rsid w:val="002615C6"/>
    <w:rsid w:val="00264835"/>
    <w:rsid w:val="0026524A"/>
    <w:rsid w:val="00266DD9"/>
    <w:rsid w:val="00270874"/>
    <w:rsid w:val="002722B3"/>
    <w:rsid w:val="00273D4F"/>
    <w:rsid w:val="00276811"/>
    <w:rsid w:val="00277F85"/>
    <w:rsid w:val="0028004D"/>
    <w:rsid w:val="00280CE6"/>
    <w:rsid w:val="00282699"/>
    <w:rsid w:val="00283009"/>
    <w:rsid w:val="00291BB9"/>
    <w:rsid w:val="00292177"/>
    <w:rsid w:val="00292388"/>
    <w:rsid w:val="002926DF"/>
    <w:rsid w:val="00296697"/>
    <w:rsid w:val="00296B74"/>
    <w:rsid w:val="00296F96"/>
    <w:rsid w:val="002A0BB7"/>
    <w:rsid w:val="002A0BDE"/>
    <w:rsid w:val="002A0E7B"/>
    <w:rsid w:val="002A0F08"/>
    <w:rsid w:val="002A0F5D"/>
    <w:rsid w:val="002A3546"/>
    <w:rsid w:val="002A3E41"/>
    <w:rsid w:val="002A42E3"/>
    <w:rsid w:val="002A4348"/>
    <w:rsid w:val="002A4388"/>
    <w:rsid w:val="002A518A"/>
    <w:rsid w:val="002A63A5"/>
    <w:rsid w:val="002A6EC1"/>
    <w:rsid w:val="002A7DB8"/>
    <w:rsid w:val="002B0009"/>
    <w:rsid w:val="002B0472"/>
    <w:rsid w:val="002B04B3"/>
    <w:rsid w:val="002B18C6"/>
    <w:rsid w:val="002B3036"/>
    <w:rsid w:val="002B583F"/>
    <w:rsid w:val="002B6B12"/>
    <w:rsid w:val="002B6B7B"/>
    <w:rsid w:val="002C424B"/>
    <w:rsid w:val="002C4336"/>
    <w:rsid w:val="002C6D15"/>
    <w:rsid w:val="002D0AC4"/>
    <w:rsid w:val="002D1DA5"/>
    <w:rsid w:val="002D2ECD"/>
    <w:rsid w:val="002D36F4"/>
    <w:rsid w:val="002D51CC"/>
    <w:rsid w:val="002E13A8"/>
    <w:rsid w:val="002E2422"/>
    <w:rsid w:val="002E3DCB"/>
    <w:rsid w:val="002E42E3"/>
    <w:rsid w:val="002E6140"/>
    <w:rsid w:val="002E6985"/>
    <w:rsid w:val="002E6EAA"/>
    <w:rsid w:val="002E71B6"/>
    <w:rsid w:val="002F1617"/>
    <w:rsid w:val="002F1F42"/>
    <w:rsid w:val="002F5333"/>
    <w:rsid w:val="002F77C8"/>
    <w:rsid w:val="003009A1"/>
    <w:rsid w:val="0030115B"/>
    <w:rsid w:val="003019E7"/>
    <w:rsid w:val="00301DF5"/>
    <w:rsid w:val="00304F22"/>
    <w:rsid w:val="00305979"/>
    <w:rsid w:val="00305F35"/>
    <w:rsid w:val="00306485"/>
    <w:rsid w:val="003067CB"/>
    <w:rsid w:val="00306C7C"/>
    <w:rsid w:val="00310E69"/>
    <w:rsid w:val="003133B6"/>
    <w:rsid w:val="00315805"/>
    <w:rsid w:val="00320924"/>
    <w:rsid w:val="00322EDD"/>
    <w:rsid w:val="003231A1"/>
    <w:rsid w:val="00324C9B"/>
    <w:rsid w:val="00332263"/>
    <w:rsid w:val="00332320"/>
    <w:rsid w:val="00332724"/>
    <w:rsid w:val="00333431"/>
    <w:rsid w:val="00334B93"/>
    <w:rsid w:val="0033525D"/>
    <w:rsid w:val="0033611E"/>
    <w:rsid w:val="00336412"/>
    <w:rsid w:val="00341966"/>
    <w:rsid w:val="003426AA"/>
    <w:rsid w:val="00342DCF"/>
    <w:rsid w:val="00343A88"/>
    <w:rsid w:val="003457E4"/>
    <w:rsid w:val="0034661C"/>
    <w:rsid w:val="00346C98"/>
    <w:rsid w:val="00347649"/>
    <w:rsid w:val="003476A5"/>
    <w:rsid w:val="00347C1F"/>
    <w:rsid w:val="00347D72"/>
    <w:rsid w:val="00347DB2"/>
    <w:rsid w:val="00350F22"/>
    <w:rsid w:val="00352354"/>
    <w:rsid w:val="003523EB"/>
    <w:rsid w:val="003531A5"/>
    <w:rsid w:val="00355643"/>
    <w:rsid w:val="00355AF4"/>
    <w:rsid w:val="00357611"/>
    <w:rsid w:val="00357F43"/>
    <w:rsid w:val="00360C3A"/>
    <w:rsid w:val="003613E6"/>
    <w:rsid w:val="00361EDA"/>
    <w:rsid w:val="003621DC"/>
    <w:rsid w:val="00362216"/>
    <w:rsid w:val="003623FA"/>
    <w:rsid w:val="003627E7"/>
    <w:rsid w:val="003627FC"/>
    <w:rsid w:val="00362919"/>
    <w:rsid w:val="003651C8"/>
    <w:rsid w:val="00365F22"/>
    <w:rsid w:val="00366879"/>
    <w:rsid w:val="00367237"/>
    <w:rsid w:val="0037077F"/>
    <w:rsid w:val="00370DBD"/>
    <w:rsid w:val="00371757"/>
    <w:rsid w:val="00371C7E"/>
    <w:rsid w:val="00373882"/>
    <w:rsid w:val="00373C02"/>
    <w:rsid w:val="00374B96"/>
    <w:rsid w:val="00375215"/>
    <w:rsid w:val="0037526E"/>
    <w:rsid w:val="003802E8"/>
    <w:rsid w:val="00380497"/>
    <w:rsid w:val="00380DD8"/>
    <w:rsid w:val="003837D5"/>
    <w:rsid w:val="00383B0F"/>
    <w:rsid w:val="003843DB"/>
    <w:rsid w:val="003854ED"/>
    <w:rsid w:val="00385767"/>
    <w:rsid w:val="00386D02"/>
    <w:rsid w:val="00387C01"/>
    <w:rsid w:val="003902D5"/>
    <w:rsid w:val="0039173C"/>
    <w:rsid w:val="003931C0"/>
    <w:rsid w:val="0039373A"/>
    <w:rsid w:val="00393761"/>
    <w:rsid w:val="003947E0"/>
    <w:rsid w:val="00395881"/>
    <w:rsid w:val="00395913"/>
    <w:rsid w:val="00395F5C"/>
    <w:rsid w:val="003973C9"/>
    <w:rsid w:val="00397D18"/>
    <w:rsid w:val="003A0362"/>
    <w:rsid w:val="003A09C1"/>
    <w:rsid w:val="003A0F9F"/>
    <w:rsid w:val="003A18A4"/>
    <w:rsid w:val="003A1B36"/>
    <w:rsid w:val="003A2F3A"/>
    <w:rsid w:val="003A4F62"/>
    <w:rsid w:val="003A5793"/>
    <w:rsid w:val="003B02F7"/>
    <w:rsid w:val="003B10B5"/>
    <w:rsid w:val="003B1105"/>
    <w:rsid w:val="003B1454"/>
    <w:rsid w:val="003B2DB6"/>
    <w:rsid w:val="003B40D7"/>
    <w:rsid w:val="003B5910"/>
    <w:rsid w:val="003B6350"/>
    <w:rsid w:val="003B6AEB"/>
    <w:rsid w:val="003B6BE3"/>
    <w:rsid w:val="003C0165"/>
    <w:rsid w:val="003C0C64"/>
    <w:rsid w:val="003C1BFD"/>
    <w:rsid w:val="003C34BC"/>
    <w:rsid w:val="003C59E0"/>
    <w:rsid w:val="003C677F"/>
    <w:rsid w:val="003C6BD1"/>
    <w:rsid w:val="003C6C8D"/>
    <w:rsid w:val="003D0B5F"/>
    <w:rsid w:val="003D0F50"/>
    <w:rsid w:val="003D1203"/>
    <w:rsid w:val="003D3C6E"/>
    <w:rsid w:val="003D4F95"/>
    <w:rsid w:val="003D5F42"/>
    <w:rsid w:val="003D60A9"/>
    <w:rsid w:val="003E2C2A"/>
    <w:rsid w:val="003E372E"/>
    <w:rsid w:val="003E37F1"/>
    <w:rsid w:val="003E6F61"/>
    <w:rsid w:val="003E7C6E"/>
    <w:rsid w:val="003E7DE1"/>
    <w:rsid w:val="003F13A9"/>
    <w:rsid w:val="003F1512"/>
    <w:rsid w:val="003F36A3"/>
    <w:rsid w:val="003F4C97"/>
    <w:rsid w:val="003F53CA"/>
    <w:rsid w:val="003F60A7"/>
    <w:rsid w:val="003F68D3"/>
    <w:rsid w:val="003F7FE6"/>
    <w:rsid w:val="00400193"/>
    <w:rsid w:val="00400B65"/>
    <w:rsid w:val="00401DB3"/>
    <w:rsid w:val="00403557"/>
    <w:rsid w:val="004107A5"/>
    <w:rsid w:val="0041140C"/>
    <w:rsid w:val="004118C3"/>
    <w:rsid w:val="00412E8A"/>
    <w:rsid w:val="004130BC"/>
    <w:rsid w:val="0041374E"/>
    <w:rsid w:val="00414CA4"/>
    <w:rsid w:val="004177EF"/>
    <w:rsid w:val="004212E7"/>
    <w:rsid w:val="0042205E"/>
    <w:rsid w:val="00422CE6"/>
    <w:rsid w:val="00423192"/>
    <w:rsid w:val="004231A6"/>
    <w:rsid w:val="00423D40"/>
    <w:rsid w:val="00424384"/>
    <w:rsid w:val="0042446D"/>
    <w:rsid w:val="0042453E"/>
    <w:rsid w:val="00425964"/>
    <w:rsid w:val="004266F7"/>
    <w:rsid w:val="00427281"/>
    <w:rsid w:val="00427640"/>
    <w:rsid w:val="00427BF8"/>
    <w:rsid w:val="00431422"/>
    <w:rsid w:val="00431C02"/>
    <w:rsid w:val="004327B6"/>
    <w:rsid w:val="0043307C"/>
    <w:rsid w:val="004347B4"/>
    <w:rsid w:val="00434C10"/>
    <w:rsid w:val="00434C9F"/>
    <w:rsid w:val="0043572F"/>
    <w:rsid w:val="00435BD0"/>
    <w:rsid w:val="00436E98"/>
    <w:rsid w:val="00437395"/>
    <w:rsid w:val="00440098"/>
    <w:rsid w:val="0044028F"/>
    <w:rsid w:val="00440E30"/>
    <w:rsid w:val="00443BB1"/>
    <w:rsid w:val="00443D0E"/>
    <w:rsid w:val="00443F13"/>
    <w:rsid w:val="00444B75"/>
    <w:rsid w:val="00445047"/>
    <w:rsid w:val="00445E43"/>
    <w:rsid w:val="004466B1"/>
    <w:rsid w:val="00450E62"/>
    <w:rsid w:val="00452007"/>
    <w:rsid w:val="00454004"/>
    <w:rsid w:val="00454C5C"/>
    <w:rsid w:val="00460904"/>
    <w:rsid w:val="00460DA9"/>
    <w:rsid w:val="00460EB6"/>
    <w:rsid w:val="00461D15"/>
    <w:rsid w:val="00462A63"/>
    <w:rsid w:val="00463534"/>
    <w:rsid w:val="00463591"/>
    <w:rsid w:val="00463E39"/>
    <w:rsid w:val="00464683"/>
    <w:rsid w:val="00464D4F"/>
    <w:rsid w:val="0046503D"/>
    <w:rsid w:val="004657FC"/>
    <w:rsid w:val="00467EFF"/>
    <w:rsid w:val="00473035"/>
    <w:rsid w:val="004733F6"/>
    <w:rsid w:val="0047387B"/>
    <w:rsid w:val="00474753"/>
    <w:rsid w:val="00474944"/>
    <w:rsid w:val="00474E69"/>
    <w:rsid w:val="00477DD8"/>
    <w:rsid w:val="00484901"/>
    <w:rsid w:val="00484E17"/>
    <w:rsid w:val="00486128"/>
    <w:rsid w:val="004862B6"/>
    <w:rsid w:val="00486543"/>
    <w:rsid w:val="0048727B"/>
    <w:rsid w:val="004937A5"/>
    <w:rsid w:val="00493B1C"/>
    <w:rsid w:val="004949CA"/>
    <w:rsid w:val="0049621B"/>
    <w:rsid w:val="004963DE"/>
    <w:rsid w:val="00497CE2"/>
    <w:rsid w:val="004A07C1"/>
    <w:rsid w:val="004A284F"/>
    <w:rsid w:val="004A3BC8"/>
    <w:rsid w:val="004A4580"/>
    <w:rsid w:val="004A4641"/>
    <w:rsid w:val="004A5B1F"/>
    <w:rsid w:val="004B13C4"/>
    <w:rsid w:val="004B3989"/>
    <w:rsid w:val="004B4738"/>
    <w:rsid w:val="004B628B"/>
    <w:rsid w:val="004B7867"/>
    <w:rsid w:val="004C1895"/>
    <w:rsid w:val="004C29C1"/>
    <w:rsid w:val="004C2A13"/>
    <w:rsid w:val="004C44A5"/>
    <w:rsid w:val="004C48C5"/>
    <w:rsid w:val="004C5067"/>
    <w:rsid w:val="004C6B0B"/>
    <w:rsid w:val="004C6D40"/>
    <w:rsid w:val="004C7303"/>
    <w:rsid w:val="004D06AC"/>
    <w:rsid w:val="004D107E"/>
    <w:rsid w:val="004D1586"/>
    <w:rsid w:val="004D4A44"/>
    <w:rsid w:val="004D4D5A"/>
    <w:rsid w:val="004D5EE7"/>
    <w:rsid w:val="004D665D"/>
    <w:rsid w:val="004D6D43"/>
    <w:rsid w:val="004E0216"/>
    <w:rsid w:val="004E0542"/>
    <w:rsid w:val="004E1A89"/>
    <w:rsid w:val="004E221F"/>
    <w:rsid w:val="004E329A"/>
    <w:rsid w:val="004E40B4"/>
    <w:rsid w:val="004F0C3C"/>
    <w:rsid w:val="004F2A2C"/>
    <w:rsid w:val="004F4FCA"/>
    <w:rsid w:val="004F5A9B"/>
    <w:rsid w:val="004F63FC"/>
    <w:rsid w:val="004F64F0"/>
    <w:rsid w:val="004F6903"/>
    <w:rsid w:val="004F78BE"/>
    <w:rsid w:val="005012C5"/>
    <w:rsid w:val="005027A8"/>
    <w:rsid w:val="00502EF2"/>
    <w:rsid w:val="00503622"/>
    <w:rsid w:val="00505A92"/>
    <w:rsid w:val="00506117"/>
    <w:rsid w:val="00507AB5"/>
    <w:rsid w:val="00507D35"/>
    <w:rsid w:val="005105EB"/>
    <w:rsid w:val="00510D8A"/>
    <w:rsid w:val="00512F05"/>
    <w:rsid w:val="00513D6F"/>
    <w:rsid w:val="005149CE"/>
    <w:rsid w:val="00515E5A"/>
    <w:rsid w:val="0051691A"/>
    <w:rsid w:val="005203F1"/>
    <w:rsid w:val="005206F5"/>
    <w:rsid w:val="00520DD1"/>
    <w:rsid w:val="00521799"/>
    <w:rsid w:val="00521BC3"/>
    <w:rsid w:val="005241EA"/>
    <w:rsid w:val="0052510F"/>
    <w:rsid w:val="00525CAC"/>
    <w:rsid w:val="00525FB7"/>
    <w:rsid w:val="00527E6B"/>
    <w:rsid w:val="00531BDA"/>
    <w:rsid w:val="00533632"/>
    <w:rsid w:val="00533FC2"/>
    <w:rsid w:val="00535F4C"/>
    <w:rsid w:val="00535FF8"/>
    <w:rsid w:val="00536846"/>
    <w:rsid w:val="0054251F"/>
    <w:rsid w:val="00544CA7"/>
    <w:rsid w:val="00545385"/>
    <w:rsid w:val="00545A03"/>
    <w:rsid w:val="00546790"/>
    <w:rsid w:val="005472E2"/>
    <w:rsid w:val="005476EB"/>
    <w:rsid w:val="00547737"/>
    <w:rsid w:val="005501C7"/>
    <w:rsid w:val="00550618"/>
    <w:rsid w:val="005514D5"/>
    <w:rsid w:val="005520D8"/>
    <w:rsid w:val="00552939"/>
    <w:rsid w:val="00553B0B"/>
    <w:rsid w:val="0055460F"/>
    <w:rsid w:val="00556CF1"/>
    <w:rsid w:val="0055770D"/>
    <w:rsid w:val="00557D75"/>
    <w:rsid w:val="00561AEB"/>
    <w:rsid w:val="00561CC0"/>
    <w:rsid w:val="00562EC2"/>
    <w:rsid w:val="00566275"/>
    <w:rsid w:val="005662CD"/>
    <w:rsid w:val="00567A72"/>
    <w:rsid w:val="00567F82"/>
    <w:rsid w:val="00573FC0"/>
    <w:rsid w:val="0057603C"/>
    <w:rsid w:val="00576096"/>
    <w:rsid w:val="005762A7"/>
    <w:rsid w:val="005776E0"/>
    <w:rsid w:val="00577BDE"/>
    <w:rsid w:val="00581240"/>
    <w:rsid w:val="00581324"/>
    <w:rsid w:val="00582ED4"/>
    <w:rsid w:val="00585630"/>
    <w:rsid w:val="005861A1"/>
    <w:rsid w:val="00590BB1"/>
    <w:rsid w:val="005916D7"/>
    <w:rsid w:val="00591FDF"/>
    <w:rsid w:val="005921E2"/>
    <w:rsid w:val="00593FB5"/>
    <w:rsid w:val="005943D2"/>
    <w:rsid w:val="00594802"/>
    <w:rsid w:val="00595F5A"/>
    <w:rsid w:val="00597DE4"/>
    <w:rsid w:val="005A30AB"/>
    <w:rsid w:val="005A37DA"/>
    <w:rsid w:val="005A45B5"/>
    <w:rsid w:val="005A526E"/>
    <w:rsid w:val="005A698C"/>
    <w:rsid w:val="005B75B9"/>
    <w:rsid w:val="005C0216"/>
    <w:rsid w:val="005C114C"/>
    <w:rsid w:val="005C16BE"/>
    <w:rsid w:val="005C23A7"/>
    <w:rsid w:val="005C4A86"/>
    <w:rsid w:val="005C4E91"/>
    <w:rsid w:val="005C56E1"/>
    <w:rsid w:val="005C5A51"/>
    <w:rsid w:val="005C747C"/>
    <w:rsid w:val="005C763D"/>
    <w:rsid w:val="005C764C"/>
    <w:rsid w:val="005C7EE7"/>
    <w:rsid w:val="005D01B4"/>
    <w:rsid w:val="005D2FB0"/>
    <w:rsid w:val="005D6F87"/>
    <w:rsid w:val="005E0799"/>
    <w:rsid w:val="005E4173"/>
    <w:rsid w:val="005E48B2"/>
    <w:rsid w:val="005E4AF4"/>
    <w:rsid w:val="005E4E00"/>
    <w:rsid w:val="005E55FE"/>
    <w:rsid w:val="005E6573"/>
    <w:rsid w:val="005F302D"/>
    <w:rsid w:val="005F4A3B"/>
    <w:rsid w:val="005F5129"/>
    <w:rsid w:val="005F5A80"/>
    <w:rsid w:val="005F5FD8"/>
    <w:rsid w:val="005F6C1E"/>
    <w:rsid w:val="00603187"/>
    <w:rsid w:val="006044FF"/>
    <w:rsid w:val="00604C78"/>
    <w:rsid w:val="006051FC"/>
    <w:rsid w:val="00607CC5"/>
    <w:rsid w:val="006102AA"/>
    <w:rsid w:val="00610DCD"/>
    <w:rsid w:val="00612D21"/>
    <w:rsid w:val="00613ECD"/>
    <w:rsid w:val="0061791A"/>
    <w:rsid w:val="00620DC3"/>
    <w:rsid w:val="00621F5F"/>
    <w:rsid w:val="006238DF"/>
    <w:rsid w:val="00624277"/>
    <w:rsid w:val="00625603"/>
    <w:rsid w:val="00626112"/>
    <w:rsid w:val="006263DA"/>
    <w:rsid w:val="0062658A"/>
    <w:rsid w:val="00626952"/>
    <w:rsid w:val="00626D87"/>
    <w:rsid w:val="00627CBE"/>
    <w:rsid w:val="006318DA"/>
    <w:rsid w:val="00633014"/>
    <w:rsid w:val="0063437B"/>
    <w:rsid w:val="00640585"/>
    <w:rsid w:val="00642C4B"/>
    <w:rsid w:val="00645566"/>
    <w:rsid w:val="00646D6F"/>
    <w:rsid w:val="00650D4C"/>
    <w:rsid w:val="00652880"/>
    <w:rsid w:val="006562A7"/>
    <w:rsid w:val="00661419"/>
    <w:rsid w:val="006631D9"/>
    <w:rsid w:val="00664589"/>
    <w:rsid w:val="0066739B"/>
    <w:rsid w:val="006673CA"/>
    <w:rsid w:val="00667D6F"/>
    <w:rsid w:val="00670AB6"/>
    <w:rsid w:val="00671511"/>
    <w:rsid w:val="006720A1"/>
    <w:rsid w:val="00673657"/>
    <w:rsid w:val="00673BE0"/>
    <w:rsid w:val="00673C26"/>
    <w:rsid w:val="00674508"/>
    <w:rsid w:val="00674ABE"/>
    <w:rsid w:val="0067676E"/>
    <w:rsid w:val="00677F45"/>
    <w:rsid w:val="0068038E"/>
    <w:rsid w:val="006812AF"/>
    <w:rsid w:val="0068184F"/>
    <w:rsid w:val="006819F3"/>
    <w:rsid w:val="00681DB6"/>
    <w:rsid w:val="00682331"/>
    <w:rsid w:val="00682A3C"/>
    <w:rsid w:val="0068327D"/>
    <w:rsid w:val="00685F86"/>
    <w:rsid w:val="00690C38"/>
    <w:rsid w:val="00692DAC"/>
    <w:rsid w:val="00693C83"/>
    <w:rsid w:val="00694AF0"/>
    <w:rsid w:val="006969C0"/>
    <w:rsid w:val="006978FA"/>
    <w:rsid w:val="006A0A6A"/>
    <w:rsid w:val="006A1938"/>
    <w:rsid w:val="006A19B6"/>
    <w:rsid w:val="006A37E8"/>
    <w:rsid w:val="006A6B61"/>
    <w:rsid w:val="006A6DB6"/>
    <w:rsid w:val="006B0E9E"/>
    <w:rsid w:val="006B14C5"/>
    <w:rsid w:val="006B25A7"/>
    <w:rsid w:val="006B3ACC"/>
    <w:rsid w:val="006B52E4"/>
    <w:rsid w:val="006B5AE4"/>
    <w:rsid w:val="006B5D9A"/>
    <w:rsid w:val="006B6187"/>
    <w:rsid w:val="006C33EC"/>
    <w:rsid w:val="006C4AF3"/>
    <w:rsid w:val="006C4BEC"/>
    <w:rsid w:val="006C5216"/>
    <w:rsid w:val="006C6D12"/>
    <w:rsid w:val="006D07A2"/>
    <w:rsid w:val="006D109D"/>
    <w:rsid w:val="006D1926"/>
    <w:rsid w:val="006D4054"/>
    <w:rsid w:val="006D4119"/>
    <w:rsid w:val="006D4186"/>
    <w:rsid w:val="006D4BD3"/>
    <w:rsid w:val="006D5ACE"/>
    <w:rsid w:val="006E013F"/>
    <w:rsid w:val="006E02EC"/>
    <w:rsid w:val="006E0A1C"/>
    <w:rsid w:val="006E0C18"/>
    <w:rsid w:val="006E2350"/>
    <w:rsid w:val="006E2C25"/>
    <w:rsid w:val="006E2C76"/>
    <w:rsid w:val="006E3EAB"/>
    <w:rsid w:val="006E43C9"/>
    <w:rsid w:val="006E4CDB"/>
    <w:rsid w:val="006E4D66"/>
    <w:rsid w:val="006E5888"/>
    <w:rsid w:val="006E6053"/>
    <w:rsid w:val="006E76CB"/>
    <w:rsid w:val="006F059C"/>
    <w:rsid w:val="006F4D00"/>
    <w:rsid w:val="006F4DB5"/>
    <w:rsid w:val="006F5529"/>
    <w:rsid w:val="006F5EF5"/>
    <w:rsid w:val="0070018F"/>
    <w:rsid w:val="00703FFE"/>
    <w:rsid w:val="00707935"/>
    <w:rsid w:val="00710621"/>
    <w:rsid w:val="00710CD3"/>
    <w:rsid w:val="0071467D"/>
    <w:rsid w:val="00714A99"/>
    <w:rsid w:val="007162C8"/>
    <w:rsid w:val="0071752E"/>
    <w:rsid w:val="00717B53"/>
    <w:rsid w:val="007208F1"/>
    <w:rsid w:val="007211B1"/>
    <w:rsid w:val="00721509"/>
    <w:rsid w:val="0072216F"/>
    <w:rsid w:val="0072272D"/>
    <w:rsid w:val="00722E88"/>
    <w:rsid w:val="00724458"/>
    <w:rsid w:val="00724FB4"/>
    <w:rsid w:val="00730CB8"/>
    <w:rsid w:val="007317DF"/>
    <w:rsid w:val="0073330A"/>
    <w:rsid w:val="00734924"/>
    <w:rsid w:val="00735E92"/>
    <w:rsid w:val="00737DCC"/>
    <w:rsid w:val="00737E09"/>
    <w:rsid w:val="00740971"/>
    <w:rsid w:val="00741554"/>
    <w:rsid w:val="00743232"/>
    <w:rsid w:val="00743BDF"/>
    <w:rsid w:val="007460F9"/>
    <w:rsid w:val="00746187"/>
    <w:rsid w:val="00750A83"/>
    <w:rsid w:val="00753265"/>
    <w:rsid w:val="00753DA3"/>
    <w:rsid w:val="0075445A"/>
    <w:rsid w:val="00754F6C"/>
    <w:rsid w:val="00755B5B"/>
    <w:rsid w:val="0075636C"/>
    <w:rsid w:val="00756B32"/>
    <w:rsid w:val="0075792A"/>
    <w:rsid w:val="0076234C"/>
    <w:rsid w:val="0076254F"/>
    <w:rsid w:val="0076349B"/>
    <w:rsid w:val="00763711"/>
    <w:rsid w:val="0076475E"/>
    <w:rsid w:val="00766E80"/>
    <w:rsid w:val="007702BD"/>
    <w:rsid w:val="00770725"/>
    <w:rsid w:val="00771D52"/>
    <w:rsid w:val="00773B09"/>
    <w:rsid w:val="00773CF3"/>
    <w:rsid w:val="00774F4E"/>
    <w:rsid w:val="00777957"/>
    <w:rsid w:val="007801F5"/>
    <w:rsid w:val="00780316"/>
    <w:rsid w:val="00781779"/>
    <w:rsid w:val="0078199D"/>
    <w:rsid w:val="00781CE2"/>
    <w:rsid w:val="00783473"/>
    <w:rsid w:val="00783CA4"/>
    <w:rsid w:val="0078416C"/>
    <w:rsid w:val="007842FB"/>
    <w:rsid w:val="00785B50"/>
    <w:rsid w:val="00786124"/>
    <w:rsid w:val="00786B8A"/>
    <w:rsid w:val="00790113"/>
    <w:rsid w:val="007904A3"/>
    <w:rsid w:val="00792040"/>
    <w:rsid w:val="00793D18"/>
    <w:rsid w:val="0079498A"/>
    <w:rsid w:val="0079514B"/>
    <w:rsid w:val="00796D16"/>
    <w:rsid w:val="00797294"/>
    <w:rsid w:val="007A1014"/>
    <w:rsid w:val="007A2DC1"/>
    <w:rsid w:val="007A41A9"/>
    <w:rsid w:val="007A510F"/>
    <w:rsid w:val="007A5CB7"/>
    <w:rsid w:val="007B0E35"/>
    <w:rsid w:val="007B0FEC"/>
    <w:rsid w:val="007B2673"/>
    <w:rsid w:val="007B283F"/>
    <w:rsid w:val="007B3DB7"/>
    <w:rsid w:val="007B4F73"/>
    <w:rsid w:val="007B78D0"/>
    <w:rsid w:val="007C198E"/>
    <w:rsid w:val="007C2031"/>
    <w:rsid w:val="007C2970"/>
    <w:rsid w:val="007C2C9F"/>
    <w:rsid w:val="007C3D00"/>
    <w:rsid w:val="007C46D9"/>
    <w:rsid w:val="007C4EF9"/>
    <w:rsid w:val="007C792E"/>
    <w:rsid w:val="007D1F83"/>
    <w:rsid w:val="007D209F"/>
    <w:rsid w:val="007D2B2C"/>
    <w:rsid w:val="007D3319"/>
    <w:rsid w:val="007D335D"/>
    <w:rsid w:val="007D5031"/>
    <w:rsid w:val="007D573B"/>
    <w:rsid w:val="007D6D55"/>
    <w:rsid w:val="007E0C88"/>
    <w:rsid w:val="007E13D0"/>
    <w:rsid w:val="007E1B1D"/>
    <w:rsid w:val="007E24ED"/>
    <w:rsid w:val="007E2BA9"/>
    <w:rsid w:val="007E319D"/>
    <w:rsid w:val="007E3314"/>
    <w:rsid w:val="007E3587"/>
    <w:rsid w:val="007E4B03"/>
    <w:rsid w:val="007E58A2"/>
    <w:rsid w:val="007E713F"/>
    <w:rsid w:val="007E76BE"/>
    <w:rsid w:val="007E7CE3"/>
    <w:rsid w:val="007F1316"/>
    <w:rsid w:val="007F2685"/>
    <w:rsid w:val="007F324B"/>
    <w:rsid w:val="007F3EEC"/>
    <w:rsid w:val="007F4DFE"/>
    <w:rsid w:val="007F6B07"/>
    <w:rsid w:val="007F7483"/>
    <w:rsid w:val="007F771F"/>
    <w:rsid w:val="00802022"/>
    <w:rsid w:val="00802E60"/>
    <w:rsid w:val="00803EAA"/>
    <w:rsid w:val="0080553C"/>
    <w:rsid w:val="00805B46"/>
    <w:rsid w:val="00810E8D"/>
    <w:rsid w:val="00811ECD"/>
    <w:rsid w:val="00812747"/>
    <w:rsid w:val="00816DE1"/>
    <w:rsid w:val="00820A18"/>
    <w:rsid w:val="008211DF"/>
    <w:rsid w:val="00825DC2"/>
    <w:rsid w:val="008263B6"/>
    <w:rsid w:val="00830DEC"/>
    <w:rsid w:val="00833D4E"/>
    <w:rsid w:val="00834AD3"/>
    <w:rsid w:val="00835D3C"/>
    <w:rsid w:val="00836533"/>
    <w:rsid w:val="0083677A"/>
    <w:rsid w:val="0083788A"/>
    <w:rsid w:val="00837C34"/>
    <w:rsid w:val="0084045C"/>
    <w:rsid w:val="008425EE"/>
    <w:rsid w:val="00843795"/>
    <w:rsid w:val="008438BA"/>
    <w:rsid w:val="008438C3"/>
    <w:rsid w:val="0084465E"/>
    <w:rsid w:val="00846E9E"/>
    <w:rsid w:val="00847F0F"/>
    <w:rsid w:val="008500B1"/>
    <w:rsid w:val="008522FC"/>
    <w:rsid w:val="00852448"/>
    <w:rsid w:val="0085344B"/>
    <w:rsid w:val="00853635"/>
    <w:rsid w:val="00854CAA"/>
    <w:rsid w:val="0085567B"/>
    <w:rsid w:val="008569A1"/>
    <w:rsid w:val="00857E64"/>
    <w:rsid w:val="00857F61"/>
    <w:rsid w:val="00860C28"/>
    <w:rsid w:val="00860F7B"/>
    <w:rsid w:val="00862084"/>
    <w:rsid w:val="00863E09"/>
    <w:rsid w:val="008646DA"/>
    <w:rsid w:val="00865B30"/>
    <w:rsid w:val="00865E47"/>
    <w:rsid w:val="00866050"/>
    <w:rsid w:val="00866416"/>
    <w:rsid w:val="00866ED0"/>
    <w:rsid w:val="00870421"/>
    <w:rsid w:val="008739BA"/>
    <w:rsid w:val="00874676"/>
    <w:rsid w:val="00881589"/>
    <w:rsid w:val="0088258A"/>
    <w:rsid w:val="00882FBF"/>
    <w:rsid w:val="00884D9B"/>
    <w:rsid w:val="00885575"/>
    <w:rsid w:val="00886332"/>
    <w:rsid w:val="00886D2F"/>
    <w:rsid w:val="00887F70"/>
    <w:rsid w:val="008948E4"/>
    <w:rsid w:val="008A072E"/>
    <w:rsid w:val="008A0F0C"/>
    <w:rsid w:val="008A1C80"/>
    <w:rsid w:val="008A26D9"/>
    <w:rsid w:val="008A3DAD"/>
    <w:rsid w:val="008A44DB"/>
    <w:rsid w:val="008A58C2"/>
    <w:rsid w:val="008B0F20"/>
    <w:rsid w:val="008B1B16"/>
    <w:rsid w:val="008B2D5B"/>
    <w:rsid w:val="008B3CA0"/>
    <w:rsid w:val="008B5601"/>
    <w:rsid w:val="008B6A9A"/>
    <w:rsid w:val="008C0007"/>
    <w:rsid w:val="008C0C29"/>
    <w:rsid w:val="008C1F33"/>
    <w:rsid w:val="008C37DB"/>
    <w:rsid w:val="008C3AB7"/>
    <w:rsid w:val="008C4E2B"/>
    <w:rsid w:val="008C5119"/>
    <w:rsid w:val="008C5D81"/>
    <w:rsid w:val="008D0037"/>
    <w:rsid w:val="008D2074"/>
    <w:rsid w:val="008D21F2"/>
    <w:rsid w:val="008D3F85"/>
    <w:rsid w:val="008D52A9"/>
    <w:rsid w:val="008D561B"/>
    <w:rsid w:val="008D5D1D"/>
    <w:rsid w:val="008D6413"/>
    <w:rsid w:val="008E0933"/>
    <w:rsid w:val="008E0E06"/>
    <w:rsid w:val="008E6F47"/>
    <w:rsid w:val="008F04DA"/>
    <w:rsid w:val="008F0617"/>
    <w:rsid w:val="008F1C42"/>
    <w:rsid w:val="008F2D53"/>
    <w:rsid w:val="008F3638"/>
    <w:rsid w:val="008F4B57"/>
    <w:rsid w:val="008F5556"/>
    <w:rsid w:val="008F6283"/>
    <w:rsid w:val="008F671C"/>
    <w:rsid w:val="008F6F31"/>
    <w:rsid w:val="008F74DF"/>
    <w:rsid w:val="00901759"/>
    <w:rsid w:val="00903106"/>
    <w:rsid w:val="00904121"/>
    <w:rsid w:val="00904133"/>
    <w:rsid w:val="00905375"/>
    <w:rsid w:val="00905739"/>
    <w:rsid w:val="0090586F"/>
    <w:rsid w:val="00905A67"/>
    <w:rsid w:val="00906857"/>
    <w:rsid w:val="00907546"/>
    <w:rsid w:val="009076B2"/>
    <w:rsid w:val="00911CF2"/>
    <w:rsid w:val="009127BA"/>
    <w:rsid w:val="0091310A"/>
    <w:rsid w:val="009134D5"/>
    <w:rsid w:val="0091350E"/>
    <w:rsid w:val="00913766"/>
    <w:rsid w:val="00920799"/>
    <w:rsid w:val="009218D1"/>
    <w:rsid w:val="00921A87"/>
    <w:rsid w:val="00921C3F"/>
    <w:rsid w:val="009227A6"/>
    <w:rsid w:val="00924EF3"/>
    <w:rsid w:val="00926821"/>
    <w:rsid w:val="0092758B"/>
    <w:rsid w:val="00927755"/>
    <w:rsid w:val="009278E9"/>
    <w:rsid w:val="00927D58"/>
    <w:rsid w:val="009301B3"/>
    <w:rsid w:val="00931AE5"/>
    <w:rsid w:val="0093398C"/>
    <w:rsid w:val="00933EC1"/>
    <w:rsid w:val="00933F4B"/>
    <w:rsid w:val="00937BDA"/>
    <w:rsid w:val="00943DC6"/>
    <w:rsid w:val="0094417D"/>
    <w:rsid w:val="00944262"/>
    <w:rsid w:val="009442CC"/>
    <w:rsid w:val="00946A4C"/>
    <w:rsid w:val="00947AF9"/>
    <w:rsid w:val="009510F1"/>
    <w:rsid w:val="00951EDB"/>
    <w:rsid w:val="009530DB"/>
    <w:rsid w:val="00953676"/>
    <w:rsid w:val="0095478E"/>
    <w:rsid w:val="00955B2A"/>
    <w:rsid w:val="00956313"/>
    <w:rsid w:val="0095687B"/>
    <w:rsid w:val="00960237"/>
    <w:rsid w:val="009609A1"/>
    <w:rsid w:val="00960A1C"/>
    <w:rsid w:val="00960A9C"/>
    <w:rsid w:val="00960BE4"/>
    <w:rsid w:val="0096150B"/>
    <w:rsid w:val="0096178E"/>
    <w:rsid w:val="00964AFB"/>
    <w:rsid w:val="00964DC1"/>
    <w:rsid w:val="00965255"/>
    <w:rsid w:val="0096565D"/>
    <w:rsid w:val="00965F03"/>
    <w:rsid w:val="009665D3"/>
    <w:rsid w:val="0096740A"/>
    <w:rsid w:val="00967D7E"/>
    <w:rsid w:val="009705EE"/>
    <w:rsid w:val="00972147"/>
    <w:rsid w:val="00972898"/>
    <w:rsid w:val="00972B83"/>
    <w:rsid w:val="0097447F"/>
    <w:rsid w:val="00975725"/>
    <w:rsid w:val="00977927"/>
    <w:rsid w:val="0098037C"/>
    <w:rsid w:val="0098135C"/>
    <w:rsid w:val="0098156A"/>
    <w:rsid w:val="009821A0"/>
    <w:rsid w:val="00984EEC"/>
    <w:rsid w:val="009879F0"/>
    <w:rsid w:val="00990583"/>
    <w:rsid w:val="00990E39"/>
    <w:rsid w:val="00991395"/>
    <w:rsid w:val="00991BAC"/>
    <w:rsid w:val="009924F8"/>
    <w:rsid w:val="0099295C"/>
    <w:rsid w:val="009943A1"/>
    <w:rsid w:val="00994BA3"/>
    <w:rsid w:val="00996309"/>
    <w:rsid w:val="00997494"/>
    <w:rsid w:val="00997A21"/>
    <w:rsid w:val="009A0B91"/>
    <w:rsid w:val="009A2FF0"/>
    <w:rsid w:val="009A4459"/>
    <w:rsid w:val="009A5D17"/>
    <w:rsid w:val="009A6B72"/>
    <w:rsid w:val="009A6D10"/>
    <w:rsid w:val="009A6EA0"/>
    <w:rsid w:val="009A7910"/>
    <w:rsid w:val="009B0217"/>
    <w:rsid w:val="009B0C25"/>
    <w:rsid w:val="009B1EF0"/>
    <w:rsid w:val="009B241D"/>
    <w:rsid w:val="009B382F"/>
    <w:rsid w:val="009B7341"/>
    <w:rsid w:val="009B7D46"/>
    <w:rsid w:val="009C0CCF"/>
    <w:rsid w:val="009C1335"/>
    <w:rsid w:val="009C1AB2"/>
    <w:rsid w:val="009C494F"/>
    <w:rsid w:val="009C5934"/>
    <w:rsid w:val="009C7028"/>
    <w:rsid w:val="009C7251"/>
    <w:rsid w:val="009C7FE3"/>
    <w:rsid w:val="009D258B"/>
    <w:rsid w:val="009D264A"/>
    <w:rsid w:val="009D48C2"/>
    <w:rsid w:val="009D72DE"/>
    <w:rsid w:val="009D757F"/>
    <w:rsid w:val="009E21D0"/>
    <w:rsid w:val="009E2E91"/>
    <w:rsid w:val="009E3371"/>
    <w:rsid w:val="009E374D"/>
    <w:rsid w:val="009E3D7D"/>
    <w:rsid w:val="009E4CAF"/>
    <w:rsid w:val="009E56BC"/>
    <w:rsid w:val="009E6202"/>
    <w:rsid w:val="009F0127"/>
    <w:rsid w:val="009F0AF2"/>
    <w:rsid w:val="009F16E7"/>
    <w:rsid w:val="009F1C77"/>
    <w:rsid w:val="009F46D4"/>
    <w:rsid w:val="009F4F41"/>
    <w:rsid w:val="009F6602"/>
    <w:rsid w:val="009F66F2"/>
    <w:rsid w:val="009F686F"/>
    <w:rsid w:val="00A00674"/>
    <w:rsid w:val="00A01A6B"/>
    <w:rsid w:val="00A01B2E"/>
    <w:rsid w:val="00A030E6"/>
    <w:rsid w:val="00A0335F"/>
    <w:rsid w:val="00A052FE"/>
    <w:rsid w:val="00A0647C"/>
    <w:rsid w:val="00A121DF"/>
    <w:rsid w:val="00A13514"/>
    <w:rsid w:val="00A139F5"/>
    <w:rsid w:val="00A14250"/>
    <w:rsid w:val="00A14EA4"/>
    <w:rsid w:val="00A17F09"/>
    <w:rsid w:val="00A20421"/>
    <w:rsid w:val="00A216F9"/>
    <w:rsid w:val="00A21E4A"/>
    <w:rsid w:val="00A2488E"/>
    <w:rsid w:val="00A25C47"/>
    <w:rsid w:val="00A267AB"/>
    <w:rsid w:val="00A270F5"/>
    <w:rsid w:val="00A27763"/>
    <w:rsid w:val="00A27A95"/>
    <w:rsid w:val="00A27D93"/>
    <w:rsid w:val="00A30855"/>
    <w:rsid w:val="00A309AB"/>
    <w:rsid w:val="00A31CFB"/>
    <w:rsid w:val="00A33667"/>
    <w:rsid w:val="00A365F4"/>
    <w:rsid w:val="00A40D16"/>
    <w:rsid w:val="00A40F30"/>
    <w:rsid w:val="00A4219B"/>
    <w:rsid w:val="00A4223C"/>
    <w:rsid w:val="00A4333F"/>
    <w:rsid w:val="00A457A4"/>
    <w:rsid w:val="00A45EB1"/>
    <w:rsid w:val="00A47D80"/>
    <w:rsid w:val="00A52737"/>
    <w:rsid w:val="00A53132"/>
    <w:rsid w:val="00A5331E"/>
    <w:rsid w:val="00A54EC5"/>
    <w:rsid w:val="00A56357"/>
    <w:rsid w:val="00A563F2"/>
    <w:rsid w:val="00A566E8"/>
    <w:rsid w:val="00A56895"/>
    <w:rsid w:val="00A614A4"/>
    <w:rsid w:val="00A61FF6"/>
    <w:rsid w:val="00A63CAF"/>
    <w:rsid w:val="00A63FE4"/>
    <w:rsid w:val="00A6436D"/>
    <w:rsid w:val="00A647B9"/>
    <w:rsid w:val="00A6597F"/>
    <w:rsid w:val="00A66409"/>
    <w:rsid w:val="00A73AE7"/>
    <w:rsid w:val="00A73D9B"/>
    <w:rsid w:val="00A8065E"/>
    <w:rsid w:val="00A80EF8"/>
    <w:rsid w:val="00A810F9"/>
    <w:rsid w:val="00A82472"/>
    <w:rsid w:val="00A846D6"/>
    <w:rsid w:val="00A86502"/>
    <w:rsid w:val="00A86ECC"/>
    <w:rsid w:val="00A86FCC"/>
    <w:rsid w:val="00A87770"/>
    <w:rsid w:val="00A87DC7"/>
    <w:rsid w:val="00A90BDA"/>
    <w:rsid w:val="00A90CB1"/>
    <w:rsid w:val="00A91D74"/>
    <w:rsid w:val="00AA05AC"/>
    <w:rsid w:val="00AA087A"/>
    <w:rsid w:val="00AA3EB6"/>
    <w:rsid w:val="00AA5069"/>
    <w:rsid w:val="00AA710D"/>
    <w:rsid w:val="00AB0FC8"/>
    <w:rsid w:val="00AB237D"/>
    <w:rsid w:val="00AB2553"/>
    <w:rsid w:val="00AB62E4"/>
    <w:rsid w:val="00AB6D25"/>
    <w:rsid w:val="00AB788D"/>
    <w:rsid w:val="00AB7943"/>
    <w:rsid w:val="00AB7945"/>
    <w:rsid w:val="00AC2B69"/>
    <w:rsid w:val="00AC37B3"/>
    <w:rsid w:val="00AC5CD6"/>
    <w:rsid w:val="00AD0438"/>
    <w:rsid w:val="00AD0A03"/>
    <w:rsid w:val="00AD0ADA"/>
    <w:rsid w:val="00AD2D79"/>
    <w:rsid w:val="00AD2EA0"/>
    <w:rsid w:val="00AD30E6"/>
    <w:rsid w:val="00AD3D25"/>
    <w:rsid w:val="00AD3F41"/>
    <w:rsid w:val="00AD4A4E"/>
    <w:rsid w:val="00AD51B0"/>
    <w:rsid w:val="00AD5C65"/>
    <w:rsid w:val="00AD7503"/>
    <w:rsid w:val="00AE19DE"/>
    <w:rsid w:val="00AE29E7"/>
    <w:rsid w:val="00AE2D4B"/>
    <w:rsid w:val="00AE3FB3"/>
    <w:rsid w:val="00AE4F99"/>
    <w:rsid w:val="00AE53E5"/>
    <w:rsid w:val="00AE62E1"/>
    <w:rsid w:val="00AE6D6D"/>
    <w:rsid w:val="00AF19C9"/>
    <w:rsid w:val="00AF6719"/>
    <w:rsid w:val="00AF7709"/>
    <w:rsid w:val="00B05C82"/>
    <w:rsid w:val="00B068A7"/>
    <w:rsid w:val="00B06BE5"/>
    <w:rsid w:val="00B073F4"/>
    <w:rsid w:val="00B10342"/>
    <w:rsid w:val="00B11740"/>
    <w:rsid w:val="00B1192F"/>
    <w:rsid w:val="00B121A3"/>
    <w:rsid w:val="00B126F2"/>
    <w:rsid w:val="00B12D3C"/>
    <w:rsid w:val="00B13C09"/>
    <w:rsid w:val="00B14952"/>
    <w:rsid w:val="00B14B8C"/>
    <w:rsid w:val="00B14E90"/>
    <w:rsid w:val="00B17330"/>
    <w:rsid w:val="00B1769B"/>
    <w:rsid w:val="00B21BA7"/>
    <w:rsid w:val="00B21C01"/>
    <w:rsid w:val="00B24AF7"/>
    <w:rsid w:val="00B30795"/>
    <w:rsid w:val="00B31E5A"/>
    <w:rsid w:val="00B33B16"/>
    <w:rsid w:val="00B354C9"/>
    <w:rsid w:val="00B35CBF"/>
    <w:rsid w:val="00B36B4D"/>
    <w:rsid w:val="00B36D31"/>
    <w:rsid w:val="00B407D3"/>
    <w:rsid w:val="00B42455"/>
    <w:rsid w:val="00B4328D"/>
    <w:rsid w:val="00B43D8E"/>
    <w:rsid w:val="00B456FA"/>
    <w:rsid w:val="00B45CB8"/>
    <w:rsid w:val="00B46521"/>
    <w:rsid w:val="00B465A7"/>
    <w:rsid w:val="00B47261"/>
    <w:rsid w:val="00B4788F"/>
    <w:rsid w:val="00B5543C"/>
    <w:rsid w:val="00B5588D"/>
    <w:rsid w:val="00B55974"/>
    <w:rsid w:val="00B55F47"/>
    <w:rsid w:val="00B55FEA"/>
    <w:rsid w:val="00B5604A"/>
    <w:rsid w:val="00B5620D"/>
    <w:rsid w:val="00B57004"/>
    <w:rsid w:val="00B641EB"/>
    <w:rsid w:val="00B64C22"/>
    <w:rsid w:val="00B653AB"/>
    <w:rsid w:val="00B65F9E"/>
    <w:rsid w:val="00B668FA"/>
    <w:rsid w:val="00B66A20"/>
    <w:rsid w:val="00B66B19"/>
    <w:rsid w:val="00B66F42"/>
    <w:rsid w:val="00B678B9"/>
    <w:rsid w:val="00B70D87"/>
    <w:rsid w:val="00B7105D"/>
    <w:rsid w:val="00B74F7B"/>
    <w:rsid w:val="00B76142"/>
    <w:rsid w:val="00B76621"/>
    <w:rsid w:val="00B8076E"/>
    <w:rsid w:val="00B8272D"/>
    <w:rsid w:val="00B85633"/>
    <w:rsid w:val="00B86655"/>
    <w:rsid w:val="00B914E9"/>
    <w:rsid w:val="00B91AC6"/>
    <w:rsid w:val="00B94252"/>
    <w:rsid w:val="00B956EE"/>
    <w:rsid w:val="00B95FA8"/>
    <w:rsid w:val="00B96AD0"/>
    <w:rsid w:val="00B96F7C"/>
    <w:rsid w:val="00BA02E1"/>
    <w:rsid w:val="00BA0518"/>
    <w:rsid w:val="00BA14B6"/>
    <w:rsid w:val="00BA2BA1"/>
    <w:rsid w:val="00BA2ECD"/>
    <w:rsid w:val="00BA44CD"/>
    <w:rsid w:val="00BB32C6"/>
    <w:rsid w:val="00BB4F09"/>
    <w:rsid w:val="00BB53B6"/>
    <w:rsid w:val="00BB544E"/>
    <w:rsid w:val="00BC207E"/>
    <w:rsid w:val="00BC49F8"/>
    <w:rsid w:val="00BC6201"/>
    <w:rsid w:val="00BC70A9"/>
    <w:rsid w:val="00BC7912"/>
    <w:rsid w:val="00BD23FB"/>
    <w:rsid w:val="00BD2577"/>
    <w:rsid w:val="00BD4009"/>
    <w:rsid w:val="00BD473E"/>
    <w:rsid w:val="00BD4E33"/>
    <w:rsid w:val="00BD5F35"/>
    <w:rsid w:val="00BD5F7F"/>
    <w:rsid w:val="00BD6924"/>
    <w:rsid w:val="00BD7C75"/>
    <w:rsid w:val="00BE0B67"/>
    <w:rsid w:val="00BE458D"/>
    <w:rsid w:val="00BF01CB"/>
    <w:rsid w:val="00BF3D5D"/>
    <w:rsid w:val="00BF5111"/>
    <w:rsid w:val="00C022D8"/>
    <w:rsid w:val="00C023D9"/>
    <w:rsid w:val="00C030DE"/>
    <w:rsid w:val="00C05167"/>
    <w:rsid w:val="00C062AB"/>
    <w:rsid w:val="00C11343"/>
    <w:rsid w:val="00C11F28"/>
    <w:rsid w:val="00C14EF3"/>
    <w:rsid w:val="00C16ABB"/>
    <w:rsid w:val="00C17251"/>
    <w:rsid w:val="00C202E0"/>
    <w:rsid w:val="00C2098E"/>
    <w:rsid w:val="00C21FA8"/>
    <w:rsid w:val="00C22105"/>
    <w:rsid w:val="00C22EA2"/>
    <w:rsid w:val="00C230EE"/>
    <w:rsid w:val="00C244B6"/>
    <w:rsid w:val="00C2740D"/>
    <w:rsid w:val="00C27BE5"/>
    <w:rsid w:val="00C30545"/>
    <w:rsid w:val="00C30964"/>
    <w:rsid w:val="00C31469"/>
    <w:rsid w:val="00C31634"/>
    <w:rsid w:val="00C31687"/>
    <w:rsid w:val="00C33D4C"/>
    <w:rsid w:val="00C343F0"/>
    <w:rsid w:val="00C35DEE"/>
    <w:rsid w:val="00C366B3"/>
    <w:rsid w:val="00C3702F"/>
    <w:rsid w:val="00C37A03"/>
    <w:rsid w:val="00C41057"/>
    <w:rsid w:val="00C41317"/>
    <w:rsid w:val="00C41642"/>
    <w:rsid w:val="00C41764"/>
    <w:rsid w:val="00C45997"/>
    <w:rsid w:val="00C46C43"/>
    <w:rsid w:val="00C47820"/>
    <w:rsid w:val="00C51E88"/>
    <w:rsid w:val="00C52C74"/>
    <w:rsid w:val="00C5434F"/>
    <w:rsid w:val="00C561ED"/>
    <w:rsid w:val="00C61781"/>
    <w:rsid w:val="00C62034"/>
    <w:rsid w:val="00C64A37"/>
    <w:rsid w:val="00C6552F"/>
    <w:rsid w:val="00C67295"/>
    <w:rsid w:val="00C71109"/>
    <w:rsid w:val="00C7158E"/>
    <w:rsid w:val="00C7250B"/>
    <w:rsid w:val="00C7346B"/>
    <w:rsid w:val="00C74841"/>
    <w:rsid w:val="00C77B68"/>
    <w:rsid w:val="00C77C0E"/>
    <w:rsid w:val="00C8094E"/>
    <w:rsid w:val="00C8338F"/>
    <w:rsid w:val="00C84055"/>
    <w:rsid w:val="00C84740"/>
    <w:rsid w:val="00C84D08"/>
    <w:rsid w:val="00C861FB"/>
    <w:rsid w:val="00C86879"/>
    <w:rsid w:val="00C87D5A"/>
    <w:rsid w:val="00C9128B"/>
    <w:rsid w:val="00C91687"/>
    <w:rsid w:val="00C924A8"/>
    <w:rsid w:val="00C9261D"/>
    <w:rsid w:val="00C9285A"/>
    <w:rsid w:val="00C92A18"/>
    <w:rsid w:val="00C93DA4"/>
    <w:rsid w:val="00C945FE"/>
    <w:rsid w:val="00C949F7"/>
    <w:rsid w:val="00C94C3C"/>
    <w:rsid w:val="00C96F23"/>
    <w:rsid w:val="00C96FAA"/>
    <w:rsid w:val="00C97A04"/>
    <w:rsid w:val="00CA107B"/>
    <w:rsid w:val="00CA3423"/>
    <w:rsid w:val="00CA3894"/>
    <w:rsid w:val="00CA38D1"/>
    <w:rsid w:val="00CA4296"/>
    <w:rsid w:val="00CA484D"/>
    <w:rsid w:val="00CA7392"/>
    <w:rsid w:val="00CA7A9B"/>
    <w:rsid w:val="00CB09AF"/>
    <w:rsid w:val="00CB0CAC"/>
    <w:rsid w:val="00CB371D"/>
    <w:rsid w:val="00CB3F80"/>
    <w:rsid w:val="00CB5287"/>
    <w:rsid w:val="00CB583A"/>
    <w:rsid w:val="00CB6E0A"/>
    <w:rsid w:val="00CC008F"/>
    <w:rsid w:val="00CC0A96"/>
    <w:rsid w:val="00CC0EAB"/>
    <w:rsid w:val="00CC18F2"/>
    <w:rsid w:val="00CC1C7C"/>
    <w:rsid w:val="00CC2E96"/>
    <w:rsid w:val="00CC40A5"/>
    <w:rsid w:val="00CC70D5"/>
    <w:rsid w:val="00CC739E"/>
    <w:rsid w:val="00CD03DC"/>
    <w:rsid w:val="00CD07B6"/>
    <w:rsid w:val="00CD1C2A"/>
    <w:rsid w:val="00CD26C7"/>
    <w:rsid w:val="00CD3572"/>
    <w:rsid w:val="00CD5580"/>
    <w:rsid w:val="00CD574E"/>
    <w:rsid w:val="00CD58B7"/>
    <w:rsid w:val="00CD59EB"/>
    <w:rsid w:val="00CD6042"/>
    <w:rsid w:val="00CD72FF"/>
    <w:rsid w:val="00CE03AA"/>
    <w:rsid w:val="00CE13CA"/>
    <w:rsid w:val="00CE2C3A"/>
    <w:rsid w:val="00CE3423"/>
    <w:rsid w:val="00CE4AEE"/>
    <w:rsid w:val="00CE53D6"/>
    <w:rsid w:val="00CE5CAF"/>
    <w:rsid w:val="00CE7EAE"/>
    <w:rsid w:val="00CF0110"/>
    <w:rsid w:val="00CF0172"/>
    <w:rsid w:val="00CF0219"/>
    <w:rsid w:val="00CF11EB"/>
    <w:rsid w:val="00CF1A2B"/>
    <w:rsid w:val="00CF4099"/>
    <w:rsid w:val="00CF55D1"/>
    <w:rsid w:val="00CF5AB1"/>
    <w:rsid w:val="00CF6823"/>
    <w:rsid w:val="00CF722C"/>
    <w:rsid w:val="00D00796"/>
    <w:rsid w:val="00D048FB"/>
    <w:rsid w:val="00D10E44"/>
    <w:rsid w:val="00D110E3"/>
    <w:rsid w:val="00D115FF"/>
    <w:rsid w:val="00D12F51"/>
    <w:rsid w:val="00D1348A"/>
    <w:rsid w:val="00D134DD"/>
    <w:rsid w:val="00D1750F"/>
    <w:rsid w:val="00D204D8"/>
    <w:rsid w:val="00D208CC"/>
    <w:rsid w:val="00D21D71"/>
    <w:rsid w:val="00D22715"/>
    <w:rsid w:val="00D23565"/>
    <w:rsid w:val="00D242EC"/>
    <w:rsid w:val="00D2518C"/>
    <w:rsid w:val="00D261A2"/>
    <w:rsid w:val="00D2644B"/>
    <w:rsid w:val="00D30D5C"/>
    <w:rsid w:val="00D30EF4"/>
    <w:rsid w:val="00D33F39"/>
    <w:rsid w:val="00D342B1"/>
    <w:rsid w:val="00D36DA1"/>
    <w:rsid w:val="00D36DF7"/>
    <w:rsid w:val="00D40A89"/>
    <w:rsid w:val="00D420C8"/>
    <w:rsid w:val="00D4256C"/>
    <w:rsid w:val="00D45A80"/>
    <w:rsid w:val="00D463B3"/>
    <w:rsid w:val="00D467D8"/>
    <w:rsid w:val="00D504E4"/>
    <w:rsid w:val="00D54994"/>
    <w:rsid w:val="00D55E20"/>
    <w:rsid w:val="00D568CA"/>
    <w:rsid w:val="00D569E3"/>
    <w:rsid w:val="00D60329"/>
    <w:rsid w:val="00D609D4"/>
    <w:rsid w:val="00D616D2"/>
    <w:rsid w:val="00D61FC3"/>
    <w:rsid w:val="00D63B5F"/>
    <w:rsid w:val="00D63EF3"/>
    <w:rsid w:val="00D650EB"/>
    <w:rsid w:val="00D66683"/>
    <w:rsid w:val="00D679AA"/>
    <w:rsid w:val="00D67B34"/>
    <w:rsid w:val="00D701AB"/>
    <w:rsid w:val="00D70DC7"/>
    <w:rsid w:val="00D70EF7"/>
    <w:rsid w:val="00D7350E"/>
    <w:rsid w:val="00D743FA"/>
    <w:rsid w:val="00D766FB"/>
    <w:rsid w:val="00D77B37"/>
    <w:rsid w:val="00D8211E"/>
    <w:rsid w:val="00D8397C"/>
    <w:rsid w:val="00D83BC5"/>
    <w:rsid w:val="00D83D00"/>
    <w:rsid w:val="00D84B34"/>
    <w:rsid w:val="00D8674B"/>
    <w:rsid w:val="00D90B46"/>
    <w:rsid w:val="00D90EBE"/>
    <w:rsid w:val="00D934F6"/>
    <w:rsid w:val="00D94EED"/>
    <w:rsid w:val="00D95100"/>
    <w:rsid w:val="00D96026"/>
    <w:rsid w:val="00DA0F32"/>
    <w:rsid w:val="00DA13B7"/>
    <w:rsid w:val="00DA20E3"/>
    <w:rsid w:val="00DA20FA"/>
    <w:rsid w:val="00DA2966"/>
    <w:rsid w:val="00DA747E"/>
    <w:rsid w:val="00DA7C1C"/>
    <w:rsid w:val="00DB147A"/>
    <w:rsid w:val="00DB1B7A"/>
    <w:rsid w:val="00DB1E10"/>
    <w:rsid w:val="00DB1E64"/>
    <w:rsid w:val="00DB21A4"/>
    <w:rsid w:val="00DB562E"/>
    <w:rsid w:val="00DB78C1"/>
    <w:rsid w:val="00DB7C11"/>
    <w:rsid w:val="00DC047D"/>
    <w:rsid w:val="00DC09D7"/>
    <w:rsid w:val="00DC0CDE"/>
    <w:rsid w:val="00DC4295"/>
    <w:rsid w:val="00DC6708"/>
    <w:rsid w:val="00DC6871"/>
    <w:rsid w:val="00DC776F"/>
    <w:rsid w:val="00DD0E9C"/>
    <w:rsid w:val="00DD1B39"/>
    <w:rsid w:val="00DD1D64"/>
    <w:rsid w:val="00DD20E2"/>
    <w:rsid w:val="00DD21A2"/>
    <w:rsid w:val="00DD4E61"/>
    <w:rsid w:val="00DD5A66"/>
    <w:rsid w:val="00DD6840"/>
    <w:rsid w:val="00DE0082"/>
    <w:rsid w:val="00DE2F5F"/>
    <w:rsid w:val="00DE3449"/>
    <w:rsid w:val="00DE3D51"/>
    <w:rsid w:val="00DE4BE2"/>
    <w:rsid w:val="00DE5D2E"/>
    <w:rsid w:val="00DE6285"/>
    <w:rsid w:val="00DE6865"/>
    <w:rsid w:val="00DF0D24"/>
    <w:rsid w:val="00DF18C1"/>
    <w:rsid w:val="00DF3AE7"/>
    <w:rsid w:val="00DF447F"/>
    <w:rsid w:val="00DF450D"/>
    <w:rsid w:val="00DF5728"/>
    <w:rsid w:val="00DF68D7"/>
    <w:rsid w:val="00DF7D0A"/>
    <w:rsid w:val="00E00001"/>
    <w:rsid w:val="00E01436"/>
    <w:rsid w:val="00E0164D"/>
    <w:rsid w:val="00E01AB1"/>
    <w:rsid w:val="00E02918"/>
    <w:rsid w:val="00E03FB8"/>
    <w:rsid w:val="00E04052"/>
    <w:rsid w:val="00E045BD"/>
    <w:rsid w:val="00E04805"/>
    <w:rsid w:val="00E05DB4"/>
    <w:rsid w:val="00E0607F"/>
    <w:rsid w:val="00E102B7"/>
    <w:rsid w:val="00E15A67"/>
    <w:rsid w:val="00E174B2"/>
    <w:rsid w:val="00E17B77"/>
    <w:rsid w:val="00E17D40"/>
    <w:rsid w:val="00E23337"/>
    <w:rsid w:val="00E2366B"/>
    <w:rsid w:val="00E24F07"/>
    <w:rsid w:val="00E24F8E"/>
    <w:rsid w:val="00E259EA"/>
    <w:rsid w:val="00E270BA"/>
    <w:rsid w:val="00E30043"/>
    <w:rsid w:val="00E32061"/>
    <w:rsid w:val="00E322C8"/>
    <w:rsid w:val="00E34610"/>
    <w:rsid w:val="00E34EEF"/>
    <w:rsid w:val="00E35357"/>
    <w:rsid w:val="00E36CE3"/>
    <w:rsid w:val="00E3705B"/>
    <w:rsid w:val="00E4240F"/>
    <w:rsid w:val="00E42FF9"/>
    <w:rsid w:val="00E43C74"/>
    <w:rsid w:val="00E44F82"/>
    <w:rsid w:val="00E457ED"/>
    <w:rsid w:val="00E4664B"/>
    <w:rsid w:val="00E467CC"/>
    <w:rsid w:val="00E46A8B"/>
    <w:rsid w:val="00E4714C"/>
    <w:rsid w:val="00E50B69"/>
    <w:rsid w:val="00E51AEB"/>
    <w:rsid w:val="00E522A7"/>
    <w:rsid w:val="00E523AD"/>
    <w:rsid w:val="00E52859"/>
    <w:rsid w:val="00E54452"/>
    <w:rsid w:val="00E55047"/>
    <w:rsid w:val="00E55FC5"/>
    <w:rsid w:val="00E56DD9"/>
    <w:rsid w:val="00E63CC9"/>
    <w:rsid w:val="00E641D0"/>
    <w:rsid w:val="00E65046"/>
    <w:rsid w:val="00E654B6"/>
    <w:rsid w:val="00E65538"/>
    <w:rsid w:val="00E66014"/>
    <w:rsid w:val="00E664C5"/>
    <w:rsid w:val="00E66665"/>
    <w:rsid w:val="00E671A2"/>
    <w:rsid w:val="00E67A9D"/>
    <w:rsid w:val="00E71287"/>
    <w:rsid w:val="00E7580A"/>
    <w:rsid w:val="00E76B90"/>
    <w:rsid w:val="00E76C0E"/>
    <w:rsid w:val="00E76D26"/>
    <w:rsid w:val="00E774A7"/>
    <w:rsid w:val="00E82DBC"/>
    <w:rsid w:val="00E845CB"/>
    <w:rsid w:val="00E849C9"/>
    <w:rsid w:val="00E8566C"/>
    <w:rsid w:val="00E87DA3"/>
    <w:rsid w:val="00E87F78"/>
    <w:rsid w:val="00E90AC0"/>
    <w:rsid w:val="00E91927"/>
    <w:rsid w:val="00E928D6"/>
    <w:rsid w:val="00E93560"/>
    <w:rsid w:val="00E94640"/>
    <w:rsid w:val="00E97120"/>
    <w:rsid w:val="00EA0819"/>
    <w:rsid w:val="00EA2B74"/>
    <w:rsid w:val="00EA3DED"/>
    <w:rsid w:val="00EA5A3C"/>
    <w:rsid w:val="00EA5D60"/>
    <w:rsid w:val="00EA6B91"/>
    <w:rsid w:val="00EB1390"/>
    <w:rsid w:val="00EB1C36"/>
    <w:rsid w:val="00EB20CA"/>
    <w:rsid w:val="00EB2C71"/>
    <w:rsid w:val="00EB3122"/>
    <w:rsid w:val="00EB4340"/>
    <w:rsid w:val="00EB556D"/>
    <w:rsid w:val="00EB562E"/>
    <w:rsid w:val="00EB5A7D"/>
    <w:rsid w:val="00EB6230"/>
    <w:rsid w:val="00EC0CED"/>
    <w:rsid w:val="00EC2197"/>
    <w:rsid w:val="00EC4F64"/>
    <w:rsid w:val="00EC55DB"/>
    <w:rsid w:val="00ED04D0"/>
    <w:rsid w:val="00ED18A2"/>
    <w:rsid w:val="00ED2F2D"/>
    <w:rsid w:val="00ED55C0"/>
    <w:rsid w:val="00ED5EC7"/>
    <w:rsid w:val="00ED682B"/>
    <w:rsid w:val="00ED7983"/>
    <w:rsid w:val="00EE373E"/>
    <w:rsid w:val="00EE3CA1"/>
    <w:rsid w:val="00EE41D5"/>
    <w:rsid w:val="00EE5F94"/>
    <w:rsid w:val="00EE66D9"/>
    <w:rsid w:val="00EE77AC"/>
    <w:rsid w:val="00EF3AE3"/>
    <w:rsid w:val="00EF4EF9"/>
    <w:rsid w:val="00EF6B0F"/>
    <w:rsid w:val="00EF7576"/>
    <w:rsid w:val="00F037A4"/>
    <w:rsid w:val="00F04030"/>
    <w:rsid w:val="00F113BA"/>
    <w:rsid w:val="00F11509"/>
    <w:rsid w:val="00F137F7"/>
    <w:rsid w:val="00F1426B"/>
    <w:rsid w:val="00F14A08"/>
    <w:rsid w:val="00F16543"/>
    <w:rsid w:val="00F17D27"/>
    <w:rsid w:val="00F206B3"/>
    <w:rsid w:val="00F22273"/>
    <w:rsid w:val="00F22740"/>
    <w:rsid w:val="00F233E3"/>
    <w:rsid w:val="00F23968"/>
    <w:rsid w:val="00F24D58"/>
    <w:rsid w:val="00F25C7B"/>
    <w:rsid w:val="00F26991"/>
    <w:rsid w:val="00F270B3"/>
    <w:rsid w:val="00F27C8F"/>
    <w:rsid w:val="00F32749"/>
    <w:rsid w:val="00F35845"/>
    <w:rsid w:val="00F35A58"/>
    <w:rsid w:val="00F37172"/>
    <w:rsid w:val="00F3738B"/>
    <w:rsid w:val="00F373E1"/>
    <w:rsid w:val="00F374DC"/>
    <w:rsid w:val="00F4008D"/>
    <w:rsid w:val="00F40B84"/>
    <w:rsid w:val="00F40FE1"/>
    <w:rsid w:val="00F41144"/>
    <w:rsid w:val="00F429EA"/>
    <w:rsid w:val="00F42F31"/>
    <w:rsid w:val="00F4477E"/>
    <w:rsid w:val="00F44D12"/>
    <w:rsid w:val="00F46B76"/>
    <w:rsid w:val="00F51A96"/>
    <w:rsid w:val="00F52A68"/>
    <w:rsid w:val="00F539BD"/>
    <w:rsid w:val="00F54181"/>
    <w:rsid w:val="00F55149"/>
    <w:rsid w:val="00F55B8E"/>
    <w:rsid w:val="00F608D1"/>
    <w:rsid w:val="00F60CF2"/>
    <w:rsid w:val="00F6158E"/>
    <w:rsid w:val="00F61F53"/>
    <w:rsid w:val="00F64468"/>
    <w:rsid w:val="00F64AC1"/>
    <w:rsid w:val="00F66D82"/>
    <w:rsid w:val="00F67582"/>
    <w:rsid w:val="00F67C2A"/>
    <w:rsid w:val="00F67D8F"/>
    <w:rsid w:val="00F708DF"/>
    <w:rsid w:val="00F74112"/>
    <w:rsid w:val="00F779CC"/>
    <w:rsid w:val="00F77EEC"/>
    <w:rsid w:val="00F802BE"/>
    <w:rsid w:val="00F816A1"/>
    <w:rsid w:val="00F81BB6"/>
    <w:rsid w:val="00F82C75"/>
    <w:rsid w:val="00F834C5"/>
    <w:rsid w:val="00F84441"/>
    <w:rsid w:val="00F84FEA"/>
    <w:rsid w:val="00F8582C"/>
    <w:rsid w:val="00F86024"/>
    <w:rsid w:val="00F8611A"/>
    <w:rsid w:val="00F864BE"/>
    <w:rsid w:val="00F86535"/>
    <w:rsid w:val="00F91606"/>
    <w:rsid w:val="00F9379A"/>
    <w:rsid w:val="00F95943"/>
    <w:rsid w:val="00F9616E"/>
    <w:rsid w:val="00F968FA"/>
    <w:rsid w:val="00F97BC2"/>
    <w:rsid w:val="00FA0A29"/>
    <w:rsid w:val="00FA3953"/>
    <w:rsid w:val="00FA44C7"/>
    <w:rsid w:val="00FA5128"/>
    <w:rsid w:val="00FA544B"/>
    <w:rsid w:val="00FA56EF"/>
    <w:rsid w:val="00FA6239"/>
    <w:rsid w:val="00FA68FD"/>
    <w:rsid w:val="00FB0592"/>
    <w:rsid w:val="00FB06D3"/>
    <w:rsid w:val="00FB21E1"/>
    <w:rsid w:val="00FB2465"/>
    <w:rsid w:val="00FB2BE7"/>
    <w:rsid w:val="00FB42D4"/>
    <w:rsid w:val="00FB58A3"/>
    <w:rsid w:val="00FB5906"/>
    <w:rsid w:val="00FB762F"/>
    <w:rsid w:val="00FC0BA6"/>
    <w:rsid w:val="00FC2AED"/>
    <w:rsid w:val="00FC4EB3"/>
    <w:rsid w:val="00FC625D"/>
    <w:rsid w:val="00FC67EF"/>
    <w:rsid w:val="00FC6AC9"/>
    <w:rsid w:val="00FD1955"/>
    <w:rsid w:val="00FD5C59"/>
    <w:rsid w:val="00FD5EA7"/>
    <w:rsid w:val="00FD5F18"/>
    <w:rsid w:val="00FE19FF"/>
    <w:rsid w:val="00FE1B93"/>
    <w:rsid w:val="00FE6CB4"/>
    <w:rsid w:val="00FF19A5"/>
    <w:rsid w:val="00FF2F66"/>
    <w:rsid w:val="00FF3C81"/>
    <w:rsid w:val="00FF4875"/>
    <w:rsid w:val="00FF4E3F"/>
    <w:rsid w:val="00FF52D3"/>
    <w:rsid w:val="00FF5E10"/>
    <w:rsid w:val="00FF6F75"/>
    <w:rsid w:val="00FF7835"/>
    <w:rsid w:val="00FF7C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5:docId w15:val="{39D4923E-8AF6-4819-8C81-0E3FC063C7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/>
    <w:lsdException w:name="heading 3" w:semiHidden="1" w:uiPriority="9" w:unhideWhenUsed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aliases w:val="Tekst informacji"/>
    <w:qFormat/>
    <w:rsid w:val="004D06AC"/>
    <w:pPr>
      <w:spacing w:before="120" w:after="120" w:line="240" w:lineRule="exact"/>
    </w:pPr>
    <w:rPr>
      <w:rFonts w:ascii="Fira Sans" w:hAnsi="Fira Sans"/>
      <w:sz w:val="19"/>
    </w:rPr>
  </w:style>
  <w:style w:type="paragraph" w:styleId="Nagwek1">
    <w:name w:val="heading 1"/>
    <w:aliases w:val="tytuł podrozdziału"/>
    <w:basedOn w:val="Normalny"/>
    <w:next w:val="Normalny"/>
    <w:link w:val="Nagwek1Znak"/>
    <w:qFormat/>
    <w:rsid w:val="00633014"/>
    <w:pPr>
      <w:keepNext/>
      <w:spacing w:before="240" w:line="240" w:lineRule="auto"/>
      <w:outlineLvl w:val="0"/>
    </w:pPr>
    <w:rPr>
      <w:rFonts w:ascii="Fira Sans SemiBold" w:eastAsia="Times New Roman" w:hAnsi="Fira Sans SemiBold" w:cs="Times New Roman"/>
      <w:bCs/>
      <w:color w:val="001D77"/>
      <w:szCs w:val="24"/>
      <w:lang w:eastAsia="pl-PL"/>
    </w:rPr>
  </w:style>
  <w:style w:type="paragraph" w:styleId="Nagwek2">
    <w:name w:val="heading 2"/>
    <w:basedOn w:val="Normalny"/>
    <w:next w:val="Normalny"/>
    <w:link w:val="Nagwek2Znak"/>
    <w:uiPriority w:val="9"/>
    <w:unhideWhenUsed/>
    <w:rsid w:val="007A2DC1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rsid w:val="007A2DC1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rsid w:val="00437395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unhideWhenUsed/>
    <w:qFormat/>
    <w:rsid w:val="007A2DC1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Nagwek8">
    <w:name w:val="heading 8"/>
    <w:basedOn w:val="Normalny"/>
    <w:next w:val="Normalny"/>
    <w:link w:val="Nagwek8Znak"/>
    <w:uiPriority w:val="9"/>
    <w:unhideWhenUsed/>
    <w:qFormat/>
    <w:rsid w:val="007A2DC1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Nagwek9">
    <w:name w:val="heading 9"/>
    <w:basedOn w:val="Normalny"/>
    <w:next w:val="Normalny"/>
    <w:link w:val="Nagwek9Znak"/>
    <w:uiPriority w:val="9"/>
    <w:unhideWhenUsed/>
    <w:qFormat/>
    <w:rsid w:val="007A2DC1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aliases w:val="tytuł podrozdziału Znak"/>
    <w:basedOn w:val="Domylnaczcionkaakapitu"/>
    <w:link w:val="Nagwek1"/>
    <w:rsid w:val="00633014"/>
    <w:rPr>
      <w:rFonts w:ascii="Fira Sans SemiBold" w:eastAsia="Times New Roman" w:hAnsi="Fira Sans SemiBold" w:cs="Times New Roman"/>
      <w:bCs/>
      <w:color w:val="001D77"/>
      <w:sz w:val="19"/>
      <w:szCs w:val="24"/>
      <w:lang w:eastAsia="pl-PL"/>
    </w:rPr>
  </w:style>
  <w:style w:type="paragraph" w:customStyle="1" w:styleId="LID">
    <w:name w:val="LID"/>
    <w:basedOn w:val="Normalny"/>
    <w:qFormat/>
    <w:rsid w:val="00633014"/>
    <w:rPr>
      <w:b/>
      <w:noProof/>
      <w:szCs w:val="19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rsid w:val="007A2DC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7A2DC1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Nagwek5Znak">
    <w:name w:val="Nagłówek 5 Znak"/>
    <w:basedOn w:val="Domylnaczcionkaakapitu"/>
    <w:link w:val="Nagwek5"/>
    <w:uiPriority w:val="9"/>
    <w:rsid w:val="007A2DC1"/>
    <w:rPr>
      <w:rFonts w:asciiTheme="majorHAnsi" w:eastAsiaTheme="majorEastAsia" w:hAnsiTheme="majorHAnsi" w:cstheme="majorBidi"/>
      <w:color w:val="2E74B5" w:themeColor="accent1" w:themeShade="BF"/>
    </w:rPr>
  </w:style>
  <w:style w:type="character" w:customStyle="1" w:styleId="Nagwek8Znak">
    <w:name w:val="Nagłówek 8 Znak"/>
    <w:basedOn w:val="Domylnaczcionkaakapitu"/>
    <w:link w:val="Nagwek8"/>
    <w:uiPriority w:val="9"/>
    <w:rsid w:val="007A2DC1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Nagwek9Znak">
    <w:name w:val="Nagłówek 9 Znak"/>
    <w:basedOn w:val="Domylnaczcionkaakapitu"/>
    <w:link w:val="Nagwek9"/>
    <w:uiPriority w:val="9"/>
    <w:rsid w:val="007A2DC1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customStyle="1" w:styleId="Tabelasiatki1jasnaakcent11">
    <w:name w:val="Tabela siatki 1 — jasna — akcent 11"/>
    <w:basedOn w:val="Standardowy"/>
    <w:uiPriority w:val="46"/>
    <w:rsid w:val="007A2DC1"/>
    <w:pPr>
      <w:spacing w:after="0" w:line="240" w:lineRule="auto"/>
    </w:pPr>
    <w:tblPr>
      <w:tblStyleRowBandSize w:val="1"/>
      <w:tblStyleColBandSize w:val="1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Siatkatabelijasna1">
    <w:name w:val="Siatka tabeli — jasna1"/>
    <w:basedOn w:val="Standardowy"/>
    <w:uiPriority w:val="40"/>
    <w:rsid w:val="007A2DC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Hipercze">
    <w:name w:val="Hyperlink"/>
    <w:semiHidden/>
    <w:rsid w:val="008F3638"/>
    <w:rPr>
      <w:rFonts w:cs="Times New Roman"/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F324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F324B"/>
    <w:rPr>
      <w:rFonts w:ascii="Segoe UI" w:hAnsi="Segoe UI" w:cs="Segoe UI"/>
      <w:sz w:val="18"/>
      <w:szCs w:val="18"/>
    </w:rPr>
  </w:style>
  <w:style w:type="table" w:styleId="Tabela-Siatka">
    <w:name w:val="Table Grid"/>
    <w:basedOn w:val="Standardowy"/>
    <w:uiPriority w:val="39"/>
    <w:rsid w:val="009C13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4Znak">
    <w:name w:val="Nagłówek 4 Znak"/>
    <w:basedOn w:val="Domylnaczcionkaakapitu"/>
    <w:link w:val="Nagwek4"/>
    <w:uiPriority w:val="9"/>
    <w:semiHidden/>
    <w:rsid w:val="00437395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styleId="Pogrubienie">
    <w:name w:val="Strong"/>
    <w:basedOn w:val="Domylnaczcionkaakapitu"/>
    <w:uiPriority w:val="22"/>
    <w:qFormat/>
    <w:rsid w:val="005203F1"/>
    <w:rPr>
      <w:b/>
      <w:bCs/>
    </w:rPr>
  </w:style>
  <w:style w:type="paragraph" w:styleId="Nagwek">
    <w:name w:val="header"/>
    <w:basedOn w:val="Normalny"/>
    <w:link w:val="Nagwek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662E2"/>
  </w:style>
  <w:style w:type="paragraph" w:styleId="Stopka">
    <w:name w:val="footer"/>
    <w:basedOn w:val="Normalny"/>
    <w:link w:val="Stopka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662E2"/>
  </w:style>
  <w:style w:type="paragraph" w:styleId="Akapitzlist">
    <w:name w:val="List Paragraph"/>
    <w:basedOn w:val="Normalny"/>
    <w:uiPriority w:val="34"/>
    <w:qFormat/>
    <w:rsid w:val="00933EC1"/>
    <w:pPr>
      <w:ind w:left="720"/>
      <w:contextualSpacing/>
    </w:pPr>
  </w:style>
  <w:style w:type="paragraph" w:styleId="Tekstprzypisudolnego">
    <w:name w:val="footnote text"/>
    <w:aliases w:val="Znak Znak Znak,Znak Znak, Znak,Znak,Footnote Text1"/>
    <w:basedOn w:val="Normalny"/>
    <w:link w:val="TekstprzypisudolnegoZnak"/>
    <w:uiPriority w:val="99"/>
    <w:unhideWhenUsed/>
    <w:rsid w:val="001448A7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aliases w:val="Znak Znak Znak Znak,Znak Znak Znak1, Znak Znak,Znak Znak1,Footnote Text1 Znak"/>
    <w:basedOn w:val="Domylnaczcionkaakapitu"/>
    <w:link w:val="Tekstprzypisudolnego"/>
    <w:uiPriority w:val="99"/>
    <w:rsid w:val="001448A7"/>
    <w:rPr>
      <w:sz w:val="20"/>
      <w:szCs w:val="20"/>
    </w:rPr>
  </w:style>
  <w:style w:type="character" w:styleId="Odwoanieprzypisudolnego">
    <w:name w:val="footnote reference"/>
    <w:basedOn w:val="Domylnaczcionkaakapitu"/>
    <w:unhideWhenUsed/>
    <w:rsid w:val="001448A7"/>
    <w:rPr>
      <w:vertAlign w:val="superscript"/>
    </w:rPr>
  </w:style>
  <w:style w:type="paragraph" w:customStyle="1" w:styleId="tytuinformacji">
    <w:name w:val="tytuł informacji"/>
    <w:basedOn w:val="Normalny"/>
    <w:rsid w:val="00633014"/>
    <w:pPr>
      <w:spacing w:after="0" w:line="240" w:lineRule="auto"/>
    </w:pPr>
    <w:rPr>
      <w:rFonts w:ascii="Fira Sans Extra Condensed SemiB" w:hAnsi="Fira Sans Extra Condensed SemiB"/>
      <w:color w:val="000000" w:themeColor="text1"/>
      <w:sz w:val="40"/>
      <w:szCs w:val="26"/>
    </w:rPr>
  </w:style>
  <w:style w:type="paragraph" w:customStyle="1" w:styleId="tekstzboku">
    <w:name w:val="tekst z boku"/>
    <w:basedOn w:val="Normalny"/>
    <w:qFormat/>
    <w:rsid w:val="008F74DF"/>
    <w:pPr>
      <w:spacing w:after="0"/>
    </w:pPr>
    <w:rPr>
      <w:rFonts w:eastAsia="Times New Roman" w:cs="Times New Roman"/>
      <w:bCs/>
      <w:color w:val="001D77"/>
      <w:sz w:val="18"/>
      <w:szCs w:val="18"/>
      <w:lang w:eastAsia="pl-PL"/>
    </w:rPr>
  </w:style>
  <w:style w:type="paragraph" w:customStyle="1" w:styleId="tytuwykresu">
    <w:name w:val="tytuł wykresu"/>
    <w:basedOn w:val="Normalny"/>
    <w:qFormat/>
    <w:rsid w:val="00E664C5"/>
    <w:rPr>
      <w:b/>
      <w:spacing w:val="-2"/>
      <w:sz w:val="18"/>
    </w:rPr>
  </w:style>
  <w:style w:type="paragraph" w:customStyle="1" w:styleId="tekstnaniebieskimtle">
    <w:name w:val="tekst na niebieskim tle"/>
    <w:basedOn w:val="Normalny"/>
    <w:qFormat/>
    <w:rsid w:val="00074DD8"/>
    <w:pPr>
      <w:spacing w:before="0" w:after="0" w:line="240" w:lineRule="auto"/>
    </w:pPr>
    <w:rPr>
      <w:sz w:val="20"/>
    </w:rPr>
  </w:style>
  <w:style w:type="paragraph" w:customStyle="1" w:styleId="Tekstpodstawowywcity21">
    <w:name w:val="Tekst podstawowy wcięty 21"/>
    <w:basedOn w:val="Normalny"/>
    <w:rsid w:val="007B0E35"/>
    <w:pPr>
      <w:spacing w:before="0" w:after="0" w:line="240" w:lineRule="auto"/>
      <w:ind w:left="227" w:hanging="227"/>
    </w:pPr>
    <w:rPr>
      <w:rFonts w:ascii="Times New Roman" w:eastAsia="Times New Roman" w:hAnsi="Times New Roman" w:cs="Times New Roman"/>
      <w:i/>
      <w:sz w:val="24"/>
      <w:szCs w:val="20"/>
      <w:lang w:eastAsia="pl-PL"/>
    </w:rPr>
  </w:style>
  <w:style w:type="character" w:styleId="UyteHipercze">
    <w:name w:val="FollowedHyperlink"/>
    <w:basedOn w:val="Domylnaczcionkaakapitu"/>
    <w:uiPriority w:val="99"/>
    <w:semiHidden/>
    <w:unhideWhenUsed/>
    <w:rsid w:val="003B6350"/>
    <w:rPr>
      <w:color w:val="954F72" w:themeColor="followedHyperlink"/>
      <w:u w:val="single"/>
    </w:rPr>
  </w:style>
  <w:style w:type="table" w:customStyle="1" w:styleId="Siatkatabelijasna2">
    <w:name w:val="Siatka tabeli — jasna2"/>
    <w:basedOn w:val="Standardowy"/>
    <w:uiPriority w:val="40"/>
    <w:rsid w:val="009A7910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Odwoaniedokomentarza">
    <w:name w:val="annotation reference"/>
    <w:basedOn w:val="Domylnaczcionkaakapitu"/>
    <w:uiPriority w:val="99"/>
    <w:semiHidden/>
    <w:unhideWhenUsed/>
    <w:rsid w:val="00965255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965255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965255"/>
    <w:rPr>
      <w:rFonts w:ascii="Fira Sans" w:hAnsi="Fira Sans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965255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965255"/>
    <w:rPr>
      <w:rFonts w:ascii="Fira Sans" w:hAnsi="Fira Sans"/>
      <w:b/>
      <w:bCs/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B678B9"/>
    <w:rPr>
      <w:vertAlign w:val="superscript"/>
    </w:rPr>
  </w:style>
  <w:style w:type="table" w:customStyle="1" w:styleId="Siatkatabelijasna21">
    <w:name w:val="Siatka tabeli — jasna21"/>
    <w:basedOn w:val="Standardowy"/>
    <w:uiPriority w:val="40"/>
    <w:rsid w:val="00833D4E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styleId="Poprawka">
    <w:name w:val="Revision"/>
    <w:hidden/>
    <w:uiPriority w:val="99"/>
    <w:semiHidden/>
    <w:rsid w:val="0041374E"/>
    <w:pPr>
      <w:spacing w:after="0" w:line="240" w:lineRule="auto"/>
    </w:pPr>
    <w:rPr>
      <w:rFonts w:ascii="Fira Sans" w:hAnsi="Fira Sans"/>
      <w:sz w:val="19"/>
    </w:rPr>
  </w:style>
  <w:style w:type="table" w:customStyle="1" w:styleId="Siatkatabelijasna22">
    <w:name w:val="Siatka tabeli — jasna22"/>
    <w:basedOn w:val="Standardowy"/>
    <w:uiPriority w:val="40"/>
    <w:rsid w:val="008A44DB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customStyle="1" w:styleId="Siatkatabelijasna23">
    <w:name w:val="Siatka tabeli — jasna23"/>
    <w:basedOn w:val="Standardowy"/>
    <w:uiPriority w:val="40"/>
    <w:rsid w:val="00857F6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customStyle="1" w:styleId="Siatkatabelijasna24">
    <w:name w:val="Siatka tabeli — jasna24"/>
    <w:basedOn w:val="Standardowy"/>
    <w:uiPriority w:val="40"/>
    <w:rsid w:val="00AD30E6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Tekstzastpczy">
    <w:name w:val="Placeholder Text"/>
    <w:basedOn w:val="Domylnaczcionkaakapitu"/>
    <w:uiPriority w:val="99"/>
    <w:semiHidden/>
    <w:rsid w:val="007C46D9"/>
    <w:rPr>
      <w:color w:val="808080"/>
    </w:rPr>
  </w:style>
  <w:style w:type="table" w:styleId="Siatkatabelijasna">
    <w:name w:val="Grid Table Light"/>
    <w:basedOn w:val="Standardowy"/>
    <w:uiPriority w:val="40"/>
    <w:rsid w:val="003627E7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customStyle="1" w:styleId="Tabela-Siatka2">
    <w:name w:val="Tabela - Siatka2"/>
    <w:basedOn w:val="Standardowy"/>
    <w:next w:val="Tabela-Siatka"/>
    <w:uiPriority w:val="39"/>
    <w:rsid w:val="003627E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1774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54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566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81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43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5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238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561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55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035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834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457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950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333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chart" Target="charts/chart2.xml"/><Relationship Id="rId18" Type="http://schemas.openxmlformats.org/officeDocument/2006/relationships/footer" Target="footer2.xml"/><Relationship Id="rId26" Type="http://schemas.openxmlformats.org/officeDocument/2006/relationships/hyperlink" Target="http://stat.gov.pl/wskazniki-makroekonomiczne/" TargetMode="External"/><Relationship Id="rId39" Type="http://schemas.openxmlformats.org/officeDocument/2006/relationships/hyperlink" Target="http://stat.gov.pl/wskazniki-makroekonomiczne/" TargetMode="External"/><Relationship Id="rId21" Type="http://schemas.openxmlformats.org/officeDocument/2006/relationships/hyperlink" Target="http://www.stat.gov.pl" TargetMode="External"/><Relationship Id="rId34" Type="http://schemas.openxmlformats.org/officeDocument/2006/relationships/hyperlink" Target="http://stat.gov.pl/metainformacje/slownik-pojec/pojecia-stosowane-w-statystyce-publicznej/1314,pojecie.html" TargetMode="External"/><Relationship Id="rId42" Type="http://schemas.openxmlformats.org/officeDocument/2006/relationships/hyperlink" Target="http://stat.gov.pl/metainformacje/slownik-pojec/pojecia-stosowane-w-statystyce-publicznej/362,pojecie.html" TargetMode="External"/><Relationship Id="rId47" Type="http://schemas.openxmlformats.org/officeDocument/2006/relationships/hyperlink" Target="http://stat.gov.pl/metainformacje/slownik-pojec/pojecia-stosowane-w-statystyce-publicznej/1314,pojecie.html" TargetMode="External"/><Relationship Id="rId50" Type="http://schemas.openxmlformats.org/officeDocument/2006/relationships/header" Target="header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6" Type="http://schemas.openxmlformats.org/officeDocument/2006/relationships/footer" Target="footer1.xml"/><Relationship Id="rId29" Type="http://schemas.openxmlformats.org/officeDocument/2006/relationships/hyperlink" Target="http://stat.gov.pl/metainformacje/slownik-pojec/pojecia-stosowane-w-statystyce-publicznej/362,pojecie.html" TargetMode="External"/><Relationship Id="rId11" Type="http://schemas.openxmlformats.org/officeDocument/2006/relationships/image" Target="media/image30.emf"/><Relationship Id="rId24" Type="http://schemas.openxmlformats.org/officeDocument/2006/relationships/hyperlink" Target="http://stat.gov.pl/obszary-tematyczne/inne-opracowania/informacje-o-sytuacji-spoleczno-gospodarczej/informacja-o-sytuacji-spoleczno-gospodarczej-kraju-w-sierpniu-2018-r-,1,76.html" TargetMode="External"/><Relationship Id="rId32" Type="http://schemas.openxmlformats.org/officeDocument/2006/relationships/hyperlink" Target="http://stat.gov.pl/metainformacje/slownik-pojec/pojecia-stosowane-w-statystyce-publicznej/356,pojecie.html" TargetMode="External"/><Relationship Id="rId37" Type="http://schemas.openxmlformats.org/officeDocument/2006/relationships/hyperlink" Target="http://stat.gov.pl/obszary-tematyczne/inne-opracowania/informacje-o-sytuacji-spoleczno-gospodarczej/informacja-o-sytuacji-spoleczno-gospodarczej-kraju-w-sierpniu-2018-r-,1,76.html" TargetMode="External"/><Relationship Id="rId40" Type="http://schemas.openxmlformats.org/officeDocument/2006/relationships/hyperlink" Target="http://bdm.stat.gov.pl/" TargetMode="External"/><Relationship Id="rId45" Type="http://schemas.openxmlformats.org/officeDocument/2006/relationships/hyperlink" Target="http://stat.gov.pl/metainformacje/slownik-pojec/pojecia-stosowane-w-statystyce-publicznej/356,pojecie.html" TargetMode="External"/><Relationship Id="rId5" Type="http://schemas.openxmlformats.org/officeDocument/2006/relationships/styles" Target="styles.xml"/><Relationship Id="rId15" Type="http://schemas.openxmlformats.org/officeDocument/2006/relationships/header" Target="header1.xml"/><Relationship Id="rId23" Type="http://schemas.openxmlformats.org/officeDocument/2006/relationships/image" Target="media/image8.png"/><Relationship Id="rId28" Type="http://schemas.openxmlformats.org/officeDocument/2006/relationships/hyperlink" Target="https://bdl.stat.gov.pl/BDL/dane/podgrup/temat" TargetMode="External"/><Relationship Id="rId36" Type="http://schemas.openxmlformats.org/officeDocument/2006/relationships/hyperlink" Target="http://stat.gov.pl/metainformacje/slownik-pojec/pojecia-stosowane-w-statystyce-publicznej/1313,pojecie.html" TargetMode="External"/><Relationship Id="rId49" Type="http://schemas.openxmlformats.org/officeDocument/2006/relationships/hyperlink" Target="http://stat.gov.pl/metainformacje/slownik-pojec/pojecia-stosowane-w-statystyce-publicznej/1313,pojecie.html" TargetMode="External"/><Relationship Id="rId10" Type="http://schemas.openxmlformats.org/officeDocument/2006/relationships/image" Target="media/image3.emf"/><Relationship Id="rId19" Type="http://schemas.openxmlformats.org/officeDocument/2006/relationships/hyperlink" Target="mailto:obslugaprasowa@stat.gov.pl" TargetMode="External"/><Relationship Id="rId31" Type="http://schemas.openxmlformats.org/officeDocument/2006/relationships/hyperlink" Target="http://stat.gov.pl/metainformacje/slownik-pojec/pojecia-stosowane-w-statystyce-publicznej/707,pojecie.html" TargetMode="External"/><Relationship Id="rId44" Type="http://schemas.openxmlformats.org/officeDocument/2006/relationships/hyperlink" Target="http://stat.gov.pl/metainformacje/slownik-pojec/pojecia-stosowane-w-statystyce-publicznej/707,pojecie.html" TargetMode="External"/><Relationship Id="rId52" Type="http://schemas.openxmlformats.org/officeDocument/2006/relationships/theme" Target="theme/theme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chart" Target="charts/chart3.xml"/><Relationship Id="rId22" Type="http://schemas.openxmlformats.org/officeDocument/2006/relationships/image" Target="media/image7.png"/><Relationship Id="rId27" Type="http://schemas.openxmlformats.org/officeDocument/2006/relationships/hyperlink" Target="http://bdm.stat.gov.pl/" TargetMode="External"/><Relationship Id="rId30" Type="http://schemas.openxmlformats.org/officeDocument/2006/relationships/hyperlink" Target="http://stat.gov.pl/metainformacje/slownik-pojec/pojecia-stosowane-w-statystyce-publicznej/700,pojecie.html" TargetMode="External"/><Relationship Id="rId35" Type="http://schemas.openxmlformats.org/officeDocument/2006/relationships/hyperlink" Target="http://stat.gov.pl/metainformacje/slownik-pojec/pojecia-stosowane-w-statystyce-publicznej/357,pojecie.html" TargetMode="External"/><Relationship Id="rId43" Type="http://schemas.openxmlformats.org/officeDocument/2006/relationships/hyperlink" Target="http://stat.gov.pl/metainformacje/slownik-pojec/pojecia-stosowane-w-statystyce-publicznej/700,pojecie.html" TargetMode="External"/><Relationship Id="rId48" Type="http://schemas.openxmlformats.org/officeDocument/2006/relationships/hyperlink" Target="http://stat.gov.pl/metainformacje/slownik-pojec/pojecia-stosowane-w-statystyce-publicznej/357,pojecie.html" TargetMode="External"/><Relationship Id="rId8" Type="http://schemas.openxmlformats.org/officeDocument/2006/relationships/footnotes" Target="footnotes.xml"/><Relationship Id="rId51" Type="http://schemas.openxmlformats.org/officeDocument/2006/relationships/fontTable" Target="fontTable.xml"/><Relationship Id="rId3" Type="http://schemas.openxmlformats.org/officeDocument/2006/relationships/customXml" Target="../customXml/item3.xml"/><Relationship Id="rId12" Type="http://schemas.openxmlformats.org/officeDocument/2006/relationships/chart" Target="charts/chart1.xml"/><Relationship Id="rId17" Type="http://schemas.openxmlformats.org/officeDocument/2006/relationships/header" Target="header2.xml"/><Relationship Id="rId25" Type="http://schemas.openxmlformats.org/officeDocument/2006/relationships/hyperlink" Target="http://swaid.stat.gov.pl/SitePagesDBW/ProdukcjaPrzemyslowa.aspx" TargetMode="External"/><Relationship Id="rId33" Type="http://schemas.openxmlformats.org/officeDocument/2006/relationships/hyperlink" Target="http://stat.gov.pl/metainformacje/slownik-pojec/pojecia-stosowane-w-statystyce-publicznej/1317,pojecie.html" TargetMode="External"/><Relationship Id="rId38" Type="http://schemas.openxmlformats.org/officeDocument/2006/relationships/hyperlink" Target="http://swaid.stat.gov.pl/SitePagesDBW/ProdukcjaPrzemyslowa.aspx" TargetMode="External"/><Relationship Id="rId46" Type="http://schemas.openxmlformats.org/officeDocument/2006/relationships/hyperlink" Target="http://stat.gov.pl/metainformacje/slownik-pojec/pojecia-stosowane-w-statystyce-publicznej/1317,pojecie.html" TargetMode="External"/><Relationship Id="rId20" Type="http://schemas.openxmlformats.org/officeDocument/2006/relationships/image" Target="media/image6.png"/><Relationship Id="rId41" Type="http://schemas.openxmlformats.org/officeDocument/2006/relationships/hyperlink" Target="https://bdl.stat.gov.pl/BDL/dane/podgrup/temat" TargetMode="External"/><Relationship Id="rId1" Type="http://schemas.openxmlformats.org/officeDocument/2006/relationships/customXml" Target="../customXml/item1.xml"/><Relationship Id="rId6" Type="http://schemas.openxmlformats.org/officeDocument/2006/relationships/settings" Target="settings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5.jpg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emf"/><Relationship Id="rId1" Type="http://schemas.openxmlformats.org/officeDocument/2006/relationships/image" Target="media/image1.emf"/></Relationships>
</file>

<file path=word/charts/_rels/chart1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Arkusz_programu_Microsoft_Excel1.xlsx"/><Relationship Id="rId2" Type="http://schemas.microsoft.com/office/2011/relationships/chartColorStyle" Target="colors1.xml"/><Relationship Id="rId1" Type="http://schemas.microsoft.com/office/2011/relationships/chartStyle" Target="style1.xml"/></Relationships>
</file>

<file path=word/charts/_rels/chart2.xml.rels><?xml version="1.0" encoding="UTF-8" standalone="yes"?>
<Relationships xmlns="http://schemas.openxmlformats.org/package/2006/relationships"><Relationship Id="rId2" Type="http://schemas.openxmlformats.org/officeDocument/2006/relationships/chartUserShapes" Target="../drawings/drawing1.xml"/><Relationship Id="rId1" Type="http://schemas.openxmlformats.org/officeDocument/2006/relationships/package" Target="../embeddings/Arkusz_programu_Microsoft_Excel2.xlsx"/></Relationships>
</file>

<file path=word/charts/_rels/chart3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Arkusz_programu_Microsoft_Excel3.xlsx"/><Relationship Id="rId2" Type="http://schemas.microsoft.com/office/2011/relationships/chartColorStyle" Target="colors2.xml"/><Relationship Id="rId1" Type="http://schemas.microsoft.com/office/2011/relationships/chartStyle" Target="style2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lineChart>
        <c:grouping val="standard"/>
        <c:varyColors val="0"/>
        <c:ser>
          <c:idx val="1"/>
          <c:order val="0"/>
          <c:tx>
            <c:strRef>
              <c:f>'2020'!$A$5</c:f>
              <c:strCache>
                <c:ptCount val="1"/>
                <c:pt idx="0">
                  <c:v>2016</c:v>
                </c:pt>
              </c:strCache>
            </c:strRef>
          </c:tx>
          <c:spPr>
            <a:ln w="28575" cap="rnd">
              <a:solidFill>
                <a:schemeClr val="tx1">
                  <a:lumMod val="50000"/>
                  <a:lumOff val="50000"/>
                </a:schemeClr>
              </a:solidFill>
              <a:round/>
            </a:ln>
            <a:effectLst/>
          </c:spPr>
          <c:marker>
            <c:symbol val="circle"/>
            <c:size val="5"/>
            <c:spPr>
              <a:solidFill>
                <a:schemeClr val="bg1"/>
              </a:solidFill>
              <a:ln w="9525">
                <a:solidFill>
                  <a:schemeClr val="tx1">
                    <a:lumMod val="50000"/>
                    <a:lumOff val="50000"/>
                  </a:schemeClr>
                </a:solidFill>
              </a:ln>
              <a:effectLst/>
            </c:spPr>
          </c:marker>
          <c:cat>
            <c:strRef>
              <c:f>'2020'!$B$4:$M$4</c:f>
              <c:strCache>
                <c:ptCount val="12"/>
                <c:pt idx="0">
                  <c:v>I </c:v>
                </c:pt>
                <c:pt idx="1">
                  <c:v>  II</c:v>
                </c:pt>
                <c:pt idx="2">
                  <c:v>   III</c:v>
                </c:pt>
                <c:pt idx="3">
                  <c:v>IV</c:v>
                </c:pt>
                <c:pt idx="4">
                  <c:v>V</c:v>
                </c:pt>
                <c:pt idx="5">
                  <c:v>VI</c:v>
                </c:pt>
                <c:pt idx="6">
                  <c:v>VII</c:v>
                </c:pt>
                <c:pt idx="7">
                  <c:v>VIII</c:v>
                </c:pt>
                <c:pt idx="8">
                  <c:v>IX</c:v>
                </c:pt>
                <c:pt idx="9">
                  <c:v>X</c:v>
                </c:pt>
                <c:pt idx="10">
                  <c:v>XI</c:v>
                </c:pt>
                <c:pt idx="11">
                  <c:v>XII</c:v>
                </c:pt>
              </c:strCache>
            </c:strRef>
          </c:cat>
          <c:val>
            <c:numRef>
              <c:f>'2020'!$B$5:$M$5</c:f>
              <c:numCache>
                <c:formatCode>0.0</c:formatCode>
                <c:ptCount val="12"/>
                <c:pt idx="0">
                  <c:v>93.6</c:v>
                </c:pt>
                <c:pt idx="1">
                  <c:v>100</c:v>
                </c:pt>
                <c:pt idx="2">
                  <c:v>107</c:v>
                </c:pt>
                <c:pt idx="3">
                  <c:v>103.5</c:v>
                </c:pt>
                <c:pt idx="4">
                  <c:v>99.4</c:v>
                </c:pt>
                <c:pt idx="5">
                  <c:v>106.7</c:v>
                </c:pt>
                <c:pt idx="6">
                  <c:v>96</c:v>
                </c:pt>
                <c:pt idx="7">
                  <c:v>99.2</c:v>
                </c:pt>
                <c:pt idx="8">
                  <c:v>109.4</c:v>
                </c:pt>
                <c:pt idx="9">
                  <c:v>106.7</c:v>
                </c:pt>
                <c:pt idx="10">
                  <c:v>108.6</c:v>
                </c:pt>
                <c:pt idx="11">
                  <c:v>103.9</c:v>
                </c:pt>
              </c:numCache>
            </c:numRef>
          </c:val>
          <c:smooth val="0"/>
        </c:ser>
        <c:ser>
          <c:idx val="2"/>
          <c:order val="1"/>
          <c:tx>
            <c:strRef>
              <c:f>'2020'!$A$6</c:f>
              <c:strCache>
                <c:ptCount val="1"/>
                <c:pt idx="0">
                  <c:v>2017</c:v>
                </c:pt>
              </c:strCache>
            </c:strRef>
          </c:tx>
          <c:spPr>
            <a:ln w="28575" cap="rnd">
              <a:solidFill>
                <a:srgbClr val="008542"/>
              </a:solidFill>
              <a:round/>
            </a:ln>
            <a:effectLst/>
          </c:spPr>
          <c:marker>
            <c:symbol val="circle"/>
            <c:size val="5"/>
            <c:spPr>
              <a:solidFill>
                <a:schemeClr val="bg1"/>
              </a:solidFill>
              <a:ln w="9525">
                <a:solidFill>
                  <a:srgbClr val="008542"/>
                </a:solidFill>
              </a:ln>
              <a:effectLst/>
            </c:spPr>
          </c:marker>
          <c:cat>
            <c:strRef>
              <c:f>'2020'!$B$4:$M$4</c:f>
              <c:strCache>
                <c:ptCount val="12"/>
                <c:pt idx="0">
                  <c:v>I </c:v>
                </c:pt>
                <c:pt idx="1">
                  <c:v>  II</c:v>
                </c:pt>
                <c:pt idx="2">
                  <c:v>   III</c:v>
                </c:pt>
                <c:pt idx="3">
                  <c:v>IV</c:v>
                </c:pt>
                <c:pt idx="4">
                  <c:v>V</c:v>
                </c:pt>
                <c:pt idx="5">
                  <c:v>VI</c:v>
                </c:pt>
                <c:pt idx="6">
                  <c:v>VII</c:v>
                </c:pt>
                <c:pt idx="7">
                  <c:v>VIII</c:v>
                </c:pt>
                <c:pt idx="8">
                  <c:v>IX</c:v>
                </c:pt>
                <c:pt idx="9">
                  <c:v>X</c:v>
                </c:pt>
                <c:pt idx="10">
                  <c:v>XI</c:v>
                </c:pt>
                <c:pt idx="11">
                  <c:v>XII</c:v>
                </c:pt>
              </c:strCache>
            </c:strRef>
          </c:cat>
          <c:val>
            <c:numRef>
              <c:f>'2020'!$B$6:$M$6</c:f>
              <c:numCache>
                <c:formatCode>0.0</c:formatCode>
                <c:ptCount val="12"/>
                <c:pt idx="0">
                  <c:v>102.3</c:v>
                </c:pt>
                <c:pt idx="1">
                  <c:v>101.2</c:v>
                </c:pt>
                <c:pt idx="2">
                  <c:v>118.8</c:v>
                </c:pt>
                <c:pt idx="3">
                  <c:v>103</c:v>
                </c:pt>
                <c:pt idx="4">
                  <c:v>108.6</c:v>
                </c:pt>
                <c:pt idx="5">
                  <c:v>111.4</c:v>
                </c:pt>
                <c:pt idx="6">
                  <c:v>102</c:v>
                </c:pt>
                <c:pt idx="7">
                  <c:v>108</c:v>
                </c:pt>
                <c:pt idx="8">
                  <c:v>114.1</c:v>
                </c:pt>
                <c:pt idx="9">
                  <c:v>119.9</c:v>
                </c:pt>
                <c:pt idx="10">
                  <c:v>118.6</c:v>
                </c:pt>
                <c:pt idx="11">
                  <c:v>106.8</c:v>
                </c:pt>
              </c:numCache>
            </c:numRef>
          </c:val>
          <c:smooth val="0"/>
        </c:ser>
        <c:ser>
          <c:idx val="3"/>
          <c:order val="2"/>
          <c:tx>
            <c:strRef>
              <c:f>'2020'!$A$7</c:f>
              <c:strCache>
                <c:ptCount val="1"/>
                <c:pt idx="0">
                  <c:v>2018</c:v>
                </c:pt>
              </c:strCache>
            </c:strRef>
          </c:tx>
          <c:spPr>
            <a:ln w="28575" cap="rnd">
              <a:solidFill>
                <a:srgbClr val="99A5C9"/>
              </a:solidFill>
              <a:round/>
            </a:ln>
            <a:effectLst/>
          </c:spPr>
          <c:marker>
            <c:symbol val="circle"/>
            <c:size val="5"/>
            <c:spPr>
              <a:solidFill>
                <a:schemeClr val="bg1"/>
              </a:solidFill>
              <a:ln w="9525">
                <a:solidFill>
                  <a:srgbClr val="99A5C9"/>
                </a:solidFill>
              </a:ln>
              <a:effectLst/>
            </c:spPr>
          </c:marker>
          <c:cat>
            <c:strRef>
              <c:f>'2020'!$B$4:$M$4</c:f>
              <c:strCache>
                <c:ptCount val="12"/>
                <c:pt idx="0">
                  <c:v>I </c:v>
                </c:pt>
                <c:pt idx="1">
                  <c:v>  II</c:v>
                </c:pt>
                <c:pt idx="2">
                  <c:v>   III</c:v>
                </c:pt>
                <c:pt idx="3">
                  <c:v>IV</c:v>
                </c:pt>
                <c:pt idx="4">
                  <c:v>V</c:v>
                </c:pt>
                <c:pt idx="5">
                  <c:v>VI</c:v>
                </c:pt>
                <c:pt idx="6">
                  <c:v>VII</c:v>
                </c:pt>
                <c:pt idx="7">
                  <c:v>VIII</c:v>
                </c:pt>
                <c:pt idx="8">
                  <c:v>IX</c:v>
                </c:pt>
                <c:pt idx="9">
                  <c:v>X</c:v>
                </c:pt>
                <c:pt idx="10">
                  <c:v>XI</c:v>
                </c:pt>
                <c:pt idx="11">
                  <c:v>XII</c:v>
                </c:pt>
              </c:strCache>
            </c:strRef>
          </c:cat>
          <c:val>
            <c:numRef>
              <c:f>'2020'!$B$7:$M$7</c:f>
              <c:numCache>
                <c:formatCode>0.0</c:formatCode>
                <c:ptCount val="12"/>
                <c:pt idx="0">
                  <c:v>111.1</c:v>
                </c:pt>
                <c:pt idx="1">
                  <c:v>108.6</c:v>
                </c:pt>
                <c:pt idx="2">
                  <c:v>120.8</c:v>
                </c:pt>
                <c:pt idx="3">
                  <c:v>112.6</c:v>
                </c:pt>
                <c:pt idx="4">
                  <c:v>114.2</c:v>
                </c:pt>
                <c:pt idx="5">
                  <c:v>118.9</c:v>
                </c:pt>
                <c:pt idx="6">
                  <c:v>112.5</c:v>
                </c:pt>
                <c:pt idx="7">
                  <c:v>113.4</c:v>
                </c:pt>
                <c:pt idx="8">
                  <c:v>117.2</c:v>
                </c:pt>
                <c:pt idx="9">
                  <c:v>128.80000000000001</c:v>
                </c:pt>
                <c:pt idx="10">
                  <c:v>124</c:v>
                </c:pt>
                <c:pt idx="11">
                  <c:v>109.7</c:v>
                </c:pt>
              </c:numCache>
            </c:numRef>
          </c:val>
          <c:smooth val="0"/>
        </c:ser>
        <c:ser>
          <c:idx val="4"/>
          <c:order val="3"/>
          <c:tx>
            <c:strRef>
              <c:f>'2020'!$A$8</c:f>
              <c:strCache>
                <c:ptCount val="1"/>
                <c:pt idx="0">
                  <c:v>2019</c:v>
                </c:pt>
              </c:strCache>
            </c:strRef>
          </c:tx>
          <c:spPr>
            <a:ln w="28575" cap="rnd">
              <a:solidFill>
                <a:srgbClr val="99CEB3"/>
              </a:solidFill>
              <a:round/>
            </a:ln>
            <a:effectLst/>
          </c:spPr>
          <c:marker>
            <c:symbol val="circle"/>
            <c:size val="5"/>
            <c:spPr>
              <a:solidFill>
                <a:schemeClr val="bg1"/>
              </a:solidFill>
              <a:ln w="9525">
                <a:solidFill>
                  <a:srgbClr val="99CEB3"/>
                </a:solidFill>
              </a:ln>
              <a:effectLst/>
            </c:spPr>
          </c:marker>
          <c:dPt>
            <c:idx val="0"/>
            <c:marker>
              <c:symbol val="circle"/>
              <c:size val="5"/>
              <c:spPr>
                <a:solidFill>
                  <a:schemeClr val="bg1"/>
                </a:solidFill>
                <a:ln w="9525">
                  <a:solidFill>
                    <a:srgbClr val="99CEB3"/>
                  </a:solidFill>
                </a:ln>
                <a:effectLst/>
              </c:spPr>
            </c:marker>
            <c:bubble3D val="0"/>
            <c:spPr>
              <a:ln w="44450" cap="rnd">
                <a:solidFill>
                  <a:srgbClr val="99CEB3"/>
                </a:solidFill>
                <a:round/>
              </a:ln>
              <a:effectLst/>
            </c:spPr>
          </c:dPt>
          <c:cat>
            <c:strRef>
              <c:f>'2020'!$B$4:$M$4</c:f>
              <c:strCache>
                <c:ptCount val="12"/>
                <c:pt idx="0">
                  <c:v>I </c:v>
                </c:pt>
                <c:pt idx="1">
                  <c:v>  II</c:v>
                </c:pt>
                <c:pt idx="2">
                  <c:v>   III</c:v>
                </c:pt>
                <c:pt idx="3">
                  <c:v>IV</c:v>
                </c:pt>
                <c:pt idx="4">
                  <c:v>V</c:v>
                </c:pt>
                <c:pt idx="5">
                  <c:v>VI</c:v>
                </c:pt>
                <c:pt idx="6">
                  <c:v>VII</c:v>
                </c:pt>
                <c:pt idx="7">
                  <c:v>VIII</c:v>
                </c:pt>
                <c:pt idx="8">
                  <c:v>IX</c:v>
                </c:pt>
                <c:pt idx="9">
                  <c:v>X</c:v>
                </c:pt>
                <c:pt idx="10">
                  <c:v>XI</c:v>
                </c:pt>
                <c:pt idx="11">
                  <c:v>XII</c:v>
                </c:pt>
              </c:strCache>
            </c:strRef>
          </c:cat>
          <c:val>
            <c:numRef>
              <c:f>'2020'!$B$8:$M$8</c:f>
              <c:numCache>
                <c:formatCode>0.0</c:formatCode>
                <c:ptCount val="12"/>
                <c:pt idx="0">
                  <c:v>117.8</c:v>
                </c:pt>
                <c:pt idx="1">
                  <c:v>116.1</c:v>
                </c:pt>
                <c:pt idx="2">
                  <c:v>127.5</c:v>
                </c:pt>
                <c:pt idx="3">
                  <c:v>123</c:v>
                </c:pt>
                <c:pt idx="4">
                  <c:v>122.9</c:v>
                </c:pt>
                <c:pt idx="5">
                  <c:v>115.8</c:v>
                </c:pt>
                <c:pt idx="6">
                  <c:v>119</c:v>
                </c:pt>
                <c:pt idx="7">
                  <c:v>111.7</c:v>
                </c:pt>
                <c:pt idx="8">
                  <c:v>123.7</c:v>
                </c:pt>
                <c:pt idx="9">
                  <c:v>133.6</c:v>
                </c:pt>
                <c:pt idx="10">
                  <c:v>125.8</c:v>
                </c:pt>
                <c:pt idx="11">
                  <c:v>114</c:v>
                </c:pt>
              </c:numCache>
            </c:numRef>
          </c:val>
          <c:smooth val="0"/>
        </c:ser>
        <c:ser>
          <c:idx val="0"/>
          <c:order val="4"/>
          <c:tx>
            <c:strRef>
              <c:f>'2020'!$A$9</c:f>
              <c:strCache>
                <c:ptCount val="1"/>
                <c:pt idx="0">
                  <c:v>2020</c:v>
                </c:pt>
              </c:strCache>
            </c:strRef>
          </c:tx>
          <c:spPr>
            <a:ln w="28575" cap="flat">
              <a:solidFill>
                <a:srgbClr val="001D77"/>
              </a:solidFill>
              <a:round/>
            </a:ln>
            <a:effectLst/>
          </c:spPr>
          <c:marker>
            <c:symbol val="circle"/>
            <c:size val="5"/>
            <c:spPr>
              <a:solidFill>
                <a:schemeClr val="bg1"/>
              </a:solidFill>
              <a:ln w="9525">
                <a:solidFill>
                  <a:srgbClr val="001D77"/>
                </a:solidFill>
              </a:ln>
              <a:effectLst/>
            </c:spPr>
          </c:marker>
          <c:dPt>
            <c:idx val="0"/>
            <c:marker>
              <c:symbol val="circle"/>
              <c:size val="5"/>
              <c:spPr>
                <a:solidFill>
                  <a:schemeClr val="bg1"/>
                </a:solidFill>
                <a:ln w="9525">
                  <a:solidFill>
                    <a:srgbClr val="001D77"/>
                  </a:solidFill>
                </a:ln>
                <a:effectLst/>
              </c:spPr>
            </c:marker>
            <c:bubble3D val="0"/>
            <c:spPr>
              <a:ln w="22225" cap="flat">
                <a:solidFill>
                  <a:srgbClr val="001D77"/>
                </a:solidFill>
                <a:round/>
              </a:ln>
              <a:effectLst/>
            </c:spPr>
          </c:dPt>
          <c:cat>
            <c:strRef>
              <c:f>'2020'!$B$4:$M$4</c:f>
              <c:strCache>
                <c:ptCount val="12"/>
                <c:pt idx="0">
                  <c:v>I </c:v>
                </c:pt>
                <c:pt idx="1">
                  <c:v>  II</c:v>
                </c:pt>
                <c:pt idx="2">
                  <c:v>   III</c:v>
                </c:pt>
                <c:pt idx="3">
                  <c:v>IV</c:v>
                </c:pt>
                <c:pt idx="4">
                  <c:v>V</c:v>
                </c:pt>
                <c:pt idx="5">
                  <c:v>VI</c:v>
                </c:pt>
                <c:pt idx="6">
                  <c:v>VII</c:v>
                </c:pt>
                <c:pt idx="7">
                  <c:v>VIII</c:v>
                </c:pt>
                <c:pt idx="8">
                  <c:v>IX</c:v>
                </c:pt>
                <c:pt idx="9">
                  <c:v>X</c:v>
                </c:pt>
                <c:pt idx="10">
                  <c:v>XI</c:v>
                </c:pt>
                <c:pt idx="11">
                  <c:v>XII</c:v>
                </c:pt>
              </c:strCache>
            </c:strRef>
          </c:cat>
          <c:val>
            <c:numRef>
              <c:f>'2020'!$B$9:$M$9</c:f>
              <c:numCache>
                <c:formatCode>0.0</c:formatCode>
                <c:ptCount val="12"/>
                <c:pt idx="0">
                  <c:v>119.1</c:v>
                </c:pt>
                <c:pt idx="1">
                  <c:v>121.7</c:v>
                </c:pt>
                <c:pt idx="2">
                  <c:v>124.4</c:v>
                </c:pt>
                <c:pt idx="3">
                  <c:v>92.7</c:v>
                </c:pt>
                <c:pt idx="4">
                  <c:v>102.2</c:v>
                </c:pt>
                <c:pt idx="5">
                  <c:v>116.4</c:v>
                </c:pt>
              </c:numCache>
            </c:numRef>
          </c:val>
          <c:smooth val="0"/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-1007018864"/>
        <c:axId val="-1007016688"/>
      </c:lineChart>
      <c:catAx>
        <c:axId val="-1007018864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low"/>
        <c:spPr>
          <a:noFill/>
          <a:ln w="12700" cap="flat" cmpd="sng" algn="ctr">
            <a:solidFill>
              <a:sysClr val="windowText" lastClr="000000"/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850" b="0" i="0" u="none" strike="noStrike" kern="1200" baseline="0">
                <a:solidFill>
                  <a:sysClr val="windowText" lastClr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-1007016688"/>
        <c:crossesAt val="100"/>
        <c:auto val="1"/>
        <c:lblAlgn val="ctr"/>
        <c:lblOffset val="100"/>
        <c:noMultiLvlLbl val="0"/>
      </c:catAx>
      <c:valAx>
        <c:axId val="-1007016688"/>
        <c:scaling>
          <c:orientation val="minMax"/>
          <c:max val="135"/>
          <c:min val="90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" sourceLinked="0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850" b="0" i="0" u="none" strike="noStrike" kern="1200" baseline="0">
                <a:solidFill>
                  <a:sysClr val="windowText" lastClr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-1007018864"/>
        <c:crosses val="autoZero"/>
        <c:crossBetween val="between"/>
        <c:majorUnit val="5"/>
        <c:minorUnit val="1"/>
      </c:valAx>
      <c:spPr>
        <a:noFill/>
        <a:ln w="25400"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850" b="0" i="0" u="none" strike="noStrike" kern="1200" baseline="0">
              <a:solidFill>
                <a:sysClr val="windowText" lastClr="000000"/>
              </a:solidFill>
              <a:latin typeface="Fira Sans" panose="020B0503050000020004" pitchFamily="34" charset="0"/>
              <a:ea typeface="Fira Sans" panose="020B0503050000020004" pitchFamily="34" charset="0"/>
              <a:cs typeface="+mn-cs"/>
            </a:defRPr>
          </a:pPr>
          <a:endParaRPr lang="pl-PL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/>
      </a:pPr>
      <a:endParaRPr lang="pl-PL"/>
    </a:p>
  </c:txPr>
  <c:externalData r:id="rId3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2.8123285307298764E-2"/>
          <c:y val="3.1960487697658482E-2"/>
          <c:w val="0.49078384783910561"/>
          <c:h val="0.83328285361829135"/>
        </c:manualLayout>
      </c:layout>
      <c:barChart>
        <c:barDir val="bar"/>
        <c:grouping val="clustered"/>
        <c:varyColors val="0"/>
        <c:ser>
          <c:idx val="1"/>
          <c:order val="0"/>
          <c:tx>
            <c:strRef>
              <c:f>'VI 2020'!$B$1</c:f>
              <c:strCache>
                <c:ptCount val="1"/>
                <c:pt idx="0">
                  <c:v>VI 2020</c:v>
                </c:pt>
              </c:strCache>
            </c:strRef>
          </c:tx>
          <c:spPr>
            <a:solidFill>
              <a:srgbClr val="001D77"/>
            </a:solidFill>
          </c:spPr>
          <c:invertIfNegative val="0"/>
          <c:cat>
            <c:strRef>
              <c:f>'VI 2020'!$A$2:$A$13</c:f>
              <c:strCache>
                <c:ptCount val="12"/>
                <c:pt idx="0">
                  <c:v>Produkcja wyrobów tytoniowych</c:v>
                </c:pt>
                <c:pt idx="1">
                  <c:v>Produkcja mebli</c:v>
                </c:pt>
                <c:pt idx="2">
                  <c:v>Produkcja wyrobów z drewna, korka, słomy i wikliny</c:v>
                </c:pt>
                <c:pt idx="3">
                  <c:v>Produkcja urządzeń elektrycznych</c:v>
                </c:pt>
                <c:pt idx="4">
                  <c:v>Gospodarka odpadami; odzysk surowców</c:v>
                </c:pt>
                <c:pt idx="5">
                  <c:v>Pozostała produkcja wyrobów</c:v>
                </c:pt>
                <c:pt idx="6">
                  <c:v>Produkcja metali</c:v>
                </c:pt>
                <c:pt idx="7">
                  <c:v>Produkcja skór i wyrobów skórzanych</c:v>
                </c:pt>
                <c:pt idx="8">
                  <c:v>Produkcja maszyn i urządzeń</c:v>
                </c:pt>
                <c:pt idx="9">
                  <c:v>Produkcja pojazdów samochodowych, przyczep i naczep</c:v>
                </c:pt>
                <c:pt idx="10">
                  <c:v>Wydobywanie węgla kamiennego i węgla brunatnego (lignitu) </c:v>
                </c:pt>
                <c:pt idx="11">
                  <c:v>Produkcja koksu i produktów rafinacji ropy naftowej</c:v>
                </c:pt>
              </c:strCache>
            </c:strRef>
          </c:cat>
          <c:val>
            <c:numRef>
              <c:f>'VI 2020'!$B$2:$B$13</c:f>
              <c:numCache>
                <c:formatCode>0.0_ ;[Red]\-0.0\ </c:formatCode>
                <c:ptCount val="12"/>
                <c:pt idx="0">
                  <c:v>126.9</c:v>
                </c:pt>
                <c:pt idx="1">
                  <c:v>119.3</c:v>
                </c:pt>
                <c:pt idx="2">
                  <c:v>117.6</c:v>
                </c:pt>
                <c:pt idx="3">
                  <c:v>116.9</c:v>
                </c:pt>
                <c:pt idx="4">
                  <c:v>114.5</c:v>
                </c:pt>
                <c:pt idx="5">
                  <c:v>113.3</c:v>
                </c:pt>
                <c:pt idx="6">
                  <c:v>92.7</c:v>
                </c:pt>
                <c:pt idx="7">
                  <c:v>91.7</c:v>
                </c:pt>
                <c:pt idx="8">
                  <c:v>87</c:v>
                </c:pt>
                <c:pt idx="9">
                  <c:v>84.8</c:v>
                </c:pt>
                <c:pt idx="10">
                  <c:v>83</c:v>
                </c:pt>
                <c:pt idx="11">
                  <c:v>82.8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1-29FC-470F-B82C-6563FBE10AB0}"/>
            </c:ext>
          </c:extLst>
        </c:ser>
        <c:ser>
          <c:idx val="2"/>
          <c:order val="1"/>
          <c:tx>
            <c:strRef>
              <c:f>'VI 2020'!$C$1</c:f>
              <c:strCache>
                <c:ptCount val="1"/>
                <c:pt idx="0">
                  <c:v>VI 2019</c:v>
                </c:pt>
              </c:strCache>
            </c:strRef>
          </c:tx>
          <c:spPr>
            <a:solidFill>
              <a:srgbClr val="99A5C9"/>
            </a:solidFill>
            <a:ln>
              <a:solidFill>
                <a:schemeClr val="tx2">
                  <a:lumMod val="60000"/>
                  <a:lumOff val="40000"/>
                </a:schemeClr>
              </a:solidFill>
            </a:ln>
          </c:spPr>
          <c:invertIfNegative val="0"/>
          <c:cat>
            <c:strRef>
              <c:f>'VI 2020'!$A$2:$A$13</c:f>
              <c:strCache>
                <c:ptCount val="12"/>
                <c:pt idx="0">
                  <c:v>Produkcja wyrobów tytoniowych</c:v>
                </c:pt>
                <c:pt idx="1">
                  <c:v>Produkcja mebli</c:v>
                </c:pt>
                <c:pt idx="2">
                  <c:v>Produkcja wyrobów z drewna, korka, słomy i wikliny</c:v>
                </c:pt>
                <c:pt idx="3">
                  <c:v>Produkcja urządzeń elektrycznych</c:v>
                </c:pt>
                <c:pt idx="4">
                  <c:v>Gospodarka odpadami; odzysk surowców</c:v>
                </c:pt>
                <c:pt idx="5">
                  <c:v>Pozostała produkcja wyrobów</c:v>
                </c:pt>
                <c:pt idx="6">
                  <c:v>Produkcja metali</c:v>
                </c:pt>
                <c:pt idx="7">
                  <c:v>Produkcja skór i wyrobów skórzanych</c:v>
                </c:pt>
                <c:pt idx="8">
                  <c:v>Produkcja maszyn i urządzeń</c:v>
                </c:pt>
                <c:pt idx="9">
                  <c:v>Produkcja pojazdów samochodowych, przyczep i naczep</c:v>
                </c:pt>
                <c:pt idx="10">
                  <c:v>Wydobywanie węgla kamiennego i węgla brunatnego (lignitu) </c:v>
                </c:pt>
                <c:pt idx="11">
                  <c:v>Produkcja koksu i produktów rafinacji ropy naftowej</c:v>
                </c:pt>
              </c:strCache>
            </c:strRef>
          </c:cat>
          <c:val>
            <c:numRef>
              <c:f>'VI 2020'!$C$2:$C$13</c:f>
              <c:numCache>
                <c:formatCode>0.0_ ;[Red]\-0.0\ </c:formatCode>
                <c:ptCount val="12"/>
                <c:pt idx="0">
                  <c:v>82.5</c:v>
                </c:pt>
                <c:pt idx="1">
                  <c:v>93.7</c:v>
                </c:pt>
                <c:pt idx="2">
                  <c:v>94.4</c:v>
                </c:pt>
                <c:pt idx="3">
                  <c:v>102.6</c:v>
                </c:pt>
                <c:pt idx="4">
                  <c:v>106.8</c:v>
                </c:pt>
                <c:pt idx="5">
                  <c:v>100.6</c:v>
                </c:pt>
                <c:pt idx="6">
                  <c:v>88.8</c:v>
                </c:pt>
                <c:pt idx="7">
                  <c:v>86.7</c:v>
                </c:pt>
                <c:pt idx="8">
                  <c:v>97.6</c:v>
                </c:pt>
                <c:pt idx="9">
                  <c:v>91.8</c:v>
                </c:pt>
                <c:pt idx="10">
                  <c:v>89.4</c:v>
                </c:pt>
                <c:pt idx="11">
                  <c:v>99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2-29FC-470F-B82C-6563FBE10AB0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-697458464"/>
        <c:axId val="-697455200"/>
      </c:barChart>
      <c:catAx>
        <c:axId val="-697458464"/>
        <c:scaling>
          <c:orientation val="maxMin"/>
        </c:scaling>
        <c:delete val="0"/>
        <c:axPos val="l"/>
        <c:numFmt formatCode="General" sourceLinked="1"/>
        <c:majorTickMark val="none"/>
        <c:minorTickMark val="none"/>
        <c:tickLblPos val="high"/>
        <c:spPr>
          <a:solidFill>
            <a:srgbClr val="FFFFFF"/>
          </a:solidFill>
          <a:ln w="19050">
            <a:solidFill>
              <a:srgbClr val="000000"/>
            </a:solidFill>
            <a:prstDash val="solid"/>
          </a:ln>
        </c:spPr>
        <c:txPr>
          <a:bodyPr rot="0" vert="horz" anchor="b" anchorCtr="1"/>
          <a:lstStyle/>
          <a:p>
            <a:pPr algn="just">
              <a:defRPr sz="800" b="0" i="0" u="none" strike="noStrike" baseline="0">
                <a:solidFill>
                  <a:srgbClr val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Times New Roman" panose="02020603050405020304" pitchFamily="18" charset="0"/>
              </a:defRPr>
            </a:pPr>
            <a:endParaRPr lang="pl-PL"/>
          </a:p>
        </c:txPr>
        <c:crossAx val="-697455200"/>
        <c:crossesAt val="100"/>
        <c:auto val="1"/>
        <c:lblAlgn val="ctr"/>
        <c:lblOffset val="20"/>
        <c:noMultiLvlLbl val="0"/>
      </c:catAx>
      <c:valAx>
        <c:axId val="-697455200"/>
        <c:scaling>
          <c:orientation val="minMax"/>
          <c:max val="130"/>
          <c:min val="80"/>
        </c:scaling>
        <c:delete val="0"/>
        <c:axPos val="b"/>
        <c:majorGridlines>
          <c:spPr>
            <a:ln w="3175">
              <a:solidFill>
                <a:srgbClr val="000000"/>
              </a:solidFill>
              <a:prstDash val="sysDash"/>
            </a:ln>
          </c:spPr>
        </c:majorGridlines>
        <c:numFmt formatCode="0" sourceLinked="0"/>
        <c:majorTickMark val="out"/>
        <c:minorTickMark val="none"/>
        <c:tickLblPos val="high"/>
        <c:spPr>
          <a:ln w="15875">
            <a:solidFill>
              <a:srgbClr val="000000"/>
            </a:solidFill>
            <a:prstDash val="solid"/>
          </a:ln>
        </c:spPr>
        <c:txPr>
          <a:bodyPr rot="0" vert="horz"/>
          <a:lstStyle/>
          <a:p>
            <a:pPr>
              <a:defRPr sz="850" b="0" i="0" u="none" strike="noStrike" baseline="0">
                <a:solidFill>
                  <a:srgbClr val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Arial" panose="020B0604020202020204" pitchFamily="34" charset="0"/>
              </a:defRPr>
            </a:pPr>
            <a:endParaRPr lang="pl-PL"/>
          </a:p>
        </c:txPr>
        <c:crossAx val="-697458464"/>
        <c:crosses val="max"/>
        <c:crossBetween val="between"/>
        <c:majorUnit val="5"/>
      </c:valAx>
      <c:spPr>
        <a:solidFill>
          <a:srgbClr val="FFFFFF"/>
        </a:solidFill>
        <a:ln w="9525">
          <a:noFill/>
          <a:prstDash val="solid"/>
        </a:ln>
      </c:spPr>
    </c:plotArea>
    <c:legend>
      <c:legendPos val="b"/>
      <c:legendEntry>
        <c:idx val="0"/>
        <c:txPr>
          <a:bodyPr rot="0" anchor="t" anchorCtr="1"/>
          <a:lstStyle/>
          <a:p>
            <a:pPr>
              <a:defRPr sz="850">
                <a:latin typeface="Fira Sans" panose="020B0503050000020004" pitchFamily="34" charset="0"/>
                <a:ea typeface="Fira Sans" panose="020B0503050000020004" pitchFamily="34" charset="0"/>
                <a:cs typeface="Times New Roman" panose="02020603050405020304" pitchFamily="18" charset="0"/>
              </a:defRPr>
            </a:pPr>
            <a:endParaRPr lang="pl-PL"/>
          </a:p>
        </c:txPr>
      </c:legendEntry>
      <c:legendEntry>
        <c:idx val="1"/>
        <c:txPr>
          <a:bodyPr rot="0" anchor="t" anchorCtr="1"/>
          <a:lstStyle/>
          <a:p>
            <a:pPr>
              <a:defRPr sz="850">
                <a:latin typeface="Fira Sans" panose="020B0503050000020004" pitchFamily="34" charset="0"/>
                <a:ea typeface="Fira Sans" panose="020B0503050000020004" pitchFamily="34" charset="0"/>
                <a:cs typeface="Times New Roman" panose="02020603050405020304" pitchFamily="18" charset="0"/>
              </a:defRPr>
            </a:pPr>
            <a:endParaRPr lang="pl-PL"/>
          </a:p>
        </c:txPr>
      </c:legendEntry>
      <c:layout>
        <c:manualLayout>
          <c:xMode val="edge"/>
          <c:yMode val="edge"/>
          <c:x val="0.57112265522442363"/>
          <c:y val="0.89146759401070286"/>
          <c:w val="0.32673167983473955"/>
          <c:h val="5.7086994560462553E-2"/>
        </c:manualLayout>
      </c:layout>
      <c:overlay val="0"/>
      <c:spPr>
        <a:ln>
          <a:solidFill>
            <a:schemeClr val="bg1"/>
          </a:solidFill>
        </a:ln>
      </c:spPr>
      <c:txPr>
        <a:bodyPr rot="0" anchor="t" anchorCtr="1"/>
        <a:lstStyle/>
        <a:p>
          <a:pPr>
            <a:defRPr sz="850">
              <a:latin typeface="Fira Sans" panose="020B0503050000020004" pitchFamily="34" charset="0"/>
              <a:ea typeface="Fira Sans" panose="020B0503050000020004" pitchFamily="34" charset="0"/>
              <a:cs typeface="Times New Roman" panose="02020603050405020304" pitchFamily="18" charset="0"/>
            </a:defRPr>
          </a:pPr>
          <a:endParaRPr lang="pl-PL"/>
        </a:p>
      </c:txPr>
    </c:legend>
    <c:plotVisOnly val="1"/>
    <c:dispBlanksAs val="gap"/>
    <c:showDLblsOverMax val="0"/>
  </c:chart>
  <c:spPr>
    <a:solidFill>
      <a:srgbClr val="FFFFFF"/>
    </a:solidFill>
    <a:ln w="6350">
      <a:noFill/>
      <a:prstDash val="solid"/>
    </a:ln>
  </c:spPr>
  <c:txPr>
    <a:bodyPr/>
    <a:lstStyle/>
    <a:p>
      <a:pPr>
        <a:defRPr sz="1175" b="0" i="0" u="none" strike="noStrike" baseline="0">
          <a:solidFill>
            <a:srgbClr val="000000"/>
          </a:solidFill>
          <a:latin typeface="Arial CE"/>
          <a:ea typeface="Arial CE"/>
          <a:cs typeface="Arial CE"/>
        </a:defRPr>
      </a:pPr>
      <a:endParaRPr lang="pl-PL"/>
    </a:p>
  </c:txPr>
  <c:externalData r:id="rId1">
    <c:autoUpdate val="0"/>
  </c:externalData>
  <c:userShapes r:id="rId2"/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6.2638923928775347E-2"/>
          <c:y val="7.9143513796526732E-2"/>
          <c:w val="0.93195636376071889"/>
          <c:h val="0.5524681435545945"/>
        </c:manualLayout>
      </c:layout>
      <c:barChart>
        <c:barDir val="col"/>
        <c:grouping val="clustered"/>
        <c:varyColors val="0"/>
        <c:ser>
          <c:idx val="0"/>
          <c:order val="0"/>
          <c:tx>
            <c:strRef>
              <c:f>'wykres słupkowy - czerwiec'!$B$18:$B$22</c:f>
              <c:strCache>
                <c:ptCount val="5"/>
                <c:pt idx="0">
                  <c:v>I </c:v>
                </c:pt>
                <c:pt idx="1">
                  <c:v>II</c:v>
                </c:pt>
                <c:pt idx="2">
                  <c:v>III</c:v>
                </c:pt>
                <c:pt idx="3">
                  <c:v>IV</c:v>
                </c:pt>
                <c:pt idx="4">
                  <c:v>V</c:v>
                </c:pt>
              </c:strCache>
            </c:strRef>
          </c:tx>
          <c:spPr>
            <a:solidFill>
              <a:schemeClr val="accent1">
                <a:alpha val="70000"/>
              </a:schemeClr>
            </a:solidFill>
            <a:ln>
              <a:noFill/>
            </a:ln>
            <a:effectLst/>
          </c:spPr>
          <c:invertIfNegative val="0"/>
          <c:dPt>
            <c:idx val="0"/>
            <c:invertIfNegative val="0"/>
            <c:bubble3D val="0"/>
            <c:spPr>
              <a:solidFill>
                <a:srgbClr val="D3DECD"/>
              </a:solidFill>
              <a:ln>
                <a:noFill/>
              </a:ln>
              <a:effectLst/>
            </c:spPr>
          </c:dPt>
          <c:dPt>
            <c:idx val="1"/>
            <c:invertIfNegative val="0"/>
            <c:bubble3D val="0"/>
            <c:spPr>
              <a:solidFill>
                <a:srgbClr val="CCE4F4"/>
              </a:solidFill>
              <a:ln>
                <a:noFill/>
              </a:ln>
              <a:effectLst/>
            </c:spPr>
          </c:dPt>
          <c:dPt>
            <c:idx val="2"/>
            <c:invertIfNegative val="0"/>
            <c:bubble3D val="0"/>
            <c:spPr>
              <a:solidFill>
                <a:srgbClr val="66AFDE"/>
              </a:solidFill>
              <a:ln>
                <a:noFill/>
              </a:ln>
              <a:effectLst/>
            </c:spPr>
          </c:dPt>
          <c:dPt>
            <c:idx val="3"/>
            <c:invertIfNegative val="0"/>
            <c:bubble3D val="0"/>
            <c:spPr>
              <a:solidFill>
                <a:srgbClr val="6677AD"/>
              </a:solidFill>
              <a:ln>
                <a:noFill/>
              </a:ln>
              <a:effectLst/>
            </c:spPr>
          </c:dPt>
          <c:dPt>
            <c:idx val="4"/>
            <c:invertIfNegative val="0"/>
            <c:bubble3D val="0"/>
            <c:spPr>
              <a:solidFill>
                <a:srgbClr val="334A92"/>
              </a:solidFill>
              <a:ln>
                <a:noFill/>
              </a:ln>
              <a:effectLst/>
            </c:spPr>
          </c:dPt>
          <c:dPt>
            <c:idx val="5"/>
            <c:invertIfNegative val="0"/>
            <c:bubble3D val="0"/>
            <c:spPr>
              <a:solidFill>
                <a:srgbClr val="001D77"/>
              </a:solidFill>
              <a:ln>
                <a:noFill/>
              </a:ln>
              <a:effectLst/>
            </c:spPr>
          </c:dPt>
          <c:dPt>
            <c:idx val="7"/>
            <c:invertIfNegative val="0"/>
            <c:bubble3D val="0"/>
            <c:spPr>
              <a:solidFill>
                <a:srgbClr val="D3DECD"/>
              </a:solidFill>
              <a:ln>
                <a:noFill/>
              </a:ln>
              <a:effectLst/>
            </c:spPr>
          </c:dPt>
          <c:dPt>
            <c:idx val="8"/>
            <c:invertIfNegative val="0"/>
            <c:bubble3D val="0"/>
            <c:spPr>
              <a:solidFill>
                <a:srgbClr val="CCE4F4"/>
              </a:solidFill>
              <a:ln>
                <a:noFill/>
              </a:ln>
              <a:effectLst/>
            </c:spPr>
          </c:dPt>
          <c:dPt>
            <c:idx val="9"/>
            <c:invertIfNegative val="0"/>
            <c:bubble3D val="0"/>
            <c:spPr>
              <a:solidFill>
                <a:srgbClr val="66AFDE"/>
              </a:solidFill>
              <a:ln>
                <a:noFill/>
              </a:ln>
              <a:effectLst/>
            </c:spPr>
          </c:dPt>
          <c:dPt>
            <c:idx val="10"/>
            <c:invertIfNegative val="0"/>
            <c:bubble3D val="0"/>
            <c:spPr>
              <a:solidFill>
                <a:srgbClr val="6677AD"/>
              </a:solidFill>
              <a:ln>
                <a:noFill/>
              </a:ln>
              <a:effectLst/>
            </c:spPr>
          </c:dPt>
          <c:dPt>
            <c:idx val="11"/>
            <c:invertIfNegative val="0"/>
            <c:bubble3D val="0"/>
            <c:spPr>
              <a:solidFill>
                <a:srgbClr val="334A92"/>
              </a:solidFill>
              <a:ln>
                <a:noFill/>
              </a:ln>
              <a:effectLst/>
            </c:spPr>
          </c:dPt>
          <c:dPt>
            <c:idx val="12"/>
            <c:invertIfNegative val="0"/>
            <c:bubble3D val="0"/>
            <c:spPr>
              <a:solidFill>
                <a:srgbClr val="001D77"/>
              </a:solidFill>
              <a:ln>
                <a:noFill/>
              </a:ln>
              <a:effectLst/>
            </c:spPr>
          </c:dPt>
          <c:dPt>
            <c:idx val="14"/>
            <c:invertIfNegative val="0"/>
            <c:bubble3D val="0"/>
            <c:spPr>
              <a:solidFill>
                <a:srgbClr val="D3DECD"/>
              </a:solidFill>
              <a:ln>
                <a:noFill/>
              </a:ln>
              <a:effectLst/>
            </c:spPr>
          </c:dPt>
          <c:dPt>
            <c:idx val="15"/>
            <c:invertIfNegative val="0"/>
            <c:bubble3D val="0"/>
            <c:spPr>
              <a:solidFill>
                <a:srgbClr val="CCE4F4"/>
              </a:solidFill>
              <a:ln>
                <a:noFill/>
              </a:ln>
              <a:effectLst/>
            </c:spPr>
          </c:dPt>
          <c:dPt>
            <c:idx val="16"/>
            <c:invertIfNegative val="0"/>
            <c:bubble3D val="0"/>
            <c:spPr>
              <a:solidFill>
                <a:srgbClr val="66AFDE"/>
              </a:solidFill>
              <a:ln>
                <a:noFill/>
              </a:ln>
              <a:effectLst/>
            </c:spPr>
          </c:dPt>
          <c:dPt>
            <c:idx val="17"/>
            <c:invertIfNegative val="0"/>
            <c:bubble3D val="0"/>
            <c:spPr>
              <a:solidFill>
                <a:srgbClr val="6677AD"/>
              </a:solidFill>
              <a:ln>
                <a:noFill/>
              </a:ln>
              <a:effectLst/>
            </c:spPr>
          </c:dPt>
          <c:dPt>
            <c:idx val="18"/>
            <c:invertIfNegative val="0"/>
            <c:bubble3D val="0"/>
            <c:spPr>
              <a:solidFill>
                <a:srgbClr val="334A92"/>
              </a:solidFill>
              <a:ln>
                <a:noFill/>
              </a:ln>
              <a:effectLst/>
            </c:spPr>
          </c:dPt>
          <c:dPt>
            <c:idx val="19"/>
            <c:invertIfNegative val="0"/>
            <c:bubble3D val="0"/>
            <c:spPr>
              <a:solidFill>
                <a:srgbClr val="001D77"/>
              </a:solidFill>
              <a:ln>
                <a:noFill/>
              </a:ln>
              <a:effectLst/>
            </c:spPr>
          </c:dPt>
          <c:dPt>
            <c:idx val="21"/>
            <c:invertIfNegative val="0"/>
            <c:bubble3D val="0"/>
            <c:spPr>
              <a:solidFill>
                <a:srgbClr val="D3DECD"/>
              </a:solidFill>
              <a:ln>
                <a:noFill/>
              </a:ln>
              <a:effectLst/>
            </c:spPr>
          </c:dPt>
          <c:dPt>
            <c:idx val="22"/>
            <c:invertIfNegative val="0"/>
            <c:bubble3D val="0"/>
            <c:spPr>
              <a:solidFill>
                <a:srgbClr val="CCE4F4"/>
              </a:solidFill>
              <a:ln>
                <a:noFill/>
              </a:ln>
              <a:effectLst/>
            </c:spPr>
          </c:dPt>
          <c:dPt>
            <c:idx val="23"/>
            <c:invertIfNegative val="0"/>
            <c:bubble3D val="0"/>
            <c:spPr>
              <a:solidFill>
                <a:srgbClr val="66AFDE"/>
              </a:solidFill>
              <a:ln>
                <a:noFill/>
              </a:ln>
              <a:effectLst/>
            </c:spPr>
          </c:dPt>
          <c:dPt>
            <c:idx val="24"/>
            <c:invertIfNegative val="0"/>
            <c:bubble3D val="0"/>
            <c:spPr>
              <a:solidFill>
                <a:srgbClr val="6677AD"/>
              </a:solidFill>
              <a:ln>
                <a:noFill/>
              </a:ln>
              <a:effectLst/>
            </c:spPr>
          </c:dPt>
          <c:dPt>
            <c:idx val="25"/>
            <c:invertIfNegative val="0"/>
            <c:bubble3D val="0"/>
            <c:spPr>
              <a:solidFill>
                <a:srgbClr val="334A92"/>
              </a:solidFill>
              <a:ln>
                <a:noFill/>
              </a:ln>
              <a:effectLst/>
            </c:spPr>
          </c:dPt>
          <c:dPt>
            <c:idx val="26"/>
            <c:invertIfNegative val="0"/>
            <c:bubble3D val="0"/>
            <c:spPr>
              <a:solidFill>
                <a:srgbClr val="001D77"/>
              </a:solidFill>
              <a:ln>
                <a:noFill/>
              </a:ln>
              <a:effectLst/>
            </c:spPr>
          </c:dPt>
          <c:dPt>
            <c:idx val="28"/>
            <c:invertIfNegative val="0"/>
            <c:bubble3D val="0"/>
            <c:spPr>
              <a:solidFill>
                <a:srgbClr val="D3DECD"/>
              </a:solidFill>
              <a:ln>
                <a:noFill/>
              </a:ln>
              <a:effectLst/>
            </c:spPr>
          </c:dPt>
          <c:dPt>
            <c:idx val="29"/>
            <c:invertIfNegative val="0"/>
            <c:bubble3D val="0"/>
            <c:spPr>
              <a:solidFill>
                <a:srgbClr val="CCE4F4"/>
              </a:solidFill>
              <a:ln>
                <a:noFill/>
              </a:ln>
              <a:effectLst/>
            </c:spPr>
          </c:dPt>
          <c:dPt>
            <c:idx val="30"/>
            <c:invertIfNegative val="0"/>
            <c:bubble3D val="0"/>
            <c:spPr>
              <a:solidFill>
                <a:srgbClr val="66AFDE"/>
              </a:solidFill>
              <a:ln>
                <a:noFill/>
              </a:ln>
              <a:effectLst/>
            </c:spPr>
          </c:dPt>
          <c:dPt>
            <c:idx val="31"/>
            <c:invertIfNegative val="0"/>
            <c:bubble3D val="0"/>
            <c:spPr>
              <a:solidFill>
                <a:srgbClr val="6677AD"/>
              </a:solidFill>
              <a:ln>
                <a:noFill/>
              </a:ln>
              <a:effectLst/>
            </c:spPr>
          </c:dPt>
          <c:dPt>
            <c:idx val="32"/>
            <c:invertIfNegative val="0"/>
            <c:bubble3D val="0"/>
            <c:spPr>
              <a:solidFill>
                <a:srgbClr val="334A92"/>
              </a:solidFill>
              <a:ln>
                <a:noFill/>
              </a:ln>
              <a:effectLst/>
            </c:spPr>
          </c:dPt>
          <c:dPt>
            <c:idx val="33"/>
            <c:invertIfNegative val="0"/>
            <c:bubble3D val="0"/>
            <c:spPr>
              <a:solidFill>
                <a:srgbClr val="001D77"/>
              </a:solidFill>
              <a:ln>
                <a:noFill/>
              </a:ln>
              <a:effectLst/>
            </c:spPr>
          </c:dPt>
          <c:cat>
            <c:multiLvlStrRef>
              <c:f>'wykres słupkowy - czerwiec'!$A$4:$B$37</c:f>
              <c:multiLvlStrCache>
                <c:ptCount val="34"/>
                <c:lvl>
                  <c:pt idx="0">
                    <c:v>I </c:v>
                  </c:pt>
                  <c:pt idx="1">
                    <c:v>II</c:v>
                  </c:pt>
                  <c:pt idx="2">
                    <c:v>III</c:v>
                  </c:pt>
                  <c:pt idx="3">
                    <c:v>IV</c:v>
                  </c:pt>
                  <c:pt idx="4">
                    <c:v>V</c:v>
                  </c:pt>
                  <c:pt idx="5">
                    <c:v>VI</c:v>
                  </c:pt>
                  <c:pt idx="7">
                    <c:v>I </c:v>
                  </c:pt>
                  <c:pt idx="8">
                    <c:v>II</c:v>
                  </c:pt>
                  <c:pt idx="9">
                    <c:v>III</c:v>
                  </c:pt>
                  <c:pt idx="10">
                    <c:v>IV</c:v>
                  </c:pt>
                  <c:pt idx="11">
                    <c:v>V</c:v>
                  </c:pt>
                  <c:pt idx="12">
                    <c:v>VI</c:v>
                  </c:pt>
                  <c:pt idx="14">
                    <c:v>I </c:v>
                  </c:pt>
                  <c:pt idx="15">
                    <c:v>II</c:v>
                  </c:pt>
                  <c:pt idx="16">
                    <c:v>III</c:v>
                  </c:pt>
                  <c:pt idx="17">
                    <c:v>IV</c:v>
                  </c:pt>
                  <c:pt idx="18">
                    <c:v>V</c:v>
                  </c:pt>
                  <c:pt idx="19">
                    <c:v>VI</c:v>
                  </c:pt>
                  <c:pt idx="21">
                    <c:v>I </c:v>
                  </c:pt>
                  <c:pt idx="22">
                    <c:v>II</c:v>
                  </c:pt>
                  <c:pt idx="23">
                    <c:v>III</c:v>
                  </c:pt>
                  <c:pt idx="24">
                    <c:v>IV</c:v>
                  </c:pt>
                  <c:pt idx="25">
                    <c:v>V</c:v>
                  </c:pt>
                  <c:pt idx="26">
                    <c:v>VI</c:v>
                  </c:pt>
                  <c:pt idx="28">
                    <c:v>I </c:v>
                  </c:pt>
                  <c:pt idx="29">
                    <c:v>II</c:v>
                  </c:pt>
                  <c:pt idx="30">
                    <c:v>III</c:v>
                  </c:pt>
                  <c:pt idx="31">
                    <c:v>IV</c:v>
                  </c:pt>
                  <c:pt idx="32">
                    <c:v>V</c:v>
                  </c:pt>
                  <c:pt idx="33">
                    <c:v>VI</c:v>
                  </c:pt>
                </c:lvl>
                <c:lvl>
                  <c:pt idx="0">
                    <c:v>Produkcja pojazdów samochodowych, przyczep i naczep</c:v>
                  </c:pt>
                  <c:pt idx="7">
                    <c:v>Produkcja skór i wyrobów skórzanych</c:v>
                  </c:pt>
                  <c:pt idx="14">
                    <c:v>Produkcja maszyn i urzdzeń</c:v>
                  </c:pt>
                  <c:pt idx="21">
                    <c:v>Produkcja napojów</c:v>
                  </c:pt>
                  <c:pt idx="28">
                    <c:v>Produkcja metali</c:v>
                  </c:pt>
                </c:lvl>
              </c:multiLvlStrCache>
            </c:multiLvlStrRef>
          </c:cat>
          <c:val>
            <c:numRef>
              <c:f>'wykres słupkowy - czerwiec'!$C$4:$C$37</c:f>
              <c:numCache>
                <c:formatCode>0.0_ ;[Red]\-0.0\ </c:formatCode>
                <c:ptCount val="34"/>
                <c:pt idx="0">
                  <c:v>117.4</c:v>
                </c:pt>
                <c:pt idx="1">
                  <c:v>108.3</c:v>
                </c:pt>
                <c:pt idx="2">
                  <c:v>75.8</c:v>
                </c:pt>
                <c:pt idx="3">
                  <c:v>28</c:v>
                </c:pt>
                <c:pt idx="4">
                  <c:v>209.7</c:v>
                </c:pt>
                <c:pt idx="5">
                  <c:v>180.5</c:v>
                </c:pt>
                <c:pt idx="7">
                  <c:v>131.5</c:v>
                </c:pt>
                <c:pt idx="8">
                  <c:v>107.1</c:v>
                </c:pt>
                <c:pt idx="9">
                  <c:v>78.900000000000006</c:v>
                </c:pt>
                <c:pt idx="10">
                  <c:v>40</c:v>
                </c:pt>
                <c:pt idx="11">
                  <c:v>191.4</c:v>
                </c:pt>
                <c:pt idx="12">
                  <c:v>137.19999999999999</c:v>
                </c:pt>
                <c:pt idx="14">
                  <c:v>72.099999999999994</c:v>
                </c:pt>
                <c:pt idx="15">
                  <c:v>121.6</c:v>
                </c:pt>
                <c:pt idx="16">
                  <c:v>104.4</c:v>
                </c:pt>
                <c:pt idx="17">
                  <c:v>68.7</c:v>
                </c:pt>
                <c:pt idx="18">
                  <c:v>109.6</c:v>
                </c:pt>
                <c:pt idx="19">
                  <c:v>122</c:v>
                </c:pt>
                <c:pt idx="21">
                  <c:v>82</c:v>
                </c:pt>
                <c:pt idx="22">
                  <c:v>112.5</c:v>
                </c:pt>
                <c:pt idx="23">
                  <c:v>116.1</c:v>
                </c:pt>
                <c:pt idx="24">
                  <c:v>100.3</c:v>
                </c:pt>
                <c:pt idx="25">
                  <c:v>94</c:v>
                </c:pt>
                <c:pt idx="26">
                  <c:v>120.6</c:v>
                </c:pt>
                <c:pt idx="28">
                  <c:v>133.5</c:v>
                </c:pt>
                <c:pt idx="29">
                  <c:v>98.6</c:v>
                </c:pt>
                <c:pt idx="30">
                  <c:v>103.8</c:v>
                </c:pt>
                <c:pt idx="31">
                  <c:v>77.5</c:v>
                </c:pt>
                <c:pt idx="32">
                  <c:v>102.3</c:v>
                </c:pt>
                <c:pt idx="33">
                  <c:v>106.3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80"/>
        <c:overlap val="25"/>
        <c:axId val="-697454656"/>
        <c:axId val="-697457376"/>
        <c:extLst>
          <c:ext xmlns:c15="http://schemas.microsoft.com/office/drawing/2012/chart" uri="{02D57815-91ED-43cb-92C2-25804820EDAC}">
            <c15:filteredBarSeries>
              <c15:ser>
                <c:idx val="1"/>
                <c:order val="1"/>
                <c:spPr>
                  <a:solidFill>
                    <a:schemeClr val="accent2">
                      <a:alpha val="70000"/>
                    </a:schemeClr>
                  </a:solidFill>
                  <a:ln>
                    <a:noFill/>
                  </a:ln>
                  <a:effectLst/>
                </c:spPr>
                <c:invertIfNegative val="0"/>
                <c:cat>
                  <c:multiLvlStrRef>
                    <c:extLst>
                      <c:ext uri="{02D57815-91ED-43cb-92C2-25804820EDAC}">
                        <c15:formulaRef>
                          <c15:sqref>'wykres słupkowy - czerwiec'!$A$4:$B$37</c15:sqref>
                        </c15:formulaRef>
                      </c:ext>
                    </c:extLst>
                    <c:multiLvlStrCache>
                      <c:ptCount val="34"/>
                      <c:lvl>
                        <c:pt idx="0">
                          <c:v>I </c:v>
                        </c:pt>
                        <c:pt idx="1">
                          <c:v>II</c:v>
                        </c:pt>
                        <c:pt idx="2">
                          <c:v>III</c:v>
                        </c:pt>
                        <c:pt idx="3">
                          <c:v>IV</c:v>
                        </c:pt>
                        <c:pt idx="4">
                          <c:v>V</c:v>
                        </c:pt>
                        <c:pt idx="5">
                          <c:v>VI</c:v>
                        </c:pt>
                        <c:pt idx="7">
                          <c:v>I </c:v>
                        </c:pt>
                        <c:pt idx="8">
                          <c:v>II</c:v>
                        </c:pt>
                        <c:pt idx="9">
                          <c:v>III</c:v>
                        </c:pt>
                        <c:pt idx="10">
                          <c:v>IV</c:v>
                        </c:pt>
                        <c:pt idx="11">
                          <c:v>V</c:v>
                        </c:pt>
                        <c:pt idx="12">
                          <c:v>VI</c:v>
                        </c:pt>
                        <c:pt idx="14">
                          <c:v>I </c:v>
                        </c:pt>
                        <c:pt idx="15">
                          <c:v>II</c:v>
                        </c:pt>
                        <c:pt idx="16">
                          <c:v>III</c:v>
                        </c:pt>
                        <c:pt idx="17">
                          <c:v>IV</c:v>
                        </c:pt>
                        <c:pt idx="18">
                          <c:v>V</c:v>
                        </c:pt>
                        <c:pt idx="19">
                          <c:v>VI</c:v>
                        </c:pt>
                        <c:pt idx="21">
                          <c:v>I </c:v>
                        </c:pt>
                        <c:pt idx="22">
                          <c:v>II</c:v>
                        </c:pt>
                        <c:pt idx="23">
                          <c:v>III</c:v>
                        </c:pt>
                        <c:pt idx="24">
                          <c:v>IV</c:v>
                        </c:pt>
                        <c:pt idx="25">
                          <c:v>V</c:v>
                        </c:pt>
                        <c:pt idx="26">
                          <c:v>VI</c:v>
                        </c:pt>
                        <c:pt idx="28">
                          <c:v>I </c:v>
                        </c:pt>
                        <c:pt idx="29">
                          <c:v>II</c:v>
                        </c:pt>
                        <c:pt idx="30">
                          <c:v>III</c:v>
                        </c:pt>
                        <c:pt idx="31">
                          <c:v>IV</c:v>
                        </c:pt>
                        <c:pt idx="32">
                          <c:v>V</c:v>
                        </c:pt>
                        <c:pt idx="33">
                          <c:v>VI</c:v>
                        </c:pt>
                      </c:lvl>
                      <c:lvl>
                        <c:pt idx="0">
                          <c:v>Produkcja pojazdów samochodowych, przyczep i naczep</c:v>
                        </c:pt>
                        <c:pt idx="7">
                          <c:v>Produkcja skór i wyrobów skórzanych</c:v>
                        </c:pt>
                        <c:pt idx="14">
                          <c:v>Produkcja maszyn i urzdzeń</c:v>
                        </c:pt>
                        <c:pt idx="21">
                          <c:v>Produkcja napojów</c:v>
                        </c:pt>
                        <c:pt idx="28">
                          <c:v>Produkcja metali</c:v>
                        </c:pt>
                      </c:lvl>
                    </c:multiLvlStrCache>
                  </c:multiLvlStrRef>
                </c:cat>
                <c:val>
                  <c:numLit>
                    <c:formatCode>General</c:formatCode>
                    <c:ptCount val="1"/>
                    <c:pt idx="0">
                      <c:v>1</c:v>
                    </c:pt>
                  </c:numLit>
                </c:val>
              </c15:ser>
            </c15:filteredBarSeries>
          </c:ext>
        </c:extLst>
      </c:barChart>
      <c:catAx>
        <c:axId val="-697454656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15875" cap="flat" cmpd="sng" algn="ctr">
            <a:noFill/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800" b="0" i="0" u="none" strike="noStrike" kern="1200" cap="none" spc="20" normalizeH="0" baseline="0">
                <a:solidFill>
                  <a:sysClr val="windowText" lastClr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-697457376"/>
        <c:crosses val="autoZero"/>
        <c:auto val="1"/>
        <c:lblAlgn val="ctr"/>
        <c:lblOffset val="100"/>
        <c:noMultiLvlLbl val="0"/>
      </c:catAx>
      <c:valAx>
        <c:axId val="-697457376"/>
        <c:scaling>
          <c:orientation val="minMax"/>
          <c:max val="240"/>
        </c:scaling>
        <c:delete val="0"/>
        <c:axPos val="l"/>
        <c:majorGridlines>
          <c:spPr>
            <a:ln w="9525" cap="flat" cmpd="sng" algn="ctr">
              <a:solidFill>
                <a:schemeClr val="bg1">
                  <a:lumMod val="85000"/>
                </a:schemeClr>
              </a:solidFill>
              <a:round/>
            </a:ln>
            <a:effectLst/>
          </c:spPr>
        </c:majorGridlines>
        <c:numFmt formatCode="0" sourceLinked="0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800" b="0" i="0" u="none" strike="noStrike" kern="1200" spc="20" baseline="0">
                <a:solidFill>
                  <a:sysClr val="windowText" lastClr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-697454656"/>
        <c:crosses val="autoZero"/>
        <c:crossBetween val="between"/>
        <c:majorUnit val="40"/>
      </c:valAx>
      <c:spPr>
        <a:noFill/>
        <a:ln>
          <a:noFill/>
        </a:ln>
        <a:effectLst/>
      </c:spPr>
    </c:plotArea>
    <c:plotVisOnly val="1"/>
    <c:dispBlanksAs val="gap"/>
    <c:showDLblsOverMax val="0"/>
  </c:chart>
  <c:spPr>
    <a:solidFill>
      <a:schemeClr val="lt1"/>
    </a:solidFill>
    <a:ln w="9525" cap="flat" cmpd="sng" algn="ctr">
      <a:noFill/>
      <a:round/>
    </a:ln>
    <a:effectLst/>
  </c:spPr>
  <c:txPr>
    <a:bodyPr/>
    <a:lstStyle/>
    <a:p>
      <a:pPr>
        <a:defRPr/>
      </a:pPr>
      <a:endParaRPr lang="pl-PL"/>
    </a:p>
  </c:txPr>
  <c:externalData r:id="rId3">
    <c:autoUpdate val="0"/>
  </c:externalData>
</c:chartSpace>
</file>

<file path=word/charts/colors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2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style1.xml><?xml version="1.0" encoding="utf-8"?>
<cs:chartStyle xmlns:cs="http://schemas.microsoft.com/office/drawing/2012/chartStyle" xmlns:a="http://schemas.openxmlformats.org/drawingml/2006/main" id="332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2.xml><?xml version="1.0" encoding="utf-8"?>
<cs:chartStyle xmlns:cs="http://schemas.microsoft.com/office/drawing/2012/chartStyle" xmlns:a="http://schemas.openxmlformats.org/drawingml/2006/main" id="215">
  <cs:axisTitle>
    <cs:lnRef idx="0"/>
    <cs:fillRef idx="0"/>
    <cs:effectRef idx="0"/>
    <cs:fontRef idx="minor">
      <a:schemeClr val="tx1">
        <a:lumMod val="65000"/>
        <a:lumOff val="35000"/>
      </a:schemeClr>
    </cs:fontRef>
    <cs:defRPr sz="900" kern="1200" cap="all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15875" cap="flat" cmpd="sng" algn="ctr">
        <a:solidFill>
          <a:schemeClr val="tx1">
            <a:lumMod val="25000"/>
            <a:lumOff val="75000"/>
          </a:schemeClr>
        </a:solidFill>
        <a:round/>
      </a:ln>
    </cs:spPr>
    <cs:defRPr sz="900" kern="1200" cap="none" spc="20" normalizeH="0" baseline="0"/>
  </cs:categoryAxis>
  <cs:chartArea mods="allowNoFillOverride allowNoLineOverride">
    <cs:lnRef idx="0"/>
    <cs:fillRef idx="0"/>
    <cs:effectRef idx="0"/>
    <cs:fontRef idx="minor">
      <a:schemeClr val="dk1"/>
    </cs:fontRef>
    <cs:spPr>
      <a:solidFill>
        <a:schemeClr val="lt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bg1"/>
    </cs:fontRef>
    <cs:spPr>
      <a:solidFill>
        <a:schemeClr val="tx1">
          <a:lumMod val="50000"/>
          <a:lumOff val="50000"/>
        </a:schemeClr>
      </a:solidFill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0">
      <cs:styleClr val="auto"/>
    </cs:fillRef>
    <cs:effectRef idx="0"/>
    <cs:fontRef idx="minor">
      <a:schemeClr val="dk1"/>
    </cs:fontRef>
    <cs:spPr>
      <a:solidFill>
        <a:schemeClr val="phClr">
          <a:alpha val="70000"/>
        </a:schemeClr>
      </a:solidFill>
    </cs:spPr>
  </cs:dataPoint>
  <cs:dataPoint3D>
    <cs:lnRef idx="0"/>
    <cs:fillRef idx="0">
      <cs:styleClr val="auto"/>
    </cs:fillRef>
    <cs:effectRef idx="0"/>
    <cs:fontRef idx="minor">
      <a:schemeClr val="dk1"/>
    </cs:fontRef>
    <cs:spPr>
      <a:solidFill>
        <a:schemeClr val="phClr">
          <a:alpha val="70000"/>
        </a:schemeClr>
      </a:solidFill>
    </cs:spPr>
  </cs:dataPoint3D>
  <cs:dataPointLine>
    <cs:lnRef idx="0">
      <cs:styleClr val="auto"/>
    </cs:lnRef>
    <cs:fillRef idx="0"/>
    <cs:effectRef idx="0"/>
    <cs:fontRef idx="minor">
      <a:schemeClr val="dk1"/>
    </cs:fontRef>
    <cs:spPr>
      <a:ln w="28575" cap="rnd">
        <a:solidFill>
          <a:schemeClr val="phClr">
            <a:alpha val="70000"/>
          </a:schemeClr>
        </a:solidFill>
        <a:round/>
      </a:ln>
    </cs:spPr>
  </cs:dataPointLine>
  <cs:dataPointMarker>
    <cs:lnRef idx="0"/>
    <cs:fillRef idx="0">
      <cs:styleClr val="auto"/>
    </cs:fillRef>
    <cs:effectRef idx="0"/>
    <cs:fontRef idx="minor">
      <a:schemeClr val="dk1"/>
    </cs:fontRef>
    <cs:spPr>
      <a:solidFill>
        <a:schemeClr val="phClr">
          <a:alpha val="70000"/>
        </a:schemeClr>
      </a:solidFill>
    </cs:spPr>
  </cs:dataPointMarker>
  <cs:dataPointMarkerLayout symbol="circle" size="6"/>
  <cs:dataPointWireframe>
    <cs:lnRef idx="0">
      <cs:styleClr val="auto"/>
    </cs:lnRef>
    <cs:fillRef idx="0"/>
    <cs:effectRef idx="0"/>
    <cs:fontRef idx="minor">
      <a:schemeClr val="dk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ln w="9525">
        <a:solidFill>
          <a:schemeClr val="tx1">
            <a:lumMod val="15000"/>
            <a:lumOff val="85000"/>
          </a:schemeClr>
        </a:solidFill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75000"/>
          <a:lumOff val="2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dk1"/>
    </cs:fontRef>
    <cs:spPr>
      <a:ln w="9525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dk1"/>
    </cs:fontRef>
    <cs:spPr>
      <a:ln w="9525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dk1"/>
    </cs:fontRef>
  </cs:floor>
  <cs:gridlineMajor>
    <cs:lnRef idx="0"/>
    <cs:fillRef idx="0"/>
    <cs:effectRef idx="0"/>
    <cs:fontRef idx="minor">
      <a:schemeClr val="dk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ajor>
  <cs:gridlineMinor>
    <cs:lnRef idx="0"/>
    <cs:fillRef idx="0"/>
    <cs:effectRef idx="0"/>
    <cs:fontRef idx="minor">
      <a:schemeClr val="dk1"/>
    </cs:fontRef>
    <cs:spPr>
      <a:ln>
        <a:solidFill>
          <a:schemeClr val="tx1">
            <a:lumMod val="5000"/>
            <a:lumOff val="95000"/>
          </a:schemeClr>
        </a:solidFill>
      </a:ln>
    </cs:spPr>
  </cs:gridlineMinor>
  <cs:hiLoLine>
    <cs:lnRef idx="0"/>
    <cs:fillRef idx="0"/>
    <cs:effectRef idx="0"/>
    <cs:fontRef idx="minor">
      <a:schemeClr val="dk1"/>
    </cs:fontRef>
    <cs:spPr>
      <a:ln w="9525">
        <a:solidFill>
          <a:schemeClr val="tx1">
            <a:lumMod val="35000"/>
            <a:lumOff val="65000"/>
          </a:schemeClr>
        </a:solidFill>
        <a:round/>
      </a:ln>
    </cs:spPr>
  </cs:hiLoLine>
  <cs:leaderLine>
    <cs:lnRef idx="0"/>
    <cs:fillRef idx="0"/>
    <cs:effectRef idx="0"/>
    <cs:fontRef idx="minor">
      <a:schemeClr val="dk1"/>
    </cs:fontRef>
    <cs:spPr>
      <a:ln w="9525">
        <a:solidFill>
          <a:schemeClr val="tx1">
            <a:lumMod val="35000"/>
            <a:lumOff val="65000"/>
          </a:schemeClr>
        </a:solidFill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 baseline="0"/>
  </cs:legend>
  <cs:plotArea mods="allowNoFillOverride allowNoLineOverride">
    <cs:lnRef idx="0"/>
    <cs:fillRef idx="0"/>
    <cs:effectRef idx="0"/>
    <cs:fontRef idx="minor">
      <a:schemeClr val="dk1"/>
    </cs:fontRef>
  </cs:plotArea>
  <cs:plotArea3D mods="allowNoFillOverride allowNoLineOverride">
    <cs:lnRef idx="0"/>
    <cs:fillRef idx="0"/>
    <cs:effectRef idx="0"/>
    <cs:fontRef idx="minor">
      <a:schemeClr val="dk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dk1"/>
    </cs:fontRef>
    <cs:spPr>
      <a:ln w="9525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ajor">
      <a:schemeClr val="tx1">
        <a:lumMod val="65000"/>
        <a:lumOff val="35000"/>
      </a:schemeClr>
    </cs:fontRef>
    <cs:defRPr sz="1600" b="0" i="0" kern="1200" cap="none" spc="50" normalizeH="0" baseline="0"/>
  </cs:title>
  <cs:trendline>
    <cs:lnRef idx="0">
      <cs:styleClr val="auto"/>
    </cs:lnRef>
    <cs:fillRef idx="0"/>
    <cs:effectRef idx="0"/>
    <cs:fontRef idx="minor">
      <a:schemeClr val="dk1"/>
    </cs:fontRef>
    <cs:spPr>
      <a:ln w="15875" cap="rnd">
        <a:solidFill>
          <a:schemeClr val="phClr"/>
        </a:solidFill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65000"/>
            <a:lumOff val="3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 spc="20" baseline="0"/>
  </cs:valueAxis>
  <cs:wall>
    <cs:lnRef idx="0"/>
    <cs:fillRef idx="0"/>
    <cs:effectRef idx="0"/>
    <cs:fontRef idx="minor">
      <a:schemeClr val="dk1"/>
    </cs:fontRef>
  </cs:wall>
</cs:chartStyle>
</file>

<file path=word/drawings/_rels/drawing1.xml.rels><?xml version="1.0" encoding="UTF-8" standalone="yes"?>
<Relationships xmlns="http://schemas.openxmlformats.org/package/2006/relationships"><Relationship Id="rId1" Type="http://schemas.openxmlformats.org/officeDocument/2006/relationships/image" Target="../media/image4.png"/></Relationships>
</file>

<file path=word/drawings/drawing1.xml><?xml version="1.0" encoding="utf-8"?>
<c:userShapes xmlns:c="http://schemas.openxmlformats.org/drawingml/2006/chart">
  <cdr:relSizeAnchor xmlns:cdr="http://schemas.openxmlformats.org/drawingml/2006/chartDrawing">
    <cdr:from>
      <cdr:x>0</cdr:x>
      <cdr:y>0</cdr:y>
    </cdr:from>
    <cdr:to>
      <cdr:x>0.00383</cdr:x>
      <cdr:y>0.00638</cdr:y>
    </cdr:to>
    <cdr:pic>
      <cdr:nvPicPr>
        <cdr:cNvPr id="3" name="chart">
          <a:extLst xmlns:a="http://schemas.openxmlformats.org/drawingml/2006/main">
            <a:ext uri="{FF2B5EF4-FFF2-40B4-BE49-F238E27FC236}">
              <a16:creationId xmlns="" xmlns:a16="http://schemas.microsoft.com/office/drawing/2014/main" id="{EA26ECD7-E1C1-4B6D-8FEE-040D2C6CD70B}"/>
            </a:ext>
          </a:extLst>
        </cdr:cNvPr>
        <cdr:cNvPicPr>
          <a:picLocks xmlns:a="http://schemas.openxmlformats.org/drawingml/2006/main" noChangeAspect="1"/>
        </cdr:cNvPicPr>
      </cdr:nvPicPr>
      <cdr:blipFill>
        <a:blip xmlns:a="http://schemas.openxmlformats.org/drawingml/2006/main" xmlns:r="http://schemas.openxmlformats.org/officeDocument/2006/relationships" r:embed="rId1"/>
        <a:stretch xmlns:a="http://schemas.openxmlformats.org/drawingml/2006/main">
          <a:fillRect/>
        </a:stretch>
      </cdr:blipFill>
      <cdr:spPr>
        <a:xfrm xmlns:a="http://schemas.openxmlformats.org/drawingml/2006/main">
          <a:off x="0" y="0"/>
          <a:ext cx="24386" cy="24386"/>
        </a:xfrm>
        <a:prstGeom xmlns:a="http://schemas.openxmlformats.org/drawingml/2006/main" prst="rect">
          <a:avLst/>
        </a:prstGeom>
      </cdr:spPr>
    </cdr:pic>
  </cdr:relSizeAnchor>
</c:userShape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fira">
      <a:majorFont>
        <a:latin typeface="Fira Sans Medium"/>
        <a:ea typeface=""/>
        <a:cs typeface=""/>
      </a:majorFont>
      <a:minorFont>
        <a:latin typeface="Fira Sans Light"/>
        <a:ea typeface=""/>
        <a:cs typeface="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Pisma" ma:contentTypeID="0x00FBEB7090D5ED8B4AADA9FC396769AC9B" ma:contentTypeVersion="" ma:contentTypeDescription="" ma:contentTypeScope="" ma:versionID="6bc347668491c2bd9b5b9ebe793d10d9">
  <xsd:schema xmlns:xsd="http://www.w3.org/2001/XMLSchema" xmlns:xs="http://www.w3.org/2001/XMLSchema" xmlns:p="http://schemas.microsoft.com/office/2006/metadata/properties" xmlns:ns1="http://schemas.microsoft.com/sharepoint/v3" xmlns:ns2="9070EBFB-EDD5-4A8B-ADA9-FC396769AC9B" targetNamespace="http://schemas.microsoft.com/office/2006/metadata/properties" ma:root="true" ma:fieldsID="14bc6af8e0d4c36dc6f6478fae101c15" ns1:_="" ns2:_="">
    <xsd:import namespace="http://schemas.microsoft.com/sharepoint/v3"/>
    <xsd:import namespace="9070EBFB-EDD5-4A8B-ADA9-FC396769AC9B"/>
    <xsd:element name="properties">
      <xsd:complexType>
        <xsd:sequence>
          <xsd:element name="documentManagement">
            <xsd:complexType>
              <xsd:all>
                <xsd:element ref="ns1:ID" minOccurs="0"/>
                <xsd:element ref="ns1:ContentTypeId" minOccurs="0"/>
                <xsd:element ref="ns1:Author" minOccurs="0"/>
                <xsd:element ref="ns1:Editor" minOccurs="0"/>
                <xsd:element ref="ns1:_HasCopyDestinations" minOccurs="0"/>
                <xsd:element ref="ns1:_CopySource" minOccurs="0"/>
                <xsd:element ref="ns1:_ModerationStatus" minOccurs="0"/>
                <xsd:element ref="ns1:_ModerationComments" minOccurs="0"/>
                <xsd:element ref="ns1:FileRef" minOccurs="0"/>
                <xsd:element ref="ns1:FileDirRef" minOccurs="0"/>
                <xsd:element ref="ns1:Last_x0020_Modified" minOccurs="0"/>
                <xsd:element ref="ns1:Created_x0020_Date" minOccurs="0"/>
                <xsd:element ref="ns1:File_x0020_Size" minOccurs="0"/>
                <xsd:element ref="ns1:FSObjType" minOccurs="0"/>
                <xsd:element ref="ns1:SortBehavior" minOccurs="0"/>
                <xsd:element ref="ns1:CheckedOutUserId" minOccurs="0"/>
                <xsd:element ref="ns1:IsCheckedoutToLocal" minOccurs="0"/>
                <xsd:element ref="ns1:CheckoutUser" minOccurs="0"/>
                <xsd:element ref="ns1:UniqueId" minOccurs="0"/>
                <xsd:element ref="ns1:SyncClientId" minOccurs="0"/>
                <xsd:element ref="ns1:ProgId" minOccurs="0"/>
                <xsd:element ref="ns1:ScopeId" minOccurs="0"/>
                <xsd:element ref="ns1:VirusStatus" minOccurs="0"/>
                <xsd:element ref="ns1:CheckedOutTitle" minOccurs="0"/>
                <xsd:element ref="ns1:_CheckinComment" minOccurs="0"/>
                <xsd:element ref="ns1:File_x0020_Type" minOccurs="0"/>
                <xsd:element ref="ns1:HTML_x0020_File_x0020_Type" minOccurs="0"/>
                <xsd:element ref="ns1:_SourceUrl" minOccurs="0"/>
                <xsd:element ref="ns1:_SharedFileIndex" minOccurs="0"/>
                <xsd:element ref="ns1:MetaInfo" minOccurs="0"/>
                <xsd:element ref="ns1:_Level" minOccurs="0"/>
                <xsd:element ref="ns1:_IsCurrentVersion" minOccurs="0"/>
                <xsd:element ref="ns1:ItemChildCount" minOccurs="0"/>
                <xsd:element ref="ns1:FolderChildCount" minOccurs="0"/>
                <xsd:element ref="ns1:AppAuthor" minOccurs="0"/>
                <xsd:element ref="ns1:AppEditor" minOccurs="0"/>
                <xsd:element ref="ns1:owshiddenversion" minOccurs="0"/>
                <xsd:element ref="ns1:_UIVersion" minOccurs="0"/>
                <xsd:element ref="ns1:_UIVersionString" minOccurs="0"/>
                <xsd:element ref="ns1:InstanceID" minOccurs="0"/>
                <xsd:element ref="ns1:Order" minOccurs="0"/>
                <xsd:element ref="ns1:GUID" minOccurs="0"/>
                <xsd:element ref="ns1:WorkflowVersion" minOccurs="0"/>
                <xsd:element ref="ns1:WorkflowInstanceID" minOccurs="0"/>
                <xsd:element ref="ns1:ParentVersionString" minOccurs="0"/>
                <xsd:element ref="ns1:ParentLeafName" minOccurs="0"/>
                <xsd:element ref="ns1:DocConcurrencyNumber" minOccurs="0"/>
                <xsd:element ref="ns1:TemplateUrl" minOccurs="0"/>
                <xsd:element ref="ns1:xd_ProgID" minOccurs="0"/>
                <xsd:element ref="ns1:xd_Signature" minOccurs="0"/>
                <xsd:element ref="ns2:Osoba" minOccurs="0"/>
                <xsd:element ref="ns2:NazwaPliku" minOccurs="0"/>
                <xsd:element ref="ns2:Odbiorcy2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ID" ma:index="0" nillable="true" ma:displayName="Identyfikator" ma:internalName="ID" ma:readOnly="true">
      <xsd:simpleType>
        <xsd:restriction base="dms:Unknown"/>
      </xsd:simpleType>
    </xsd:element>
    <xsd:element name="ContentTypeId" ma:index="1" nillable="true" ma:displayName="Identyfikator typu zawartości" ma:hidden="true" ma:internalName="ContentTypeId" ma:readOnly="true">
      <xsd:simpleType>
        <xsd:restriction base="dms:Unknown"/>
      </xsd:simpleType>
    </xsd:element>
    <xsd:element name="Author" ma:index="4" nillable="true" ma:displayName="Utworzony przez" ma:list="UserInfo" ma:internalName="Autho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Editor" ma:index="6" nillable="true" ma:displayName="Zmodyfikowane przez" ma:list="UserInfo" ma:internalName="Edito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_HasCopyDestinations" ma:index="7" nillable="true" ma:displayName="Ma miejsca docelowe kopii" ma:hidden="true" ma:internalName="_HasCopyDestinations" ma:readOnly="true">
      <xsd:simpleType>
        <xsd:restriction base="dms:Boolean"/>
      </xsd:simpleType>
    </xsd:element>
    <xsd:element name="_CopySource" ma:index="8" nillable="true" ma:displayName="Źródło kopii" ma:internalName="_CopySource" ma:readOnly="true">
      <xsd:simpleType>
        <xsd:restriction base="dms:Text"/>
      </xsd:simpleType>
    </xsd:element>
    <xsd:element name="_ModerationStatus" ma:index="9" nillable="true" ma:displayName="Stan zatwierdzania" ma:default="0" ma:hidden="true" ma:internalName="_ModerationStatus" ma:readOnly="true">
      <xsd:simpleType>
        <xsd:restriction base="dms:Unknown"/>
      </xsd:simpleType>
    </xsd:element>
    <xsd:element name="_ModerationComments" ma:index="10" nillable="true" ma:displayName="Komentarze osoby zatwierdzającej" ma:hidden="true" ma:internalName="_ModerationComments" ma:readOnly="true">
      <xsd:simpleType>
        <xsd:restriction base="dms:Note"/>
      </xsd:simpleType>
    </xsd:element>
    <xsd:element name="FileRef" ma:index="11" nillable="true" ma:displayName="Ścieżka adresu URL" ma:hidden="true" ma:list="Docs" ma:internalName="FileRef" ma:readOnly="true" ma:showField="FullUrl">
      <xsd:simpleType>
        <xsd:restriction base="dms:Lookup"/>
      </xsd:simpleType>
    </xsd:element>
    <xsd:element name="FileDirRef" ma:index="12" nillable="true" ma:displayName="Ścieżka" ma:hidden="true" ma:list="Docs" ma:internalName="FileDirRef" ma:readOnly="true" ma:showField="DirName">
      <xsd:simpleType>
        <xsd:restriction base="dms:Lookup"/>
      </xsd:simpleType>
    </xsd:element>
    <xsd:element name="Last_x0020_Modified" ma:index="13" nillable="true" ma:displayName="Zmodyfikowane" ma:format="TRUE" ma:hidden="true" ma:list="Docs" ma:internalName="Last_x0020_Modified" ma:readOnly="true" ma:showField="TimeLastModified">
      <xsd:simpleType>
        <xsd:restriction base="dms:Lookup"/>
      </xsd:simpleType>
    </xsd:element>
    <xsd:element name="Created_x0020_Date" ma:index="14" nillable="true" ma:displayName="Utworzony" ma:format="TRUE" ma:hidden="true" ma:list="Docs" ma:internalName="Created_x0020_Date" ma:readOnly="true" ma:showField="TimeCreated">
      <xsd:simpleType>
        <xsd:restriction base="dms:Lookup"/>
      </xsd:simpleType>
    </xsd:element>
    <xsd:element name="File_x0020_Size" ma:index="15" nillable="true" ma:displayName="Rozmiar pliku" ma:format="TRUE" ma:hidden="true" ma:list="Docs" ma:internalName="File_x0020_Size" ma:readOnly="true" ma:showField="SizeInKB">
      <xsd:simpleType>
        <xsd:restriction base="dms:Lookup"/>
      </xsd:simpleType>
    </xsd:element>
    <xsd:element name="FSObjType" ma:index="16" nillable="true" ma:displayName="Typ elementu" ma:hidden="true" ma:list="Docs" ma:internalName="FSObjType" ma:readOnly="true" ma:showField="FSType">
      <xsd:simpleType>
        <xsd:restriction base="dms:Lookup"/>
      </xsd:simpleType>
    </xsd:element>
    <xsd:element name="SortBehavior" ma:index="17" nillable="true" ma:displayName="Typ sortowania" ma:hidden="true" ma:list="Docs" ma:internalName="SortBehavior" ma:readOnly="true" ma:showField="SortBehavior">
      <xsd:simpleType>
        <xsd:restriction base="dms:Lookup"/>
      </xsd:simpleType>
    </xsd:element>
    <xsd:element name="CheckedOutUserId" ma:index="19" nillable="true" ma:displayName="Identyfikator użytkownika, który wyewidencjonował element" ma:hidden="true" ma:list="Docs" ma:internalName="CheckedOutUserId" ma:readOnly="true" ma:showField="CheckoutUserId">
      <xsd:simpleType>
        <xsd:restriction base="dms:Lookup"/>
      </xsd:simpleType>
    </xsd:element>
    <xsd:element name="IsCheckedoutToLocal" ma:index="20" nillable="true" ma:displayName="Wyewidencjonowany lokalnie" ma:hidden="true" ma:list="Docs" ma:internalName="IsCheckedoutToLocal" ma:readOnly="true" ma:showField="IsCheckoutToLocal">
      <xsd:simpleType>
        <xsd:restriction base="dms:Lookup"/>
      </xsd:simpleType>
    </xsd:element>
    <xsd:element name="CheckoutUser" ma:index="21" nillable="true" ma:displayName="Wyewidencjonowane do" ma:list="UserInfo" ma:internalName="CheckoutUse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UniqueId" ma:index="23" nillable="true" ma:displayName="Unikatowy identyfikator" ma:hidden="true" ma:list="Docs" ma:internalName="UniqueId" ma:readOnly="true" ma:showField="UniqueId">
      <xsd:simpleType>
        <xsd:restriction base="dms:Lookup"/>
      </xsd:simpleType>
    </xsd:element>
    <xsd:element name="SyncClientId" ma:index="24" nillable="true" ma:displayName="Identyfikator klienta" ma:hidden="true" ma:list="Docs" ma:internalName="SyncClientId" ma:readOnly="true" ma:showField="SyncClientId">
      <xsd:simpleType>
        <xsd:restriction base="dms:Lookup"/>
      </xsd:simpleType>
    </xsd:element>
    <xsd:element name="ProgId" ma:index="25" nillable="true" ma:displayName="ProgId" ma:hidden="true" ma:list="Docs" ma:internalName="ProgId" ma:readOnly="true" ma:showField="ProgId">
      <xsd:simpleType>
        <xsd:restriction base="dms:Lookup"/>
      </xsd:simpleType>
    </xsd:element>
    <xsd:element name="ScopeId" ma:index="26" nillable="true" ma:displayName="ScopeId" ma:hidden="true" ma:list="Docs" ma:internalName="ScopeId" ma:readOnly="true" ma:showField="ScopeId">
      <xsd:simpleType>
        <xsd:restriction base="dms:Lookup"/>
      </xsd:simpleType>
    </xsd:element>
    <xsd:element name="VirusStatus" ma:index="27" nillable="true" ma:displayName="Stan wirusów" ma:format="TRUE" ma:hidden="true" ma:list="Docs" ma:internalName="VirusStatus" ma:readOnly="true" ma:showField="Size">
      <xsd:simpleType>
        <xsd:restriction base="dms:Lookup"/>
      </xsd:simpleType>
    </xsd:element>
    <xsd:element name="CheckedOutTitle" ma:index="28" nillable="true" ma:displayName="Wyewidencjonowane do" ma:format="TRUE" ma:hidden="true" ma:list="Docs" ma:internalName="CheckedOutTitle" ma:readOnly="true" ma:showField="CheckedOutTitle">
      <xsd:simpleType>
        <xsd:restriction base="dms:Lookup"/>
      </xsd:simpleType>
    </xsd:element>
    <xsd:element name="_CheckinComment" ma:index="29" nillable="true" ma:displayName="Komentarz zaewidencjonowania" ma:format="TRUE" ma:list="Docs" ma:internalName="_CheckinComment" ma:readOnly="true" ma:showField="CheckinComment">
      <xsd:simpleType>
        <xsd:restriction base="dms:Lookup"/>
      </xsd:simpleType>
    </xsd:element>
    <xsd:element name="File_x0020_Type" ma:index="33" nillable="true" ma:displayName="Typ plików" ma:hidden="true" ma:internalName="File_x0020_Type" ma:readOnly="true">
      <xsd:simpleType>
        <xsd:restriction base="dms:Text"/>
      </xsd:simpleType>
    </xsd:element>
    <xsd:element name="HTML_x0020_File_x0020_Type" ma:index="34" nillable="true" ma:displayName="Typ pliku HTML" ma:hidden="true" ma:internalName="HTML_x0020_File_x0020_Type" ma:readOnly="true">
      <xsd:simpleType>
        <xsd:restriction base="dms:Text"/>
      </xsd:simpleType>
    </xsd:element>
    <xsd:element name="_SourceUrl" ma:index="35" nillable="true" ma:displayName="Adres URL źródła" ma:hidden="true" ma:internalName="_SourceUrl">
      <xsd:simpleType>
        <xsd:restriction base="dms:Text"/>
      </xsd:simpleType>
    </xsd:element>
    <xsd:element name="_SharedFileIndex" ma:index="36" nillable="true" ma:displayName="Indeks udostępnionych plików" ma:hidden="true" ma:internalName="_SharedFileIndex">
      <xsd:simpleType>
        <xsd:restriction base="dms:Text"/>
      </xsd:simpleType>
    </xsd:element>
    <xsd:element name="MetaInfo" ma:index="48" nillable="true" ma:displayName="Zbiór właściwości" ma:hidden="true" ma:list="Docs" ma:internalName="MetaInfo" ma:showField="MetaInfo">
      <xsd:simpleType>
        <xsd:restriction base="dms:Lookup"/>
      </xsd:simpleType>
    </xsd:element>
    <xsd:element name="_Level" ma:index="49" nillable="true" ma:displayName="Poziom" ma:hidden="true" ma:internalName="_Level" ma:readOnly="true">
      <xsd:simpleType>
        <xsd:restriction base="dms:Unknown"/>
      </xsd:simpleType>
    </xsd:element>
    <xsd:element name="_IsCurrentVersion" ma:index="50" nillable="true" ma:displayName="Jest bieżącą wersją" ma:hidden="true" ma:internalName="_IsCurrentVersion" ma:readOnly="true">
      <xsd:simpleType>
        <xsd:restriction base="dms:Boolean"/>
      </xsd:simpleType>
    </xsd:element>
    <xsd:element name="ItemChildCount" ma:index="51" nillable="true" ma:displayName="Liczba elementów podrzędnych elementu" ma:hidden="true" ma:list="Docs" ma:internalName="ItemChildCount" ma:readOnly="true" ma:showField="ItemChildCount">
      <xsd:simpleType>
        <xsd:restriction base="dms:Lookup"/>
      </xsd:simpleType>
    </xsd:element>
    <xsd:element name="FolderChildCount" ma:index="52" nillable="true" ma:displayName="Liczba elementów podrzędnych folderu" ma:hidden="true" ma:list="Docs" ma:internalName="FolderChildCount" ma:readOnly="true" ma:showField="FolderChildCount">
      <xsd:simpleType>
        <xsd:restriction base="dms:Lookup"/>
      </xsd:simpleType>
    </xsd:element>
    <xsd:element name="AppAuthor" ma:index="53" nillable="true" ma:displayName="Aplikacja utworzona przez" ma:list="AppPrincipals" ma:internalName="AppAuthor" ma:readOnly="true" ma:showField="Title">
      <xsd:simpleType>
        <xsd:restriction base="dms:Lookup"/>
      </xsd:simpleType>
    </xsd:element>
    <xsd:element name="AppEditor" ma:index="54" nillable="true" ma:displayName="Aplikacja zmodyfikowana przez" ma:list="AppPrincipals" ma:internalName="AppEditor" ma:readOnly="true" ma:showField="Title">
      <xsd:simpleType>
        <xsd:restriction base="dms:Lookup"/>
      </xsd:simpleType>
    </xsd:element>
    <xsd:element name="owshiddenversion" ma:index="58" nillable="true" ma:displayName="owshiddenversion" ma:hidden="true" ma:internalName="owshiddenversion" ma:readOnly="true">
      <xsd:simpleType>
        <xsd:restriction base="dms:Unknown"/>
      </xsd:simpleType>
    </xsd:element>
    <xsd:element name="_UIVersion" ma:index="59" nillable="true" ma:displayName="Wersja interfejsu użytkownika" ma:hidden="true" ma:internalName="_UIVersion" ma:readOnly="true">
      <xsd:simpleType>
        <xsd:restriction base="dms:Unknown"/>
      </xsd:simpleType>
    </xsd:element>
    <xsd:element name="_UIVersionString" ma:index="60" nillable="true" ma:displayName="Wersja" ma:internalName="_UIVersionString" ma:readOnly="true">
      <xsd:simpleType>
        <xsd:restriction base="dms:Text"/>
      </xsd:simpleType>
    </xsd:element>
    <xsd:element name="InstanceID" ma:index="61" nillable="true" ma:displayName="Identyfikator wystąpienia" ma:hidden="true" ma:internalName="InstanceID" ma:readOnly="true">
      <xsd:simpleType>
        <xsd:restriction base="dms:Unknown"/>
      </xsd:simpleType>
    </xsd:element>
    <xsd:element name="Order" ma:index="62" nillable="true" ma:displayName="Kolejność" ma:hidden="true" ma:internalName="Order">
      <xsd:simpleType>
        <xsd:restriction base="dms:Number"/>
      </xsd:simpleType>
    </xsd:element>
    <xsd:element name="GUID" ma:index="63" nillable="true" ma:displayName="Identyfikator GUID" ma:hidden="true" ma:internalName="GUID" ma:readOnly="true">
      <xsd:simpleType>
        <xsd:restriction base="dms:Unknown"/>
      </xsd:simpleType>
    </xsd:element>
    <xsd:element name="WorkflowVersion" ma:index="64" nillable="true" ma:displayName="Wersja przepływu pracy" ma:hidden="true" ma:internalName="WorkflowVersion" ma:readOnly="true">
      <xsd:simpleType>
        <xsd:restriction base="dms:Unknown"/>
      </xsd:simpleType>
    </xsd:element>
    <xsd:element name="WorkflowInstanceID" ma:index="65" nillable="true" ma:displayName="Identyfikator wystąpienia przepływu pracy" ma:hidden="true" ma:internalName="WorkflowInstanceID" ma:readOnly="true">
      <xsd:simpleType>
        <xsd:restriction base="dms:Unknown"/>
      </xsd:simpleType>
    </xsd:element>
    <xsd:element name="ParentVersionString" ma:index="66" nillable="true" ma:displayName="Wersja źródła (konwertowany dokument)" ma:hidden="true" ma:list="Docs" ma:internalName="ParentVersionString" ma:readOnly="true" ma:showField="ParentVersionString">
      <xsd:simpleType>
        <xsd:restriction base="dms:Lookup"/>
      </xsd:simpleType>
    </xsd:element>
    <xsd:element name="ParentLeafName" ma:index="67" nillable="true" ma:displayName="Nazwa źródła (konwertowany dokument)" ma:hidden="true" ma:list="Docs" ma:internalName="ParentLeafName" ma:readOnly="true" ma:showField="ParentLeafName">
      <xsd:simpleType>
        <xsd:restriction base="dms:Lookup"/>
      </xsd:simpleType>
    </xsd:element>
    <xsd:element name="DocConcurrencyNumber" ma:index="68" nillable="true" ma:displayName="Numer współbieżności dokumentu" ma:hidden="true" ma:list="Docs" ma:internalName="DocConcurrencyNumber" ma:readOnly="true" ma:showField="DocConcurrencyNumber">
      <xsd:simpleType>
        <xsd:restriction base="dms:Lookup"/>
      </xsd:simpleType>
    </xsd:element>
    <xsd:element name="TemplateUrl" ma:index="70" nillable="true" ma:displayName="Łącze szablonu" ma:hidden="true" ma:internalName="TemplateUrl">
      <xsd:simpleType>
        <xsd:restriction base="dms:Text"/>
      </xsd:simpleType>
    </xsd:element>
    <xsd:element name="xd_ProgID" ma:index="71" nillable="true" ma:displayName="Łącze pliku HTML" ma:hidden="true" ma:internalName="xd_ProgID">
      <xsd:simpleType>
        <xsd:restriction base="dms:Text"/>
      </xsd:simpleType>
    </xsd:element>
    <xsd:element name="xd_Signature" ma:index="72" nillable="true" ma:displayName="Jest podpisane" ma:hidden="true" ma:internalName="xd_Signature" ma:readOnly="true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070EBFB-EDD5-4A8B-ADA9-FC396769AC9B" elementFormDefault="qualified">
    <xsd:import namespace="http://schemas.microsoft.com/office/2006/documentManagement/types"/>
    <xsd:import namespace="http://schemas.microsoft.com/office/infopath/2007/PartnerControls"/>
    <xsd:element name="Osoba" ma:index="75" nillable="true" ma:displayName="Osoba" ma:description="" ma:internalName="Osoba">
      <xsd:simpleType>
        <xsd:restriction base="dms:Text"/>
      </xsd:simpleType>
    </xsd:element>
    <xsd:element name="NazwaPliku" ma:index="76" nillable="true" ma:displayName="NazwaPliku" ma:description="" ma:internalName="NazwaPliku">
      <xsd:simpleType>
        <xsd:restriction base="dms:Text"/>
      </xsd:simpleType>
    </xsd:element>
    <xsd:element name="Odbiorcy2" ma:index="77" nillable="true" ma:displayName="Odbiorcy2" ma:description="" ma:internalName="Odbiorcy2">
      <xsd:simpleType>
        <xsd:restriction base="dms:Choice">
          <xsd:enumeration value="Wszyscy"/>
          <xsd:enumeration value="GUS"/>
          <xsd:enumeration value="COIS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2" ma:displayName="Typ zawartości"/>
        <xsd:element ref="dc:title" minOccurs="0" maxOccurs="1" ma:index="69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emplateUrl xmlns="http://schemas.microsoft.com/sharepoint/v3" xsi:nil="true"/>
    <Odbiorcy2 xmlns="9070EBFB-EDD5-4A8B-ADA9-FC396769AC9B" xsi:nil="true"/>
    <Osoba xmlns="9070EBFB-EDD5-4A8B-ADA9-FC396769AC9B">STAT\MIETKOWSKAM</Osoba>
    <_SourceUrl xmlns="http://schemas.microsoft.com/sharepoint/v3" xsi:nil="true"/>
    <NazwaPliku xmlns="9070EBFB-EDD5-4A8B-ADA9-FC396769AC9B">Informacja sygnalna_przykładowa wizualizacja.docx.docx</NazwaPliku>
    <xd_ProgID xmlns="http://schemas.microsoft.com/sharepoint/v3" xsi:nil="true"/>
    <Order xmlns="http://schemas.microsoft.com/sharepoint/v3" xsi:nil="true"/>
    <_SharedFileIndex xmlns="http://schemas.microsoft.com/sharepoint/v3" xsi:nil="true"/>
    <MetaInfo xmlns="http://schemas.microsoft.com/sharepoint/v3" xsi:nil="true"/>
    <ContentTypeId xmlns="http://schemas.microsoft.com/sharepoint/v3">0x00FBEB7090D5ED8B4AADA9FC396769AC9B</ContentTypeId>
  </documentManagement>
</p:properti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5F11BC4-6E05-40F1-B298-A029E110C81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9070EBFB-EDD5-4A8B-ADA9-FC396769AC9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F0CA8B5C-31D1-44D8-BAA2-D57C9058BECB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  <ds:schemaRef ds:uri="9070EBFB-EDD5-4A8B-ADA9-FC396769AC9B"/>
  </ds:schemaRefs>
</ds:datastoreItem>
</file>

<file path=customXml/itemProps3.xml><?xml version="1.0" encoding="utf-8"?>
<ds:datastoreItem xmlns:ds="http://schemas.openxmlformats.org/officeDocument/2006/customXml" ds:itemID="{AE09C1CD-8ADF-4F82-95D7-3A1FBDA12F3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619</Words>
  <Characters>3718</Characters>
  <Application>Microsoft Office Word</Application>
  <DocSecurity>0</DocSecurity>
  <Lines>30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Budownictwo mieszkaniowe w styczniu 2020 roku</vt:lpstr>
    </vt:vector>
  </TitlesOfParts>
  <Company>Główny Urząd Statystyczny</Company>
  <LinksUpToDate>false</LinksUpToDate>
  <CharactersWithSpaces>4329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Budownictwo mieszkaniowe w styczniu 2020 roku</dc:title>
  <dc:subject>Budownictwo mieszkaniowe w styczniu 2020 roku</dc:subject>
  <dc:creator>Łokietek Katarzyna</dc:creator>
  <cp:keywords>mieszkania oddane do użytkowania; mieszkania w budowie; mieszkania rozpoczęte; pozwolenie na budowę; powierzchnia użytkowa</cp:keywords>
  <cp:lastModifiedBy>Mietkowska-Wąsińska Małgorzata</cp:lastModifiedBy>
  <cp:revision>2</cp:revision>
  <cp:lastPrinted>2020-04-20T11:28:00Z</cp:lastPrinted>
  <dcterms:created xsi:type="dcterms:W3CDTF">2020-07-20T06:24:00Z</dcterms:created>
  <dcterms:modified xsi:type="dcterms:W3CDTF">2020-07-20T06:24:00Z</dcterms:modified>
  <cp:category>Budownictwo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0x01010044DF1BA9951007438FCA488A6A01397F</vt:lpwstr>
  </property>
</Properties>
</file>