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0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1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128336" w14:textId="6FA0B1B3" w:rsidR="0098135C" w:rsidRDefault="00530074" w:rsidP="00074DD8">
      <w:pPr>
        <w:pStyle w:val="tytuinformacji"/>
        <w:rPr>
          <w:shd w:val="clear" w:color="auto" w:fill="FFFFFF"/>
        </w:rPr>
      </w:pPr>
      <w:bookmarkStart w:id="0" w:name="_GoBack"/>
      <w:bookmarkEnd w:id="0"/>
      <w:r w:rsidRPr="00530074">
        <w:rPr>
          <w:shd w:val="clear" w:color="auto" w:fill="FFFFFF"/>
        </w:rPr>
        <w:t>Koniunktura konsumencka</w:t>
      </w:r>
      <w:r w:rsidR="00074DD8" w:rsidRPr="00530074">
        <w:rPr>
          <w:shd w:val="clear" w:color="auto" w:fill="FFFFFF"/>
        </w:rPr>
        <w:t xml:space="preserve"> </w:t>
      </w:r>
      <w:r w:rsidRPr="00530074">
        <w:rPr>
          <w:shd w:val="clear" w:color="auto" w:fill="FFFFFF"/>
        </w:rPr>
        <w:t xml:space="preserve">– </w:t>
      </w:r>
      <w:r w:rsidR="00586276">
        <w:rPr>
          <w:shd w:val="clear" w:color="auto" w:fill="FFFFFF"/>
        </w:rPr>
        <w:t>kwiecień</w:t>
      </w:r>
      <w:r w:rsidR="00112723">
        <w:rPr>
          <w:shd w:val="clear" w:color="auto" w:fill="FFFFFF"/>
        </w:rPr>
        <w:t xml:space="preserve"> 2020</w:t>
      </w:r>
      <w:r w:rsidRPr="00530074">
        <w:rPr>
          <w:shd w:val="clear" w:color="auto" w:fill="FFFFFF"/>
        </w:rPr>
        <w:t xml:space="preserve"> r.</w:t>
      </w:r>
    </w:p>
    <w:p w14:paraId="1C6F9CD2" w14:textId="03FF7E46" w:rsidR="00CF538E" w:rsidRPr="00CF538E" w:rsidRDefault="000A76BB" w:rsidP="00CF538E">
      <w:pPr>
        <w:pStyle w:val="tekstzboku"/>
        <w:rPr>
          <w:b/>
          <w:color w:val="auto"/>
          <w:sz w:val="19"/>
          <w:szCs w:val="19"/>
        </w:rPr>
      </w:pPr>
      <w:r w:rsidRPr="00CF538E">
        <w:rPr>
          <w:b/>
          <w:noProof/>
          <w:color w:val="auto"/>
          <w:sz w:val="19"/>
          <w:szCs w:val="19"/>
        </w:rPr>
        <mc:AlternateContent>
          <mc:Choice Requires="wps">
            <w:drawing>
              <wp:anchor distT="45720" distB="45720" distL="114300" distR="114300" simplePos="0" relativeHeight="251757568" behindDoc="0" locked="0" layoutInCell="1" allowOverlap="1" wp14:anchorId="3F517D33" wp14:editId="34638CFC">
                <wp:simplePos x="0" y="0"/>
                <wp:positionH relativeFrom="margin">
                  <wp:align>left</wp:align>
                </wp:positionH>
                <wp:positionV relativeFrom="paragraph">
                  <wp:posOffset>83427</wp:posOffset>
                </wp:positionV>
                <wp:extent cx="1901825" cy="1045845"/>
                <wp:effectExtent l="0" t="0" r="3175" b="1905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1952" cy="104584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FF08ED" w14:textId="36C0BFBF" w:rsidR="00F6030E" w:rsidRPr="00BC44E4" w:rsidRDefault="00F6030E" w:rsidP="005B3A86">
                            <w:pPr>
                              <w:pStyle w:val="Akapitzlist"/>
                              <w:spacing w:after="0" w:line="240" w:lineRule="auto"/>
                              <w:ind w:left="0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noProof/>
                                <w:color w:val="001D77"/>
                                <w:sz w:val="22"/>
                                <w:lang w:eastAsia="pl-PL"/>
                              </w:rPr>
                              <w:drawing>
                                <wp:inline distT="0" distB="0" distL="0" distR="0" wp14:anchorId="0C7AF652" wp14:editId="7B086790">
                                  <wp:extent cx="334800" cy="334800"/>
                                  <wp:effectExtent l="0" t="0" r="8255" b="8255"/>
                                  <wp:docPr id="18" name="Obraz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rot="10800000">
                                            <a:off x="0" y="0"/>
                                            <a:ext cx="334800" cy="334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38"/>
                                <w:szCs w:val="38"/>
                              </w:rPr>
                              <w:t xml:space="preserve">37,7 </w:t>
                            </w:r>
                            <w:r w:rsidRPr="00BD6D11">
                              <w:rPr>
                                <w:rFonts w:ascii="Fira Sans SemiBold" w:hAnsi="Fira Sans SemiBold"/>
                                <w:color w:val="FFFFFF" w:themeColor="background1"/>
                                <w:sz w:val="38"/>
                                <w:szCs w:val="38"/>
                              </w:rPr>
                              <w:t>p. proc.</w:t>
                            </w:r>
                          </w:p>
                          <w:p w14:paraId="21063E39" w14:textId="77777777" w:rsidR="00F6030E" w:rsidRPr="00DD7916" w:rsidRDefault="00F6030E" w:rsidP="005B3A86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>
                              <w:t>Zmiana bieżącego</w:t>
                            </w:r>
                            <w:r w:rsidRPr="00DD7916">
                              <w:t xml:space="preserve"> wskaźnik</w:t>
                            </w:r>
                            <w:r>
                              <w:t>a</w:t>
                            </w:r>
                            <w:r w:rsidRPr="00DD7916">
                              <w:t xml:space="preserve"> ufności konsumenckiej (BWUK)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517D33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6.55pt;width:149.75pt;height:82.35pt;z-index:2517575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" fillcolor="#001d77" stroked="f">
                <v:textbox>
                  <w:txbxContent>
                    <w:p w14:paraId="26FF08ED" w14:textId="36C0BFBF" w:rsidR="00F6030E" w:rsidRPr="00BC44E4" w:rsidRDefault="00F6030E" w:rsidP="005B3A86">
                      <w:pPr>
                        <w:pStyle w:val="Akapitzlist"/>
                        <w:spacing w:after="0" w:line="240" w:lineRule="auto"/>
                        <w:ind w:left="0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Theme="minorHAnsi" w:hAnsiTheme="minorHAnsi"/>
                          <w:noProof/>
                          <w:color w:val="001D77"/>
                          <w:sz w:val="22"/>
                          <w:lang w:eastAsia="pl-PL"/>
                        </w:rPr>
                        <w:drawing>
                          <wp:inline distT="0" distB="0" distL="0" distR="0" wp14:anchorId="0C7AF652" wp14:editId="7B086790">
                            <wp:extent cx="334800" cy="334800"/>
                            <wp:effectExtent l="0" t="0" r="8255" b="8255"/>
                            <wp:docPr id="18" name="Obraz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rot="10800000">
                                      <a:off x="0" y="0"/>
                                      <a:ext cx="334800" cy="334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22"/>
                        </w:rPr>
                        <w:t xml:space="preserve"> 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38"/>
                          <w:szCs w:val="38"/>
                        </w:rPr>
                        <w:t xml:space="preserve">37,7 </w:t>
                      </w:r>
                      <w:r w:rsidRPr="00BD6D11">
                        <w:rPr>
                          <w:rFonts w:ascii="Fira Sans SemiBold" w:hAnsi="Fira Sans SemiBold"/>
                          <w:color w:val="FFFFFF" w:themeColor="background1"/>
                          <w:sz w:val="38"/>
                          <w:szCs w:val="38"/>
                        </w:rPr>
                        <w:t>p. proc.</w:t>
                      </w:r>
                    </w:p>
                    <w:p w14:paraId="21063E39" w14:textId="77777777" w:rsidR="00F6030E" w:rsidRPr="00DD7916" w:rsidRDefault="00F6030E" w:rsidP="005B3A86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>
                        <w:t>Zmiana bieżącego</w:t>
                      </w:r>
                      <w:r w:rsidRPr="00DD7916">
                        <w:t xml:space="preserve"> wskaźnik</w:t>
                      </w:r>
                      <w:r>
                        <w:t>a</w:t>
                      </w:r>
                      <w:r w:rsidRPr="00DD7916">
                        <w:t xml:space="preserve"> ufności konsumenckiej (BWUK)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3501C" w:rsidRPr="00CF538E">
        <w:rPr>
          <w:b/>
          <w:color w:val="auto"/>
          <w:sz w:val="19"/>
          <w:szCs w:val="19"/>
        </w:rPr>
        <w:t>W</w:t>
      </w:r>
      <w:r w:rsidR="00B3501C">
        <w:rPr>
          <w:b/>
          <w:color w:val="auto"/>
          <w:sz w:val="19"/>
          <w:szCs w:val="19"/>
        </w:rPr>
        <w:t xml:space="preserve"> </w:t>
      </w:r>
      <w:r w:rsidR="00586276">
        <w:rPr>
          <w:b/>
          <w:color w:val="auto"/>
          <w:sz w:val="19"/>
          <w:szCs w:val="19"/>
        </w:rPr>
        <w:t>kwietniu</w:t>
      </w:r>
      <w:r w:rsidR="00B3501C">
        <w:rPr>
          <w:b/>
          <w:color w:val="auto"/>
          <w:sz w:val="19"/>
          <w:szCs w:val="19"/>
        </w:rPr>
        <w:t xml:space="preserve"> </w:t>
      </w:r>
      <w:r w:rsidR="00112723">
        <w:rPr>
          <w:b/>
          <w:color w:val="auto"/>
          <w:sz w:val="19"/>
          <w:szCs w:val="19"/>
        </w:rPr>
        <w:t>2020</w:t>
      </w:r>
      <w:r w:rsidR="00B3501C" w:rsidRPr="00CF538E">
        <w:rPr>
          <w:b/>
          <w:color w:val="auto"/>
          <w:sz w:val="19"/>
          <w:szCs w:val="19"/>
        </w:rPr>
        <w:t xml:space="preserve"> r. </w:t>
      </w:r>
      <w:r>
        <w:rPr>
          <w:b/>
          <w:color w:val="auto"/>
          <w:sz w:val="19"/>
          <w:szCs w:val="19"/>
        </w:rPr>
        <w:t xml:space="preserve">odnotowano znaczące pogorszenie </w:t>
      </w:r>
      <w:r w:rsidR="00754815">
        <w:rPr>
          <w:b/>
          <w:color w:val="auto"/>
          <w:sz w:val="19"/>
          <w:szCs w:val="19"/>
        </w:rPr>
        <w:t>zarówno</w:t>
      </w:r>
      <w:r w:rsidR="00B3501C" w:rsidRPr="00CF538E">
        <w:rPr>
          <w:b/>
          <w:color w:val="auto"/>
          <w:sz w:val="19"/>
          <w:szCs w:val="19"/>
        </w:rPr>
        <w:t xml:space="preserve"> </w:t>
      </w:r>
      <w:r w:rsidR="00921B01">
        <w:rPr>
          <w:b/>
          <w:color w:val="auto"/>
          <w:sz w:val="19"/>
          <w:szCs w:val="19"/>
        </w:rPr>
        <w:t>obecn</w:t>
      </w:r>
      <w:r>
        <w:rPr>
          <w:b/>
          <w:color w:val="auto"/>
          <w:sz w:val="19"/>
          <w:szCs w:val="19"/>
        </w:rPr>
        <w:t>ych</w:t>
      </w:r>
      <w:r w:rsidR="00754815">
        <w:rPr>
          <w:b/>
          <w:color w:val="auto"/>
          <w:sz w:val="19"/>
          <w:szCs w:val="19"/>
        </w:rPr>
        <w:t>, jak i</w:t>
      </w:r>
      <w:r w:rsidR="00356C31">
        <w:rPr>
          <w:b/>
          <w:color w:val="auto"/>
          <w:sz w:val="19"/>
          <w:szCs w:val="19"/>
        </w:rPr>
        <w:t xml:space="preserve"> </w:t>
      </w:r>
      <w:r w:rsidR="00921B01">
        <w:rPr>
          <w:b/>
          <w:color w:val="auto"/>
          <w:sz w:val="19"/>
          <w:szCs w:val="19"/>
        </w:rPr>
        <w:t>przyszł</w:t>
      </w:r>
      <w:r>
        <w:rPr>
          <w:b/>
          <w:color w:val="auto"/>
          <w:sz w:val="19"/>
          <w:szCs w:val="19"/>
        </w:rPr>
        <w:t>ych</w:t>
      </w:r>
      <w:r w:rsidR="00921B01">
        <w:rPr>
          <w:b/>
          <w:color w:val="auto"/>
          <w:sz w:val="19"/>
          <w:szCs w:val="19"/>
        </w:rPr>
        <w:t xml:space="preserve"> nastroj</w:t>
      </w:r>
      <w:r>
        <w:rPr>
          <w:b/>
          <w:color w:val="auto"/>
          <w:sz w:val="19"/>
          <w:szCs w:val="19"/>
        </w:rPr>
        <w:t>ów</w:t>
      </w:r>
      <w:r w:rsidR="00921B01">
        <w:rPr>
          <w:b/>
          <w:color w:val="auto"/>
          <w:sz w:val="19"/>
          <w:szCs w:val="19"/>
        </w:rPr>
        <w:t xml:space="preserve"> konsumencki</w:t>
      </w:r>
      <w:r>
        <w:rPr>
          <w:b/>
          <w:color w:val="auto"/>
          <w:sz w:val="19"/>
          <w:szCs w:val="19"/>
        </w:rPr>
        <w:t>ch</w:t>
      </w:r>
      <w:r w:rsidR="00921B01">
        <w:rPr>
          <w:b/>
          <w:color w:val="auto"/>
          <w:sz w:val="19"/>
          <w:szCs w:val="19"/>
        </w:rPr>
        <w:t xml:space="preserve"> </w:t>
      </w:r>
      <w:r w:rsidR="00B3501C" w:rsidRPr="00CF538E">
        <w:rPr>
          <w:b/>
          <w:color w:val="auto"/>
          <w:sz w:val="19"/>
          <w:szCs w:val="19"/>
        </w:rPr>
        <w:t>w stosunku do poprzedniego miesiąca.</w:t>
      </w:r>
      <w:r w:rsidR="00B3501C">
        <w:rPr>
          <w:b/>
          <w:color w:val="auto"/>
          <w:sz w:val="19"/>
          <w:szCs w:val="19"/>
        </w:rPr>
        <w:t xml:space="preserve"> B</w:t>
      </w:r>
      <w:r w:rsidR="00D06B81">
        <w:rPr>
          <w:b/>
          <w:color w:val="auto"/>
          <w:sz w:val="19"/>
          <w:szCs w:val="19"/>
        </w:rPr>
        <w:t>ieżący wskaźnik ufności konsumenckiej</w:t>
      </w:r>
      <w:r w:rsidR="008663B7">
        <w:rPr>
          <w:b/>
          <w:color w:val="auto"/>
          <w:sz w:val="19"/>
          <w:szCs w:val="19"/>
        </w:rPr>
        <w:t xml:space="preserve"> (BWUK), syntetycznie </w:t>
      </w:r>
      <w:r w:rsidR="008663B7" w:rsidRPr="008663B7">
        <w:rPr>
          <w:b/>
          <w:color w:val="auto"/>
          <w:sz w:val="19"/>
          <w:szCs w:val="19"/>
        </w:rPr>
        <w:t>opisujący obecne tendencje konsumpcji indywidualnej</w:t>
      </w:r>
      <w:r w:rsidR="008663B7">
        <w:rPr>
          <w:b/>
          <w:color w:val="auto"/>
          <w:sz w:val="19"/>
          <w:szCs w:val="19"/>
        </w:rPr>
        <w:t>,</w:t>
      </w:r>
      <w:r w:rsidR="00921B01">
        <w:rPr>
          <w:b/>
          <w:color w:val="auto"/>
          <w:sz w:val="19"/>
          <w:szCs w:val="19"/>
        </w:rPr>
        <w:t xml:space="preserve"> </w:t>
      </w:r>
      <w:r w:rsidR="00A83560">
        <w:rPr>
          <w:b/>
          <w:color w:val="auto"/>
          <w:sz w:val="19"/>
          <w:szCs w:val="19"/>
        </w:rPr>
        <w:t>wyniósł -36</w:t>
      </w:r>
      <w:r>
        <w:rPr>
          <w:b/>
          <w:color w:val="auto"/>
          <w:sz w:val="19"/>
          <w:szCs w:val="19"/>
        </w:rPr>
        <w:t>,4</w:t>
      </w:r>
      <w:r w:rsidRPr="007B26F8">
        <w:rPr>
          <w:b/>
          <w:color w:val="auto"/>
          <w:sz w:val="20"/>
          <w:szCs w:val="20"/>
          <w:vertAlign w:val="superscript"/>
        </w:rPr>
        <w:footnoteReference w:id="1"/>
      </w:r>
      <w:r w:rsidRPr="007B26F8">
        <w:rPr>
          <w:b/>
          <w:color w:val="auto"/>
          <w:sz w:val="20"/>
          <w:szCs w:val="20"/>
          <w:vertAlign w:val="superscript"/>
        </w:rPr>
        <w:t xml:space="preserve"> </w:t>
      </w:r>
      <w:r w:rsidR="00F83720">
        <w:rPr>
          <w:b/>
          <w:color w:val="auto"/>
          <w:sz w:val="20"/>
          <w:szCs w:val="20"/>
          <w:vertAlign w:val="superscript"/>
        </w:rPr>
        <w:t xml:space="preserve"> </w:t>
      </w:r>
      <w:r w:rsidR="00A83560">
        <w:rPr>
          <w:b/>
          <w:color w:val="auto"/>
          <w:sz w:val="19"/>
          <w:szCs w:val="19"/>
        </w:rPr>
        <w:t>i był o 37</w:t>
      </w:r>
      <w:r>
        <w:rPr>
          <w:b/>
          <w:color w:val="auto"/>
          <w:sz w:val="19"/>
          <w:szCs w:val="19"/>
        </w:rPr>
        <w:t>,7 p. proc. niższy</w:t>
      </w:r>
      <w:r w:rsidR="00921B01">
        <w:rPr>
          <w:b/>
          <w:color w:val="auto"/>
          <w:sz w:val="19"/>
          <w:szCs w:val="19"/>
        </w:rPr>
        <w:t xml:space="preserve"> w stosunku do poprzedniego miesiąca</w:t>
      </w:r>
      <w:r w:rsidR="00D06B81">
        <w:rPr>
          <w:b/>
          <w:color w:val="auto"/>
          <w:sz w:val="19"/>
          <w:szCs w:val="19"/>
        </w:rPr>
        <w:t>.</w:t>
      </w:r>
      <w:r w:rsidR="00CF538E" w:rsidRPr="00CF538E">
        <w:rPr>
          <w:b/>
          <w:color w:val="auto"/>
          <w:sz w:val="19"/>
          <w:szCs w:val="19"/>
        </w:rPr>
        <w:t xml:space="preserve"> </w:t>
      </w:r>
    </w:p>
    <w:p w14:paraId="58EAE863" w14:textId="77777777" w:rsidR="00F44379" w:rsidRDefault="00F44379" w:rsidP="00074DD8">
      <w:pPr>
        <w:pStyle w:val="Nagwek1"/>
      </w:pPr>
    </w:p>
    <w:p w14:paraId="6F9D7B34" w14:textId="09E0A344" w:rsidR="00C22105" w:rsidRPr="009A5A6D" w:rsidRDefault="009227A6" w:rsidP="00074DD8">
      <w:pPr>
        <w:pStyle w:val="Nagwek1"/>
      </w:pPr>
      <w:r w:rsidRPr="00633014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1CAD938B" wp14:editId="4A01F557">
                <wp:simplePos x="0" y="0"/>
                <wp:positionH relativeFrom="column">
                  <wp:posOffset>5230495</wp:posOffset>
                </wp:positionH>
                <wp:positionV relativeFrom="paragraph">
                  <wp:posOffset>158750</wp:posOffset>
                </wp:positionV>
                <wp:extent cx="1725295" cy="1021080"/>
                <wp:effectExtent l="0" t="0" r="0" b="0"/>
                <wp:wrapTight wrapText="bothSides">
                  <wp:wrapPolygon edited="0">
                    <wp:start x="715" y="0"/>
                    <wp:lineTo x="715" y="20955"/>
                    <wp:lineTo x="20749" y="20955"/>
                    <wp:lineTo x="20749" y="0"/>
                    <wp:lineTo x="715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21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1F0B92" w14:textId="79B5E6DF" w:rsidR="00F6030E" w:rsidRPr="00380DFD" w:rsidRDefault="00F6030E" w:rsidP="00273134">
                            <w:pPr>
                              <w:pStyle w:val="tekstzboku"/>
                            </w:pPr>
                            <w:r>
                              <w:t>Bieżący wskaźnik ufności konsumenckiej (BWUK) jest niższy o 37,7 p. proc. w stosunku do poprzedniego miesiąca</w:t>
                            </w:r>
                          </w:p>
                          <w:p w14:paraId="730BD466" w14:textId="77777777" w:rsidR="00F6030E" w:rsidRPr="00D616D2" w:rsidRDefault="00F6030E" w:rsidP="00D616D2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AD938B" id="_x0000_s1027" type="#_x0000_t202" style="position:absolute;margin-left:411.85pt;margin-top:12.5pt;width:135.85pt;height:80.4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" filled="f" stroked="f">
                <v:textbox>
                  <w:txbxContent>
                    <w:p w14:paraId="651F0B92" w14:textId="79B5E6DF" w:rsidR="00F6030E" w:rsidRPr="00380DFD" w:rsidRDefault="00F6030E" w:rsidP="00273134">
                      <w:pPr>
                        <w:pStyle w:val="tekstzboku"/>
                      </w:pPr>
                      <w:r>
                        <w:t>Bieżący wskaźnik ufności konsumenckiej (BWUK) jest niższy o 37,7 p. proc. w stosunku do poprzedniego miesiąca</w:t>
                      </w:r>
                    </w:p>
                    <w:p w14:paraId="730BD466" w14:textId="77777777" w:rsidR="00F6030E" w:rsidRPr="00D616D2" w:rsidRDefault="00F6030E" w:rsidP="00D616D2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9A5A6D" w:rsidRPr="009A5A6D">
        <w:t>Bieżący wska</w:t>
      </w:r>
      <w:r w:rsidR="009A5A6D">
        <w:t>ź</w:t>
      </w:r>
      <w:r w:rsidR="006404CD">
        <w:t>nik ufności konsumenckiej</w:t>
      </w:r>
      <w:r w:rsidR="00A217E6">
        <w:t xml:space="preserve"> (BWUK) </w:t>
      </w:r>
      <w:r w:rsidR="009A5A6D" w:rsidRPr="009A5A6D">
        <w:t>w</w:t>
      </w:r>
      <w:r w:rsidR="00EE2896">
        <w:t xml:space="preserve"> </w:t>
      </w:r>
      <w:r w:rsidR="00586276">
        <w:t>kwietniu</w:t>
      </w:r>
      <w:r w:rsidR="0046695F">
        <w:t xml:space="preserve"> </w:t>
      </w:r>
      <w:r w:rsidR="00112723">
        <w:t>2020</w:t>
      </w:r>
      <w:r w:rsidR="009A5A6D" w:rsidRPr="009A5A6D">
        <w:t xml:space="preserve"> r.</w:t>
      </w:r>
    </w:p>
    <w:p w14:paraId="6223D96F" w14:textId="23A9C1A3" w:rsidR="009A0465" w:rsidRDefault="009A0465" w:rsidP="009A0465">
      <w:pPr>
        <w:pStyle w:val="Default"/>
        <w:spacing w:after="120"/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</w:pPr>
      <w:r w:rsidRPr="009A0465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 xml:space="preserve">Wszystkie składowe wskaźnika uzyskały wartości </w:t>
      </w:r>
      <w:r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 xml:space="preserve">wyraźnie </w:t>
      </w:r>
      <w:r w:rsidRPr="009A0465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>niższe niż przed miesiącem. Największ</w:t>
      </w:r>
      <w:r w:rsidR="00CE5807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>e</w:t>
      </w:r>
      <w:r w:rsidRPr="009A0465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 xml:space="preserve"> spadk</w:t>
      </w:r>
      <w:r w:rsidR="00CE5807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>i</w:t>
      </w:r>
      <w:r w:rsidRPr="009A0465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 xml:space="preserve"> odnotowano dla ocen obecne</w:t>
      </w:r>
      <w:r w:rsidR="00CE5807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>j</w:t>
      </w:r>
      <w:r w:rsidRPr="009A0465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 xml:space="preserve"> </w:t>
      </w:r>
      <w:r w:rsidR="00CE5807" w:rsidRPr="009A0465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 xml:space="preserve">możliwości </w:t>
      </w:r>
      <w:r w:rsidRPr="009A0465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>dokonywania ważnych zakupów</w:t>
      </w:r>
      <w:r w:rsidR="00CE5807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 xml:space="preserve"> oraz</w:t>
      </w:r>
      <w:r w:rsidRPr="009A0465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 xml:space="preserve"> </w:t>
      </w:r>
      <w:r w:rsidR="00CE5807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>przyszłej</w:t>
      </w:r>
      <w:r w:rsidR="00CE5807" w:rsidRPr="009A0465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 xml:space="preserve"> sytuacji ekonomicznej kraju </w:t>
      </w:r>
      <w:r w:rsidRPr="009A0465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>(</w:t>
      </w:r>
      <w:r w:rsidR="00CE5807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 xml:space="preserve">spadki odpowiednio </w:t>
      </w:r>
      <w:r w:rsidRPr="009A0465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>o </w:t>
      </w:r>
      <w:r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>58</w:t>
      </w:r>
      <w:r w:rsidRPr="009A0465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>,</w:t>
      </w:r>
      <w:r w:rsidR="00A83560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>8</w:t>
      </w:r>
      <w:r w:rsidRPr="009A0465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> p. proc.</w:t>
      </w:r>
      <w:r w:rsidR="00A83560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 xml:space="preserve"> i 54</w:t>
      </w:r>
      <w:r w:rsidR="00CE5807" w:rsidRPr="009A0465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>,</w:t>
      </w:r>
      <w:r w:rsidR="00A83560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>4</w:t>
      </w:r>
      <w:r w:rsidR="00CE5807" w:rsidRPr="009A0465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 xml:space="preserve"> p. proc.</w:t>
      </w:r>
      <w:r w:rsidRPr="009A0465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>). Dla pozostałych składowych wskaźnika spadki kształtowały się następująco:</w:t>
      </w:r>
      <w:r w:rsidR="00CE5807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 xml:space="preserve"> </w:t>
      </w:r>
      <w:r w:rsidR="00A83560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>32,2</w:t>
      </w:r>
      <w:r w:rsidR="00A83560" w:rsidRPr="009A0465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 xml:space="preserve"> p. proc. dla oceny </w:t>
      </w:r>
      <w:r w:rsidR="00A83560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>przyszłej</w:t>
      </w:r>
      <w:r w:rsidR="00A83560" w:rsidRPr="009A0465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 xml:space="preserve"> sytuacji finansowej gospodarstwa domowego</w:t>
      </w:r>
      <w:r w:rsidR="00A83560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>, 32,0</w:t>
      </w:r>
      <w:r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 xml:space="preserve"> p. proc. dla oceny obecnej</w:t>
      </w:r>
      <w:r w:rsidR="00A83560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 xml:space="preserve"> sytuacji ekonomicznej kraju </w:t>
      </w:r>
      <w:r w:rsidRPr="009A0465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 xml:space="preserve">oraz </w:t>
      </w:r>
      <w:r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>1</w:t>
      </w:r>
      <w:r w:rsidR="00A83560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>1</w:t>
      </w:r>
      <w:r w:rsidRPr="009A0465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>,</w:t>
      </w:r>
      <w:r w:rsidR="00A83560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>0</w:t>
      </w:r>
      <w:r w:rsidRPr="009A0465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 xml:space="preserve"> p. proc. dla oceny </w:t>
      </w:r>
      <w:r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>obecnej</w:t>
      </w:r>
      <w:r w:rsidRPr="009A0465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 xml:space="preserve"> sytuacji finansowej gospodarstwa domowego.</w:t>
      </w:r>
    </w:p>
    <w:p w14:paraId="11744200" w14:textId="4DD03979" w:rsidR="00A06A63" w:rsidRPr="00FC711D" w:rsidRDefault="00A06A63" w:rsidP="00FC711D">
      <w:pPr>
        <w:pStyle w:val="Default"/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</w:pPr>
      <w:r w:rsidRPr="00396FC5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 xml:space="preserve">W </w:t>
      </w:r>
      <w:r w:rsidR="009C2E5B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>odniesieniu</w:t>
      </w:r>
      <w:r w:rsidRPr="00396FC5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 xml:space="preserve"> do </w:t>
      </w:r>
      <w:r w:rsidR="00586276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>kwietnia</w:t>
      </w:r>
      <w:r w:rsidRPr="00396FC5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 xml:space="preserve"> 201</w:t>
      </w:r>
      <w:r w:rsidR="00F370FD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>9</w:t>
      </w:r>
      <w:r w:rsidRPr="00396FC5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 xml:space="preserve"> r. obecna war</w:t>
      </w:r>
      <w:r w:rsidR="00377B67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 xml:space="preserve">tość BWUK </w:t>
      </w:r>
      <w:r w:rsidR="00F3589E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>jest</w:t>
      </w:r>
      <w:r w:rsidR="00377B67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 xml:space="preserve"> </w:t>
      </w:r>
      <w:r w:rsidR="00C16216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>niższa</w:t>
      </w:r>
      <w:r w:rsidR="00377B67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 xml:space="preserve"> o </w:t>
      </w:r>
      <w:r w:rsidR="00BC1D2E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>4</w:t>
      </w:r>
      <w:r w:rsidR="00A83560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>3</w:t>
      </w:r>
      <w:r w:rsidR="006E5948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>,</w:t>
      </w:r>
      <w:r w:rsidR="00BC1D2E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>6</w:t>
      </w:r>
      <w:r w:rsidRPr="00396FC5">
        <w:rPr>
          <w:rFonts w:ascii="Fira Sans" w:hAnsi="Fira Sans" w:cstheme="minorBidi"/>
          <w:color w:val="auto"/>
          <w:sz w:val="19"/>
          <w:szCs w:val="22"/>
          <w:shd w:val="clear" w:color="auto" w:fill="FFFFFF"/>
        </w:rPr>
        <w:t xml:space="preserve"> p. proc. </w:t>
      </w:r>
    </w:p>
    <w:p w14:paraId="3414AFBA" w14:textId="77777777" w:rsidR="00C074FD" w:rsidRDefault="00C074FD" w:rsidP="00D06B81">
      <w:pPr>
        <w:pStyle w:val="Nagwek1"/>
        <w:spacing w:before="0"/>
      </w:pPr>
    </w:p>
    <w:p w14:paraId="18A62F1D" w14:textId="6D2515F5" w:rsidR="00C074FD" w:rsidRPr="00396FC5" w:rsidRDefault="00C074FD" w:rsidP="00C074FD">
      <w:pPr>
        <w:pStyle w:val="Nagwek1"/>
      </w:pPr>
      <w:r w:rsidRPr="00633014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737088" behindDoc="1" locked="0" layoutInCell="1" allowOverlap="1" wp14:anchorId="482DED23" wp14:editId="24EF2C16">
                <wp:simplePos x="0" y="0"/>
                <wp:positionH relativeFrom="column">
                  <wp:posOffset>5219065</wp:posOffset>
                </wp:positionH>
                <wp:positionV relativeFrom="paragraph">
                  <wp:posOffset>162560</wp:posOffset>
                </wp:positionV>
                <wp:extent cx="1725295" cy="985520"/>
                <wp:effectExtent l="0" t="0" r="0" b="5080"/>
                <wp:wrapTight wrapText="bothSides">
                  <wp:wrapPolygon edited="0">
                    <wp:start x="715" y="0"/>
                    <wp:lineTo x="715" y="21294"/>
                    <wp:lineTo x="20749" y="21294"/>
                    <wp:lineTo x="20749" y="0"/>
                    <wp:lineTo x="715" y="0"/>
                  </wp:wrapPolygon>
                </wp:wrapTight>
                <wp:docPr id="16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85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8208D4" w14:textId="29C90CEB" w:rsidR="00F6030E" w:rsidRPr="00380DFD" w:rsidRDefault="00F6030E" w:rsidP="00273134">
                            <w:pPr>
                              <w:pStyle w:val="tekstzboku"/>
                            </w:pPr>
                            <w:r w:rsidRPr="00380DFD">
                              <w:t xml:space="preserve">Wyprzedzający wskaźnik ufności konsumenckiej </w:t>
                            </w:r>
                            <w:r>
                              <w:t>(WWUK) spadł o 45,4 p. proc. w stosunku do poprzedniego miesiąca</w:t>
                            </w:r>
                          </w:p>
                          <w:p w14:paraId="0E998CC7" w14:textId="77777777" w:rsidR="00F6030E" w:rsidRPr="00380DFD" w:rsidRDefault="00F6030E" w:rsidP="00C074FD">
                            <w:pPr>
                              <w:pStyle w:val="tekstzboku"/>
                            </w:pPr>
                          </w:p>
                          <w:p w14:paraId="33BA6704" w14:textId="77777777" w:rsidR="00F6030E" w:rsidRPr="00D616D2" w:rsidRDefault="00F6030E" w:rsidP="00C074FD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2DED23" id="Pole tekstowe 16" o:spid="_x0000_s1028" type="#_x0000_t202" style="position:absolute;margin-left:410.95pt;margin-top:12.8pt;width:135.85pt;height:77.6pt;z-index:-2515793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" filled="f" stroked="f">
                <v:textbox>
                  <w:txbxContent>
                    <w:p w14:paraId="638208D4" w14:textId="29C90CEB" w:rsidR="00F6030E" w:rsidRPr="00380DFD" w:rsidRDefault="00F6030E" w:rsidP="00273134">
                      <w:pPr>
                        <w:pStyle w:val="tekstzboku"/>
                      </w:pPr>
                      <w:r w:rsidRPr="00380DFD">
                        <w:t xml:space="preserve">Wyprzedzający wskaźnik ufności konsumenckiej </w:t>
                      </w:r>
                      <w:r>
                        <w:t>(WWUK) spadł o 45,4 p. proc. w stosunku do poprzedniego miesiąca</w:t>
                      </w:r>
                    </w:p>
                    <w:p w14:paraId="0E998CC7" w14:textId="77777777" w:rsidR="00F6030E" w:rsidRPr="00380DFD" w:rsidRDefault="00F6030E" w:rsidP="00C074FD">
                      <w:pPr>
                        <w:pStyle w:val="tekstzboku"/>
                      </w:pPr>
                    </w:p>
                    <w:p w14:paraId="33BA6704" w14:textId="77777777" w:rsidR="00F6030E" w:rsidRPr="00D616D2" w:rsidRDefault="00F6030E" w:rsidP="00C074FD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Pr="00396FC5">
        <w:t xml:space="preserve">Wyprzedzający </w:t>
      </w:r>
      <w:r w:rsidRPr="009A5A6D">
        <w:t>wska</w:t>
      </w:r>
      <w:r>
        <w:t>ź</w:t>
      </w:r>
      <w:r w:rsidR="006404CD">
        <w:t>nik ufności konsumenckiej</w:t>
      </w:r>
      <w:r w:rsidR="00A217E6">
        <w:t xml:space="preserve"> (WWUK)</w:t>
      </w:r>
      <w:r w:rsidRPr="009A5A6D">
        <w:t xml:space="preserve"> w</w:t>
      </w:r>
      <w:r w:rsidR="00EE2896">
        <w:t xml:space="preserve"> </w:t>
      </w:r>
      <w:r w:rsidR="00586276">
        <w:t>kwietniu</w:t>
      </w:r>
      <w:r w:rsidR="00112723">
        <w:t xml:space="preserve"> 2020</w:t>
      </w:r>
      <w:r w:rsidRPr="009A5A6D">
        <w:t xml:space="preserve"> r.</w:t>
      </w:r>
    </w:p>
    <w:p w14:paraId="3A6A3C62" w14:textId="22FDD332" w:rsidR="00BB1D75" w:rsidRDefault="00C074FD" w:rsidP="00273134">
      <w:pPr>
        <w:spacing w:after="0"/>
        <w:rPr>
          <w:shd w:val="clear" w:color="auto" w:fill="FFFFFF"/>
        </w:rPr>
      </w:pPr>
      <w:r w:rsidRPr="00396FC5">
        <w:rPr>
          <w:shd w:val="clear" w:color="auto" w:fill="FFFFFF"/>
        </w:rPr>
        <w:t>Wyprzedzający wskaźnik ufności konsumenckiej (WWUK), syntetycznie opisujący oczekiwane w najbliższych miesiącach tend</w:t>
      </w:r>
      <w:r w:rsidR="006C105E">
        <w:rPr>
          <w:shd w:val="clear" w:color="auto" w:fill="FFFFFF"/>
        </w:rPr>
        <w:t xml:space="preserve">encje konsumpcji indywidualnej, </w:t>
      </w:r>
      <w:r w:rsidR="000A2CBF">
        <w:rPr>
          <w:shd w:val="clear" w:color="auto" w:fill="FFFFFF"/>
        </w:rPr>
        <w:t>spadł</w:t>
      </w:r>
      <w:r w:rsidR="0090561C">
        <w:rPr>
          <w:shd w:val="clear" w:color="auto" w:fill="FFFFFF"/>
        </w:rPr>
        <w:t xml:space="preserve"> o </w:t>
      </w:r>
      <w:r w:rsidR="00BC1D2E">
        <w:rPr>
          <w:shd w:val="clear" w:color="auto" w:fill="FFFFFF"/>
        </w:rPr>
        <w:t>4</w:t>
      </w:r>
      <w:r w:rsidR="00A83560">
        <w:rPr>
          <w:shd w:val="clear" w:color="auto" w:fill="FFFFFF"/>
        </w:rPr>
        <w:t>5</w:t>
      </w:r>
      <w:r w:rsidR="00BD0145">
        <w:rPr>
          <w:shd w:val="clear" w:color="auto" w:fill="FFFFFF"/>
        </w:rPr>
        <w:t>,</w:t>
      </w:r>
      <w:r w:rsidR="00A83560">
        <w:rPr>
          <w:shd w:val="clear" w:color="auto" w:fill="FFFFFF"/>
        </w:rPr>
        <w:t>4</w:t>
      </w:r>
      <w:r w:rsidR="0090561C">
        <w:rPr>
          <w:shd w:val="clear" w:color="auto" w:fill="FFFFFF"/>
        </w:rPr>
        <w:t xml:space="preserve"> p. proc.</w:t>
      </w:r>
      <w:r w:rsidRPr="00396FC5">
        <w:rPr>
          <w:shd w:val="clear" w:color="auto" w:fill="FFFFFF"/>
        </w:rPr>
        <w:t xml:space="preserve"> w stosunku do poprzedniego miesiąca </w:t>
      </w:r>
      <w:r w:rsidR="00D62602">
        <w:rPr>
          <w:shd w:val="clear" w:color="auto" w:fill="FFFFFF"/>
        </w:rPr>
        <w:t xml:space="preserve">i ukształtował się na poziomie </w:t>
      </w:r>
      <w:r w:rsidR="000A2CBF">
        <w:rPr>
          <w:shd w:val="clear" w:color="auto" w:fill="FFFFFF"/>
        </w:rPr>
        <w:t>-</w:t>
      </w:r>
      <w:r w:rsidR="00A83560">
        <w:rPr>
          <w:shd w:val="clear" w:color="auto" w:fill="FFFFFF"/>
        </w:rPr>
        <w:t>47</w:t>
      </w:r>
      <w:r w:rsidRPr="00396FC5">
        <w:rPr>
          <w:shd w:val="clear" w:color="auto" w:fill="FFFFFF"/>
        </w:rPr>
        <w:t>,</w:t>
      </w:r>
      <w:r w:rsidR="00A83560">
        <w:rPr>
          <w:shd w:val="clear" w:color="auto" w:fill="FFFFFF"/>
        </w:rPr>
        <w:t>7</w:t>
      </w:r>
      <w:r w:rsidR="00D30454">
        <w:rPr>
          <w:shd w:val="clear" w:color="auto" w:fill="FFFFFF"/>
        </w:rPr>
        <w:t xml:space="preserve"> </w:t>
      </w:r>
      <w:r w:rsidR="00F83720">
        <w:rPr>
          <w:sz w:val="20"/>
          <w:szCs w:val="20"/>
          <w:shd w:val="clear" w:color="auto" w:fill="FFFFFF"/>
          <w:vertAlign w:val="superscript"/>
        </w:rPr>
        <w:t>a</w:t>
      </w:r>
      <w:r w:rsidR="007B26F8">
        <w:rPr>
          <w:shd w:val="clear" w:color="auto" w:fill="FFFFFF"/>
        </w:rPr>
        <w:t>.</w:t>
      </w:r>
      <w:r w:rsidR="00B72F68">
        <w:rPr>
          <w:shd w:val="clear" w:color="auto" w:fill="FFFFFF"/>
        </w:rPr>
        <w:t xml:space="preserve"> </w:t>
      </w:r>
    </w:p>
    <w:p w14:paraId="189B5512" w14:textId="0E1B5B02" w:rsidR="00D26089" w:rsidRDefault="00D26089" w:rsidP="00D26089">
      <w:pPr>
        <w:spacing w:before="0"/>
        <w:rPr>
          <w:shd w:val="clear" w:color="auto" w:fill="FFFFFF"/>
        </w:rPr>
      </w:pPr>
      <w:r>
        <w:rPr>
          <w:shd w:val="clear" w:color="auto" w:fill="FFFFFF"/>
        </w:rPr>
        <w:t xml:space="preserve">Na </w:t>
      </w:r>
      <w:r w:rsidR="00004121">
        <w:rPr>
          <w:shd w:val="clear" w:color="auto" w:fill="FFFFFF"/>
        </w:rPr>
        <w:t>znaczący</w:t>
      </w:r>
      <w:r w:rsidR="00CE5807">
        <w:rPr>
          <w:shd w:val="clear" w:color="auto" w:fill="FFFFFF"/>
        </w:rPr>
        <w:t xml:space="preserve"> </w:t>
      </w:r>
      <w:r w:rsidR="007F2056">
        <w:rPr>
          <w:shd w:val="clear" w:color="auto" w:fill="FFFFFF"/>
        </w:rPr>
        <w:t>spadek</w:t>
      </w:r>
      <w:r>
        <w:rPr>
          <w:shd w:val="clear" w:color="auto" w:fill="FFFFFF"/>
        </w:rPr>
        <w:t xml:space="preserve"> wartości </w:t>
      </w:r>
      <w:r w:rsidR="007B0D6A">
        <w:rPr>
          <w:shd w:val="clear" w:color="auto" w:fill="FFFFFF"/>
        </w:rPr>
        <w:t>wskaźnik</w:t>
      </w:r>
      <w:r w:rsidR="007F2056">
        <w:rPr>
          <w:shd w:val="clear" w:color="auto" w:fill="FFFFFF"/>
        </w:rPr>
        <w:t>a</w:t>
      </w:r>
      <w:r w:rsidR="00CE5807">
        <w:rPr>
          <w:shd w:val="clear" w:color="auto" w:fill="FFFFFF"/>
        </w:rPr>
        <w:t xml:space="preserve"> wpłynęły wszystkie jego składniki.</w:t>
      </w:r>
      <w:r w:rsidR="007F2056">
        <w:rPr>
          <w:shd w:val="clear" w:color="auto" w:fill="FFFFFF"/>
        </w:rPr>
        <w:t xml:space="preserve"> </w:t>
      </w:r>
      <w:r w:rsidR="00CE5807">
        <w:rPr>
          <w:shd w:val="clear" w:color="auto" w:fill="FFFFFF"/>
        </w:rPr>
        <w:t>Największy spadek odnotowano dla oceny</w:t>
      </w:r>
      <w:r w:rsidR="007B0D6A">
        <w:rPr>
          <w:shd w:val="clear" w:color="auto" w:fill="FFFFFF"/>
        </w:rPr>
        <w:t xml:space="preserve"> </w:t>
      </w:r>
      <w:r w:rsidR="00CE5807">
        <w:rPr>
          <w:shd w:val="clear" w:color="auto" w:fill="FFFFFF"/>
        </w:rPr>
        <w:t>prz</w:t>
      </w:r>
      <w:r w:rsidR="00A83560">
        <w:rPr>
          <w:shd w:val="clear" w:color="auto" w:fill="FFFFFF"/>
        </w:rPr>
        <w:t>yszłego poziomu bezrobocia (o 77</w:t>
      </w:r>
      <w:r w:rsidR="00CE5807">
        <w:rPr>
          <w:shd w:val="clear" w:color="auto" w:fill="FFFFFF"/>
        </w:rPr>
        <w:t xml:space="preserve">,0 p. proc.). </w:t>
      </w:r>
      <w:r w:rsidR="00CE5807" w:rsidRPr="009A0465">
        <w:rPr>
          <w:shd w:val="clear" w:color="auto" w:fill="FFFFFF"/>
        </w:rPr>
        <w:t>Dla pozostałych składowych wskaźnika spadki kształtowały się następująco:</w:t>
      </w:r>
      <w:r w:rsidR="00A83560">
        <w:rPr>
          <w:shd w:val="clear" w:color="auto" w:fill="FFFFFF"/>
        </w:rPr>
        <w:t xml:space="preserve"> 54,4</w:t>
      </w:r>
      <w:r w:rsidR="00CE5807">
        <w:rPr>
          <w:shd w:val="clear" w:color="auto" w:fill="FFFFFF"/>
        </w:rPr>
        <w:t xml:space="preserve"> p. proc dla oceny </w:t>
      </w:r>
      <w:r w:rsidR="00C43B04">
        <w:rPr>
          <w:shd w:val="clear" w:color="auto" w:fill="FFFFFF"/>
        </w:rPr>
        <w:t>przyszłej sytuacji ekonomicznej kraju</w:t>
      </w:r>
      <w:r w:rsidR="00A83560">
        <w:rPr>
          <w:shd w:val="clear" w:color="auto" w:fill="FFFFFF"/>
        </w:rPr>
        <w:t>, 32,2</w:t>
      </w:r>
      <w:r w:rsidR="00CE5807">
        <w:rPr>
          <w:shd w:val="clear" w:color="auto" w:fill="FFFFFF"/>
        </w:rPr>
        <w:t xml:space="preserve"> p. proc. dla oceny</w:t>
      </w:r>
      <w:r w:rsidR="00C43B04">
        <w:rPr>
          <w:shd w:val="clear" w:color="auto" w:fill="FFFFFF"/>
        </w:rPr>
        <w:t xml:space="preserve"> przyszłej sytuacji finansowej gospodarstwa domowego</w:t>
      </w:r>
      <w:r w:rsidR="00A83560">
        <w:rPr>
          <w:shd w:val="clear" w:color="auto" w:fill="FFFFFF"/>
        </w:rPr>
        <w:t xml:space="preserve"> oraz 18,1</w:t>
      </w:r>
      <w:r w:rsidR="00CE5807">
        <w:rPr>
          <w:shd w:val="clear" w:color="auto" w:fill="FFFFFF"/>
        </w:rPr>
        <w:t xml:space="preserve"> </w:t>
      </w:r>
      <w:r w:rsidR="000248A6">
        <w:rPr>
          <w:shd w:val="clear" w:color="auto" w:fill="FFFFFF"/>
        </w:rPr>
        <w:t xml:space="preserve"> p. proc. </w:t>
      </w:r>
      <w:r w:rsidR="00CE5807">
        <w:rPr>
          <w:shd w:val="clear" w:color="auto" w:fill="FFFFFF"/>
        </w:rPr>
        <w:t xml:space="preserve">dla </w:t>
      </w:r>
      <w:r w:rsidR="007F2056">
        <w:rPr>
          <w:shd w:val="clear" w:color="auto" w:fill="FFFFFF"/>
        </w:rPr>
        <w:t xml:space="preserve">oceny </w:t>
      </w:r>
      <w:r w:rsidR="00C43B04">
        <w:rPr>
          <w:shd w:val="clear" w:color="auto" w:fill="FFFFFF"/>
        </w:rPr>
        <w:t>możliwości przyszłego oszczędzania pieniędzy</w:t>
      </w:r>
      <w:r w:rsidR="00CE5807">
        <w:rPr>
          <w:shd w:val="clear" w:color="auto" w:fill="FFFFFF"/>
        </w:rPr>
        <w:t>.</w:t>
      </w:r>
    </w:p>
    <w:p w14:paraId="1A1B425F" w14:textId="0B174A9E" w:rsidR="00A06A63" w:rsidRPr="00655E7E" w:rsidRDefault="00A06A63" w:rsidP="00D26089">
      <w:pPr>
        <w:spacing w:before="0" w:after="0"/>
        <w:rPr>
          <w:shd w:val="clear" w:color="auto" w:fill="FFFFFF"/>
        </w:rPr>
      </w:pPr>
      <w:r w:rsidRPr="00655E7E">
        <w:rPr>
          <w:shd w:val="clear" w:color="auto" w:fill="FFFFFF"/>
        </w:rPr>
        <w:t>W</w:t>
      </w:r>
      <w:r w:rsidR="00462C73">
        <w:rPr>
          <w:shd w:val="clear" w:color="auto" w:fill="FFFFFF"/>
        </w:rPr>
        <w:t xml:space="preserve"> </w:t>
      </w:r>
      <w:r w:rsidR="00586276">
        <w:rPr>
          <w:shd w:val="clear" w:color="auto" w:fill="FFFFFF"/>
        </w:rPr>
        <w:t>kwietniu</w:t>
      </w:r>
      <w:r w:rsidR="00377B67">
        <w:rPr>
          <w:shd w:val="clear" w:color="auto" w:fill="FFFFFF"/>
        </w:rPr>
        <w:t xml:space="preserve"> br. WWUK osiągnął wartość</w:t>
      </w:r>
      <w:r w:rsidR="006537BC">
        <w:rPr>
          <w:shd w:val="clear" w:color="auto" w:fill="FFFFFF"/>
        </w:rPr>
        <w:t xml:space="preserve"> o </w:t>
      </w:r>
      <w:r w:rsidR="00A83560">
        <w:rPr>
          <w:shd w:val="clear" w:color="auto" w:fill="FFFFFF"/>
        </w:rPr>
        <w:t>51</w:t>
      </w:r>
      <w:r w:rsidR="006E5948">
        <w:rPr>
          <w:shd w:val="clear" w:color="auto" w:fill="FFFFFF"/>
        </w:rPr>
        <w:t>,</w:t>
      </w:r>
      <w:r w:rsidR="00A83560">
        <w:rPr>
          <w:shd w:val="clear" w:color="auto" w:fill="FFFFFF"/>
        </w:rPr>
        <w:t>2</w:t>
      </w:r>
      <w:r w:rsidR="007E58C7">
        <w:rPr>
          <w:shd w:val="clear" w:color="auto" w:fill="FFFFFF"/>
        </w:rPr>
        <w:t xml:space="preserve"> p. proc.</w:t>
      </w:r>
      <w:r w:rsidR="009C2E5B">
        <w:rPr>
          <w:shd w:val="clear" w:color="auto" w:fill="FFFFFF"/>
        </w:rPr>
        <w:t xml:space="preserve"> </w:t>
      </w:r>
      <w:r w:rsidR="00356C31">
        <w:rPr>
          <w:shd w:val="clear" w:color="auto" w:fill="FFFFFF"/>
        </w:rPr>
        <w:t>niższą</w:t>
      </w:r>
      <w:r w:rsidR="007E58C7">
        <w:rPr>
          <w:shd w:val="clear" w:color="auto" w:fill="FFFFFF"/>
        </w:rPr>
        <w:t xml:space="preserve"> niż</w:t>
      </w:r>
      <w:r w:rsidR="00F370FD">
        <w:rPr>
          <w:shd w:val="clear" w:color="auto" w:fill="FFFFFF"/>
        </w:rPr>
        <w:t xml:space="preserve"> w analogicznym miesiącu 2019</w:t>
      </w:r>
      <w:r>
        <w:rPr>
          <w:shd w:val="clear" w:color="auto" w:fill="FFFFFF"/>
        </w:rPr>
        <w:t> </w:t>
      </w:r>
      <w:r w:rsidRPr="00655E7E">
        <w:rPr>
          <w:shd w:val="clear" w:color="auto" w:fill="FFFFFF"/>
        </w:rPr>
        <w:t xml:space="preserve">r. </w:t>
      </w:r>
    </w:p>
    <w:p w14:paraId="22CDFE25" w14:textId="382D99B0" w:rsidR="00A06A63" w:rsidRDefault="00F44379" w:rsidP="003F6DBB">
      <w:pPr>
        <w:spacing w:before="0" w:after="0"/>
        <w:rPr>
          <w:shd w:val="clear" w:color="auto" w:fill="FFFFFF"/>
        </w:rPr>
      </w:pPr>
      <w:r w:rsidRPr="00001C5B">
        <w:rPr>
          <w:b/>
          <w:noProof/>
          <w:color w:val="212492"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20EBF3F8" wp14:editId="171B06C3">
                <wp:simplePos x="0" y="0"/>
                <wp:positionH relativeFrom="rightMargin">
                  <wp:posOffset>142875</wp:posOffset>
                </wp:positionH>
                <wp:positionV relativeFrom="paragraph">
                  <wp:posOffset>160655</wp:posOffset>
                </wp:positionV>
                <wp:extent cx="1725295" cy="1104265"/>
                <wp:effectExtent l="0" t="0" r="0" b="635"/>
                <wp:wrapTight wrapText="bothSides">
                  <wp:wrapPolygon edited="0">
                    <wp:start x="715" y="0"/>
                    <wp:lineTo x="715" y="21240"/>
                    <wp:lineTo x="20749" y="21240"/>
                    <wp:lineTo x="20749" y="0"/>
                    <wp:lineTo x="715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1042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FB5A29" w14:textId="60807F4E" w:rsidR="00F6030E" w:rsidRPr="00074DD8" w:rsidRDefault="00F6030E" w:rsidP="00074DD8">
                            <w:pPr>
                              <w:pStyle w:val="tekstzboku"/>
                            </w:pPr>
                            <w:r>
                              <w:t>Dla 95,4</w:t>
                            </w:r>
                            <w:r w:rsidRPr="00FC711D">
                              <w:t>% respondentów obecna sytuacja epidemiologiczna miała wpływ na odpowiedzi na pytania doty</w:t>
                            </w:r>
                            <w:r>
                              <w:t>czące koniunktury konsumenckiej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EBF3F8" id="_x0000_s1029" type="#_x0000_t202" style="position:absolute;margin-left:11.25pt;margin-top:12.65pt;width:135.85pt;height:86.9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" filled="f" stroked="f">
                <v:textbox>
                  <w:txbxContent>
                    <w:p w14:paraId="2FFB5A29" w14:textId="60807F4E" w:rsidR="00F6030E" w:rsidRPr="00074DD8" w:rsidRDefault="00F6030E" w:rsidP="00074DD8">
                      <w:pPr>
                        <w:pStyle w:val="tekstzboku"/>
                      </w:pPr>
                      <w:r>
                        <w:t>Dla 95,4</w:t>
                      </w:r>
                      <w:r w:rsidRPr="00FC711D">
                        <w:t>% respondentów obecna sytuacja epidemiologiczna miała wpływ na odpowiedzi na pytania doty</w:t>
                      </w:r>
                      <w:r>
                        <w:t>czące koniunktury konsumenckiej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69E338AF" w14:textId="598D2907" w:rsidR="00F44379" w:rsidRDefault="00FE4DFA" w:rsidP="00F44379">
      <w:pPr>
        <w:pStyle w:val="Nagwek1"/>
        <w:tabs>
          <w:tab w:val="left" w:pos="6330"/>
        </w:tabs>
      </w:pPr>
      <w:r>
        <w:t>Dla 95,4</w:t>
      </w:r>
      <w:r w:rsidR="00F44379">
        <w:t>% respondentów obecna sytuacja epidemiologiczna miała wpływ na odpowiedzi doty</w:t>
      </w:r>
      <w:r w:rsidR="00221E7B">
        <w:t>czące koniunktury konsumenckiej (</w:t>
      </w:r>
      <w:r w:rsidR="008F179A">
        <w:t xml:space="preserve">odpowiedzi na pytania </w:t>
      </w:r>
      <w:r w:rsidR="00F44379">
        <w:t>dodatkow</w:t>
      </w:r>
      <w:r w:rsidR="008F179A">
        <w:t>e</w:t>
      </w:r>
      <w:r w:rsidR="00F44379">
        <w:t xml:space="preserve"> </w:t>
      </w:r>
      <w:r w:rsidR="008F179A">
        <w:t xml:space="preserve">w związku z </w:t>
      </w:r>
      <w:r w:rsidR="00F44379">
        <w:t>zagr</w:t>
      </w:r>
      <w:r w:rsidR="00221E7B">
        <w:t xml:space="preserve">ożenia koronawirusem COVID-19 </w:t>
      </w:r>
      <w:r w:rsidR="008F179A">
        <w:t xml:space="preserve">zamieszczone zostały </w:t>
      </w:r>
      <w:r w:rsidR="00221E7B">
        <w:t xml:space="preserve">w </w:t>
      </w:r>
      <w:r w:rsidR="006631D3">
        <w:t>załączniku</w:t>
      </w:r>
      <w:r w:rsidR="00221E7B">
        <w:t>).</w:t>
      </w:r>
    </w:p>
    <w:p w14:paraId="5A7EA524" w14:textId="77777777" w:rsidR="00221E7B" w:rsidRPr="00221E7B" w:rsidRDefault="00221E7B" w:rsidP="00221E7B">
      <w:pPr>
        <w:rPr>
          <w:lang w:eastAsia="pl-PL"/>
        </w:rPr>
      </w:pPr>
    </w:p>
    <w:p w14:paraId="2302267A" w14:textId="60506D7C" w:rsidR="004F4B02" w:rsidRDefault="004F4B02" w:rsidP="00D06B81">
      <w:pPr>
        <w:jc w:val="both"/>
        <w:rPr>
          <w:rFonts w:cs="Arial"/>
          <w:spacing w:val="-2"/>
          <w:sz w:val="18"/>
          <w:szCs w:val="18"/>
        </w:rPr>
      </w:pPr>
    </w:p>
    <w:p w14:paraId="4F4F2430" w14:textId="77777777" w:rsidR="00DE1E47" w:rsidRDefault="00DE1E47" w:rsidP="00D06B81">
      <w:pPr>
        <w:jc w:val="both"/>
        <w:rPr>
          <w:rFonts w:cs="Arial"/>
          <w:spacing w:val="-2"/>
          <w:sz w:val="18"/>
          <w:szCs w:val="18"/>
        </w:rPr>
      </w:pPr>
    </w:p>
    <w:p w14:paraId="2A2C25F2" w14:textId="77777777" w:rsidR="00DE1E47" w:rsidRPr="00D06B81" w:rsidRDefault="00DE1E47" w:rsidP="00D06B81">
      <w:pPr>
        <w:jc w:val="both"/>
        <w:rPr>
          <w:rFonts w:cs="Arial"/>
          <w:spacing w:val="-2"/>
          <w:sz w:val="18"/>
          <w:szCs w:val="18"/>
        </w:rPr>
      </w:pPr>
    </w:p>
    <w:tbl>
      <w:tblPr>
        <w:tblStyle w:val="Siatkatabelijasna"/>
        <w:tblpPr w:leftFromText="141" w:rightFromText="141" w:vertAnchor="text" w:horzAnchor="margin" w:tblpY="596"/>
        <w:tblW w:w="80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831"/>
        <w:gridCol w:w="599"/>
        <w:gridCol w:w="1107"/>
        <w:gridCol w:w="1105"/>
        <w:gridCol w:w="973"/>
        <w:gridCol w:w="1089"/>
        <w:gridCol w:w="1130"/>
        <w:gridCol w:w="1245"/>
      </w:tblGrid>
      <w:tr w:rsidR="00351316" w:rsidRPr="00FA5128" w14:paraId="391D72B9" w14:textId="77777777" w:rsidTr="004E61ED">
        <w:trPr>
          <w:trHeight w:val="654"/>
        </w:trPr>
        <w:tc>
          <w:tcPr>
            <w:tcW w:w="1430" w:type="dxa"/>
            <w:gridSpan w:val="2"/>
            <w:tcBorders>
              <w:top w:val="nil"/>
            </w:tcBorders>
            <w:vAlign w:val="center"/>
          </w:tcPr>
          <w:p w14:paraId="248ADC28" w14:textId="77777777" w:rsidR="00351316" w:rsidRPr="009C7251" w:rsidRDefault="00351316" w:rsidP="00A201E6">
            <w:pPr>
              <w:pStyle w:val="Nagwek1"/>
              <w:tabs>
                <w:tab w:val="right" w:leader="dot" w:pos="4139"/>
              </w:tabs>
              <w:jc w:val="center"/>
              <w:outlineLvl w:val="0"/>
              <w:rPr>
                <w:rFonts w:ascii="Fira Sans" w:hAnsi="Fira Sans" w:cs="Arial"/>
                <w:b/>
                <w:bCs w:val="0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lastRenderedPageBreak/>
              <w:t>Okres badania ankietowego</w:t>
            </w:r>
          </w:p>
        </w:tc>
        <w:tc>
          <w:tcPr>
            <w:tcW w:w="2212" w:type="dxa"/>
            <w:gridSpan w:val="2"/>
            <w:tcBorders>
              <w:top w:val="nil"/>
            </w:tcBorders>
            <w:vAlign w:val="center"/>
          </w:tcPr>
          <w:p w14:paraId="7E2CA918" w14:textId="77777777" w:rsidR="00351316" w:rsidRPr="00FA5128" w:rsidRDefault="00351316" w:rsidP="00A201E6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Zmiany sytuacji finansowej gospodarstwa domowego  w:</w:t>
            </w:r>
          </w:p>
        </w:tc>
        <w:tc>
          <w:tcPr>
            <w:tcW w:w="2062" w:type="dxa"/>
            <w:gridSpan w:val="2"/>
            <w:tcBorders>
              <w:top w:val="nil"/>
            </w:tcBorders>
            <w:vAlign w:val="center"/>
          </w:tcPr>
          <w:p w14:paraId="125FF143" w14:textId="77777777" w:rsidR="00351316" w:rsidRPr="00FA5128" w:rsidRDefault="00351316" w:rsidP="00A201E6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Zmiany ogólnej sytuacji ekonomicznej kraju w:</w:t>
            </w:r>
          </w:p>
        </w:tc>
        <w:tc>
          <w:tcPr>
            <w:tcW w:w="1130" w:type="dxa"/>
            <w:vMerge w:val="restart"/>
            <w:tcBorders>
              <w:top w:val="nil"/>
            </w:tcBorders>
            <w:vAlign w:val="center"/>
          </w:tcPr>
          <w:p w14:paraId="05B74E6B" w14:textId="77777777" w:rsidR="00351316" w:rsidRPr="00FA5128" w:rsidRDefault="00351316" w:rsidP="00A201E6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Obecne dokonywanie ważnych zakupów</w:t>
            </w:r>
          </w:p>
        </w:tc>
        <w:tc>
          <w:tcPr>
            <w:tcW w:w="1245" w:type="dxa"/>
            <w:vMerge w:val="restart"/>
            <w:tcBorders>
              <w:top w:val="nil"/>
            </w:tcBorders>
            <w:vAlign w:val="center"/>
          </w:tcPr>
          <w:p w14:paraId="6447FF63" w14:textId="77777777" w:rsidR="00351316" w:rsidRPr="00FA5128" w:rsidRDefault="00351316" w:rsidP="00A201E6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Wskaźnik ufności konsumenckiej </w:t>
            </w:r>
            <w:r w:rsidRPr="00E37334">
              <w:rPr>
                <w:rFonts w:ascii="Fira Sans" w:hAnsi="Fira Sans"/>
                <w:color w:val="000000" w:themeColor="text1"/>
                <w:sz w:val="16"/>
                <w:szCs w:val="16"/>
              </w:rPr>
              <w:t>BWUK</w:t>
            </w:r>
          </w:p>
        </w:tc>
      </w:tr>
      <w:tr w:rsidR="00E37334" w:rsidRPr="00FA5128" w14:paraId="3E1DCA0E" w14:textId="77777777" w:rsidTr="004E61ED">
        <w:trPr>
          <w:trHeight w:val="628"/>
        </w:trPr>
        <w:tc>
          <w:tcPr>
            <w:tcW w:w="1430" w:type="dxa"/>
            <w:gridSpan w:val="2"/>
            <w:vMerge w:val="restart"/>
            <w:vAlign w:val="center"/>
          </w:tcPr>
          <w:p w14:paraId="39C7036A" w14:textId="77777777" w:rsidR="00E37334" w:rsidRDefault="00E37334" w:rsidP="00A201E6">
            <w:pPr>
              <w:pStyle w:val="Nagwek1"/>
              <w:tabs>
                <w:tab w:val="right" w:leader="dot" w:pos="4139"/>
              </w:tabs>
              <w:spacing w:before="0" w:after="0"/>
              <w:jc w:val="center"/>
              <w:outlineLvl w:val="0"/>
              <w:rPr>
                <w:rFonts w:cs="Arial"/>
                <w:color w:val="000000" w:themeColor="text1"/>
                <w:sz w:val="16"/>
                <w:szCs w:val="16"/>
              </w:rPr>
            </w:pPr>
          </w:p>
          <w:p w14:paraId="22DADC0A" w14:textId="77777777" w:rsidR="00E37334" w:rsidRDefault="00E37334" w:rsidP="00A201E6">
            <w:pPr>
              <w:pStyle w:val="Nagwek1"/>
              <w:tabs>
                <w:tab w:val="right" w:leader="dot" w:pos="4139"/>
              </w:tabs>
              <w:spacing w:before="0" w:after="0"/>
              <w:jc w:val="center"/>
              <w:outlineLvl w:val="0"/>
              <w:rPr>
                <w:rFonts w:cs="Arial"/>
                <w:color w:val="000000" w:themeColor="text1"/>
                <w:sz w:val="16"/>
                <w:szCs w:val="16"/>
              </w:rPr>
            </w:pPr>
          </w:p>
          <w:p w14:paraId="41384001" w14:textId="77777777" w:rsidR="00E37334" w:rsidRDefault="00E37334" w:rsidP="00A201E6">
            <w:pPr>
              <w:pStyle w:val="Nagwek1"/>
              <w:tabs>
                <w:tab w:val="right" w:leader="dot" w:pos="4139"/>
              </w:tabs>
              <w:spacing w:before="0" w:after="0"/>
              <w:jc w:val="center"/>
              <w:outlineLvl w:val="0"/>
              <w:rPr>
                <w:rFonts w:cs="Arial"/>
                <w:color w:val="000000" w:themeColor="text1"/>
                <w:sz w:val="16"/>
                <w:szCs w:val="16"/>
              </w:rPr>
            </w:pPr>
          </w:p>
          <w:p w14:paraId="25FC2E12" w14:textId="77777777" w:rsidR="00E37334" w:rsidRPr="00E37334" w:rsidRDefault="00E37334" w:rsidP="00A201E6">
            <w:pPr>
              <w:pStyle w:val="Nagwek1"/>
              <w:tabs>
                <w:tab w:val="right" w:leader="dot" w:pos="4139"/>
              </w:tabs>
              <w:spacing w:before="0" w:after="0"/>
              <w:jc w:val="center"/>
              <w:outlineLvl w:val="0"/>
              <w:rPr>
                <w:rFonts w:ascii="Fira Sans" w:hAnsi="Fira Sans" w:cs="Arial"/>
                <w:color w:val="000000" w:themeColor="text1"/>
                <w:sz w:val="16"/>
                <w:szCs w:val="16"/>
              </w:rPr>
            </w:pPr>
            <w:r w:rsidRPr="00E37334"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 xml:space="preserve">Rok     Kwartał </w:t>
            </w:r>
          </w:p>
          <w:p w14:paraId="56803BDC" w14:textId="77777777" w:rsidR="00E37334" w:rsidRPr="009C7251" w:rsidRDefault="00E37334" w:rsidP="00A201E6">
            <w:pPr>
              <w:pStyle w:val="Nagwek1"/>
              <w:tabs>
                <w:tab w:val="right" w:leader="dot" w:pos="4139"/>
              </w:tabs>
              <w:spacing w:before="0" w:after="0"/>
              <w:jc w:val="center"/>
              <w:outlineLvl w:val="0"/>
              <w:rPr>
                <w:rFonts w:ascii="Fira Sans" w:hAnsi="Fira Sans" w:cs="Arial"/>
                <w:color w:val="000000" w:themeColor="text1"/>
                <w:sz w:val="16"/>
                <w:szCs w:val="16"/>
              </w:rPr>
            </w:pPr>
            <w:r w:rsidRPr="00E37334"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 xml:space="preserve">          </w:t>
            </w:r>
            <w:r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 xml:space="preserve">  </w:t>
            </w:r>
            <w:r w:rsidRPr="00E37334"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>Miesiąc</w:t>
            </w:r>
          </w:p>
        </w:tc>
        <w:tc>
          <w:tcPr>
            <w:tcW w:w="1107" w:type="dxa"/>
            <w:vAlign w:val="center"/>
          </w:tcPr>
          <w:p w14:paraId="1085402A" w14:textId="77777777" w:rsidR="00E37334" w:rsidRPr="00FA5128" w:rsidRDefault="00E37334" w:rsidP="00A201E6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ostatnich 12 miesiącach</w:t>
            </w:r>
          </w:p>
        </w:tc>
        <w:tc>
          <w:tcPr>
            <w:tcW w:w="1105" w:type="dxa"/>
            <w:vAlign w:val="center"/>
          </w:tcPr>
          <w:p w14:paraId="62FB4B8B" w14:textId="77777777" w:rsidR="00E37334" w:rsidRPr="00FA5128" w:rsidRDefault="00E37334" w:rsidP="00A201E6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najbliższych 12 miesiącach</w:t>
            </w:r>
          </w:p>
        </w:tc>
        <w:tc>
          <w:tcPr>
            <w:tcW w:w="973" w:type="dxa"/>
            <w:vAlign w:val="center"/>
          </w:tcPr>
          <w:p w14:paraId="5D8E0DDA" w14:textId="77777777" w:rsidR="00E37334" w:rsidRPr="00FA5128" w:rsidRDefault="00E37334" w:rsidP="00A201E6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ostatnich 12 miesiącach</w:t>
            </w:r>
          </w:p>
        </w:tc>
        <w:tc>
          <w:tcPr>
            <w:tcW w:w="1089" w:type="dxa"/>
            <w:vAlign w:val="center"/>
          </w:tcPr>
          <w:p w14:paraId="2DB655CA" w14:textId="77777777" w:rsidR="00E37334" w:rsidRPr="00FA5128" w:rsidRDefault="00E37334" w:rsidP="00A201E6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najbliższych 12 miesiącach</w:t>
            </w:r>
          </w:p>
        </w:tc>
        <w:tc>
          <w:tcPr>
            <w:tcW w:w="1130" w:type="dxa"/>
            <w:vMerge/>
            <w:vAlign w:val="center"/>
          </w:tcPr>
          <w:p w14:paraId="4705E7F2" w14:textId="77777777" w:rsidR="00E37334" w:rsidRPr="00FA5128" w:rsidRDefault="00E37334" w:rsidP="00A201E6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</w:p>
        </w:tc>
        <w:tc>
          <w:tcPr>
            <w:tcW w:w="1245" w:type="dxa"/>
            <w:vMerge/>
            <w:vAlign w:val="center"/>
          </w:tcPr>
          <w:p w14:paraId="48A00648" w14:textId="77777777" w:rsidR="00E37334" w:rsidRPr="00FA5128" w:rsidRDefault="00E37334" w:rsidP="00A201E6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</w:p>
        </w:tc>
      </w:tr>
      <w:tr w:rsidR="00E37334" w:rsidRPr="00FA5128" w14:paraId="742AD739" w14:textId="77777777" w:rsidTr="004E61ED">
        <w:trPr>
          <w:trHeight w:val="20"/>
        </w:trPr>
        <w:tc>
          <w:tcPr>
            <w:tcW w:w="1430" w:type="dxa"/>
            <w:gridSpan w:val="2"/>
            <w:vMerge/>
            <w:tcBorders>
              <w:bottom w:val="single" w:sz="12" w:space="0" w:color="212492"/>
            </w:tcBorders>
            <w:vAlign w:val="center"/>
          </w:tcPr>
          <w:p w14:paraId="17DD4305" w14:textId="77777777" w:rsidR="00E37334" w:rsidRPr="00FA5128" w:rsidRDefault="00E37334" w:rsidP="00A201E6">
            <w:pPr>
              <w:pStyle w:val="Nagwek1"/>
              <w:tabs>
                <w:tab w:val="right" w:leader="dot" w:pos="4139"/>
              </w:tabs>
              <w:spacing w:before="0" w:after="0"/>
              <w:jc w:val="center"/>
              <w:outlineLvl w:val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07" w:type="dxa"/>
            <w:tcBorders>
              <w:bottom w:val="single" w:sz="12" w:space="0" w:color="212492"/>
            </w:tcBorders>
            <w:vAlign w:val="center"/>
          </w:tcPr>
          <w:p w14:paraId="1E60D8AE" w14:textId="77777777" w:rsidR="00E37334" w:rsidRPr="00FA5128" w:rsidRDefault="00E37334" w:rsidP="00A201E6">
            <w:pPr>
              <w:spacing w:before="0" w:after="0" w:line="14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a</w:t>
            </w:r>
          </w:p>
        </w:tc>
        <w:tc>
          <w:tcPr>
            <w:tcW w:w="1105" w:type="dxa"/>
            <w:tcBorders>
              <w:bottom w:val="single" w:sz="12" w:space="0" w:color="212492"/>
            </w:tcBorders>
          </w:tcPr>
          <w:p w14:paraId="04655817" w14:textId="77777777" w:rsidR="00E37334" w:rsidRPr="00FA5128" w:rsidRDefault="00E37334" w:rsidP="00A201E6">
            <w:pPr>
              <w:spacing w:before="0" w:after="0" w:line="14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b</w:t>
            </w:r>
          </w:p>
        </w:tc>
        <w:tc>
          <w:tcPr>
            <w:tcW w:w="973" w:type="dxa"/>
            <w:tcBorders>
              <w:bottom w:val="single" w:sz="12" w:space="0" w:color="212492"/>
            </w:tcBorders>
            <w:vAlign w:val="center"/>
          </w:tcPr>
          <w:p w14:paraId="3EF12BC5" w14:textId="77777777" w:rsidR="00E37334" w:rsidRPr="00FA5128" w:rsidRDefault="00E37334" w:rsidP="00A201E6">
            <w:pPr>
              <w:spacing w:before="0" w:after="0" w:line="14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c</w:t>
            </w:r>
          </w:p>
        </w:tc>
        <w:tc>
          <w:tcPr>
            <w:tcW w:w="1089" w:type="dxa"/>
            <w:tcBorders>
              <w:bottom w:val="single" w:sz="12" w:space="0" w:color="212492"/>
            </w:tcBorders>
          </w:tcPr>
          <w:p w14:paraId="4528EDFF" w14:textId="77777777" w:rsidR="00E37334" w:rsidRPr="00FA5128" w:rsidRDefault="00E37334" w:rsidP="00A201E6">
            <w:pPr>
              <w:spacing w:before="0" w:after="0" w:line="14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d</w:t>
            </w:r>
          </w:p>
        </w:tc>
        <w:tc>
          <w:tcPr>
            <w:tcW w:w="1130" w:type="dxa"/>
            <w:tcBorders>
              <w:bottom w:val="single" w:sz="12" w:space="0" w:color="212492"/>
            </w:tcBorders>
            <w:vAlign w:val="center"/>
          </w:tcPr>
          <w:p w14:paraId="4E3F29C6" w14:textId="77777777" w:rsidR="00E37334" w:rsidRPr="00FA5128" w:rsidRDefault="00E37334" w:rsidP="00A201E6">
            <w:pPr>
              <w:spacing w:before="0" w:after="0" w:line="14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e</w:t>
            </w:r>
          </w:p>
        </w:tc>
        <w:tc>
          <w:tcPr>
            <w:tcW w:w="1245" w:type="dxa"/>
            <w:vMerge/>
            <w:tcBorders>
              <w:bottom w:val="single" w:sz="12" w:space="0" w:color="212492"/>
            </w:tcBorders>
            <w:vAlign w:val="center"/>
          </w:tcPr>
          <w:p w14:paraId="68327E79" w14:textId="77777777" w:rsidR="00E37334" w:rsidRPr="00FA5128" w:rsidRDefault="00E37334" w:rsidP="00A201E6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E37334" w:rsidRPr="00FA5128" w14:paraId="526635C7" w14:textId="77777777" w:rsidTr="004E61ED">
        <w:trPr>
          <w:trHeight w:val="114"/>
        </w:trPr>
        <w:tc>
          <w:tcPr>
            <w:tcW w:w="1430" w:type="dxa"/>
            <w:gridSpan w:val="2"/>
            <w:tcBorders>
              <w:top w:val="single" w:sz="12" w:space="0" w:color="212492"/>
              <w:bottom w:val="nil"/>
            </w:tcBorders>
            <w:vAlign w:val="center"/>
          </w:tcPr>
          <w:p w14:paraId="2A8F9BCC" w14:textId="77777777" w:rsidR="00E37334" w:rsidRPr="00FA5128" w:rsidRDefault="00E37334" w:rsidP="00A201E6">
            <w:pPr>
              <w:pStyle w:val="Nagwek5"/>
              <w:tabs>
                <w:tab w:val="right" w:leader="dot" w:pos="4156"/>
              </w:tabs>
              <w:spacing w:before="0" w:line="140" w:lineRule="exact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404" w:type="dxa"/>
            <w:gridSpan w:val="5"/>
            <w:tcBorders>
              <w:top w:val="single" w:sz="12" w:space="0" w:color="212492"/>
              <w:bottom w:val="single" w:sz="4" w:space="0" w:color="212492"/>
            </w:tcBorders>
            <w:vAlign w:val="center"/>
          </w:tcPr>
          <w:p w14:paraId="62589EC6" w14:textId="77777777" w:rsidR="00E37334" w:rsidRPr="00E37334" w:rsidRDefault="00E37334" w:rsidP="00A201E6">
            <w:pPr>
              <w:spacing w:before="0" w:after="0" w:line="140" w:lineRule="exact"/>
              <w:jc w:val="center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s</w:t>
            </w:r>
            <w:r w:rsidRPr="00E37334">
              <w:rPr>
                <w:rFonts w:cs="Arial"/>
                <w:color w:val="000000" w:themeColor="text1"/>
                <w:sz w:val="16"/>
                <w:szCs w:val="16"/>
              </w:rPr>
              <w:t>aldo ocen w procentach</w:t>
            </w:r>
          </w:p>
        </w:tc>
        <w:tc>
          <w:tcPr>
            <w:tcW w:w="1245" w:type="dxa"/>
            <w:tcBorders>
              <w:top w:val="single" w:sz="12" w:space="0" w:color="212492"/>
              <w:bottom w:val="nil"/>
            </w:tcBorders>
            <w:vAlign w:val="center"/>
          </w:tcPr>
          <w:p w14:paraId="7CCFFE93" w14:textId="77777777" w:rsidR="00E37334" w:rsidRPr="00FA5128" w:rsidRDefault="00E37334" w:rsidP="00A201E6">
            <w:pPr>
              <w:spacing w:before="0" w:after="0" w:line="140" w:lineRule="exact"/>
              <w:jc w:val="right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E37334" w:rsidRPr="00FA5128" w14:paraId="55579316" w14:textId="77777777" w:rsidTr="00AF2F1E">
        <w:trPr>
          <w:trHeight w:val="156"/>
        </w:trPr>
        <w:tc>
          <w:tcPr>
            <w:tcW w:w="1430" w:type="dxa"/>
            <w:gridSpan w:val="2"/>
            <w:tcBorders>
              <w:top w:val="nil"/>
              <w:bottom w:val="single" w:sz="4" w:space="0" w:color="001D77"/>
            </w:tcBorders>
            <w:vAlign w:val="center"/>
          </w:tcPr>
          <w:p w14:paraId="3629EE2F" w14:textId="77777777" w:rsidR="00E37334" w:rsidRPr="00FA5128" w:rsidRDefault="00E37334" w:rsidP="00A201E6">
            <w:pPr>
              <w:pStyle w:val="Nagwek5"/>
              <w:tabs>
                <w:tab w:val="right" w:leader="dot" w:pos="4156"/>
              </w:tabs>
              <w:spacing w:before="0" w:line="140" w:lineRule="exact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07" w:type="dxa"/>
            <w:tcBorders>
              <w:top w:val="single" w:sz="4" w:space="0" w:color="212492"/>
              <w:bottom w:val="single" w:sz="4" w:space="0" w:color="001D77"/>
              <w:right w:val="nil"/>
            </w:tcBorders>
            <w:vAlign w:val="center"/>
          </w:tcPr>
          <w:p w14:paraId="01A34138" w14:textId="77777777" w:rsidR="00E37334" w:rsidRPr="00FA5128" w:rsidRDefault="00E37334" w:rsidP="00A201E6">
            <w:pPr>
              <w:spacing w:before="0" w:after="0" w:line="140" w:lineRule="exact"/>
              <w:jc w:val="center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05" w:type="dxa"/>
            <w:tcBorders>
              <w:top w:val="single" w:sz="4" w:space="0" w:color="212492"/>
              <w:left w:val="nil"/>
              <w:bottom w:val="single" w:sz="4" w:space="0" w:color="001D77"/>
              <w:right w:val="nil"/>
            </w:tcBorders>
            <w:vAlign w:val="center"/>
          </w:tcPr>
          <w:p w14:paraId="6F09A109" w14:textId="77777777" w:rsidR="00E37334" w:rsidRPr="00FA5128" w:rsidRDefault="00E37334" w:rsidP="00A201E6">
            <w:pPr>
              <w:spacing w:before="0" w:after="0" w:line="140" w:lineRule="exact"/>
              <w:jc w:val="center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973" w:type="dxa"/>
            <w:tcBorders>
              <w:top w:val="single" w:sz="4" w:space="0" w:color="212492"/>
              <w:left w:val="nil"/>
              <w:bottom w:val="single" w:sz="4" w:space="0" w:color="001D77"/>
              <w:right w:val="nil"/>
            </w:tcBorders>
            <w:vAlign w:val="center"/>
          </w:tcPr>
          <w:p w14:paraId="5F73D01A" w14:textId="77777777" w:rsidR="00E37334" w:rsidRPr="00FA5128" w:rsidRDefault="00E37334" w:rsidP="00A201E6">
            <w:pPr>
              <w:spacing w:before="0" w:after="0" w:line="140" w:lineRule="exact"/>
              <w:jc w:val="center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AF2F1E">
              <w:rPr>
                <w:rFonts w:cs="Arial"/>
                <w:b/>
                <w:color w:val="000000" w:themeColor="text1"/>
                <w:sz w:val="14"/>
                <w:szCs w:val="16"/>
              </w:rPr>
              <w:t>Lata</w:t>
            </w:r>
          </w:p>
        </w:tc>
        <w:tc>
          <w:tcPr>
            <w:tcW w:w="1089" w:type="dxa"/>
            <w:tcBorders>
              <w:top w:val="single" w:sz="4" w:space="0" w:color="212492"/>
              <w:left w:val="nil"/>
              <w:bottom w:val="single" w:sz="4" w:space="0" w:color="001D77"/>
              <w:right w:val="nil"/>
            </w:tcBorders>
            <w:vAlign w:val="center"/>
          </w:tcPr>
          <w:p w14:paraId="79036828" w14:textId="77777777" w:rsidR="00E37334" w:rsidRPr="00FA5128" w:rsidRDefault="00E37334" w:rsidP="00A201E6">
            <w:pPr>
              <w:spacing w:before="0" w:after="0" w:line="140" w:lineRule="exact"/>
              <w:jc w:val="center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130" w:type="dxa"/>
            <w:tcBorders>
              <w:top w:val="single" w:sz="4" w:space="0" w:color="212492"/>
              <w:left w:val="nil"/>
              <w:bottom w:val="single" w:sz="4" w:space="0" w:color="001D77"/>
              <w:right w:val="nil"/>
            </w:tcBorders>
            <w:vAlign w:val="center"/>
          </w:tcPr>
          <w:p w14:paraId="12BFCA42" w14:textId="77777777" w:rsidR="00E37334" w:rsidRPr="00FA5128" w:rsidRDefault="00E37334" w:rsidP="00A201E6">
            <w:pPr>
              <w:spacing w:before="0" w:after="0" w:line="140" w:lineRule="exact"/>
              <w:jc w:val="center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single" w:sz="4" w:space="0" w:color="001D77"/>
            </w:tcBorders>
            <w:vAlign w:val="center"/>
          </w:tcPr>
          <w:p w14:paraId="62BF060A" w14:textId="77777777" w:rsidR="00E37334" w:rsidRPr="00FA5128" w:rsidRDefault="00E37334" w:rsidP="00A201E6">
            <w:pPr>
              <w:spacing w:before="0" w:after="0" w:line="140" w:lineRule="exact"/>
              <w:jc w:val="center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351316" w:rsidRPr="00FA5128" w14:paraId="74B53242" w14:textId="77777777" w:rsidTr="005F0D73">
        <w:trPr>
          <w:trHeight w:val="28"/>
        </w:trPr>
        <w:tc>
          <w:tcPr>
            <w:tcW w:w="1430" w:type="dxa"/>
            <w:gridSpan w:val="2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14:paraId="1BB28A96" w14:textId="77777777" w:rsidR="00351316" w:rsidRPr="007443DC" w:rsidRDefault="00351316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7443DC">
              <w:rPr>
                <w:rFonts w:cs="Arial"/>
                <w:sz w:val="14"/>
              </w:rPr>
              <w:t>2006</w:t>
            </w:r>
          </w:p>
        </w:tc>
        <w:tc>
          <w:tcPr>
            <w:tcW w:w="11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B7B5CEF" w14:textId="77777777"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-18,2</w:t>
            </w:r>
          </w:p>
        </w:tc>
        <w:tc>
          <w:tcPr>
            <w:tcW w:w="11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6A8F865" w14:textId="77777777"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-6,1</w:t>
            </w:r>
          </w:p>
        </w:tc>
        <w:tc>
          <w:tcPr>
            <w:tcW w:w="97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B4DFDAE" w14:textId="77777777"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-26,2</w:t>
            </w:r>
          </w:p>
        </w:tc>
        <w:tc>
          <w:tcPr>
            <w:tcW w:w="108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A09BE86" w14:textId="77777777"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-13,0</w:t>
            </w:r>
          </w:p>
        </w:tc>
        <w:tc>
          <w:tcPr>
            <w:tcW w:w="11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72DEEB00" w14:textId="77777777"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-11,1</w:t>
            </w:r>
          </w:p>
        </w:tc>
        <w:tc>
          <w:tcPr>
            <w:tcW w:w="124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6CEA5469" w14:textId="77777777"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-14,9</w:t>
            </w:r>
          </w:p>
        </w:tc>
      </w:tr>
      <w:tr w:rsidR="00351316" w:rsidRPr="00FA5128" w14:paraId="3BC2B994" w14:textId="77777777" w:rsidTr="005F0D73">
        <w:trPr>
          <w:trHeight w:val="28"/>
        </w:trPr>
        <w:tc>
          <w:tcPr>
            <w:tcW w:w="1430" w:type="dxa"/>
            <w:gridSpan w:val="2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14:paraId="66560064" w14:textId="77777777" w:rsidR="00351316" w:rsidRPr="007443DC" w:rsidRDefault="00351316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7443DC">
              <w:rPr>
                <w:rFonts w:cs="Arial"/>
                <w:sz w:val="14"/>
              </w:rPr>
              <w:t>2007</w:t>
            </w:r>
          </w:p>
        </w:tc>
        <w:tc>
          <w:tcPr>
            <w:tcW w:w="11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C59E442" w14:textId="77777777"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-10,9</w:t>
            </w:r>
          </w:p>
        </w:tc>
        <w:tc>
          <w:tcPr>
            <w:tcW w:w="11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F9668FA" w14:textId="77777777"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-1,9</w:t>
            </w:r>
          </w:p>
        </w:tc>
        <w:tc>
          <w:tcPr>
            <w:tcW w:w="97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78463714" w14:textId="77777777"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-17,7</w:t>
            </w:r>
          </w:p>
        </w:tc>
        <w:tc>
          <w:tcPr>
            <w:tcW w:w="108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8BBE8A3" w14:textId="77777777"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-6,6</w:t>
            </w:r>
          </w:p>
        </w:tc>
        <w:tc>
          <w:tcPr>
            <w:tcW w:w="11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BD87E1F" w14:textId="77777777"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1,3</w:t>
            </w:r>
          </w:p>
        </w:tc>
        <w:tc>
          <w:tcPr>
            <w:tcW w:w="124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5B6B3AFC" w14:textId="77777777"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-7,1</w:t>
            </w:r>
          </w:p>
        </w:tc>
      </w:tr>
      <w:tr w:rsidR="00351316" w:rsidRPr="00FA5128" w14:paraId="2F3E8E10" w14:textId="77777777" w:rsidTr="005F0D73">
        <w:trPr>
          <w:trHeight w:val="148"/>
        </w:trPr>
        <w:tc>
          <w:tcPr>
            <w:tcW w:w="1430" w:type="dxa"/>
            <w:gridSpan w:val="2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14:paraId="3856290D" w14:textId="77777777" w:rsidR="00351316" w:rsidRPr="007443DC" w:rsidRDefault="00351316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7443DC">
              <w:rPr>
                <w:rFonts w:cs="Arial"/>
                <w:sz w:val="14"/>
              </w:rPr>
              <w:t>2008</w:t>
            </w:r>
          </w:p>
        </w:tc>
        <w:tc>
          <w:tcPr>
            <w:tcW w:w="11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5C7199BC" w14:textId="77777777"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-10,6</w:t>
            </w:r>
          </w:p>
        </w:tc>
        <w:tc>
          <w:tcPr>
            <w:tcW w:w="11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D239C1D" w14:textId="77777777"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-4,5</w:t>
            </w:r>
          </w:p>
        </w:tc>
        <w:tc>
          <w:tcPr>
            <w:tcW w:w="97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A28BDB5" w14:textId="77777777"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-16,6</w:t>
            </w:r>
          </w:p>
        </w:tc>
        <w:tc>
          <w:tcPr>
            <w:tcW w:w="108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780292EE" w14:textId="77777777"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-9,7</w:t>
            </w:r>
          </w:p>
        </w:tc>
        <w:tc>
          <w:tcPr>
            <w:tcW w:w="11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5CBADEC" w14:textId="77777777"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1,2</w:t>
            </w:r>
          </w:p>
        </w:tc>
        <w:tc>
          <w:tcPr>
            <w:tcW w:w="124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41DBFB25" w14:textId="77777777"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-8,0</w:t>
            </w:r>
          </w:p>
        </w:tc>
      </w:tr>
      <w:tr w:rsidR="00351316" w:rsidRPr="00FA5128" w14:paraId="506C447C" w14:textId="77777777" w:rsidTr="005F0D73">
        <w:trPr>
          <w:trHeight w:val="124"/>
        </w:trPr>
        <w:tc>
          <w:tcPr>
            <w:tcW w:w="1430" w:type="dxa"/>
            <w:gridSpan w:val="2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14:paraId="0DDCCA91" w14:textId="77777777" w:rsidR="00351316" w:rsidRPr="007443DC" w:rsidRDefault="00351316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7443DC">
              <w:rPr>
                <w:rFonts w:cs="Arial"/>
                <w:sz w:val="14"/>
              </w:rPr>
              <w:t>2009</w:t>
            </w:r>
          </w:p>
        </w:tc>
        <w:tc>
          <w:tcPr>
            <w:tcW w:w="11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A53CC7A" w14:textId="77777777"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-18,1</w:t>
            </w:r>
          </w:p>
        </w:tc>
        <w:tc>
          <w:tcPr>
            <w:tcW w:w="11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BD8602E" w14:textId="77777777"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-11,1</w:t>
            </w:r>
          </w:p>
        </w:tc>
        <w:tc>
          <w:tcPr>
            <w:tcW w:w="97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6EE81DB" w14:textId="77777777"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-40,0</w:t>
            </w:r>
          </w:p>
        </w:tc>
        <w:tc>
          <w:tcPr>
            <w:tcW w:w="108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6F86A6E" w14:textId="77777777"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-26,5</w:t>
            </w:r>
          </w:p>
        </w:tc>
        <w:tc>
          <w:tcPr>
            <w:tcW w:w="11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317B675" w14:textId="77777777"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-16,1</w:t>
            </w:r>
          </w:p>
        </w:tc>
        <w:tc>
          <w:tcPr>
            <w:tcW w:w="124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5FBF7EB1" w14:textId="77777777"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-22,3</w:t>
            </w:r>
          </w:p>
        </w:tc>
      </w:tr>
      <w:tr w:rsidR="00351316" w:rsidRPr="00FA5128" w14:paraId="7259848D" w14:textId="77777777" w:rsidTr="005F0D73">
        <w:trPr>
          <w:trHeight w:val="28"/>
        </w:trPr>
        <w:tc>
          <w:tcPr>
            <w:tcW w:w="1430" w:type="dxa"/>
            <w:gridSpan w:val="2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14:paraId="648C305F" w14:textId="77777777" w:rsidR="00351316" w:rsidRPr="007443DC" w:rsidRDefault="00351316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7443DC">
              <w:rPr>
                <w:rFonts w:cs="Arial"/>
                <w:sz w:val="14"/>
              </w:rPr>
              <w:t>2010</w:t>
            </w:r>
          </w:p>
        </w:tc>
        <w:tc>
          <w:tcPr>
            <w:tcW w:w="11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712898DB" w14:textId="77777777"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-17,2</w:t>
            </w:r>
          </w:p>
        </w:tc>
        <w:tc>
          <w:tcPr>
            <w:tcW w:w="11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D7CFC6D" w14:textId="77777777"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-8,2</w:t>
            </w:r>
          </w:p>
        </w:tc>
        <w:tc>
          <w:tcPr>
            <w:tcW w:w="97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7EECA69A" w14:textId="77777777"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-31,2</w:t>
            </w:r>
          </w:p>
        </w:tc>
        <w:tc>
          <w:tcPr>
            <w:tcW w:w="108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57C06D50" w14:textId="77777777"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-18,9</w:t>
            </w:r>
          </w:p>
        </w:tc>
        <w:tc>
          <w:tcPr>
            <w:tcW w:w="11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C2E6A36" w14:textId="77777777"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-9,2</w:t>
            </w:r>
          </w:p>
        </w:tc>
        <w:tc>
          <w:tcPr>
            <w:tcW w:w="124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6BAD4C6B" w14:textId="77777777"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-16,9</w:t>
            </w:r>
          </w:p>
        </w:tc>
      </w:tr>
      <w:tr w:rsidR="00351316" w:rsidRPr="00FA5128" w14:paraId="6D5BB919" w14:textId="77777777" w:rsidTr="005F0D73">
        <w:trPr>
          <w:trHeight w:val="28"/>
        </w:trPr>
        <w:tc>
          <w:tcPr>
            <w:tcW w:w="1430" w:type="dxa"/>
            <w:gridSpan w:val="2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14:paraId="6F3F13C6" w14:textId="77777777" w:rsidR="00351316" w:rsidRPr="007443DC" w:rsidRDefault="00351316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7443DC">
              <w:rPr>
                <w:rFonts w:cs="Arial"/>
                <w:sz w:val="14"/>
              </w:rPr>
              <w:t>2011</w:t>
            </w:r>
          </w:p>
        </w:tc>
        <w:tc>
          <w:tcPr>
            <w:tcW w:w="11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1E68B30" w14:textId="77777777"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-22,4</w:t>
            </w:r>
          </w:p>
        </w:tc>
        <w:tc>
          <w:tcPr>
            <w:tcW w:w="11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4769ECE" w14:textId="77777777"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-14,6</w:t>
            </w:r>
          </w:p>
        </w:tc>
        <w:tc>
          <w:tcPr>
            <w:tcW w:w="97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5B73408" w14:textId="77777777"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-41,5</w:t>
            </w:r>
          </w:p>
        </w:tc>
        <w:tc>
          <w:tcPr>
            <w:tcW w:w="108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5053DFA9" w14:textId="77777777"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-30,8</w:t>
            </w:r>
          </w:p>
        </w:tc>
        <w:tc>
          <w:tcPr>
            <w:tcW w:w="11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CB83E8C" w14:textId="77777777"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-15,9</w:t>
            </w:r>
          </w:p>
        </w:tc>
        <w:tc>
          <w:tcPr>
            <w:tcW w:w="124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034446C6" w14:textId="77777777"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-25,0</w:t>
            </w:r>
          </w:p>
        </w:tc>
      </w:tr>
      <w:tr w:rsidR="00351316" w:rsidRPr="00FA5128" w14:paraId="433021F2" w14:textId="77777777" w:rsidTr="005F0D73">
        <w:trPr>
          <w:trHeight w:val="28"/>
        </w:trPr>
        <w:tc>
          <w:tcPr>
            <w:tcW w:w="1430" w:type="dxa"/>
            <w:gridSpan w:val="2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bottom"/>
          </w:tcPr>
          <w:p w14:paraId="72D8E380" w14:textId="77777777" w:rsidR="00351316" w:rsidRPr="007443DC" w:rsidRDefault="00351316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7443DC">
              <w:rPr>
                <w:rFonts w:cs="Arial"/>
                <w:sz w:val="14"/>
              </w:rPr>
              <w:t>2012</w:t>
            </w:r>
          </w:p>
        </w:tc>
        <w:tc>
          <w:tcPr>
            <w:tcW w:w="11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59C9A2B" w14:textId="77777777"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-25,4</w:t>
            </w:r>
          </w:p>
        </w:tc>
        <w:tc>
          <w:tcPr>
            <w:tcW w:w="11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3D3100D" w14:textId="77777777"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-18,5</w:t>
            </w:r>
          </w:p>
        </w:tc>
        <w:tc>
          <w:tcPr>
            <w:tcW w:w="97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31BB7E9" w14:textId="77777777"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-46,5</w:t>
            </w:r>
          </w:p>
        </w:tc>
        <w:tc>
          <w:tcPr>
            <w:tcW w:w="108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96B42C8" w14:textId="77777777"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-38,0</w:t>
            </w:r>
          </w:p>
        </w:tc>
        <w:tc>
          <w:tcPr>
            <w:tcW w:w="11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2EDC408" w14:textId="77777777"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-19,3</w:t>
            </w:r>
          </w:p>
        </w:tc>
        <w:tc>
          <w:tcPr>
            <w:tcW w:w="124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6686246C" w14:textId="77777777" w:rsidR="00351316" w:rsidRPr="007443DC" w:rsidRDefault="00351316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7443DC"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  <w:t>-29,5</w:t>
            </w:r>
          </w:p>
        </w:tc>
      </w:tr>
      <w:tr w:rsidR="005357E1" w:rsidRPr="00FA5128" w14:paraId="4E4CD81F" w14:textId="77777777" w:rsidTr="005F0D73">
        <w:trPr>
          <w:trHeight w:val="98"/>
        </w:trPr>
        <w:tc>
          <w:tcPr>
            <w:tcW w:w="1430" w:type="dxa"/>
            <w:gridSpan w:val="2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8930B2B" w14:textId="77777777" w:rsidR="005357E1" w:rsidRPr="005357E1" w:rsidRDefault="005357E1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5357E1">
              <w:rPr>
                <w:rFonts w:cs="Arial"/>
                <w:sz w:val="14"/>
              </w:rPr>
              <w:t>2013</w:t>
            </w:r>
          </w:p>
        </w:tc>
        <w:tc>
          <w:tcPr>
            <w:tcW w:w="11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C204AB0" w14:textId="77777777"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-21,9</w:t>
            </w:r>
          </w:p>
        </w:tc>
        <w:tc>
          <w:tcPr>
            <w:tcW w:w="11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DDE0226" w14:textId="77777777"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-13,6</w:t>
            </w:r>
          </w:p>
        </w:tc>
        <w:tc>
          <w:tcPr>
            <w:tcW w:w="97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79055F31" w14:textId="77777777"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-45,2</w:t>
            </w:r>
          </w:p>
        </w:tc>
        <w:tc>
          <w:tcPr>
            <w:tcW w:w="108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5E21D083" w14:textId="77777777"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-31,2</w:t>
            </w:r>
          </w:p>
        </w:tc>
        <w:tc>
          <w:tcPr>
            <w:tcW w:w="11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52491937" w14:textId="77777777"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-21,6</w:t>
            </w:r>
          </w:p>
        </w:tc>
        <w:tc>
          <w:tcPr>
            <w:tcW w:w="124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595934D6" w14:textId="77777777"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-26,7</w:t>
            </w:r>
          </w:p>
        </w:tc>
      </w:tr>
      <w:tr w:rsidR="004E61ED" w:rsidRPr="00FA5128" w14:paraId="59A94165" w14:textId="77777777" w:rsidTr="005F0D73">
        <w:trPr>
          <w:trHeight w:val="28"/>
        </w:trPr>
        <w:tc>
          <w:tcPr>
            <w:tcW w:w="1430" w:type="dxa"/>
            <w:gridSpan w:val="2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750C0A0E" w14:textId="77777777" w:rsidR="005357E1" w:rsidRPr="005357E1" w:rsidRDefault="005357E1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5357E1">
              <w:rPr>
                <w:rFonts w:cs="Arial"/>
                <w:sz w:val="14"/>
              </w:rPr>
              <w:t>2014</w:t>
            </w:r>
          </w:p>
        </w:tc>
        <w:tc>
          <w:tcPr>
            <w:tcW w:w="11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9EAB165" w14:textId="77777777"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-15,7</w:t>
            </w:r>
          </w:p>
        </w:tc>
        <w:tc>
          <w:tcPr>
            <w:tcW w:w="11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BA468B3" w14:textId="77777777"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-7,3</w:t>
            </w:r>
          </w:p>
        </w:tc>
        <w:tc>
          <w:tcPr>
            <w:tcW w:w="97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D518248" w14:textId="77777777"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-29,9</w:t>
            </w:r>
          </w:p>
        </w:tc>
        <w:tc>
          <w:tcPr>
            <w:tcW w:w="108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5AFFC352" w14:textId="77777777"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-18,4</w:t>
            </w:r>
          </w:p>
        </w:tc>
        <w:tc>
          <w:tcPr>
            <w:tcW w:w="11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0F4FF5A" w14:textId="77777777"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-13,7</w:t>
            </w:r>
          </w:p>
        </w:tc>
        <w:tc>
          <w:tcPr>
            <w:tcW w:w="124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71F4DC03" w14:textId="77777777"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-17,0</w:t>
            </w:r>
          </w:p>
        </w:tc>
      </w:tr>
      <w:tr w:rsidR="005357E1" w:rsidRPr="00FA5128" w14:paraId="7DE0A8A0" w14:textId="77777777" w:rsidTr="005F0D73">
        <w:trPr>
          <w:trHeight w:val="28"/>
        </w:trPr>
        <w:tc>
          <w:tcPr>
            <w:tcW w:w="1430" w:type="dxa"/>
            <w:gridSpan w:val="2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D3EA585" w14:textId="77777777" w:rsidR="005357E1" w:rsidRPr="005357E1" w:rsidRDefault="005357E1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5357E1">
              <w:rPr>
                <w:rFonts w:cs="Arial"/>
                <w:sz w:val="14"/>
              </w:rPr>
              <w:t>2015</w:t>
            </w:r>
          </w:p>
        </w:tc>
        <w:tc>
          <w:tcPr>
            <w:tcW w:w="11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7760B362" w14:textId="77777777"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-10,7</w:t>
            </w:r>
          </w:p>
        </w:tc>
        <w:tc>
          <w:tcPr>
            <w:tcW w:w="11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53CEAF29" w14:textId="77777777"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-2,8</w:t>
            </w:r>
          </w:p>
        </w:tc>
        <w:tc>
          <w:tcPr>
            <w:tcW w:w="97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B229BC6" w14:textId="77777777"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-21,5</w:t>
            </w:r>
          </w:p>
        </w:tc>
        <w:tc>
          <w:tcPr>
            <w:tcW w:w="108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9BED9A4" w14:textId="77777777"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-11,4</w:t>
            </w:r>
          </w:p>
        </w:tc>
        <w:tc>
          <w:tcPr>
            <w:tcW w:w="11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9B032D4" w14:textId="77777777"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-8,2</w:t>
            </w:r>
          </w:p>
        </w:tc>
        <w:tc>
          <w:tcPr>
            <w:tcW w:w="124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279AEF72" w14:textId="77777777"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-10,9</w:t>
            </w:r>
          </w:p>
        </w:tc>
      </w:tr>
      <w:tr w:rsidR="004E61ED" w:rsidRPr="00FA5128" w14:paraId="01984AF8" w14:textId="77777777" w:rsidTr="005F0D73">
        <w:trPr>
          <w:trHeight w:val="28"/>
        </w:trPr>
        <w:tc>
          <w:tcPr>
            <w:tcW w:w="1430" w:type="dxa"/>
            <w:gridSpan w:val="2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EB1F584" w14:textId="77777777" w:rsidR="005357E1" w:rsidRPr="005357E1" w:rsidRDefault="005357E1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5357E1">
              <w:rPr>
                <w:rFonts w:cs="Arial"/>
                <w:sz w:val="14"/>
              </w:rPr>
              <w:t>2016</w:t>
            </w:r>
          </w:p>
        </w:tc>
        <w:tc>
          <w:tcPr>
            <w:tcW w:w="11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7C24984D" w14:textId="77777777"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-3,9</w:t>
            </w:r>
          </w:p>
        </w:tc>
        <w:tc>
          <w:tcPr>
            <w:tcW w:w="11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2F3A987" w14:textId="77777777"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0,9</w:t>
            </w:r>
          </w:p>
        </w:tc>
        <w:tc>
          <w:tcPr>
            <w:tcW w:w="97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78BB54B7" w14:textId="77777777"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-11,0</w:t>
            </w:r>
          </w:p>
        </w:tc>
        <w:tc>
          <w:tcPr>
            <w:tcW w:w="108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5ADE4EB" w14:textId="77777777"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-9,4</w:t>
            </w:r>
          </w:p>
        </w:tc>
        <w:tc>
          <w:tcPr>
            <w:tcW w:w="11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B33EFB3" w14:textId="77777777"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-2,5</w:t>
            </w:r>
          </w:p>
        </w:tc>
        <w:tc>
          <w:tcPr>
            <w:tcW w:w="124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527F882F" w14:textId="77777777"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-5,2</w:t>
            </w:r>
          </w:p>
        </w:tc>
      </w:tr>
      <w:tr w:rsidR="005357E1" w:rsidRPr="00FA5128" w14:paraId="4EC1399B" w14:textId="77777777" w:rsidTr="005F0D73">
        <w:trPr>
          <w:trHeight w:val="62"/>
        </w:trPr>
        <w:tc>
          <w:tcPr>
            <w:tcW w:w="1430" w:type="dxa"/>
            <w:gridSpan w:val="2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A80C20B" w14:textId="77777777" w:rsidR="005357E1" w:rsidRPr="005357E1" w:rsidRDefault="005357E1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5357E1">
              <w:rPr>
                <w:rFonts w:cs="Arial"/>
                <w:sz w:val="14"/>
              </w:rPr>
              <w:t>2017</w:t>
            </w:r>
          </w:p>
        </w:tc>
        <w:tc>
          <w:tcPr>
            <w:tcW w:w="11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48A0F172" w14:textId="77777777"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0,1</w:t>
            </w:r>
          </w:p>
        </w:tc>
        <w:tc>
          <w:tcPr>
            <w:tcW w:w="11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15B725C" w14:textId="77777777"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2,8</w:t>
            </w:r>
          </w:p>
        </w:tc>
        <w:tc>
          <w:tcPr>
            <w:tcW w:w="97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C3F2C5C" w14:textId="77777777"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1,8</w:t>
            </w:r>
          </w:p>
        </w:tc>
        <w:tc>
          <w:tcPr>
            <w:tcW w:w="108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E957F57" w14:textId="77777777"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-1,8</w:t>
            </w:r>
          </w:p>
        </w:tc>
        <w:tc>
          <w:tcPr>
            <w:tcW w:w="11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7843161A" w14:textId="77777777"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9,2</w:t>
            </w:r>
          </w:p>
        </w:tc>
        <w:tc>
          <w:tcPr>
            <w:tcW w:w="124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40B3DA0F" w14:textId="77777777" w:rsidR="005357E1" w:rsidRPr="005357E1" w:rsidRDefault="005357E1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5357E1">
              <w:rPr>
                <w:rFonts w:cs="Arial"/>
                <w:sz w:val="14"/>
                <w:szCs w:val="20"/>
              </w:rPr>
              <w:t>2,4</w:t>
            </w:r>
          </w:p>
        </w:tc>
      </w:tr>
      <w:tr w:rsidR="00434891" w:rsidRPr="00FA5128" w14:paraId="3A3A958C" w14:textId="77777777" w:rsidTr="005F0D73">
        <w:trPr>
          <w:trHeight w:val="62"/>
        </w:trPr>
        <w:tc>
          <w:tcPr>
            <w:tcW w:w="1430" w:type="dxa"/>
            <w:gridSpan w:val="2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5CBC613" w14:textId="77777777" w:rsidR="00434891" w:rsidRPr="005357E1" w:rsidRDefault="00434891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2018</w:t>
            </w:r>
          </w:p>
        </w:tc>
        <w:tc>
          <w:tcPr>
            <w:tcW w:w="11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557AADC7" w14:textId="77777777" w:rsidR="00434891" w:rsidRPr="005357E1" w:rsidRDefault="00393F64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0,6</w:t>
            </w:r>
          </w:p>
        </w:tc>
        <w:tc>
          <w:tcPr>
            <w:tcW w:w="11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5E699431" w14:textId="77777777" w:rsidR="00434891" w:rsidRPr="005357E1" w:rsidRDefault="00393F64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3,6</w:t>
            </w:r>
          </w:p>
        </w:tc>
        <w:tc>
          <w:tcPr>
            <w:tcW w:w="97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3670108" w14:textId="77777777" w:rsidR="00434891" w:rsidRPr="005357E1" w:rsidRDefault="00393F64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8,7</w:t>
            </w:r>
          </w:p>
        </w:tc>
        <w:tc>
          <w:tcPr>
            <w:tcW w:w="108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719F5297" w14:textId="77777777" w:rsidR="00434891" w:rsidRPr="005357E1" w:rsidRDefault="00393F64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2,8</w:t>
            </w:r>
          </w:p>
        </w:tc>
        <w:tc>
          <w:tcPr>
            <w:tcW w:w="11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8305E06" w14:textId="77777777" w:rsidR="00434891" w:rsidRPr="005357E1" w:rsidRDefault="00393F64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12,8</w:t>
            </w:r>
          </w:p>
        </w:tc>
        <w:tc>
          <w:tcPr>
            <w:tcW w:w="124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4293C6B3" w14:textId="77777777" w:rsidR="00434891" w:rsidRPr="005357E1" w:rsidRDefault="00393F64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5,7</w:t>
            </w:r>
          </w:p>
        </w:tc>
      </w:tr>
      <w:tr w:rsidR="001D4E28" w:rsidRPr="00FA5128" w14:paraId="0B3ABC82" w14:textId="77777777" w:rsidTr="005F0D73">
        <w:trPr>
          <w:trHeight w:val="62"/>
        </w:trPr>
        <w:tc>
          <w:tcPr>
            <w:tcW w:w="1430" w:type="dxa"/>
            <w:gridSpan w:val="2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7487F180" w14:textId="77777777" w:rsidR="001D4E28" w:rsidRDefault="001D4E28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2019</w:t>
            </w:r>
          </w:p>
        </w:tc>
        <w:tc>
          <w:tcPr>
            <w:tcW w:w="1107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E48ACF2" w14:textId="77777777" w:rsidR="001D4E28" w:rsidRDefault="004414F9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4,8</w:t>
            </w:r>
          </w:p>
        </w:tc>
        <w:tc>
          <w:tcPr>
            <w:tcW w:w="110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51F73B0" w14:textId="77777777" w:rsidR="001D4E28" w:rsidRDefault="004414F9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6,3</w:t>
            </w:r>
          </w:p>
        </w:tc>
        <w:tc>
          <w:tcPr>
            <w:tcW w:w="973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2A6147D" w14:textId="77777777" w:rsidR="001D4E28" w:rsidRDefault="004414F9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9,7</w:t>
            </w:r>
          </w:p>
        </w:tc>
        <w:tc>
          <w:tcPr>
            <w:tcW w:w="1089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86CA1F4" w14:textId="77777777" w:rsidR="001D4E28" w:rsidRDefault="004414F9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1,2</w:t>
            </w:r>
          </w:p>
        </w:tc>
        <w:tc>
          <w:tcPr>
            <w:tcW w:w="113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A8DDD5E" w14:textId="77777777" w:rsidR="001D4E28" w:rsidRDefault="004414F9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16,4</w:t>
            </w:r>
          </w:p>
        </w:tc>
        <w:tc>
          <w:tcPr>
            <w:tcW w:w="1245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6F7233D1" w14:textId="77777777" w:rsidR="001D4E28" w:rsidRDefault="004414F9" w:rsidP="00A201E6">
            <w:pPr>
              <w:spacing w:before="0" w:after="0" w:line="14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7,7</w:t>
            </w:r>
          </w:p>
        </w:tc>
      </w:tr>
      <w:tr w:rsidR="005357E1" w:rsidRPr="00FA5128" w14:paraId="112AF055" w14:textId="77777777" w:rsidTr="005F0D73">
        <w:trPr>
          <w:trHeight w:val="124"/>
        </w:trPr>
        <w:tc>
          <w:tcPr>
            <w:tcW w:w="1430" w:type="dxa"/>
            <w:gridSpan w:val="2"/>
            <w:tcBorders>
              <w:top w:val="single" w:sz="4" w:space="0" w:color="001D77"/>
              <w:left w:val="nil"/>
              <w:right w:val="nil"/>
            </w:tcBorders>
            <w:vAlign w:val="bottom"/>
          </w:tcPr>
          <w:p w14:paraId="675E8A23" w14:textId="77777777" w:rsidR="005357E1" w:rsidRPr="007443DC" w:rsidRDefault="005357E1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1107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30E6426C" w14:textId="77777777" w:rsidR="005357E1" w:rsidRPr="007443DC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1105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0C8EFDAF" w14:textId="77777777" w:rsidR="005357E1" w:rsidRPr="007443DC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973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64A6CAE2" w14:textId="77777777" w:rsidR="005357E1" w:rsidRPr="005357E1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b/>
                <w:bCs/>
                <w:snapToGrid w:val="0"/>
                <w:color w:val="000000"/>
                <w:sz w:val="14"/>
                <w:szCs w:val="21"/>
              </w:rPr>
            </w:pPr>
            <w:r w:rsidRPr="005357E1">
              <w:rPr>
                <w:rFonts w:cs="Arial"/>
                <w:b/>
                <w:bCs/>
                <w:snapToGrid w:val="0"/>
                <w:color w:val="000000"/>
                <w:sz w:val="14"/>
                <w:szCs w:val="21"/>
              </w:rPr>
              <w:t>Kwartały</w:t>
            </w:r>
          </w:p>
        </w:tc>
        <w:tc>
          <w:tcPr>
            <w:tcW w:w="1089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6DC235A9" w14:textId="77777777" w:rsidR="005357E1" w:rsidRPr="007443DC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4E91945F" w14:textId="77777777" w:rsidR="005357E1" w:rsidRPr="007443DC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1245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41F5E3A4" w14:textId="77777777" w:rsidR="005357E1" w:rsidRPr="007443DC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</w:tr>
      <w:tr w:rsidR="002E0EE3" w:rsidRPr="00FA5128" w14:paraId="7DF6ECBE" w14:textId="77777777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14:paraId="3752B9FB" w14:textId="77777777" w:rsidR="002E0EE3" w:rsidRDefault="002E0EE3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2019</w:t>
            </w: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bottom"/>
          </w:tcPr>
          <w:p w14:paraId="7BB5A87F" w14:textId="77777777" w:rsidR="002E0EE3" w:rsidRDefault="002E0EE3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I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030E19EF" w14:textId="77777777" w:rsidR="002E0EE3" w:rsidRDefault="00974CCD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2,1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4F059ACC" w14:textId="77777777" w:rsidR="002E0EE3" w:rsidRDefault="00974CCD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5,8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25106E10" w14:textId="77777777" w:rsidR="002E0EE3" w:rsidRDefault="00974CCD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7,8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025B2027" w14:textId="77777777" w:rsidR="002E0EE3" w:rsidRDefault="00974CCD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2,2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7CED1E74" w14:textId="77777777" w:rsidR="002E0EE3" w:rsidRDefault="00974CCD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13,8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2FB64161" w14:textId="77777777" w:rsidR="002E0EE3" w:rsidRDefault="00974CCD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6,3</w:t>
            </w:r>
          </w:p>
        </w:tc>
      </w:tr>
      <w:tr w:rsidR="0013245A" w:rsidRPr="00FA5128" w14:paraId="3EBE034E" w14:textId="77777777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14:paraId="04E5324F" w14:textId="77777777" w:rsidR="0013245A" w:rsidRDefault="0013245A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bottom"/>
          </w:tcPr>
          <w:p w14:paraId="67C7A8C9" w14:textId="77777777" w:rsidR="0013245A" w:rsidRDefault="0013245A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II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71A307AD" w14:textId="77777777" w:rsidR="0013245A" w:rsidRDefault="001A6ED5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6,0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166A5DD4" w14:textId="77777777" w:rsidR="0013245A" w:rsidRDefault="001A6ED5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7,5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099E49BD" w14:textId="77777777" w:rsidR="0013245A" w:rsidRDefault="001A6ED5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9,6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187F8239" w14:textId="77777777" w:rsidR="0013245A" w:rsidRDefault="001A6ED5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2,3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6EB37EC6" w14:textId="77777777" w:rsidR="0013245A" w:rsidRDefault="001A6ED5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16,4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7713695D" w14:textId="77777777" w:rsidR="0013245A" w:rsidRDefault="001A6ED5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8,4</w:t>
            </w:r>
          </w:p>
        </w:tc>
      </w:tr>
      <w:tr w:rsidR="00B51B63" w:rsidRPr="00FA5128" w14:paraId="30C031D0" w14:textId="77777777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14:paraId="1A919E2E" w14:textId="77777777" w:rsidR="00B51B63" w:rsidRDefault="00B51B63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bottom"/>
          </w:tcPr>
          <w:p w14:paraId="5F6E1231" w14:textId="77777777" w:rsidR="00B51B63" w:rsidRDefault="00B51B63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III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1CBCC695" w14:textId="77777777" w:rsidR="00B51B63" w:rsidRDefault="00E67AEE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5,9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111B015F" w14:textId="77777777" w:rsidR="00B51B63" w:rsidRDefault="00E67AEE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7,1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541058AD" w14:textId="77777777" w:rsidR="00B51B63" w:rsidRDefault="00E67AEE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12,1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1226C369" w14:textId="77777777" w:rsidR="00B51B63" w:rsidRDefault="00E67AEE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2,6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74234F75" w14:textId="77777777" w:rsidR="00B51B63" w:rsidRDefault="00E67AEE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18,0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09AC442D" w14:textId="77777777" w:rsidR="00B51B63" w:rsidRDefault="00E67AEE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9,1</w:t>
            </w:r>
          </w:p>
        </w:tc>
      </w:tr>
      <w:tr w:rsidR="001D4E28" w:rsidRPr="00FA5128" w14:paraId="7516E0C4" w14:textId="77777777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14:paraId="5843CCA2" w14:textId="77777777" w:rsidR="001D4E28" w:rsidRDefault="001D4E28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bottom"/>
          </w:tcPr>
          <w:p w14:paraId="3C0E350C" w14:textId="77777777" w:rsidR="001D4E28" w:rsidRDefault="001D4E28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IV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0815F12B" w14:textId="77777777" w:rsidR="001D4E28" w:rsidRDefault="001D4E28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5,1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4CD1B000" w14:textId="77777777" w:rsidR="001D4E28" w:rsidRDefault="001D4E28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4,6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2359BE61" w14:textId="77777777" w:rsidR="001D4E28" w:rsidRDefault="001D4E28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9,3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44E94290" w14:textId="77777777" w:rsidR="001D4E28" w:rsidRDefault="001D4E28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-2,5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43AB7869" w14:textId="77777777" w:rsidR="001D4E28" w:rsidRDefault="001D4E28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17,4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243735C7" w14:textId="77777777" w:rsidR="001D4E28" w:rsidRDefault="001D4E28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6,8</w:t>
            </w:r>
          </w:p>
        </w:tc>
      </w:tr>
      <w:tr w:rsidR="005462E0" w:rsidRPr="00FA5128" w14:paraId="4B645854" w14:textId="77777777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14:paraId="09B9B85E" w14:textId="77777777" w:rsidR="005462E0" w:rsidRDefault="005462E0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2020</w:t>
            </w: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bottom"/>
          </w:tcPr>
          <w:p w14:paraId="34E296B0" w14:textId="77777777" w:rsidR="005462E0" w:rsidRDefault="005462E0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I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73BB9BAD" w14:textId="77777777" w:rsidR="005462E0" w:rsidRDefault="00B75AD8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1,8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7F502F75" w14:textId="77777777" w:rsidR="005462E0" w:rsidRDefault="00B75AD8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2,0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4239A632" w14:textId="77777777" w:rsidR="005462E0" w:rsidRDefault="00B75AD8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2,4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38A9AE65" w14:textId="77777777" w:rsidR="005462E0" w:rsidRDefault="00B75AD8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-8,7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6094378D" w14:textId="77777777" w:rsidR="005462E0" w:rsidRDefault="00B75AD8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13,1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3123F46A" w14:textId="77777777" w:rsidR="005462E0" w:rsidRDefault="00B75AD8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2,1</w:t>
            </w:r>
          </w:p>
        </w:tc>
      </w:tr>
      <w:tr w:rsidR="005357E1" w:rsidRPr="00FA5128" w14:paraId="20936808" w14:textId="77777777" w:rsidTr="004E61ED">
        <w:trPr>
          <w:trHeight w:val="28"/>
        </w:trPr>
        <w:tc>
          <w:tcPr>
            <w:tcW w:w="1430" w:type="dxa"/>
            <w:gridSpan w:val="2"/>
            <w:tcBorders>
              <w:left w:val="nil"/>
              <w:right w:val="nil"/>
            </w:tcBorders>
            <w:vAlign w:val="bottom"/>
          </w:tcPr>
          <w:p w14:paraId="639D75D7" w14:textId="77777777" w:rsidR="005357E1" w:rsidRPr="007443DC" w:rsidRDefault="005357E1" w:rsidP="00A201E6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1107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2ABEA574" w14:textId="77777777" w:rsidR="005357E1" w:rsidRPr="007443DC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1105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6EDE1FA4" w14:textId="77777777" w:rsidR="005357E1" w:rsidRPr="007443DC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973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5A70C1E0" w14:textId="77777777" w:rsidR="005357E1" w:rsidRPr="005357E1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b/>
                <w:bCs/>
                <w:snapToGrid w:val="0"/>
                <w:color w:val="000000"/>
                <w:sz w:val="14"/>
                <w:szCs w:val="21"/>
              </w:rPr>
            </w:pPr>
            <w:r w:rsidRPr="005357E1">
              <w:rPr>
                <w:rFonts w:cs="Arial"/>
                <w:b/>
                <w:bCs/>
                <w:snapToGrid w:val="0"/>
                <w:color w:val="000000"/>
                <w:sz w:val="14"/>
                <w:szCs w:val="21"/>
              </w:rPr>
              <w:t>Miesiące</w:t>
            </w:r>
          </w:p>
        </w:tc>
        <w:tc>
          <w:tcPr>
            <w:tcW w:w="1089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32CA8C69" w14:textId="77777777" w:rsidR="005357E1" w:rsidRPr="007443DC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1F79706A" w14:textId="77777777" w:rsidR="005357E1" w:rsidRPr="007443DC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1245" w:type="dxa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10DA44F0" w14:textId="77777777" w:rsidR="005357E1" w:rsidRPr="007443DC" w:rsidRDefault="005357E1" w:rsidP="00A201E6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</w:tr>
      <w:tr w:rsidR="001D4E28" w:rsidRPr="00FA5128" w14:paraId="798A0C90" w14:textId="77777777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14:paraId="520AC143" w14:textId="77777777" w:rsidR="001D4E28" w:rsidRPr="004E61ED" w:rsidRDefault="001D4E28" w:rsidP="001D4E28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2019</w:t>
            </w: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01A516B0" w14:textId="77777777" w:rsidR="001D4E28" w:rsidRDefault="001D4E28" w:rsidP="001D4E28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01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35640E44" w14:textId="77777777"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1,6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5A84269C" w14:textId="77777777"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2,8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1ACA2729" w14:textId="77777777"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6,9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584D065E" w14:textId="77777777"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0,6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1DFA2003" w14:textId="77777777"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14,9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1FAAE118" w14:textId="77777777"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5,4</w:t>
            </w:r>
          </w:p>
        </w:tc>
      </w:tr>
      <w:tr w:rsidR="001D4E28" w:rsidRPr="00FA5128" w14:paraId="6F9C6A2B" w14:textId="77777777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14:paraId="4010EF04" w14:textId="77777777" w:rsidR="001D4E28" w:rsidRDefault="001D4E28" w:rsidP="001D4E28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64AE4C49" w14:textId="77777777" w:rsidR="001D4E28" w:rsidRDefault="001D4E28" w:rsidP="001D4E28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02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0DB17293" w14:textId="77777777"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1,5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6B853403" w14:textId="77777777"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6,9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70294349" w14:textId="77777777"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5,3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7A072C72" w14:textId="77777777"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1,8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00410508" w14:textId="77777777"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11,9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596AC1DF" w14:textId="77777777"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5,5</w:t>
            </w:r>
          </w:p>
        </w:tc>
      </w:tr>
      <w:tr w:rsidR="001D4E28" w:rsidRPr="00FA5128" w14:paraId="395D816E" w14:textId="77777777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14:paraId="5EA1D9E6" w14:textId="77777777" w:rsidR="001D4E28" w:rsidRDefault="001D4E28" w:rsidP="001D4E28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02312426" w14:textId="77777777" w:rsidR="001D4E28" w:rsidRDefault="001D4E28" w:rsidP="001D4E28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03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3244863F" w14:textId="77777777"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3,2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09DEDA76" w14:textId="77777777"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7,7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456F947E" w14:textId="77777777"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11,1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64A08561" w14:textId="77777777"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4,2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7D29D1BF" w14:textId="77777777"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14,5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486081B9" w14:textId="77777777"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8,2</w:t>
            </w:r>
          </w:p>
        </w:tc>
      </w:tr>
      <w:tr w:rsidR="001D4E28" w:rsidRPr="00FA5128" w14:paraId="2FFA8FD6" w14:textId="77777777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14:paraId="533B3007" w14:textId="77777777" w:rsidR="001D4E28" w:rsidRDefault="001D4E28" w:rsidP="001D4E28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20AE58EF" w14:textId="77777777" w:rsidR="001D4E28" w:rsidRDefault="001D4E28" w:rsidP="001D4E28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04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5B967AE0" w14:textId="77777777"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6,0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36F4CA1A" w14:textId="77777777"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7,9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67FA2268" w14:textId="77777777"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7,1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0206DD41" w14:textId="77777777"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-0,5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5C62C88C" w14:textId="77777777"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15,4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54B49D12" w14:textId="77777777"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7,2</w:t>
            </w:r>
          </w:p>
        </w:tc>
      </w:tr>
      <w:tr w:rsidR="001D4E28" w:rsidRPr="00FA5128" w14:paraId="245947AC" w14:textId="77777777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14:paraId="3A6CC57B" w14:textId="77777777" w:rsidR="001D4E28" w:rsidRDefault="001D4E28" w:rsidP="001D4E28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79E0D71F" w14:textId="77777777" w:rsidR="001D4E28" w:rsidRDefault="001D4E28" w:rsidP="001D4E28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05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41A9BF7D" w14:textId="77777777"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4,4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282408BC" w14:textId="77777777"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7,0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096FE479" w14:textId="77777777"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9,9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249CB712" w14:textId="77777777"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3,5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2B280176" w14:textId="77777777"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16,7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38CCD021" w14:textId="77777777"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8,3</w:t>
            </w:r>
          </w:p>
        </w:tc>
      </w:tr>
      <w:tr w:rsidR="001D4E28" w:rsidRPr="00FA5128" w14:paraId="536C2F4E" w14:textId="77777777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14:paraId="101F687B" w14:textId="77777777" w:rsidR="001D4E28" w:rsidRDefault="001D4E28" w:rsidP="001D4E28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1FF7E5BE" w14:textId="77777777" w:rsidR="001D4E28" w:rsidRDefault="001D4E28" w:rsidP="001D4E28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06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04356033" w14:textId="77777777"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7,5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0EB84485" w14:textId="77777777"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7,7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4E295A70" w14:textId="77777777"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12,0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237F5667" w14:textId="77777777"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3,9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67226D7B" w14:textId="77777777"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17,1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2ECEED23" w14:textId="77777777"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9,6</w:t>
            </w:r>
          </w:p>
        </w:tc>
      </w:tr>
      <w:tr w:rsidR="001D4E28" w:rsidRPr="00FA5128" w14:paraId="584BA0E7" w14:textId="77777777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14:paraId="785FAA22" w14:textId="77777777" w:rsidR="001D4E28" w:rsidRDefault="001D4E28" w:rsidP="001D4E28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090EE2A6" w14:textId="77777777" w:rsidR="001D4E28" w:rsidRDefault="001D4E28" w:rsidP="001D4E28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07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1B19BD5E" w14:textId="77777777"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5,4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4582886E" w14:textId="77777777"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8,9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3BB8B02A" w14:textId="77777777"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11,9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374B0AAF" w14:textId="77777777"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2,8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54E5A3BB" w14:textId="77777777"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16,2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08C713B4" w14:textId="77777777"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9,0</w:t>
            </w:r>
          </w:p>
        </w:tc>
      </w:tr>
      <w:tr w:rsidR="001D4E28" w:rsidRPr="00FA5128" w14:paraId="394052DF" w14:textId="77777777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14:paraId="6868A6D1" w14:textId="77777777" w:rsidR="001D4E28" w:rsidRDefault="001D4E28" w:rsidP="001D4E28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11D48528" w14:textId="77777777" w:rsidR="001D4E28" w:rsidRDefault="001D4E28" w:rsidP="001D4E28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08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21051238" w14:textId="77777777"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5,4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5A98BB25" w14:textId="77777777"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4,4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30505B40" w14:textId="77777777"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10,7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15C973CE" w14:textId="77777777"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2,2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6C6C593C" w14:textId="77777777"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18,5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13A843DE" w14:textId="77777777"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8,2</w:t>
            </w:r>
          </w:p>
        </w:tc>
      </w:tr>
      <w:tr w:rsidR="001D4E28" w:rsidRPr="00FA5128" w14:paraId="7AE18A89" w14:textId="77777777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14:paraId="73B809D4" w14:textId="77777777" w:rsidR="001D4E28" w:rsidRDefault="001D4E28" w:rsidP="001D4E28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765DFB87" w14:textId="77777777" w:rsidR="001D4E28" w:rsidRDefault="001D4E28" w:rsidP="001D4E28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09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0E877171" w14:textId="77777777"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6,9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7D17B837" w14:textId="77777777"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8,0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120310B7" w14:textId="77777777"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13,7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1AA50457" w14:textId="77777777"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2,8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47A43880" w14:textId="77777777"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19,4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02185780" w14:textId="77777777"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10,2</w:t>
            </w:r>
          </w:p>
        </w:tc>
      </w:tr>
      <w:tr w:rsidR="001D4E28" w:rsidRPr="00FA5128" w14:paraId="3982736E" w14:textId="77777777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14:paraId="398C9D16" w14:textId="77777777" w:rsidR="001D4E28" w:rsidRDefault="001D4E28" w:rsidP="001D4E28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62733460" w14:textId="77777777" w:rsidR="001D4E28" w:rsidRDefault="001D4E28" w:rsidP="001D4E28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10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78AD297A" w14:textId="77777777"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6,6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261D2F06" w14:textId="77777777"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5,9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48A1BCD7" w14:textId="77777777"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12,1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7FD65EC4" w14:textId="77777777"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3,4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5DFE7D29" w14:textId="77777777"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18,2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071486C2" w14:textId="77777777"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9,3</w:t>
            </w:r>
          </w:p>
        </w:tc>
      </w:tr>
      <w:tr w:rsidR="001D4E28" w:rsidRPr="00FA5128" w14:paraId="03233B7E" w14:textId="77777777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14:paraId="5C930A37" w14:textId="77777777" w:rsidR="001D4E28" w:rsidRDefault="001D4E28" w:rsidP="001D4E28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0FFBD638" w14:textId="77777777" w:rsidR="001D4E28" w:rsidRDefault="001D4E28" w:rsidP="001D4E28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11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4B55EDF2" w14:textId="77777777"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5,5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3A964152" w14:textId="77777777"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5,0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3154A98D" w14:textId="77777777"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10,0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17F959FF" w14:textId="77777777"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-3,0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53FE41F5" w14:textId="77777777"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16,1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5C35484B" w14:textId="77777777"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6,7</w:t>
            </w:r>
          </w:p>
        </w:tc>
      </w:tr>
      <w:tr w:rsidR="001D4E28" w:rsidRPr="00FA5128" w14:paraId="70E74B2A" w14:textId="77777777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14:paraId="79AE06DE" w14:textId="77777777" w:rsidR="001D4E28" w:rsidRDefault="001D4E28" w:rsidP="001D4E28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244A7866" w14:textId="77777777" w:rsidR="001D4E28" w:rsidRDefault="001D4E28" w:rsidP="001D4E28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12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57F9B44D" w14:textId="77777777"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3,3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2186C03F" w14:textId="77777777"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2,8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4989F54C" w14:textId="77777777"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5,6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4C94383B" w14:textId="77777777"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-7,9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6D3DFE2E" w14:textId="77777777"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17,9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7E4D273D" w14:textId="77777777" w:rsidR="001D4E28" w:rsidRDefault="001D4E2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4,3</w:t>
            </w:r>
          </w:p>
        </w:tc>
      </w:tr>
      <w:tr w:rsidR="006348AB" w:rsidRPr="00FA5128" w14:paraId="505AE57D" w14:textId="77777777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14:paraId="743B7BC5" w14:textId="77777777" w:rsidR="006348AB" w:rsidRDefault="006348AB" w:rsidP="001D4E28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2020</w:t>
            </w: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29083BF7" w14:textId="77777777" w:rsidR="006348AB" w:rsidRDefault="006348AB" w:rsidP="001D4E28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01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3BF12EE6" w14:textId="77777777" w:rsidR="006348AB" w:rsidRDefault="00BD6D11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4,2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2EA101ED" w14:textId="77777777" w:rsidR="006348AB" w:rsidRDefault="00BD6D11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2,0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71D3A8CD" w14:textId="77777777" w:rsidR="006348AB" w:rsidRDefault="00BD6D11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3,7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5FFFBA28" w14:textId="77777777" w:rsidR="006348AB" w:rsidRDefault="00BD6D11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-7,7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709569C5" w14:textId="77777777" w:rsidR="006348AB" w:rsidRDefault="00BD6D11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16,1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2F079138" w14:textId="77777777" w:rsidR="006348AB" w:rsidRDefault="00BD6D11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3,7</w:t>
            </w:r>
          </w:p>
        </w:tc>
      </w:tr>
      <w:tr w:rsidR="005F53B6" w:rsidRPr="00FA5128" w14:paraId="2ECA2D64" w14:textId="77777777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14:paraId="4A22C593" w14:textId="77777777" w:rsidR="005F53B6" w:rsidRDefault="005F53B6" w:rsidP="001D4E28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33027816" w14:textId="77777777" w:rsidR="005F53B6" w:rsidRDefault="005F53B6" w:rsidP="001D4E28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02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00C5BC1D" w14:textId="77777777" w:rsidR="005F53B6" w:rsidRDefault="00190CA5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-0,8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3CCE4907" w14:textId="77777777" w:rsidR="005F53B6" w:rsidRDefault="00190CA5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2,4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50D456A1" w14:textId="77777777" w:rsidR="005F53B6" w:rsidRDefault="00190CA5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1,9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7D0C2F8F" w14:textId="77777777" w:rsidR="005F53B6" w:rsidRDefault="00190CA5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-8,4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57896F51" w14:textId="77777777" w:rsidR="005F53B6" w:rsidRDefault="00190CA5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11,5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4E8065B2" w14:textId="77777777" w:rsidR="005F53B6" w:rsidRDefault="00190CA5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1,3</w:t>
            </w:r>
          </w:p>
        </w:tc>
      </w:tr>
      <w:tr w:rsidR="005462E0" w:rsidRPr="00FA5128" w14:paraId="5CC4ECBA" w14:textId="77777777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14:paraId="1D3C12FF" w14:textId="77777777" w:rsidR="005462E0" w:rsidRDefault="005462E0" w:rsidP="001D4E28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24B186EC" w14:textId="77777777" w:rsidR="005462E0" w:rsidRDefault="005462E0" w:rsidP="001D4E28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03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4991CDBF" w14:textId="77777777" w:rsidR="005462E0" w:rsidRDefault="003C78C6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1,9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798EF332" w14:textId="77777777" w:rsidR="005462E0" w:rsidRDefault="003C78C6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1,7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7C14CB0F" w14:textId="77777777" w:rsidR="005462E0" w:rsidRDefault="003C78C6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1,5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44BEEF11" w14:textId="77777777" w:rsidR="005462E0" w:rsidRDefault="003C78C6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-10,1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6BE63950" w14:textId="77777777" w:rsidR="005462E0" w:rsidRDefault="003C78C6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11,5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7A319F9B" w14:textId="77777777" w:rsidR="005462E0" w:rsidRDefault="003C78C6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1,3</w:t>
            </w:r>
          </w:p>
        </w:tc>
      </w:tr>
      <w:tr w:rsidR="00920F54" w:rsidRPr="00FA5128" w14:paraId="3C99965B" w14:textId="77777777" w:rsidTr="005F0D73">
        <w:trPr>
          <w:trHeight w:val="28"/>
        </w:trPr>
        <w:tc>
          <w:tcPr>
            <w:tcW w:w="831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14:paraId="0BB8CDE5" w14:textId="77777777" w:rsidR="00920F54" w:rsidRDefault="00920F54" w:rsidP="001D4E28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9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4BBF7AD2" w14:textId="443A9ED9" w:rsidR="00920F54" w:rsidRDefault="00920F54" w:rsidP="001D4E28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04</w:t>
            </w:r>
          </w:p>
        </w:tc>
        <w:tc>
          <w:tcPr>
            <w:tcW w:w="110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0BD79FB6" w14:textId="66668662" w:rsidR="00920F54" w:rsidRDefault="004904F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-9,1</w:t>
            </w:r>
          </w:p>
        </w:tc>
        <w:tc>
          <w:tcPr>
            <w:tcW w:w="110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6A16BF4A" w14:textId="063E4348" w:rsidR="00920F54" w:rsidRDefault="004904F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-30,5</w:t>
            </w:r>
          </w:p>
        </w:tc>
        <w:tc>
          <w:tcPr>
            <w:tcW w:w="973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05B5603D" w14:textId="1DA7E74B" w:rsidR="00920F54" w:rsidRDefault="004904F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-30,5</w:t>
            </w:r>
          </w:p>
        </w:tc>
        <w:tc>
          <w:tcPr>
            <w:tcW w:w="108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1A39BC49" w14:textId="4D60DC52" w:rsidR="00920F54" w:rsidRDefault="004904F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-64,5</w:t>
            </w:r>
          </w:p>
        </w:tc>
        <w:tc>
          <w:tcPr>
            <w:tcW w:w="1130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33F8F1DF" w14:textId="17F118D9" w:rsidR="00920F54" w:rsidRDefault="004904F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-47,3</w:t>
            </w:r>
          </w:p>
        </w:tc>
        <w:tc>
          <w:tcPr>
            <w:tcW w:w="1245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7063B813" w14:textId="1752F541" w:rsidR="00920F54" w:rsidRDefault="004904F8" w:rsidP="001D4E28">
            <w:pPr>
              <w:spacing w:before="0" w:after="0" w:line="160" w:lineRule="exact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-36,4</w:t>
            </w:r>
          </w:p>
        </w:tc>
      </w:tr>
      <w:tr w:rsidR="001D4E28" w:rsidRPr="00FA5128" w14:paraId="75265618" w14:textId="77777777" w:rsidTr="004E61ED">
        <w:trPr>
          <w:trHeight w:val="28"/>
        </w:trPr>
        <w:tc>
          <w:tcPr>
            <w:tcW w:w="1430" w:type="dxa"/>
            <w:gridSpan w:val="2"/>
            <w:tcBorders>
              <w:left w:val="nil"/>
              <w:right w:val="single" w:sz="4" w:space="0" w:color="001D77"/>
            </w:tcBorders>
            <w:vAlign w:val="bottom"/>
          </w:tcPr>
          <w:p w14:paraId="09BA794F" w14:textId="77777777" w:rsidR="001D4E28" w:rsidRPr="007443DC" w:rsidRDefault="001D4E28" w:rsidP="001D4E28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1107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14:paraId="51CC8817" w14:textId="77777777" w:rsidR="001D4E28" w:rsidRPr="007443DC" w:rsidRDefault="001D4E28" w:rsidP="001D4E28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1105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14:paraId="2E8DC3A2" w14:textId="77777777" w:rsidR="001D4E28" w:rsidRPr="007443DC" w:rsidRDefault="001D4E28" w:rsidP="001D4E28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973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14:paraId="0F96D933" w14:textId="77777777" w:rsidR="001D4E28" w:rsidRPr="007443DC" w:rsidRDefault="001D4E28" w:rsidP="001D4E28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1089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14:paraId="2917279C" w14:textId="77777777" w:rsidR="001D4E28" w:rsidRPr="007443DC" w:rsidRDefault="001D4E28" w:rsidP="001D4E28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1130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14:paraId="78575A58" w14:textId="77777777" w:rsidR="001D4E28" w:rsidRPr="007443DC" w:rsidRDefault="001D4E28" w:rsidP="001D4E28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1245" w:type="dxa"/>
            <w:tcBorders>
              <w:top w:val="single" w:sz="4" w:space="0" w:color="001D77"/>
              <w:left w:val="single" w:sz="4" w:space="0" w:color="001D77"/>
              <w:bottom w:val="nil"/>
              <w:right w:val="nil"/>
            </w:tcBorders>
            <w:shd w:val="clear" w:color="auto" w:fill="auto"/>
            <w:vAlign w:val="bottom"/>
          </w:tcPr>
          <w:p w14:paraId="4A31D788" w14:textId="77777777" w:rsidR="001D4E28" w:rsidRPr="007443DC" w:rsidRDefault="001D4E28" w:rsidP="001D4E28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</w:tr>
    </w:tbl>
    <w:p w14:paraId="5AC1C0D1" w14:textId="77777777" w:rsidR="004E61ED" w:rsidRPr="00BA3562" w:rsidRDefault="0093660E" w:rsidP="00C074FD">
      <w:pPr>
        <w:rPr>
          <w:b/>
          <w:spacing w:val="-2"/>
          <w:sz w:val="18"/>
          <w:shd w:val="clear" w:color="auto" w:fill="FFFFFF"/>
        </w:rPr>
      </w:pPr>
      <w:r w:rsidRPr="00633014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44256" behindDoc="1" locked="0" layoutInCell="1" allowOverlap="1" wp14:anchorId="067B0FB4" wp14:editId="3A161959">
                <wp:simplePos x="0" y="0"/>
                <wp:positionH relativeFrom="column">
                  <wp:posOffset>5242560</wp:posOffset>
                </wp:positionH>
                <wp:positionV relativeFrom="paragraph">
                  <wp:posOffset>178625</wp:posOffset>
                </wp:positionV>
                <wp:extent cx="1725295" cy="1508125"/>
                <wp:effectExtent l="0" t="0" r="0" b="0"/>
                <wp:wrapTight wrapText="bothSides">
                  <wp:wrapPolygon edited="0">
                    <wp:start x="715" y="0"/>
                    <wp:lineTo x="715" y="21282"/>
                    <wp:lineTo x="20749" y="21282"/>
                    <wp:lineTo x="20749" y="0"/>
                    <wp:lineTo x="715" y="0"/>
                  </wp:wrapPolygon>
                </wp:wrapTight>
                <wp:docPr id="12" name="Pole tekstow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508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95B5E4" w14:textId="77777777" w:rsidR="00F6030E" w:rsidRPr="0093660E" w:rsidRDefault="00F6030E" w:rsidP="00273134">
                            <w:pPr>
                              <w:pStyle w:val="tytuwykresu"/>
                              <w:rPr>
                                <w:rFonts w:eastAsia="Times New Roman" w:cs="Times New Roman"/>
                                <w:b w:val="0"/>
                                <w:bCs/>
                                <w:color w:val="001D77"/>
                                <w:spacing w:val="0"/>
                                <w:szCs w:val="18"/>
                                <w:lang w:eastAsia="pl-PL"/>
                              </w:rPr>
                            </w:pPr>
                            <w:r w:rsidRPr="0093660E">
                              <w:rPr>
                                <w:rFonts w:eastAsia="Times New Roman" w:cs="Times New Roman"/>
                                <w:b w:val="0"/>
                                <w:bCs/>
                                <w:color w:val="001D77"/>
                                <w:spacing w:val="0"/>
                                <w:szCs w:val="18"/>
                                <w:lang w:eastAsia="pl-PL"/>
                              </w:rPr>
                              <w:t>Bieżący wskaźnik ufności konsumenckiej jest średnią sald ocen zmian sytuacji finansowej gospodarstwa domowego, zmian ogólnej sytuacji ekonomicznej kraju oraz obecn</w:t>
                            </w:r>
                            <w:r>
                              <w:rPr>
                                <w:rFonts w:eastAsia="Times New Roman" w:cs="Times New Roman"/>
                                <w:b w:val="0"/>
                                <w:bCs/>
                                <w:color w:val="001D77"/>
                                <w:spacing w:val="0"/>
                                <w:szCs w:val="18"/>
                                <w:lang w:eastAsia="pl-PL"/>
                              </w:rPr>
                              <w:t>ego dokonywania ważnych zakupów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7B0FB4" id="Pole tekstowe 12" o:spid="_x0000_s1030" type="#_x0000_t202" style="position:absolute;margin-left:412.8pt;margin-top:14.05pt;width:135.85pt;height:118.75pt;z-index:-251572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" filled="f" stroked="f">
                <v:textbox>
                  <w:txbxContent>
                    <w:p w14:paraId="7F95B5E4" w14:textId="77777777" w:rsidR="00F6030E" w:rsidRPr="0093660E" w:rsidRDefault="00F6030E" w:rsidP="00273134">
                      <w:pPr>
                        <w:pStyle w:val="tytuwykresu"/>
                        <w:rPr>
                          <w:rFonts w:eastAsia="Times New Roman" w:cs="Times New Roman"/>
                          <w:b w:val="0"/>
                          <w:bCs/>
                          <w:color w:val="001D77"/>
                          <w:spacing w:val="0"/>
                          <w:szCs w:val="18"/>
                          <w:lang w:eastAsia="pl-PL"/>
                        </w:rPr>
                      </w:pPr>
                      <w:r w:rsidRPr="0093660E">
                        <w:rPr>
                          <w:rFonts w:eastAsia="Times New Roman" w:cs="Times New Roman"/>
                          <w:b w:val="0"/>
                          <w:bCs/>
                          <w:color w:val="001D77"/>
                          <w:spacing w:val="0"/>
                          <w:szCs w:val="18"/>
                          <w:lang w:eastAsia="pl-PL"/>
                        </w:rPr>
                        <w:t>Bieżący wskaźnik ufności konsumenckiej jest średnią sald ocen zmian sytuacji finansowej gospodarstwa domowego, zmian ogólnej sytuacji ekonomicznej kraju oraz obecn</w:t>
                      </w:r>
                      <w:r>
                        <w:rPr>
                          <w:rFonts w:eastAsia="Times New Roman" w:cs="Times New Roman"/>
                          <w:b w:val="0"/>
                          <w:bCs/>
                          <w:color w:val="001D77"/>
                          <w:spacing w:val="0"/>
                          <w:szCs w:val="18"/>
                          <w:lang w:eastAsia="pl-PL"/>
                        </w:rPr>
                        <w:t>ego dokonywania ważnych zakupów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C074FD" w:rsidRPr="005A36AA">
        <w:rPr>
          <w:b/>
          <w:spacing w:val="-2"/>
          <w:sz w:val="18"/>
          <w:shd w:val="clear" w:color="auto" w:fill="FFFFFF"/>
        </w:rPr>
        <w:t>Tablica</w:t>
      </w:r>
      <w:r w:rsidR="00C074FD" w:rsidRPr="0057036A">
        <w:rPr>
          <w:b/>
          <w:spacing w:val="-2"/>
          <w:sz w:val="18"/>
          <w:shd w:val="clear" w:color="auto" w:fill="FFFFFF"/>
        </w:rPr>
        <w:t xml:space="preserve"> 1. </w:t>
      </w:r>
      <w:r w:rsidR="00A217E6">
        <w:rPr>
          <w:b/>
          <w:spacing w:val="-2"/>
          <w:sz w:val="18"/>
          <w:shd w:val="clear" w:color="auto" w:fill="FFFFFF"/>
        </w:rPr>
        <w:t>Bieżący</w:t>
      </w:r>
      <w:r w:rsidR="005A36AA" w:rsidRPr="005A36AA">
        <w:rPr>
          <w:b/>
          <w:spacing w:val="-2"/>
          <w:sz w:val="18"/>
          <w:shd w:val="clear" w:color="auto" w:fill="FFFFFF"/>
        </w:rPr>
        <w:t xml:space="preserve"> </w:t>
      </w:r>
      <w:r w:rsidR="00A217E6">
        <w:rPr>
          <w:b/>
          <w:spacing w:val="-2"/>
          <w:sz w:val="18"/>
          <w:shd w:val="clear" w:color="auto" w:fill="FFFFFF"/>
        </w:rPr>
        <w:t>wskaźnik</w:t>
      </w:r>
      <w:r w:rsidR="005A36AA" w:rsidRPr="005A36AA">
        <w:rPr>
          <w:b/>
          <w:spacing w:val="-2"/>
          <w:sz w:val="18"/>
          <w:shd w:val="clear" w:color="auto" w:fill="FFFFFF"/>
        </w:rPr>
        <w:t xml:space="preserve"> </w:t>
      </w:r>
      <w:r w:rsidR="00A217E6">
        <w:rPr>
          <w:b/>
          <w:spacing w:val="-2"/>
          <w:sz w:val="18"/>
          <w:shd w:val="clear" w:color="auto" w:fill="FFFFFF"/>
        </w:rPr>
        <w:t>ufności</w:t>
      </w:r>
      <w:r w:rsidR="005A36AA" w:rsidRPr="005A36AA">
        <w:rPr>
          <w:b/>
          <w:spacing w:val="-2"/>
          <w:sz w:val="18"/>
          <w:shd w:val="clear" w:color="auto" w:fill="FFFFFF"/>
        </w:rPr>
        <w:t xml:space="preserve"> </w:t>
      </w:r>
      <w:r w:rsidR="00A217E6">
        <w:rPr>
          <w:b/>
          <w:spacing w:val="-2"/>
          <w:sz w:val="18"/>
          <w:shd w:val="clear" w:color="auto" w:fill="FFFFFF"/>
        </w:rPr>
        <w:t>konsumenckiej</w:t>
      </w:r>
    </w:p>
    <w:p w14:paraId="560EF38E" w14:textId="77777777" w:rsidR="00712785" w:rsidRDefault="00712785">
      <w:pPr>
        <w:spacing w:before="0" w:after="160" w:line="259" w:lineRule="auto"/>
        <w:rPr>
          <w:b/>
          <w:spacing w:val="-2"/>
          <w:sz w:val="18"/>
        </w:rPr>
      </w:pPr>
      <w:r>
        <w:br w:type="page"/>
      </w:r>
    </w:p>
    <w:p w14:paraId="16A2826E" w14:textId="77777777" w:rsidR="00FD7BD2" w:rsidRDefault="005F4EA6" w:rsidP="00072F74">
      <w:pPr>
        <w:pStyle w:val="tytuwykresu"/>
        <w:ind w:left="851" w:hanging="851"/>
        <w:rPr>
          <w:shd w:val="clear" w:color="auto" w:fill="FFFFFF"/>
        </w:rPr>
      </w:pPr>
      <w:r w:rsidRPr="00341AC1">
        <w:rPr>
          <w:noProof/>
          <w:lang w:eastAsia="pl-PL"/>
        </w:rPr>
        <w:lastRenderedPageBreak/>
        <w:drawing>
          <wp:anchor distT="0" distB="0" distL="114300" distR="114300" simplePos="0" relativeHeight="251753472" behindDoc="0" locked="0" layoutInCell="1" allowOverlap="1" wp14:anchorId="7CD74491" wp14:editId="0F47EE4A">
            <wp:simplePos x="0" y="0"/>
            <wp:positionH relativeFrom="margin">
              <wp:align>right</wp:align>
            </wp:positionH>
            <wp:positionV relativeFrom="margin">
              <wp:posOffset>379095</wp:posOffset>
            </wp:positionV>
            <wp:extent cx="5122545" cy="3911600"/>
            <wp:effectExtent l="0" t="0" r="1905" b="0"/>
            <wp:wrapSquare wrapText="bothSides"/>
            <wp:docPr id="25" name="Wykres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5906" w:rsidRPr="00C15772">
        <w:t xml:space="preserve">Wykres </w:t>
      </w:r>
      <w:r w:rsidR="00074DD8" w:rsidRPr="00C15772">
        <w:t>1</w:t>
      </w:r>
      <w:r w:rsidR="008F4441" w:rsidRPr="00C15772">
        <w:t>.</w:t>
      </w:r>
      <w:r w:rsidR="00074DD8" w:rsidRPr="00C15772">
        <w:rPr>
          <w:shd w:val="clear" w:color="auto" w:fill="FFFFFF"/>
        </w:rPr>
        <w:t xml:space="preserve"> </w:t>
      </w:r>
      <w:r w:rsidR="00A217E6">
        <w:rPr>
          <w:shd w:val="clear" w:color="auto" w:fill="FFFFFF"/>
        </w:rPr>
        <w:t>Bieżący</w:t>
      </w:r>
      <w:r w:rsidR="00C15772" w:rsidRPr="00C15772">
        <w:rPr>
          <w:shd w:val="clear" w:color="auto" w:fill="FFFFFF"/>
        </w:rPr>
        <w:t xml:space="preserve"> </w:t>
      </w:r>
      <w:r w:rsidR="00A217E6">
        <w:rPr>
          <w:shd w:val="clear" w:color="auto" w:fill="FFFFFF"/>
        </w:rPr>
        <w:t>wskaźnik ufności konsumenckiej</w:t>
      </w:r>
      <w:r w:rsidR="00C15772" w:rsidRPr="00C15772">
        <w:rPr>
          <w:shd w:val="clear" w:color="auto" w:fill="FFFFFF"/>
        </w:rPr>
        <w:t xml:space="preserve"> </w:t>
      </w:r>
      <w:r w:rsidR="00C15772">
        <w:rPr>
          <w:shd w:val="clear" w:color="auto" w:fill="FFFFFF"/>
        </w:rPr>
        <w:t xml:space="preserve">(BWUK) </w:t>
      </w:r>
      <w:r w:rsidR="00A217E6">
        <w:rPr>
          <w:shd w:val="clear" w:color="auto" w:fill="FFFFFF"/>
        </w:rPr>
        <w:t>oraz jego wartości składowe</w:t>
      </w:r>
      <w:r w:rsidR="00072F74">
        <w:rPr>
          <w:shd w:val="clear" w:color="auto" w:fill="FFFFFF"/>
        </w:rPr>
        <w:t xml:space="preserve"> </w:t>
      </w:r>
      <w:r w:rsidR="00A217E6">
        <w:rPr>
          <w:shd w:val="clear" w:color="auto" w:fill="FFFFFF"/>
        </w:rPr>
        <w:t>według</w:t>
      </w:r>
      <w:r w:rsidR="00C15772" w:rsidRPr="00C15772">
        <w:rPr>
          <w:shd w:val="clear" w:color="auto" w:fill="FFFFFF"/>
        </w:rPr>
        <w:t xml:space="preserve"> </w:t>
      </w:r>
      <w:r w:rsidR="00A217E6">
        <w:rPr>
          <w:shd w:val="clear" w:color="auto" w:fill="FFFFFF"/>
        </w:rPr>
        <w:t>miesięcy w</w:t>
      </w:r>
      <w:r w:rsidR="00C15772" w:rsidRPr="00C15772">
        <w:rPr>
          <w:shd w:val="clear" w:color="auto" w:fill="FFFFFF"/>
        </w:rPr>
        <w:t xml:space="preserve"> </w:t>
      </w:r>
      <w:r w:rsidR="00A217E6">
        <w:rPr>
          <w:shd w:val="clear" w:color="auto" w:fill="FFFFFF"/>
        </w:rPr>
        <w:t>latach</w:t>
      </w:r>
      <w:r w:rsidR="00F370FD">
        <w:rPr>
          <w:shd w:val="clear" w:color="auto" w:fill="FFFFFF"/>
        </w:rPr>
        <w:t xml:space="preserve"> 2017–2020</w:t>
      </w:r>
    </w:p>
    <w:p w14:paraId="73726264" w14:textId="77777777" w:rsidR="00FD7BD2" w:rsidRPr="00FD7BD2" w:rsidRDefault="00FD7BD2" w:rsidP="00FD7BD2"/>
    <w:p w14:paraId="06358B85" w14:textId="77777777" w:rsidR="00053B77" w:rsidRDefault="007A7B28" w:rsidP="00053B77">
      <w:pPr>
        <w:pStyle w:val="tytuwykresu"/>
        <w:ind w:left="851" w:hanging="851"/>
        <w:rPr>
          <w:shd w:val="clear" w:color="auto" w:fill="FFFFFF"/>
        </w:rPr>
      </w:pPr>
      <w:r w:rsidRPr="007A7B28">
        <w:rPr>
          <w:noProof/>
          <w:szCs w:val="18"/>
          <w:lang w:eastAsia="pl-PL"/>
        </w:rPr>
        <w:drawing>
          <wp:anchor distT="0" distB="0" distL="114300" distR="114300" simplePos="0" relativeHeight="251755520" behindDoc="0" locked="0" layoutInCell="1" allowOverlap="1" wp14:anchorId="4E8C0972" wp14:editId="6D533394">
            <wp:simplePos x="0" y="0"/>
            <wp:positionH relativeFrom="margin">
              <wp:align>right</wp:align>
            </wp:positionH>
            <wp:positionV relativeFrom="margin">
              <wp:posOffset>4672965</wp:posOffset>
            </wp:positionV>
            <wp:extent cx="5122545" cy="4269740"/>
            <wp:effectExtent l="0" t="0" r="1905" b="0"/>
            <wp:wrapSquare wrapText="bothSides"/>
            <wp:docPr id="26" name="Wykres 2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3B77" w:rsidRPr="00C15772">
        <w:t xml:space="preserve">Wykres </w:t>
      </w:r>
      <w:r w:rsidR="00053B77">
        <w:t>2</w:t>
      </w:r>
      <w:r w:rsidR="00053B77" w:rsidRPr="00C15772">
        <w:t>.</w:t>
      </w:r>
      <w:r w:rsidR="00053B77" w:rsidRPr="00C15772">
        <w:rPr>
          <w:shd w:val="clear" w:color="auto" w:fill="FFFFFF"/>
        </w:rPr>
        <w:t xml:space="preserve"> </w:t>
      </w:r>
      <w:r w:rsidR="00A217E6">
        <w:rPr>
          <w:shd w:val="clear" w:color="auto" w:fill="FFFFFF"/>
        </w:rPr>
        <w:t>Bieżący</w:t>
      </w:r>
      <w:r w:rsidR="00053B77" w:rsidRPr="00C15772">
        <w:rPr>
          <w:shd w:val="clear" w:color="auto" w:fill="FFFFFF"/>
        </w:rPr>
        <w:t xml:space="preserve"> </w:t>
      </w:r>
      <w:r w:rsidR="00A217E6">
        <w:rPr>
          <w:shd w:val="clear" w:color="auto" w:fill="FFFFFF"/>
        </w:rPr>
        <w:t>wskaźnik</w:t>
      </w:r>
      <w:r w:rsidR="00053B77" w:rsidRPr="00C15772">
        <w:rPr>
          <w:shd w:val="clear" w:color="auto" w:fill="FFFFFF"/>
        </w:rPr>
        <w:t xml:space="preserve"> </w:t>
      </w:r>
      <w:r w:rsidR="00A217E6">
        <w:rPr>
          <w:shd w:val="clear" w:color="auto" w:fill="FFFFFF"/>
        </w:rPr>
        <w:t>ufności</w:t>
      </w:r>
      <w:r w:rsidR="00053B77" w:rsidRPr="00C15772">
        <w:rPr>
          <w:shd w:val="clear" w:color="auto" w:fill="FFFFFF"/>
        </w:rPr>
        <w:t xml:space="preserve"> </w:t>
      </w:r>
      <w:r w:rsidR="00A217E6">
        <w:rPr>
          <w:shd w:val="clear" w:color="auto" w:fill="FFFFFF"/>
        </w:rPr>
        <w:t>konsumenckiej</w:t>
      </w:r>
      <w:r w:rsidR="00053B77">
        <w:rPr>
          <w:shd w:val="clear" w:color="auto" w:fill="FFFFFF"/>
        </w:rPr>
        <w:t xml:space="preserve"> (BWUK) </w:t>
      </w:r>
      <w:r w:rsidR="00A217E6">
        <w:rPr>
          <w:shd w:val="clear" w:color="auto" w:fill="FFFFFF"/>
        </w:rPr>
        <w:t>oraz</w:t>
      </w:r>
      <w:r w:rsidR="00053B77">
        <w:rPr>
          <w:shd w:val="clear" w:color="auto" w:fill="FFFFFF"/>
        </w:rPr>
        <w:t xml:space="preserve"> </w:t>
      </w:r>
      <w:r w:rsidR="00A217E6">
        <w:rPr>
          <w:shd w:val="clear" w:color="auto" w:fill="FFFFFF"/>
        </w:rPr>
        <w:t>jego</w:t>
      </w:r>
      <w:r w:rsidR="00053B77">
        <w:rPr>
          <w:shd w:val="clear" w:color="auto" w:fill="FFFFFF"/>
        </w:rPr>
        <w:t xml:space="preserve"> </w:t>
      </w:r>
      <w:r w:rsidR="00A217E6">
        <w:rPr>
          <w:shd w:val="clear" w:color="auto" w:fill="FFFFFF"/>
        </w:rPr>
        <w:t>wartości</w:t>
      </w:r>
      <w:r w:rsidR="00053B77">
        <w:rPr>
          <w:shd w:val="clear" w:color="auto" w:fill="FFFFFF"/>
        </w:rPr>
        <w:t xml:space="preserve"> </w:t>
      </w:r>
      <w:r w:rsidR="00A217E6">
        <w:rPr>
          <w:shd w:val="clear" w:color="auto" w:fill="FFFFFF"/>
        </w:rPr>
        <w:t>składowe według lat</w:t>
      </w:r>
    </w:p>
    <w:p w14:paraId="4F362417" w14:textId="77777777" w:rsidR="00B35A63" w:rsidRDefault="00FD7BD2" w:rsidP="00A866F2">
      <w:pPr>
        <w:tabs>
          <w:tab w:val="left" w:pos="3218"/>
        </w:tabs>
      </w:pPr>
      <w:r>
        <w:tab/>
      </w:r>
    </w:p>
    <w:tbl>
      <w:tblPr>
        <w:tblStyle w:val="Siatkatabelijasna"/>
        <w:tblpPr w:leftFromText="141" w:rightFromText="141" w:vertAnchor="text" w:horzAnchor="margin" w:tblpY="596"/>
        <w:tblW w:w="80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709"/>
        <w:gridCol w:w="639"/>
        <w:gridCol w:w="1346"/>
        <w:gridCol w:w="1417"/>
        <w:gridCol w:w="1559"/>
        <w:gridCol w:w="1276"/>
        <w:gridCol w:w="1098"/>
      </w:tblGrid>
      <w:tr w:rsidR="00A866F2" w:rsidRPr="00FA5128" w14:paraId="5247D173" w14:textId="77777777" w:rsidTr="002A3665">
        <w:trPr>
          <w:trHeight w:val="631"/>
        </w:trPr>
        <w:tc>
          <w:tcPr>
            <w:tcW w:w="1348" w:type="dxa"/>
            <w:gridSpan w:val="2"/>
            <w:vMerge w:val="restart"/>
            <w:tcBorders>
              <w:top w:val="nil"/>
            </w:tcBorders>
            <w:vAlign w:val="center"/>
          </w:tcPr>
          <w:p w14:paraId="6B1357BA" w14:textId="77777777" w:rsidR="00A866F2" w:rsidRDefault="00A866F2" w:rsidP="00FC64E0">
            <w:pPr>
              <w:pStyle w:val="Nagwek1"/>
              <w:tabs>
                <w:tab w:val="right" w:leader="dot" w:pos="4139"/>
              </w:tabs>
              <w:spacing w:before="0" w:after="0"/>
              <w:jc w:val="center"/>
              <w:outlineLvl w:val="0"/>
              <w:rPr>
                <w:rFonts w:cs="Arial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lastRenderedPageBreak/>
              <w:t>Okres badania ankietowego</w:t>
            </w:r>
          </w:p>
          <w:p w14:paraId="60195E73" w14:textId="77777777" w:rsidR="00A866F2" w:rsidRDefault="00A866F2" w:rsidP="00FC64E0">
            <w:pPr>
              <w:pStyle w:val="Nagwek1"/>
              <w:tabs>
                <w:tab w:val="right" w:leader="dot" w:pos="4139"/>
              </w:tabs>
              <w:spacing w:before="0" w:after="0"/>
              <w:jc w:val="center"/>
              <w:outlineLvl w:val="0"/>
              <w:rPr>
                <w:rFonts w:cs="Arial"/>
                <w:color w:val="000000" w:themeColor="text1"/>
                <w:sz w:val="16"/>
                <w:szCs w:val="16"/>
              </w:rPr>
            </w:pPr>
          </w:p>
          <w:p w14:paraId="48494090" w14:textId="77777777" w:rsidR="00A866F2" w:rsidRDefault="00A866F2" w:rsidP="00FC64E0">
            <w:pPr>
              <w:pStyle w:val="Nagwek1"/>
              <w:tabs>
                <w:tab w:val="right" w:leader="dot" w:pos="4139"/>
              </w:tabs>
              <w:spacing w:before="0" w:after="0"/>
              <w:jc w:val="center"/>
              <w:outlineLvl w:val="0"/>
              <w:rPr>
                <w:rFonts w:cs="Arial"/>
                <w:color w:val="000000" w:themeColor="text1"/>
                <w:sz w:val="16"/>
                <w:szCs w:val="16"/>
              </w:rPr>
            </w:pPr>
          </w:p>
          <w:p w14:paraId="3D3EA589" w14:textId="77777777" w:rsidR="00A866F2" w:rsidRPr="00E37334" w:rsidRDefault="00A866F2" w:rsidP="00FC64E0">
            <w:pPr>
              <w:pStyle w:val="Nagwek1"/>
              <w:tabs>
                <w:tab w:val="right" w:leader="dot" w:pos="4139"/>
              </w:tabs>
              <w:spacing w:before="0" w:after="0"/>
              <w:jc w:val="center"/>
              <w:outlineLvl w:val="0"/>
              <w:rPr>
                <w:rFonts w:ascii="Fira Sans" w:hAnsi="Fira Sans" w:cs="Arial"/>
                <w:color w:val="000000" w:themeColor="text1"/>
                <w:sz w:val="16"/>
                <w:szCs w:val="16"/>
              </w:rPr>
            </w:pPr>
            <w:r w:rsidRPr="00E37334"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 xml:space="preserve">Rok     Kwartał </w:t>
            </w:r>
          </w:p>
          <w:p w14:paraId="27614EB7" w14:textId="77777777" w:rsidR="00A866F2" w:rsidRPr="009C7251" w:rsidRDefault="00A866F2" w:rsidP="00FC64E0">
            <w:pPr>
              <w:pStyle w:val="Nagwek1"/>
              <w:tabs>
                <w:tab w:val="right" w:leader="dot" w:pos="4139"/>
              </w:tabs>
              <w:spacing w:before="0" w:after="0"/>
              <w:jc w:val="center"/>
              <w:outlineLvl w:val="0"/>
              <w:rPr>
                <w:rFonts w:ascii="Fira Sans" w:hAnsi="Fira Sans" w:cs="Arial"/>
                <w:color w:val="000000" w:themeColor="text1"/>
                <w:sz w:val="16"/>
                <w:szCs w:val="16"/>
              </w:rPr>
            </w:pPr>
            <w:r w:rsidRPr="00E37334"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 xml:space="preserve">          </w:t>
            </w:r>
            <w:r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 xml:space="preserve">  </w:t>
            </w:r>
            <w:r w:rsidRPr="00E37334">
              <w:rPr>
                <w:rFonts w:ascii="Fira Sans" w:hAnsi="Fira Sans" w:cs="Arial"/>
                <w:color w:val="000000" w:themeColor="text1"/>
                <w:sz w:val="16"/>
                <w:szCs w:val="16"/>
              </w:rPr>
              <w:t>Miesiąc</w:t>
            </w:r>
          </w:p>
        </w:tc>
        <w:tc>
          <w:tcPr>
            <w:tcW w:w="1346" w:type="dxa"/>
            <w:tcBorders>
              <w:top w:val="nil"/>
              <w:bottom w:val="single" w:sz="4" w:space="0" w:color="212492"/>
            </w:tcBorders>
            <w:vAlign w:val="center"/>
          </w:tcPr>
          <w:p w14:paraId="5B158311" w14:textId="77777777" w:rsidR="00A866F2" w:rsidRPr="00FA5128" w:rsidRDefault="00A866F2" w:rsidP="00FC64E0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 xml:space="preserve">Zmiany sytuacji finansowej gospodarstwa domowego  </w:t>
            </w:r>
          </w:p>
        </w:tc>
        <w:tc>
          <w:tcPr>
            <w:tcW w:w="1417" w:type="dxa"/>
            <w:tcBorders>
              <w:top w:val="nil"/>
              <w:bottom w:val="single" w:sz="4" w:space="0" w:color="212492"/>
            </w:tcBorders>
            <w:vAlign w:val="center"/>
          </w:tcPr>
          <w:p w14:paraId="6352130B" w14:textId="77777777" w:rsidR="00A866F2" w:rsidRPr="00FA5128" w:rsidRDefault="00A866F2" w:rsidP="00FC64E0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Zmiany ogólnej sytuacji ekonomicznej kraju</w:t>
            </w:r>
          </w:p>
        </w:tc>
        <w:tc>
          <w:tcPr>
            <w:tcW w:w="1559" w:type="dxa"/>
            <w:tcBorders>
              <w:top w:val="nil"/>
              <w:bottom w:val="single" w:sz="4" w:space="0" w:color="212492"/>
            </w:tcBorders>
            <w:vAlign w:val="center"/>
          </w:tcPr>
          <w:p w14:paraId="5EB16E1A" w14:textId="77777777" w:rsidR="00A866F2" w:rsidRPr="00FA5128" w:rsidRDefault="00A866F2" w:rsidP="00FC64E0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Zmiany poziomu bezrobocia (ze znakiem przeciwnym)</w:t>
            </w:r>
          </w:p>
        </w:tc>
        <w:tc>
          <w:tcPr>
            <w:tcW w:w="1276" w:type="dxa"/>
            <w:tcBorders>
              <w:top w:val="nil"/>
              <w:bottom w:val="single" w:sz="4" w:space="0" w:color="212492"/>
            </w:tcBorders>
            <w:vAlign w:val="center"/>
          </w:tcPr>
          <w:p w14:paraId="57D9C4DE" w14:textId="77777777" w:rsidR="00A866F2" w:rsidRPr="00FA5128" w:rsidRDefault="00A866F2" w:rsidP="00FC64E0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Oszczędzanie pieniędzy</w:t>
            </w:r>
          </w:p>
        </w:tc>
        <w:tc>
          <w:tcPr>
            <w:tcW w:w="1098" w:type="dxa"/>
            <w:vMerge w:val="restart"/>
            <w:tcBorders>
              <w:top w:val="nil"/>
            </w:tcBorders>
            <w:vAlign w:val="center"/>
          </w:tcPr>
          <w:p w14:paraId="5862684A" w14:textId="77777777" w:rsidR="00A866F2" w:rsidRPr="00FA5128" w:rsidRDefault="00A866F2" w:rsidP="00FC64E0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6"/>
                <w:szCs w:val="16"/>
              </w:rPr>
            </w:pPr>
            <w:r>
              <w:rPr>
                <w:rFonts w:ascii="Fira Sans" w:hAnsi="Fira Sans"/>
                <w:color w:val="000000" w:themeColor="text1"/>
                <w:sz w:val="16"/>
                <w:szCs w:val="16"/>
              </w:rPr>
              <w:t>Wskaźnik ufności konsumenckiej W</w:t>
            </w:r>
            <w:r w:rsidRPr="00E37334">
              <w:rPr>
                <w:rFonts w:ascii="Fira Sans" w:hAnsi="Fira Sans"/>
                <w:color w:val="000000" w:themeColor="text1"/>
                <w:sz w:val="16"/>
                <w:szCs w:val="16"/>
              </w:rPr>
              <w:t>WUK</w:t>
            </w:r>
          </w:p>
        </w:tc>
      </w:tr>
      <w:tr w:rsidR="00A866F2" w:rsidRPr="00FA5128" w14:paraId="0226B45B" w14:textId="77777777" w:rsidTr="002A3665">
        <w:trPr>
          <w:trHeight w:val="20"/>
        </w:trPr>
        <w:tc>
          <w:tcPr>
            <w:tcW w:w="1348" w:type="dxa"/>
            <w:gridSpan w:val="2"/>
            <w:vMerge/>
            <w:tcBorders>
              <w:bottom w:val="single" w:sz="12" w:space="0" w:color="212492"/>
            </w:tcBorders>
            <w:vAlign w:val="center"/>
          </w:tcPr>
          <w:p w14:paraId="283AF834" w14:textId="77777777" w:rsidR="00A866F2" w:rsidRPr="00FA5128" w:rsidRDefault="00A866F2" w:rsidP="00FC64E0">
            <w:pPr>
              <w:pStyle w:val="Nagwek1"/>
              <w:tabs>
                <w:tab w:val="right" w:leader="dot" w:pos="4139"/>
              </w:tabs>
              <w:spacing w:before="0" w:after="0"/>
              <w:jc w:val="center"/>
              <w:outlineLvl w:val="0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1346" w:type="dxa"/>
            <w:tcBorders>
              <w:top w:val="single" w:sz="4" w:space="0" w:color="212492"/>
              <w:bottom w:val="single" w:sz="12" w:space="0" w:color="212492"/>
            </w:tcBorders>
            <w:vAlign w:val="center"/>
          </w:tcPr>
          <w:p w14:paraId="7950AB0B" w14:textId="77777777" w:rsidR="00A866F2" w:rsidRPr="00FA5128" w:rsidRDefault="00A866F2" w:rsidP="00A866F2">
            <w:pPr>
              <w:spacing w:before="0" w:after="0" w:line="18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b</w:t>
            </w:r>
          </w:p>
        </w:tc>
        <w:tc>
          <w:tcPr>
            <w:tcW w:w="1417" w:type="dxa"/>
            <w:tcBorders>
              <w:top w:val="single" w:sz="4" w:space="0" w:color="212492"/>
              <w:bottom w:val="single" w:sz="12" w:space="0" w:color="212492"/>
            </w:tcBorders>
          </w:tcPr>
          <w:p w14:paraId="26BEC221" w14:textId="77777777" w:rsidR="00A866F2" w:rsidRPr="00FA5128" w:rsidRDefault="00A866F2" w:rsidP="00A866F2">
            <w:pPr>
              <w:spacing w:before="0" w:after="0" w:line="18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d</w:t>
            </w:r>
          </w:p>
        </w:tc>
        <w:tc>
          <w:tcPr>
            <w:tcW w:w="1559" w:type="dxa"/>
            <w:tcBorders>
              <w:top w:val="single" w:sz="4" w:space="0" w:color="212492"/>
              <w:bottom w:val="single" w:sz="12" w:space="0" w:color="212492"/>
            </w:tcBorders>
            <w:vAlign w:val="center"/>
          </w:tcPr>
          <w:p w14:paraId="7F2A2CA6" w14:textId="77777777" w:rsidR="00A866F2" w:rsidRPr="00FA5128" w:rsidRDefault="00A866F2" w:rsidP="00A866F2">
            <w:pPr>
              <w:spacing w:before="0" w:after="0" w:line="18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f</w:t>
            </w:r>
          </w:p>
        </w:tc>
        <w:tc>
          <w:tcPr>
            <w:tcW w:w="1276" w:type="dxa"/>
            <w:tcBorders>
              <w:top w:val="single" w:sz="4" w:space="0" w:color="212492"/>
              <w:bottom w:val="single" w:sz="12" w:space="0" w:color="212492"/>
            </w:tcBorders>
          </w:tcPr>
          <w:p w14:paraId="0FFFD325" w14:textId="77777777" w:rsidR="00A866F2" w:rsidRPr="00FA5128" w:rsidRDefault="00A866F2" w:rsidP="00A866F2">
            <w:pPr>
              <w:spacing w:before="0" w:after="0" w:line="180" w:lineRule="exact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g</w:t>
            </w:r>
          </w:p>
        </w:tc>
        <w:tc>
          <w:tcPr>
            <w:tcW w:w="1098" w:type="dxa"/>
            <w:vMerge/>
            <w:tcBorders>
              <w:bottom w:val="single" w:sz="12" w:space="0" w:color="212492"/>
            </w:tcBorders>
            <w:vAlign w:val="center"/>
          </w:tcPr>
          <w:p w14:paraId="6453E936" w14:textId="77777777" w:rsidR="00A866F2" w:rsidRPr="00FA5128" w:rsidRDefault="00A866F2" w:rsidP="00FC64E0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2A3665" w:rsidRPr="00FA5128" w14:paraId="41A05BE5" w14:textId="77777777" w:rsidTr="002A3665">
        <w:trPr>
          <w:trHeight w:val="168"/>
        </w:trPr>
        <w:tc>
          <w:tcPr>
            <w:tcW w:w="1348" w:type="dxa"/>
            <w:gridSpan w:val="2"/>
            <w:tcBorders>
              <w:top w:val="nil"/>
              <w:bottom w:val="nil"/>
            </w:tcBorders>
            <w:vAlign w:val="center"/>
          </w:tcPr>
          <w:p w14:paraId="21E1C494" w14:textId="77777777" w:rsidR="002A3665" w:rsidRPr="00FA5128" w:rsidRDefault="002A3665" w:rsidP="00FC64E0">
            <w:pPr>
              <w:pStyle w:val="Nagwek5"/>
              <w:tabs>
                <w:tab w:val="right" w:leader="dot" w:pos="4156"/>
              </w:tabs>
              <w:spacing w:before="0" w:line="140" w:lineRule="exact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598" w:type="dxa"/>
            <w:gridSpan w:val="4"/>
            <w:tcBorders>
              <w:top w:val="single" w:sz="12" w:space="0" w:color="212492"/>
              <w:bottom w:val="single" w:sz="4" w:space="0" w:color="001D77"/>
              <w:right w:val="single" w:sz="4" w:space="0" w:color="212492"/>
            </w:tcBorders>
            <w:vAlign w:val="center"/>
          </w:tcPr>
          <w:p w14:paraId="6D3F1A1D" w14:textId="77777777" w:rsidR="002A3665" w:rsidRPr="00FA5128" w:rsidRDefault="002A3665" w:rsidP="00FC64E0">
            <w:pPr>
              <w:spacing w:before="0" w:after="0" w:line="140" w:lineRule="exact"/>
              <w:jc w:val="center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2A3665">
              <w:rPr>
                <w:rFonts w:cs="Arial"/>
                <w:color w:val="000000" w:themeColor="text1"/>
                <w:sz w:val="16"/>
                <w:szCs w:val="16"/>
              </w:rPr>
              <w:t>saldo ocen w procentach</w:t>
            </w:r>
          </w:p>
        </w:tc>
        <w:tc>
          <w:tcPr>
            <w:tcW w:w="1098" w:type="dxa"/>
            <w:tcBorders>
              <w:top w:val="nil"/>
              <w:left w:val="single" w:sz="4" w:space="0" w:color="212492"/>
              <w:bottom w:val="nil"/>
            </w:tcBorders>
            <w:vAlign w:val="center"/>
          </w:tcPr>
          <w:p w14:paraId="28D9ABCB" w14:textId="77777777" w:rsidR="002A3665" w:rsidRPr="00FA5128" w:rsidRDefault="002A3665" w:rsidP="00FC64E0">
            <w:pPr>
              <w:spacing w:before="0" w:after="0" w:line="140" w:lineRule="exact"/>
              <w:jc w:val="center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C63004" w:rsidRPr="00FA5128" w14:paraId="299D305B" w14:textId="77777777" w:rsidTr="00AF2F1E">
        <w:trPr>
          <w:trHeight w:val="126"/>
        </w:trPr>
        <w:tc>
          <w:tcPr>
            <w:tcW w:w="1348" w:type="dxa"/>
            <w:gridSpan w:val="2"/>
            <w:tcBorders>
              <w:top w:val="nil"/>
              <w:bottom w:val="single" w:sz="4" w:space="0" w:color="212492"/>
            </w:tcBorders>
            <w:vAlign w:val="center"/>
          </w:tcPr>
          <w:p w14:paraId="3FF22F2B" w14:textId="77777777" w:rsidR="00C63004" w:rsidRPr="00FA5128" w:rsidRDefault="00C63004" w:rsidP="00FC64E0">
            <w:pPr>
              <w:pStyle w:val="Nagwek5"/>
              <w:tabs>
                <w:tab w:val="right" w:leader="dot" w:pos="4156"/>
              </w:tabs>
              <w:spacing w:before="0" w:line="140" w:lineRule="exact"/>
              <w:contextualSpacing/>
              <w:outlineLvl w:val="4"/>
              <w:rPr>
                <w:rFonts w:ascii="Fira Sans" w:hAnsi="Fira Sans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5598" w:type="dxa"/>
            <w:gridSpan w:val="4"/>
            <w:tcBorders>
              <w:top w:val="single" w:sz="4" w:space="0" w:color="212492"/>
              <w:bottom w:val="single" w:sz="4" w:space="0" w:color="212492"/>
              <w:right w:val="nil"/>
            </w:tcBorders>
            <w:vAlign w:val="center"/>
          </w:tcPr>
          <w:p w14:paraId="49084955" w14:textId="77777777" w:rsidR="00C63004" w:rsidRPr="00FA5128" w:rsidRDefault="00C63004" w:rsidP="00C63004">
            <w:pPr>
              <w:spacing w:before="0" w:after="0" w:line="140" w:lineRule="exact"/>
              <w:jc w:val="center"/>
              <w:rPr>
                <w:rFonts w:cs="Arial"/>
                <w:b/>
                <w:color w:val="000000" w:themeColor="text1"/>
                <w:sz w:val="16"/>
                <w:szCs w:val="16"/>
              </w:rPr>
            </w:pPr>
            <w:r w:rsidRPr="00AF2F1E">
              <w:rPr>
                <w:rFonts w:cs="Arial"/>
                <w:b/>
                <w:color w:val="000000" w:themeColor="text1"/>
                <w:sz w:val="14"/>
                <w:szCs w:val="16"/>
              </w:rPr>
              <w:t>Lata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212492"/>
            </w:tcBorders>
            <w:vAlign w:val="center"/>
          </w:tcPr>
          <w:p w14:paraId="5DF20B02" w14:textId="77777777" w:rsidR="00C63004" w:rsidRPr="00FA5128" w:rsidRDefault="00C63004" w:rsidP="00FC64E0">
            <w:pPr>
              <w:spacing w:before="0" w:after="0" w:line="140" w:lineRule="exact"/>
              <w:jc w:val="center"/>
              <w:rPr>
                <w:rFonts w:cs="Arial"/>
                <w:b/>
                <w:color w:val="000000" w:themeColor="text1"/>
                <w:sz w:val="16"/>
                <w:szCs w:val="16"/>
              </w:rPr>
            </w:pPr>
          </w:p>
        </w:tc>
      </w:tr>
      <w:tr w:rsidR="002A3665" w:rsidRPr="00FA5128" w14:paraId="7CBD4639" w14:textId="77777777" w:rsidTr="00C63004">
        <w:trPr>
          <w:trHeight w:val="28"/>
        </w:trPr>
        <w:tc>
          <w:tcPr>
            <w:tcW w:w="1348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bottom"/>
          </w:tcPr>
          <w:p w14:paraId="0E54EABA" w14:textId="77777777" w:rsidR="002A3665" w:rsidRPr="007443DC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7443DC">
              <w:rPr>
                <w:rFonts w:cs="Arial"/>
                <w:sz w:val="14"/>
              </w:rPr>
              <w:t>2006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6ABDA8FA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-6,1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09085CA2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-13,0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20D67637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-6,3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5E81DAC5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-48,3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36B299A6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-18,5</w:t>
            </w:r>
          </w:p>
        </w:tc>
      </w:tr>
      <w:tr w:rsidR="002A3665" w:rsidRPr="00FA5128" w14:paraId="6480F77F" w14:textId="77777777" w:rsidTr="00C63004">
        <w:trPr>
          <w:trHeight w:val="28"/>
        </w:trPr>
        <w:tc>
          <w:tcPr>
            <w:tcW w:w="1348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bottom"/>
          </w:tcPr>
          <w:p w14:paraId="043BFF82" w14:textId="77777777" w:rsidR="002A3665" w:rsidRPr="007443DC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7443DC">
              <w:rPr>
                <w:rFonts w:cs="Arial"/>
                <w:sz w:val="14"/>
              </w:rPr>
              <w:t>2007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0CC5C904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-1,9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1ABD4711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-6,6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6A5C1BE2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17,6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6AA69C98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-40,7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14D257DA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-7,9</w:t>
            </w:r>
          </w:p>
        </w:tc>
      </w:tr>
      <w:tr w:rsidR="002A3665" w:rsidRPr="00FA5128" w14:paraId="46CD059E" w14:textId="77777777" w:rsidTr="00C63004">
        <w:trPr>
          <w:trHeight w:val="148"/>
        </w:trPr>
        <w:tc>
          <w:tcPr>
            <w:tcW w:w="1348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bottom"/>
          </w:tcPr>
          <w:p w14:paraId="42A3B0E8" w14:textId="77777777" w:rsidR="002A3665" w:rsidRPr="007443DC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7443DC">
              <w:rPr>
                <w:rFonts w:cs="Arial"/>
                <w:sz w:val="14"/>
              </w:rPr>
              <w:t>2008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1CC69218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-4,5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08DF6615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-9,7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7D5BF26A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5,1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4B6FD4F4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-37,2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1C4965A4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-11,6</w:t>
            </w:r>
          </w:p>
        </w:tc>
      </w:tr>
      <w:tr w:rsidR="002A3665" w:rsidRPr="00FA5128" w14:paraId="4064FB82" w14:textId="77777777" w:rsidTr="00C63004">
        <w:trPr>
          <w:trHeight w:val="124"/>
        </w:trPr>
        <w:tc>
          <w:tcPr>
            <w:tcW w:w="1348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bottom"/>
          </w:tcPr>
          <w:p w14:paraId="425D4B5A" w14:textId="77777777" w:rsidR="002A3665" w:rsidRPr="007443DC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7443DC">
              <w:rPr>
                <w:rFonts w:cs="Arial"/>
                <w:sz w:val="14"/>
              </w:rPr>
              <w:t>2009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10208414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-11,1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4A77B893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-26,5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6DF0B9EA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-54,6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47193008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-37,1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2C547DA5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-32,5</w:t>
            </w:r>
          </w:p>
        </w:tc>
      </w:tr>
      <w:tr w:rsidR="002A3665" w:rsidRPr="00FA5128" w14:paraId="18BCFA0E" w14:textId="77777777" w:rsidTr="00C63004">
        <w:trPr>
          <w:trHeight w:val="28"/>
        </w:trPr>
        <w:tc>
          <w:tcPr>
            <w:tcW w:w="1348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bottom"/>
          </w:tcPr>
          <w:p w14:paraId="7D117886" w14:textId="77777777" w:rsidR="002A3665" w:rsidRPr="007443DC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7443DC">
              <w:rPr>
                <w:rFonts w:cs="Arial"/>
                <w:sz w:val="14"/>
              </w:rPr>
              <w:t>2010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2249A5C4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-8,2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7E69180E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-18,9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20CCD8B5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-34,4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6DA268E6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-32,0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0A9F34E5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-23,5</w:t>
            </w:r>
          </w:p>
        </w:tc>
      </w:tr>
      <w:tr w:rsidR="002A3665" w:rsidRPr="00FA5128" w14:paraId="6BF0BE97" w14:textId="77777777" w:rsidTr="00C63004">
        <w:trPr>
          <w:trHeight w:val="28"/>
        </w:trPr>
        <w:tc>
          <w:tcPr>
            <w:tcW w:w="1348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bottom"/>
          </w:tcPr>
          <w:p w14:paraId="24D19BCB" w14:textId="77777777" w:rsidR="002A3665" w:rsidRPr="007443DC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7443DC">
              <w:rPr>
                <w:rFonts w:cs="Arial"/>
                <w:sz w:val="14"/>
              </w:rPr>
              <w:t>2011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185270C6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-14,6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2DBD0DFC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-30,8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48CE3CE9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-37,0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2B03919C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-36,1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42F5D4C7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-29,8</w:t>
            </w:r>
          </w:p>
        </w:tc>
      </w:tr>
      <w:tr w:rsidR="002A3665" w:rsidRPr="00FA5128" w14:paraId="63D95FBD" w14:textId="77777777" w:rsidTr="00C63004">
        <w:trPr>
          <w:trHeight w:val="28"/>
        </w:trPr>
        <w:tc>
          <w:tcPr>
            <w:tcW w:w="1348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bottom"/>
          </w:tcPr>
          <w:p w14:paraId="0DCCA111" w14:textId="77777777" w:rsidR="002A3665" w:rsidRPr="007443DC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7443DC">
              <w:rPr>
                <w:rFonts w:cs="Arial"/>
                <w:sz w:val="14"/>
              </w:rPr>
              <w:t>2012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7E4BC68A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-18,5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3C0C9345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-38,0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497A90B6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-53,3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7E0E7D5D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-36,9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0CEC6488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-36,7</w:t>
            </w:r>
          </w:p>
        </w:tc>
      </w:tr>
      <w:tr w:rsidR="002A3665" w:rsidRPr="00FA5128" w14:paraId="7FAB1D53" w14:textId="77777777" w:rsidTr="00C63004">
        <w:trPr>
          <w:trHeight w:val="98"/>
        </w:trPr>
        <w:tc>
          <w:tcPr>
            <w:tcW w:w="1348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253AC78E" w14:textId="77777777" w:rsidR="002A3665" w:rsidRPr="005357E1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5357E1">
              <w:rPr>
                <w:rFonts w:cs="Arial"/>
                <w:sz w:val="14"/>
              </w:rPr>
              <w:t>2013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5B0649A8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-13,6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1B449F47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-31,2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329F3A30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-53,7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218823A6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-36,1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7ECC5378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-33,7</w:t>
            </w:r>
          </w:p>
        </w:tc>
      </w:tr>
      <w:tr w:rsidR="00C63004" w:rsidRPr="00FA5128" w14:paraId="12671061" w14:textId="77777777" w:rsidTr="00C63004">
        <w:trPr>
          <w:trHeight w:val="28"/>
        </w:trPr>
        <w:tc>
          <w:tcPr>
            <w:tcW w:w="1348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6290E75F" w14:textId="77777777" w:rsidR="002A3665" w:rsidRPr="005357E1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5357E1">
              <w:rPr>
                <w:rFonts w:cs="Arial"/>
                <w:sz w:val="14"/>
              </w:rPr>
              <w:t>2014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6C0908D7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-7,3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31A51E70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-18,4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268D6BC2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-31,1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1A6BA661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-30,5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2EDA93DB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-21,8</w:t>
            </w:r>
          </w:p>
        </w:tc>
      </w:tr>
      <w:tr w:rsidR="002A3665" w:rsidRPr="00FA5128" w14:paraId="4CB73D0D" w14:textId="77777777" w:rsidTr="00C63004">
        <w:trPr>
          <w:trHeight w:val="28"/>
        </w:trPr>
        <w:tc>
          <w:tcPr>
            <w:tcW w:w="1348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16EC0839" w14:textId="77777777" w:rsidR="002A3665" w:rsidRPr="005357E1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5357E1">
              <w:rPr>
                <w:rFonts w:cs="Arial"/>
                <w:sz w:val="14"/>
              </w:rPr>
              <w:t>2015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780421E9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-2,8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5195D21E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-11,4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7BAAA714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-19,7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5CD8B6D4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-26,3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00EAD9EE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-15,1</w:t>
            </w:r>
          </w:p>
        </w:tc>
      </w:tr>
      <w:tr w:rsidR="00C63004" w:rsidRPr="00FA5128" w14:paraId="5E580249" w14:textId="77777777" w:rsidTr="00C63004">
        <w:trPr>
          <w:trHeight w:val="28"/>
        </w:trPr>
        <w:tc>
          <w:tcPr>
            <w:tcW w:w="1348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2CAE0167" w14:textId="77777777" w:rsidR="002A3665" w:rsidRPr="005357E1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5357E1">
              <w:rPr>
                <w:rFonts w:cs="Arial"/>
                <w:sz w:val="14"/>
              </w:rPr>
              <w:t>2016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2A789E04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0,9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7052D1DF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-9,4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344A50B9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-7,8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220794A9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-18,0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17DEEDDD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-8,6</w:t>
            </w:r>
          </w:p>
        </w:tc>
      </w:tr>
      <w:tr w:rsidR="002A3665" w:rsidRPr="00FA5128" w14:paraId="6CF38D9F" w14:textId="77777777" w:rsidTr="00C63004">
        <w:trPr>
          <w:trHeight w:val="62"/>
        </w:trPr>
        <w:tc>
          <w:tcPr>
            <w:tcW w:w="1348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715CA3E7" w14:textId="77777777" w:rsidR="002A3665" w:rsidRPr="005357E1" w:rsidRDefault="002A366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 w:rsidRPr="005357E1">
              <w:rPr>
                <w:rFonts w:cs="Arial"/>
                <w:sz w:val="14"/>
              </w:rPr>
              <w:t>2017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0A08B8A7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2,8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0BA08928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-1,8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28BA76A2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8,5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1465FA0C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-10,6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273665FE" w14:textId="77777777" w:rsidR="002A3665" w:rsidRPr="002A3665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 w:rsidRPr="002A3665">
              <w:rPr>
                <w:rFonts w:cs="Arial"/>
                <w:sz w:val="14"/>
                <w:szCs w:val="20"/>
              </w:rPr>
              <w:t>-0,3</w:t>
            </w:r>
          </w:p>
        </w:tc>
      </w:tr>
      <w:tr w:rsidR="00BA728E" w:rsidRPr="00FA5128" w14:paraId="7AAF2995" w14:textId="77777777" w:rsidTr="00C63004">
        <w:trPr>
          <w:trHeight w:val="62"/>
        </w:trPr>
        <w:tc>
          <w:tcPr>
            <w:tcW w:w="1348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568D107C" w14:textId="77777777" w:rsidR="00BA728E" w:rsidRPr="005357E1" w:rsidRDefault="00BA728E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2018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7CBE4B78" w14:textId="77777777" w:rsidR="00BA728E" w:rsidRPr="002A3665" w:rsidRDefault="00CC541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3,6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2B624669" w14:textId="77777777" w:rsidR="00BA728E" w:rsidRPr="002A3665" w:rsidRDefault="00CC541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2,8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743401E2" w14:textId="77777777" w:rsidR="00BA728E" w:rsidRPr="002A3665" w:rsidRDefault="00CC541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12,6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0A392FD8" w14:textId="77777777" w:rsidR="00BA728E" w:rsidRPr="002A3665" w:rsidRDefault="00CC541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-7,5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4EED24F2" w14:textId="77777777" w:rsidR="00BA728E" w:rsidRPr="002A3665" w:rsidRDefault="00CC541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2,9</w:t>
            </w:r>
          </w:p>
        </w:tc>
      </w:tr>
      <w:tr w:rsidR="00730701" w:rsidRPr="00FA5128" w14:paraId="16E37387" w14:textId="77777777" w:rsidTr="00C63004">
        <w:trPr>
          <w:trHeight w:val="62"/>
        </w:trPr>
        <w:tc>
          <w:tcPr>
            <w:tcW w:w="1348" w:type="dxa"/>
            <w:gridSpan w:val="2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2CDB38E2" w14:textId="77777777" w:rsidR="00730701" w:rsidRDefault="00730701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2019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71220466" w14:textId="77777777" w:rsidR="00730701" w:rsidRDefault="00E9568F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6,3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410FB624" w14:textId="77777777" w:rsidR="00730701" w:rsidRDefault="00E9568F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1,2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12CB4AF0" w14:textId="77777777" w:rsidR="00730701" w:rsidRDefault="00E9568F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7,7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1C069415" w14:textId="77777777" w:rsidR="00730701" w:rsidRDefault="00E9568F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0,8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436BBAA0" w14:textId="77777777" w:rsidR="00730701" w:rsidRDefault="00E9568F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4,0</w:t>
            </w:r>
          </w:p>
        </w:tc>
      </w:tr>
      <w:tr w:rsidR="00C63004" w:rsidRPr="00FA5128" w14:paraId="60193423" w14:textId="77777777" w:rsidTr="00AF2F1E">
        <w:trPr>
          <w:trHeight w:val="124"/>
        </w:trPr>
        <w:tc>
          <w:tcPr>
            <w:tcW w:w="1348" w:type="dxa"/>
            <w:gridSpan w:val="2"/>
            <w:tcBorders>
              <w:top w:val="single" w:sz="4" w:space="0" w:color="212492"/>
              <w:left w:val="nil"/>
              <w:right w:val="nil"/>
            </w:tcBorders>
            <w:vAlign w:val="bottom"/>
          </w:tcPr>
          <w:p w14:paraId="2ED3CEFF" w14:textId="77777777" w:rsidR="00C63004" w:rsidRPr="007443DC" w:rsidRDefault="00C63004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5598" w:type="dxa"/>
            <w:gridSpan w:val="4"/>
            <w:tcBorders>
              <w:top w:val="single" w:sz="4" w:space="0" w:color="212492"/>
              <w:left w:val="nil"/>
              <w:bottom w:val="single" w:sz="4" w:space="0" w:color="001D77"/>
              <w:right w:val="nil"/>
            </w:tcBorders>
            <w:shd w:val="clear" w:color="auto" w:fill="auto"/>
            <w:vAlign w:val="center"/>
          </w:tcPr>
          <w:p w14:paraId="0EB8D505" w14:textId="77777777" w:rsidR="00C63004" w:rsidRPr="007443DC" w:rsidRDefault="00C63004" w:rsidP="00AF2F1E">
            <w:pPr>
              <w:spacing w:before="0" w:after="0" w:line="240" w:lineRule="auto"/>
              <w:contextualSpacing/>
              <w:jc w:val="center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5357E1">
              <w:rPr>
                <w:rFonts w:cs="Arial"/>
                <w:b/>
                <w:bCs/>
                <w:snapToGrid w:val="0"/>
                <w:color w:val="000000"/>
                <w:sz w:val="14"/>
                <w:szCs w:val="21"/>
              </w:rPr>
              <w:t>Kwartały</w:t>
            </w:r>
          </w:p>
        </w:tc>
        <w:tc>
          <w:tcPr>
            <w:tcW w:w="1098" w:type="dxa"/>
            <w:tcBorders>
              <w:top w:val="single" w:sz="4" w:space="0" w:color="212492"/>
              <w:left w:val="nil"/>
              <w:bottom w:val="single" w:sz="4" w:space="0" w:color="001D77"/>
              <w:right w:val="nil"/>
            </w:tcBorders>
            <w:shd w:val="clear" w:color="auto" w:fill="auto"/>
            <w:vAlign w:val="bottom"/>
          </w:tcPr>
          <w:p w14:paraId="63D0E620" w14:textId="77777777" w:rsidR="00C63004" w:rsidRPr="007443DC" w:rsidRDefault="00C63004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</w:tr>
      <w:tr w:rsidR="002E0EE3" w:rsidRPr="00FA5128" w14:paraId="509475D0" w14:textId="77777777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14:paraId="41F20CBD" w14:textId="77777777" w:rsidR="002E0EE3" w:rsidRDefault="002E0EE3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2019</w:t>
            </w:r>
          </w:p>
        </w:tc>
        <w:tc>
          <w:tcPr>
            <w:tcW w:w="63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center"/>
          </w:tcPr>
          <w:p w14:paraId="7DDF8952" w14:textId="77777777" w:rsidR="002E0EE3" w:rsidRDefault="002E0EE3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I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03A406C1" w14:textId="77777777" w:rsidR="002E0EE3" w:rsidRDefault="00DB299B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5,8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46A3C63F" w14:textId="77777777" w:rsidR="002E0EE3" w:rsidRDefault="00DB299B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2,2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13F93834" w14:textId="77777777" w:rsidR="002E0EE3" w:rsidRDefault="00DB299B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8,2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5AEDEA25" w14:textId="77777777" w:rsidR="002E0EE3" w:rsidRDefault="00DB299B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-2,7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743C83AD" w14:textId="77777777" w:rsidR="002E0EE3" w:rsidRDefault="00DB299B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3,4</w:t>
            </w:r>
          </w:p>
        </w:tc>
      </w:tr>
      <w:tr w:rsidR="0013245A" w:rsidRPr="00FA5128" w14:paraId="1FF1603C" w14:textId="77777777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14:paraId="6A78910A" w14:textId="77777777" w:rsidR="0013245A" w:rsidRDefault="0013245A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center"/>
          </w:tcPr>
          <w:p w14:paraId="2E611CBA" w14:textId="77777777" w:rsidR="0013245A" w:rsidRDefault="0013245A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II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5E97DB38" w14:textId="77777777" w:rsidR="0013245A" w:rsidRDefault="003E6677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7,5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02C1D069" w14:textId="77777777" w:rsidR="0013245A" w:rsidRDefault="003E6677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2,3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6064F02F" w14:textId="77777777" w:rsidR="0013245A" w:rsidRDefault="003E6677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11,1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1B5F2314" w14:textId="77777777" w:rsidR="0013245A" w:rsidRDefault="003E6677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0,3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2BD1853E" w14:textId="77777777" w:rsidR="0013245A" w:rsidRDefault="003E6677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5,3</w:t>
            </w:r>
          </w:p>
        </w:tc>
      </w:tr>
      <w:tr w:rsidR="003C6EFB" w:rsidRPr="00FA5128" w14:paraId="79EBE912" w14:textId="77777777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14:paraId="0A05A6EE" w14:textId="77777777" w:rsidR="003C6EFB" w:rsidRDefault="003C6EFB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center"/>
          </w:tcPr>
          <w:p w14:paraId="15E1B6BB" w14:textId="77777777" w:rsidR="003C6EFB" w:rsidRDefault="003C6EFB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III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0F2BD53D" w14:textId="77777777" w:rsidR="003C6EFB" w:rsidRDefault="00536467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7,1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1FA04C92" w14:textId="77777777" w:rsidR="003C6EFB" w:rsidRDefault="00536467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2,6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63A6347C" w14:textId="77777777" w:rsidR="003C6EFB" w:rsidRDefault="00536467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9,6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7A3862C4" w14:textId="77777777" w:rsidR="003C6EFB" w:rsidRDefault="00536467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3,2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603204B8" w14:textId="77777777" w:rsidR="003C6EFB" w:rsidRDefault="00536467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5,6</w:t>
            </w:r>
          </w:p>
        </w:tc>
      </w:tr>
      <w:tr w:rsidR="00730701" w:rsidRPr="00FA5128" w14:paraId="0637B32D" w14:textId="77777777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14:paraId="6A595CC2" w14:textId="77777777" w:rsidR="00730701" w:rsidRDefault="00730701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center"/>
          </w:tcPr>
          <w:p w14:paraId="01487D2F" w14:textId="77777777" w:rsidR="00730701" w:rsidRDefault="00730701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IV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54F72D78" w14:textId="77777777" w:rsidR="00730701" w:rsidRDefault="00E9568F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4,6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299833AE" w14:textId="77777777" w:rsidR="00730701" w:rsidRDefault="00E9568F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-2</w:t>
            </w:r>
            <w:r w:rsidR="003D0689">
              <w:rPr>
                <w:rFonts w:cs="Arial"/>
                <w:sz w:val="14"/>
                <w:szCs w:val="20"/>
              </w:rPr>
              <w:t>,</w:t>
            </w:r>
            <w:r>
              <w:rPr>
                <w:rFonts w:cs="Arial"/>
                <w:sz w:val="14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4F036C68" w14:textId="77777777" w:rsidR="00730701" w:rsidRDefault="00E9568F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2,0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5162B596" w14:textId="77777777" w:rsidR="00730701" w:rsidRDefault="00E9568F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2,5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52DD133B" w14:textId="77777777" w:rsidR="00730701" w:rsidRDefault="00E9568F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1,7</w:t>
            </w:r>
          </w:p>
        </w:tc>
      </w:tr>
      <w:tr w:rsidR="00812468" w:rsidRPr="00FA5128" w14:paraId="5418D9F1" w14:textId="77777777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14:paraId="21E178AD" w14:textId="77777777" w:rsidR="00812468" w:rsidRDefault="00812468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2020</w:t>
            </w:r>
          </w:p>
        </w:tc>
        <w:tc>
          <w:tcPr>
            <w:tcW w:w="639" w:type="dxa"/>
            <w:tcBorders>
              <w:top w:val="single" w:sz="4" w:space="0" w:color="212492"/>
              <w:left w:val="nil"/>
              <w:bottom w:val="single" w:sz="4" w:space="0" w:color="212492"/>
              <w:right w:val="single" w:sz="4" w:space="0" w:color="212492"/>
            </w:tcBorders>
            <w:vAlign w:val="center"/>
          </w:tcPr>
          <w:p w14:paraId="61DF4895" w14:textId="77777777" w:rsidR="00812468" w:rsidRDefault="00812468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I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4DF05DC3" w14:textId="77777777" w:rsidR="00812468" w:rsidRDefault="001613AE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2,0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1949CF52" w14:textId="77777777" w:rsidR="00812468" w:rsidRDefault="001613AE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-8,7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3FA32939" w14:textId="77777777" w:rsidR="00812468" w:rsidRDefault="001613AE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0,3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71713E87" w14:textId="77777777" w:rsidR="00812468" w:rsidRDefault="001613AE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-0,4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2078C48B" w14:textId="77777777" w:rsidR="00812468" w:rsidRDefault="001613AE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-1,7</w:t>
            </w:r>
          </w:p>
        </w:tc>
      </w:tr>
      <w:tr w:rsidR="00AF2F1E" w:rsidRPr="00FA5128" w14:paraId="6B177794" w14:textId="77777777" w:rsidTr="00FC64E0">
        <w:trPr>
          <w:trHeight w:val="28"/>
        </w:trPr>
        <w:tc>
          <w:tcPr>
            <w:tcW w:w="1348" w:type="dxa"/>
            <w:gridSpan w:val="2"/>
            <w:tcBorders>
              <w:left w:val="nil"/>
              <w:right w:val="nil"/>
            </w:tcBorders>
            <w:vAlign w:val="center"/>
          </w:tcPr>
          <w:p w14:paraId="586DDD66" w14:textId="77777777" w:rsidR="00AF2F1E" w:rsidRPr="007443DC" w:rsidRDefault="00AF2F1E" w:rsidP="00AF2F1E">
            <w:pPr>
              <w:pStyle w:val="Tekstprzypisudolnego"/>
              <w:spacing w:before="0"/>
              <w:contextualSpacing/>
              <w:jc w:val="center"/>
              <w:rPr>
                <w:rFonts w:cs="Arial"/>
                <w:sz w:val="14"/>
              </w:rPr>
            </w:pPr>
          </w:p>
        </w:tc>
        <w:tc>
          <w:tcPr>
            <w:tcW w:w="5598" w:type="dxa"/>
            <w:gridSpan w:val="4"/>
            <w:tcBorders>
              <w:top w:val="single" w:sz="4" w:space="0" w:color="001D77"/>
              <w:left w:val="nil"/>
              <w:bottom w:val="single" w:sz="4" w:space="0" w:color="212492"/>
              <w:right w:val="nil"/>
            </w:tcBorders>
            <w:shd w:val="clear" w:color="auto" w:fill="auto"/>
            <w:vAlign w:val="center"/>
          </w:tcPr>
          <w:p w14:paraId="09D36CA6" w14:textId="77777777" w:rsidR="00AF2F1E" w:rsidRPr="007443DC" w:rsidRDefault="00AF2F1E" w:rsidP="00AF2F1E">
            <w:pPr>
              <w:spacing w:before="0" w:after="0" w:line="240" w:lineRule="auto"/>
              <w:contextualSpacing/>
              <w:jc w:val="center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  <w:r w:rsidRPr="005357E1">
              <w:rPr>
                <w:rFonts w:cs="Arial"/>
                <w:b/>
                <w:bCs/>
                <w:snapToGrid w:val="0"/>
                <w:color w:val="000000"/>
                <w:sz w:val="14"/>
                <w:szCs w:val="21"/>
              </w:rPr>
              <w:t>Miesiące</w:t>
            </w:r>
          </w:p>
        </w:tc>
        <w:tc>
          <w:tcPr>
            <w:tcW w:w="1098" w:type="dxa"/>
            <w:tcBorders>
              <w:top w:val="single" w:sz="4" w:space="0" w:color="001D77"/>
              <w:left w:val="nil"/>
              <w:bottom w:val="single" w:sz="4" w:space="0" w:color="212492"/>
              <w:right w:val="nil"/>
            </w:tcBorders>
            <w:shd w:val="clear" w:color="auto" w:fill="auto"/>
            <w:vAlign w:val="center"/>
          </w:tcPr>
          <w:p w14:paraId="0EFBC093" w14:textId="77777777" w:rsidR="00AF2F1E" w:rsidRPr="007443DC" w:rsidRDefault="00AF2F1E" w:rsidP="00AF2F1E">
            <w:pPr>
              <w:spacing w:before="0" w:after="0" w:line="240" w:lineRule="auto"/>
              <w:contextualSpacing/>
              <w:jc w:val="center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</w:tr>
      <w:tr w:rsidR="00712785" w:rsidRPr="00FA5128" w14:paraId="1D4E280B" w14:textId="77777777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14:paraId="7E536119" w14:textId="77777777" w:rsidR="00712785" w:rsidRPr="004E61ED" w:rsidRDefault="0071278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2019</w:t>
            </w:r>
          </w:p>
        </w:tc>
        <w:tc>
          <w:tcPr>
            <w:tcW w:w="639" w:type="dxa"/>
            <w:tcBorders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5FC0F17E" w14:textId="77777777" w:rsidR="00712785" w:rsidRDefault="00712785" w:rsidP="002A3665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01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07FD60E5" w14:textId="77777777" w:rsidR="00712785" w:rsidRDefault="002D4281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2,8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1E7AD6CF" w14:textId="77777777" w:rsidR="00712785" w:rsidRDefault="002D4281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0,6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698F7DB7" w14:textId="77777777" w:rsidR="00712785" w:rsidRDefault="002D4281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7,2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40D6D05D" w14:textId="77777777" w:rsidR="00712785" w:rsidRDefault="002D4281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-1,6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0C04556F" w14:textId="77777777" w:rsidR="00712785" w:rsidRDefault="002D4281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2,2</w:t>
            </w:r>
          </w:p>
        </w:tc>
      </w:tr>
      <w:tr w:rsidR="00B413B9" w:rsidRPr="00FA5128" w14:paraId="7B405D2D" w14:textId="77777777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14:paraId="5A62E19F" w14:textId="77777777" w:rsidR="00B413B9" w:rsidRDefault="00B413B9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1E76705F" w14:textId="77777777" w:rsidR="00B413B9" w:rsidRDefault="00B413B9" w:rsidP="002A3665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02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40C1BDA9" w14:textId="77777777" w:rsidR="00B413B9" w:rsidRDefault="00F344CD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6,9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6395CB5E" w14:textId="77777777" w:rsidR="00B413B9" w:rsidRDefault="00F344CD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1,8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04A7C03A" w14:textId="77777777" w:rsidR="00B413B9" w:rsidRDefault="00F344CD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7,6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328613D7" w14:textId="77777777" w:rsidR="00B413B9" w:rsidRDefault="00F344CD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-3,4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5CB3DD5F" w14:textId="77777777" w:rsidR="00B413B9" w:rsidRDefault="00F344CD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3,2</w:t>
            </w:r>
          </w:p>
        </w:tc>
      </w:tr>
      <w:tr w:rsidR="00795825" w:rsidRPr="00FA5128" w14:paraId="4F39A6F3" w14:textId="77777777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14:paraId="6F43751D" w14:textId="77777777" w:rsidR="00795825" w:rsidRDefault="00795825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09F0DDCA" w14:textId="77777777" w:rsidR="00795825" w:rsidRDefault="00795825" w:rsidP="002A3665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03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7879326C" w14:textId="77777777" w:rsidR="00795825" w:rsidRDefault="00AB3236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7,7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5C90413C" w14:textId="77777777" w:rsidR="00795825" w:rsidRDefault="00AB3236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4,2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25237922" w14:textId="77777777" w:rsidR="00795825" w:rsidRDefault="00AB3236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9,8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5CEADB20" w14:textId="77777777" w:rsidR="00795825" w:rsidRDefault="00AB3236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-3,1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38E5494B" w14:textId="77777777" w:rsidR="00795825" w:rsidRDefault="00AB3236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4,7</w:t>
            </w:r>
          </w:p>
        </w:tc>
      </w:tr>
      <w:tr w:rsidR="002E0EE3" w:rsidRPr="00FA5128" w14:paraId="2EA1CD2A" w14:textId="77777777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14:paraId="71C696E9" w14:textId="77777777" w:rsidR="002E0EE3" w:rsidRDefault="002E0EE3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6A98524B" w14:textId="77777777" w:rsidR="002E0EE3" w:rsidRDefault="002E0EE3" w:rsidP="002A3665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04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7099E594" w14:textId="77777777" w:rsidR="002E0EE3" w:rsidRDefault="00335B46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7,9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5B0952E7" w14:textId="77777777" w:rsidR="002E0EE3" w:rsidRDefault="00335B46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-0,5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0FBE56BD" w14:textId="77777777" w:rsidR="002E0EE3" w:rsidRDefault="00335B46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8,1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14125CF1" w14:textId="77777777" w:rsidR="002E0EE3" w:rsidRDefault="00335B46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-1,4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1F843995" w14:textId="77777777" w:rsidR="002E0EE3" w:rsidRDefault="00335B46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3,5</w:t>
            </w:r>
          </w:p>
        </w:tc>
      </w:tr>
      <w:tr w:rsidR="00D36D38" w:rsidRPr="00FA5128" w14:paraId="17FA8B3A" w14:textId="77777777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14:paraId="10489B67" w14:textId="77777777" w:rsidR="00D36D38" w:rsidRDefault="00D36D38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4C7E7B69" w14:textId="77777777" w:rsidR="00D36D38" w:rsidRDefault="00D36D38" w:rsidP="002A3665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05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2B513F71" w14:textId="77777777" w:rsidR="00D36D38" w:rsidRDefault="00E53494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7,0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66FB92C9" w14:textId="77777777" w:rsidR="00D36D38" w:rsidRDefault="00E53494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3,5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5C3B26D3" w14:textId="77777777" w:rsidR="00D36D38" w:rsidRDefault="00E53494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644D4584" w14:textId="77777777" w:rsidR="00D36D38" w:rsidRDefault="00E53494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-0,8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0370C321" w14:textId="77777777" w:rsidR="00D36D38" w:rsidRDefault="00E53494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4,9</w:t>
            </w:r>
          </w:p>
        </w:tc>
      </w:tr>
      <w:tr w:rsidR="0013245A" w:rsidRPr="00FA5128" w14:paraId="3C558FB8" w14:textId="77777777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14:paraId="01BBF96E" w14:textId="77777777" w:rsidR="0013245A" w:rsidRDefault="0013245A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235C9DC5" w14:textId="77777777" w:rsidR="0013245A" w:rsidRDefault="0013245A" w:rsidP="002A3665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06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331D59DF" w14:textId="77777777" w:rsidR="0013245A" w:rsidRDefault="00826E3B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7,7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080D9F8D" w14:textId="77777777" w:rsidR="0013245A" w:rsidRDefault="00826E3B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3,9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0DAE880B" w14:textId="77777777" w:rsidR="0013245A" w:rsidRDefault="00826E3B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15,3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7BA5BABA" w14:textId="77777777" w:rsidR="0013245A" w:rsidRDefault="00826E3B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3,1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1FF95C45" w14:textId="77777777" w:rsidR="0013245A" w:rsidRDefault="00826E3B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7,5</w:t>
            </w:r>
          </w:p>
        </w:tc>
      </w:tr>
      <w:tr w:rsidR="00E87266" w:rsidRPr="00FA5128" w14:paraId="011035EB" w14:textId="77777777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14:paraId="397758B7" w14:textId="77777777" w:rsidR="00E87266" w:rsidRDefault="00E87266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32933A46" w14:textId="77777777" w:rsidR="00E87266" w:rsidRDefault="00E87266" w:rsidP="002A3665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07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552F6872" w14:textId="77777777" w:rsidR="00E87266" w:rsidRDefault="00E87266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8,9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16C6AF2A" w14:textId="77777777" w:rsidR="00E87266" w:rsidRDefault="00E87266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2,8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5F3A9840" w14:textId="77777777" w:rsidR="00E87266" w:rsidRDefault="00E87266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10,3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65EFBFB7" w14:textId="77777777" w:rsidR="00E87266" w:rsidRDefault="00E87266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1,7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399AC1F9" w14:textId="77777777" w:rsidR="00E87266" w:rsidRDefault="00E87266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5,9</w:t>
            </w:r>
          </w:p>
        </w:tc>
      </w:tr>
      <w:tr w:rsidR="00780119" w:rsidRPr="00FA5128" w14:paraId="0A6A4E55" w14:textId="77777777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14:paraId="65F11E48" w14:textId="77777777" w:rsidR="00780119" w:rsidRDefault="00780119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6E23ACE9" w14:textId="77777777" w:rsidR="00780119" w:rsidRDefault="00780119" w:rsidP="002A3665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08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69AD5C81" w14:textId="77777777" w:rsidR="00780119" w:rsidRDefault="00780119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4,4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3AC2B66D" w14:textId="77777777" w:rsidR="00780119" w:rsidRDefault="00780119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2,2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5ADD4D36" w14:textId="77777777" w:rsidR="00780119" w:rsidRDefault="00780119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8,7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76E7F3BF" w14:textId="77777777" w:rsidR="00780119" w:rsidRDefault="00780119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0,4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3B7ECC24" w14:textId="77777777" w:rsidR="00780119" w:rsidRDefault="00780119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3,9</w:t>
            </w:r>
          </w:p>
        </w:tc>
      </w:tr>
      <w:tr w:rsidR="003C6EFB" w:rsidRPr="00FA5128" w14:paraId="3CF32647" w14:textId="77777777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14:paraId="2B4BD0C5" w14:textId="77777777" w:rsidR="003C6EFB" w:rsidRDefault="003C6EFB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1694F0C2" w14:textId="77777777" w:rsidR="003C6EFB" w:rsidRDefault="003C6EFB" w:rsidP="002A3665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09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6AE4F81F" w14:textId="77777777" w:rsidR="003C6EFB" w:rsidRDefault="00E67AEE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8,0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6D0FBF8F" w14:textId="77777777" w:rsidR="003C6EFB" w:rsidRDefault="00E67AEE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2,8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1034CC5C" w14:textId="77777777" w:rsidR="003C6EFB" w:rsidRDefault="00E67AEE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9,8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54909F31" w14:textId="77777777" w:rsidR="003C6EFB" w:rsidRDefault="00E67AEE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7,5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4B37F65D" w14:textId="77777777" w:rsidR="003C6EFB" w:rsidRDefault="00E67AEE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7,0</w:t>
            </w:r>
          </w:p>
        </w:tc>
      </w:tr>
      <w:tr w:rsidR="00F54C16" w:rsidRPr="00FA5128" w14:paraId="5FC9D7E4" w14:textId="77777777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14:paraId="57103920" w14:textId="77777777" w:rsidR="00F54C16" w:rsidRDefault="00F54C16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246C5778" w14:textId="77777777" w:rsidR="00F54C16" w:rsidRDefault="00F54C16" w:rsidP="002A3665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10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6B645E13" w14:textId="77777777" w:rsidR="00F54C16" w:rsidRDefault="006C35F4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5,9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0479E3AF" w14:textId="77777777" w:rsidR="00F54C16" w:rsidRDefault="006C35F4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3,4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53206FE3" w14:textId="77777777" w:rsidR="00F54C16" w:rsidRDefault="006C35F4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2,5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1E7143F7" w14:textId="77777777" w:rsidR="00F54C16" w:rsidRDefault="006C35F4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2,6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7A490ECD" w14:textId="77777777" w:rsidR="00F54C16" w:rsidRDefault="006C35F4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3,6</w:t>
            </w:r>
          </w:p>
        </w:tc>
      </w:tr>
      <w:tr w:rsidR="00D77FEA" w:rsidRPr="00FA5128" w14:paraId="0A443A06" w14:textId="77777777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14:paraId="5D6C24C3" w14:textId="77777777" w:rsidR="00D77FEA" w:rsidRDefault="00D77FEA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18CB2C00" w14:textId="77777777" w:rsidR="00D77FEA" w:rsidRDefault="00D77FEA" w:rsidP="002A3665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11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4563C9B3" w14:textId="77777777" w:rsidR="00D77FEA" w:rsidRDefault="00AA3BAC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5,0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203DBFBB" w14:textId="77777777" w:rsidR="00D77FEA" w:rsidRDefault="00AA3BAC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-3,0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7BF12B64" w14:textId="77777777" w:rsidR="00D77FEA" w:rsidRDefault="00AA3BAC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2,9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6E1A9FF3" w14:textId="77777777" w:rsidR="00D77FEA" w:rsidRDefault="00AA3BAC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3,9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0E771A9A" w14:textId="77777777" w:rsidR="00D77FEA" w:rsidRDefault="00AA3BAC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2,2</w:t>
            </w:r>
          </w:p>
        </w:tc>
      </w:tr>
      <w:tr w:rsidR="00730701" w:rsidRPr="00FA5128" w14:paraId="093F72A4" w14:textId="77777777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14:paraId="7672B4DE" w14:textId="77777777" w:rsidR="00730701" w:rsidRDefault="00730701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2991ADCC" w14:textId="77777777" w:rsidR="00730701" w:rsidRDefault="00730701" w:rsidP="002A3665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12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54C53C68" w14:textId="77777777" w:rsidR="00730701" w:rsidRDefault="00E9568F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2,8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2DAB3EB2" w14:textId="77777777" w:rsidR="00730701" w:rsidRDefault="00E9568F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-7,9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1D90EF22" w14:textId="77777777" w:rsidR="00730701" w:rsidRDefault="00E9568F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0,5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5C32B53B" w14:textId="77777777" w:rsidR="00730701" w:rsidRDefault="00E9568F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1,2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205F7605" w14:textId="77777777" w:rsidR="00730701" w:rsidRDefault="00E9568F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-0,8</w:t>
            </w:r>
          </w:p>
        </w:tc>
      </w:tr>
      <w:tr w:rsidR="006348AB" w:rsidRPr="00FA5128" w14:paraId="607518EC" w14:textId="77777777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14:paraId="621DA25E" w14:textId="77777777" w:rsidR="006348AB" w:rsidRDefault="006348AB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  <w:r>
              <w:rPr>
                <w:rFonts w:cs="Arial"/>
                <w:sz w:val="14"/>
              </w:rPr>
              <w:t>2020</w:t>
            </w:r>
          </w:p>
        </w:tc>
        <w:tc>
          <w:tcPr>
            <w:tcW w:w="639" w:type="dxa"/>
            <w:tcBorders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25EAD11C" w14:textId="77777777" w:rsidR="006348AB" w:rsidRDefault="006348AB" w:rsidP="002A3665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01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3C64D44C" w14:textId="77777777" w:rsidR="006348AB" w:rsidRDefault="00CE6A48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2,0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03313923" w14:textId="77777777" w:rsidR="006348AB" w:rsidRDefault="00CE6A48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-7,7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126998CF" w14:textId="77777777" w:rsidR="006348AB" w:rsidRDefault="00CE6A48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2,4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7817ED4D" w14:textId="77777777" w:rsidR="006348AB" w:rsidRDefault="00CE6A48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1,1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48F7AB58" w14:textId="77777777" w:rsidR="006348AB" w:rsidRDefault="00CE6A48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-0,6</w:t>
            </w:r>
          </w:p>
        </w:tc>
      </w:tr>
      <w:tr w:rsidR="005F53B6" w:rsidRPr="00FA5128" w14:paraId="62BD9D40" w14:textId="77777777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14:paraId="0749FA4B" w14:textId="77777777" w:rsidR="005F53B6" w:rsidRDefault="005F53B6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3C13B995" w14:textId="77777777" w:rsidR="005F53B6" w:rsidRDefault="005F53B6" w:rsidP="002A3665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02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5BC354A8" w14:textId="77777777" w:rsidR="005F53B6" w:rsidRDefault="00F31D9C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2,4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6F938E77" w14:textId="77777777" w:rsidR="005F53B6" w:rsidRDefault="00F31D9C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-8,4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0ACD587B" w14:textId="77777777" w:rsidR="005F53B6" w:rsidRDefault="00F31D9C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-0,7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02C813DF" w14:textId="77777777" w:rsidR="005F53B6" w:rsidRDefault="00F31D9C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-2,0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50AEF36E" w14:textId="77777777" w:rsidR="005F53B6" w:rsidRDefault="00F31D9C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-2,2</w:t>
            </w:r>
          </w:p>
        </w:tc>
      </w:tr>
      <w:tr w:rsidR="00812468" w:rsidRPr="00FA5128" w14:paraId="7676F2E5" w14:textId="77777777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14:paraId="1F468C60" w14:textId="77777777" w:rsidR="00812468" w:rsidRDefault="00812468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7083F678" w14:textId="77777777" w:rsidR="00812468" w:rsidRDefault="00812468" w:rsidP="002A3665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03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11935142" w14:textId="77777777" w:rsidR="00812468" w:rsidRDefault="00491BFD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1,7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5BA10799" w14:textId="514B6C42" w:rsidR="00812468" w:rsidRDefault="00491BFD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-10,</w:t>
            </w:r>
            <w:r w:rsidR="008810F3">
              <w:rPr>
                <w:rFonts w:cs="Arial"/>
                <w:sz w:val="14"/>
                <w:szCs w:val="20"/>
              </w:rPr>
              <w:t>1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4BAD6261" w14:textId="77777777" w:rsidR="00812468" w:rsidRDefault="00491BFD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-0,7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55A40F5C" w14:textId="77777777" w:rsidR="00812468" w:rsidRDefault="00491BFD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-0,2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11EE1A63" w14:textId="77777777" w:rsidR="00812468" w:rsidRDefault="00491BFD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-2,3</w:t>
            </w:r>
          </w:p>
        </w:tc>
      </w:tr>
      <w:tr w:rsidR="006F35B8" w:rsidRPr="00FA5128" w14:paraId="629D6C39" w14:textId="77777777" w:rsidTr="00C63004">
        <w:trPr>
          <w:trHeight w:val="28"/>
        </w:trPr>
        <w:tc>
          <w:tcPr>
            <w:tcW w:w="709" w:type="dxa"/>
            <w:tcBorders>
              <w:top w:val="single" w:sz="4" w:space="0" w:color="212492"/>
              <w:left w:val="nil"/>
              <w:bottom w:val="single" w:sz="4" w:space="0" w:color="212492"/>
              <w:right w:val="nil"/>
            </w:tcBorders>
            <w:vAlign w:val="bottom"/>
          </w:tcPr>
          <w:p w14:paraId="23652B0A" w14:textId="77777777" w:rsidR="006F35B8" w:rsidRDefault="006F35B8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639" w:type="dxa"/>
            <w:tcBorders>
              <w:left w:val="nil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7B30D5ED" w14:textId="5E590FE0" w:rsidR="006F35B8" w:rsidRDefault="006F35B8" w:rsidP="002A3665">
            <w:pPr>
              <w:spacing w:before="0" w:after="0" w:line="160" w:lineRule="exact"/>
              <w:ind w:right="227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04</w:t>
            </w:r>
          </w:p>
        </w:tc>
        <w:tc>
          <w:tcPr>
            <w:tcW w:w="134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1B8BE740" w14:textId="1C51BC8C" w:rsidR="006F35B8" w:rsidRDefault="000D2D91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-30,5</w:t>
            </w:r>
          </w:p>
        </w:tc>
        <w:tc>
          <w:tcPr>
            <w:tcW w:w="1417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6133495B" w14:textId="06BB183C" w:rsidR="006F35B8" w:rsidRDefault="000D2D91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-64,5</w:t>
            </w:r>
          </w:p>
        </w:tc>
        <w:tc>
          <w:tcPr>
            <w:tcW w:w="1559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0792105D" w14:textId="529D7350" w:rsidR="006F35B8" w:rsidRDefault="000D2D91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-77,7</w:t>
            </w:r>
          </w:p>
        </w:tc>
        <w:tc>
          <w:tcPr>
            <w:tcW w:w="1276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single" w:sz="4" w:space="0" w:color="212492"/>
            </w:tcBorders>
            <w:shd w:val="clear" w:color="auto" w:fill="auto"/>
            <w:vAlign w:val="bottom"/>
          </w:tcPr>
          <w:p w14:paraId="098A6D45" w14:textId="7D5DA2C5" w:rsidR="006F35B8" w:rsidRDefault="000D2D91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-18,3</w:t>
            </w:r>
          </w:p>
        </w:tc>
        <w:tc>
          <w:tcPr>
            <w:tcW w:w="1098" w:type="dxa"/>
            <w:tcBorders>
              <w:top w:val="single" w:sz="4" w:space="0" w:color="212492"/>
              <w:left w:val="single" w:sz="4" w:space="0" w:color="212492"/>
              <w:bottom w:val="single" w:sz="4" w:space="0" w:color="212492"/>
              <w:right w:val="nil"/>
            </w:tcBorders>
            <w:shd w:val="clear" w:color="auto" w:fill="auto"/>
            <w:vAlign w:val="bottom"/>
          </w:tcPr>
          <w:p w14:paraId="1E8EAD5C" w14:textId="0C3A5030" w:rsidR="006F35B8" w:rsidRDefault="000D2D91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sz w:val="14"/>
                <w:szCs w:val="20"/>
              </w:rPr>
            </w:pPr>
            <w:r>
              <w:rPr>
                <w:rFonts w:cs="Arial"/>
                <w:sz w:val="14"/>
                <w:szCs w:val="20"/>
              </w:rPr>
              <w:t>-47,7</w:t>
            </w:r>
          </w:p>
        </w:tc>
      </w:tr>
      <w:tr w:rsidR="002A3665" w:rsidRPr="00FA5128" w14:paraId="2DCFB6E8" w14:textId="77777777" w:rsidTr="00A866F2">
        <w:trPr>
          <w:trHeight w:val="28"/>
        </w:trPr>
        <w:tc>
          <w:tcPr>
            <w:tcW w:w="1348" w:type="dxa"/>
            <w:gridSpan w:val="2"/>
            <w:tcBorders>
              <w:left w:val="nil"/>
              <w:right w:val="single" w:sz="4" w:space="0" w:color="001D77"/>
            </w:tcBorders>
            <w:vAlign w:val="bottom"/>
          </w:tcPr>
          <w:p w14:paraId="4C513E77" w14:textId="77777777" w:rsidR="00E41497" w:rsidRPr="007443DC" w:rsidRDefault="00E41497" w:rsidP="002A3665">
            <w:pPr>
              <w:pStyle w:val="Tekstprzypisudolnego"/>
              <w:spacing w:before="0"/>
              <w:contextualSpacing/>
              <w:rPr>
                <w:rFonts w:cs="Arial"/>
                <w:sz w:val="14"/>
              </w:rPr>
            </w:pPr>
          </w:p>
        </w:tc>
        <w:tc>
          <w:tcPr>
            <w:tcW w:w="1346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14:paraId="63D63E0F" w14:textId="77777777" w:rsidR="002A3665" w:rsidRPr="007443DC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14:paraId="2D17B5B1" w14:textId="77777777" w:rsidR="002A3665" w:rsidRPr="007443DC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14:paraId="01A224E4" w14:textId="77777777" w:rsidR="002A3665" w:rsidRPr="007443DC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bottom"/>
          </w:tcPr>
          <w:p w14:paraId="446DED49" w14:textId="77777777" w:rsidR="002A3665" w:rsidRPr="007443DC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  <w:tc>
          <w:tcPr>
            <w:tcW w:w="1098" w:type="dxa"/>
            <w:tcBorders>
              <w:top w:val="single" w:sz="4" w:space="0" w:color="001D77"/>
              <w:left w:val="single" w:sz="4" w:space="0" w:color="001D77"/>
              <w:bottom w:val="nil"/>
              <w:right w:val="nil"/>
            </w:tcBorders>
            <w:shd w:val="clear" w:color="auto" w:fill="auto"/>
            <w:vAlign w:val="bottom"/>
          </w:tcPr>
          <w:p w14:paraId="4834D4AC" w14:textId="77777777" w:rsidR="002A3665" w:rsidRPr="007443DC" w:rsidRDefault="002A3665" w:rsidP="002A3665">
            <w:pPr>
              <w:spacing w:before="0" w:after="0" w:line="240" w:lineRule="auto"/>
              <w:contextualSpacing/>
              <w:jc w:val="right"/>
              <w:rPr>
                <w:rFonts w:cs="Arial"/>
                <w:bCs/>
                <w:snapToGrid w:val="0"/>
                <w:color w:val="000000"/>
                <w:sz w:val="14"/>
                <w:szCs w:val="21"/>
              </w:rPr>
            </w:pPr>
          </w:p>
        </w:tc>
      </w:tr>
    </w:tbl>
    <w:p w14:paraId="14A8B5C1" w14:textId="77777777" w:rsidR="004E61ED" w:rsidRDefault="0093660E" w:rsidP="00A866F2">
      <w:pPr>
        <w:ind w:left="851" w:hanging="851"/>
        <w:rPr>
          <w:b/>
          <w:spacing w:val="-2"/>
          <w:sz w:val="18"/>
          <w:shd w:val="clear" w:color="auto" w:fill="FFFFFF"/>
        </w:rPr>
      </w:pPr>
      <w:r w:rsidRPr="00633014">
        <w:rPr>
          <w:b/>
          <w:noProof/>
          <w:spacing w:val="-2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46304" behindDoc="1" locked="0" layoutInCell="1" allowOverlap="1" wp14:anchorId="2BEE9473" wp14:editId="7AC1D7F7">
                <wp:simplePos x="0" y="0"/>
                <wp:positionH relativeFrom="column">
                  <wp:posOffset>5242560</wp:posOffset>
                </wp:positionH>
                <wp:positionV relativeFrom="paragraph">
                  <wp:posOffset>310325</wp:posOffset>
                </wp:positionV>
                <wp:extent cx="1725295" cy="1579245"/>
                <wp:effectExtent l="0" t="0" r="0" b="1905"/>
                <wp:wrapTight wrapText="bothSides">
                  <wp:wrapPolygon edited="0">
                    <wp:start x="715" y="0"/>
                    <wp:lineTo x="715" y="21366"/>
                    <wp:lineTo x="20749" y="21366"/>
                    <wp:lineTo x="20749" y="0"/>
                    <wp:lineTo x="715" y="0"/>
                  </wp:wrapPolygon>
                </wp:wrapTight>
                <wp:docPr id="13" name="Pole tekstow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579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EF4783" w14:textId="77777777" w:rsidR="00F6030E" w:rsidRPr="0093660E" w:rsidRDefault="00F6030E" w:rsidP="00273134">
                            <w:pPr>
                              <w:spacing w:before="0" w:after="160" w:line="259" w:lineRule="auto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 w:rsidRPr="0093660E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Wyprzedzający wskaźnik ufności konsumenckiej jest średnią sald ocen zmian sytuacji finansowej gospodarstwa domowego, ogólnej sytuacji ekonomicznej kraju, trendów poziomu bezrobocia (ze znakiem przeciwnym) i oszczędzania pienięd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zy w najbliższych 12 miesiącach</w:t>
                            </w:r>
                          </w:p>
                          <w:p w14:paraId="65972F93" w14:textId="77777777" w:rsidR="00F6030E" w:rsidRPr="0093660E" w:rsidRDefault="00F6030E" w:rsidP="0093660E">
                            <w:pPr>
                              <w:pStyle w:val="tytuwykresu"/>
                              <w:jc w:val="both"/>
                              <w:rPr>
                                <w:rFonts w:eastAsia="Times New Roman" w:cs="Times New Roman"/>
                                <w:b w:val="0"/>
                                <w:bCs/>
                                <w:color w:val="001D77"/>
                                <w:spacing w:val="0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EE9473" id="Pole tekstowe 13" o:spid="_x0000_s1031" type="#_x0000_t202" style="position:absolute;left:0;text-align:left;margin-left:412.8pt;margin-top:24.45pt;width:135.85pt;height:124.35pt;z-index:-251570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" filled="f" stroked="f">
                <v:textbox>
                  <w:txbxContent>
                    <w:p w14:paraId="3BEF4783" w14:textId="77777777" w:rsidR="00F6030E" w:rsidRPr="0093660E" w:rsidRDefault="00F6030E" w:rsidP="00273134">
                      <w:pPr>
                        <w:spacing w:before="0" w:after="160" w:line="259" w:lineRule="auto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 w:rsidRPr="0093660E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Wyprzedzający wskaźnik ufności konsumenckiej jest średnią sald ocen zmian sytuacji finansowej gospodarstwa domowego, ogólnej sytuacji ekonomicznej kraju, trendów poziomu bezrobocia (ze znakiem przeciwnym) i oszczędzania pienięd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zy w najbliższych 12 miesiącach</w:t>
                      </w:r>
                    </w:p>
                    <w:p w14:paraId="65972F93" w14:textId="77777777" w:rsidR="00F6030E" w:rsidRPr="0093660E" w:rsidRDefault="00F6030E" w:rsidP="0093660E">
                      <w:pPr>
                        <w:pStyle w:val="tytuwykresu"/>
                        <w:jc w:val="both"/>
                        <w:rPr>
                          <w:rFonts w:eastAsia="Times New Roman" w:cs="Times New Roman"/>
                          <w:b w:val="0"/>
                          <w:bCs/>
                          <w:color w:val="001D77"/>
                          <w:spacing w:val="0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4E61ED" w:rsidRPr="005A36AA">
        <w:rPr>
          <w:b/>
          <w:spacing w:val="-2"/>
          <w:sz w:val="18"/>
          <w:shd w:val="clear" w:color="auto" w:fill="FFFFFF"/>
        </w:rPr>
        <w:t>Tablica</w:t>
      </w:r>
      <w:r w:rsidR="004E61ED">
        <w:rPr>
          <w:b/>
          <w:spacing w:val="-2"/>
          <w:sz w:val="18"/>
          <w:shd w:val="clear" w:color="auto" w:fill="FFFFFF"/>
        </w:rPr>
        <w:t xml:space="preserve"> 2</w:t>
      </w:r>
      <w:r w:rsidR="004E61ED" w:rsidRPr="0057036A">
        <w:rPr>
          <w:b/>
          <w:spacing w:val="-2"/>
          <w:sz w:val="18"/>
          <w:shd w:val="clear" w:color="auto" w:fill="FFFFFF"/>
        </w:rPr>
        <w:t xml:space="preserve">. </w:t>
      </w:r>
      <w:r w:rsidR="00A217E6">
        <w:rPr>
          <w:b/>
          <w:spacing w:val="-2"/>
          <w:sz w:val="18"/>
          <w:shd w:val="clear" w:color="auto" w:fill="FFFFFF"/>
        </w:rPr>
        <w:t>Wyprzedzający</w:t>
      </w:r>
      <w:r w:rsidR="004E61ED" w:rsidRPr="005A36AA">
        <w:rPr>
          <w:b/>
          <w:spacing w:val="-2"/>
          <w:sz w:val="18"/>
          <w:shd w:val="clear" w:color="auto" w:fill="FFFFFF"/>
        </w:rPr>
        <w:t xml:space="preserve"> </w:t>
      </w:r>
      <w:r w:rsidR="00A217E6">
        <w:rPr>
          <w:b/>
          <w:spacing w:val="-2"/>
          <w:sz w:val="18"/>
          <w:shd w:val="clear" w:color="auto" w:fill="FFFFFF"/>
        </w:rPr>
        <w:t>wskaźnik</w:t>
      </w:r>
      <w:r w:rsidR="00A217E6" w:rsidRPr="005A36AA">
        <w:rPr>
          <w:b/>
          <w:spacing w:val="-2"/>
          <w:sz w:val="18"/>
          <w:shd w:val="clear" w:color="auto" w:fill="FFFFFF"/>
        </w:rPr>
        <w:t xml:space="preserve"> </w:t>
      </w:r>
      <w:r w:rsidR="00A217E6">
        <w:rPr>
          <w:b/>
          <w:spacing w:val="-2"/>
          <w:sz w:val="18"/>
          <w:shd w:val="clear" w:color="auto" w:fill="FFFFFF"/>
        </w:rPr>
        <w:t>ufności</w:t>
      </w:r>
      <w:r w:rsidR="00A217E6" w:rsidRPr="005A36AA">
        <w:rPr>
          <w:b/>
          <w:spacing w:val="-2"/>
          <w:sz w:val="18"/>
          <w:shd w:val="clear" w:color="auto" w:fill="FFFFFF"/>
        </w:rPr>
        <w:t xml:space="preserve"> </w:t>
      </w:r>
      <w:r w:rsidR="00A217E6">
        <w:rPr>
          <w:b/>
          <w:spacing w:val="-2"/>
          <w:sz w:val="18"/>
          <w:shd w:val="clear" w:color="auto" w:fill="FFFFFF"/>
        </w:rPr>
        <w:t>konsumenckiej</w:t>
      </w:r>
    </w:p>
    <w:p w14:paraId="27516DEE" w14:textId="77777777" w:rsidR="00712785" w:rsidRDefault="00712785">
      <w:pPr>
        <w:spacing w:before="0" w:after="160" w:line="259" w:lineRule="auto"/>
        <w:rPr>
          <w:b/>
          <w:spacing w:val="-2"/>
          <w:sz w:val="18"/>
        </w:rPr>
      </w:pPr>
      <w:r>
        <w:br w:type="page"/>
      </w:r>
    </w:p>
    <w:p w14:paraId="79F2FB81" w14:textId="77777777" w:rsidR="00C562B2" w:rsidRDefault="007F4E3D" w:rsidP="00C562B2">
      <w:pPr>
        <w:pStyle w:val="tytuwykresu"/>
        <w:ind w:left="851" w:hanging="851"/>
        <w:rPr>
          <w:shd w:val="clear" w:color="auto" w:fill="FFFFFF"/>
        </w:rPr>
      </w:pPr>
      <w:r w:rsidRPr="00341AC1">
        <w:rPr>
          <w:noProof/>
          <w:lang w:eastAsia="pl-PL"/>
        </w:rPr>
        <w:lastRenderedPageBreak/>
        <w:drawing>
          <wp:anchor distT="0" distB="0" distL="114300" distR="114300" simplePos="0" relativeHeight="251747328" behindDoc="0" locked="0" layoutInCell="1" allowOverlap="1" wp14:anchorId="798716EA" wp14:editId="6E29DE48">
            <wp:simplePos x="0" y="0"/>
            <wp:positionH relativeFrom="margin">
              <wp:align>right</wp:align>
            </wp:positionH>
            <wp:positionV relativeFrom="margin">
              <wp:posOffset>474980</wp:posOffset>
            </wp:positionV>
            <wp:extent cx="5122545" cy="3832225"/>
            <wp:effectExtent l="0" t="0" r="1905" b="0"/>
            <wp:wrapSquare wrapText="bothSides"/>
            <wp:docPr id="14" name="Wykres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62B2" w:rsidRPr="00C15772">
        <w:t xml:space="preserve">Wykres </w:t>
      </w:r>
      <w:r w:rsidR="00C562B2">
        <w:t>3</w:t>
      </w:r>
      <w:r w:rsidR="00C562B2" w:rsidRPr="00C15772">
        <w:t>.</w:t>
      </w:r>
      <w:r w:rsidR="00C562B2" w:rsidRPr="00C15772">
        <w:rPr>
          <w:shd w:val="clear" w:color="auto" w:fill="FFFFFF"/>
        </w:rPr>
        <w:t xml:space="preserve"> </w:t>
      </w:r>
      <w:r w:rsidR="00A217E6">
        <w:rPr>
          <w:shd w:val="clear" w:color="auto" w:fill="FFFFFF"/>
        </w:rPr>
        <w:t>Wyprzedzający</w:t>
      </w:r>
      <w:r w:rsidR="00C562B2" w:rsidRPr="00C15772">
        <w:rPr>
          <w:shd w:val="clear" w:color="auto" w:fill="FFFFFF"/>
        </w:rPr>
        <w:t xml:space="preserve"> </w:t>
      </w:r>
      <w:r w:rsidR="00A217E6">
        <w:rPr>
          <w:shd w:val="clear" w:color="auto" w:fill="FFFFFF"/>
        </w:rPr>
        <w:t>wskaźnik ufności konsumenckiej</w:t>
      </w:r>
      <w:r w:rsidR="00A217E6" w:rsidRPr="00C15772">
        <w:rPr>
          <w:shd w:val="clear" w:color="auto" w:fill="FFFFFF"/>
        </w:rPr>
        <w:t xml:space="preserve"> </w:t>
      </w:r>
      <w:r w:rsidR="00A217E6">
        <w:rPr>
          <w:shd w:val="clear" w:color="auto" w:fill="FFFFFF"/>
        </w:rPr>
        <w:t>(WWUK) oraz jego wartości składowe według</w:t>
      </w:r>
      <w:r w:rsidR="00A217E6" w:rsidRPr="00C15772">
        <w:rPr>
          <w:shd w:val="clear" w:color="auto" w:fill="FFFFFF"/>
        </w:rPr>
        <w:t xml:space="preserve"> </w:t>
      </w:r>
      <w:r w:rsidR="00A217E6">
        <w:rPr>
          <w:shd w:val="clear" w:color="auto" w:fill="FFFFFF"/>
        </w:rPr>
        <w:t>miesięcy w</w:t>
      </w:r>
      <w:r w:rsidR="00A217E6" w:rsidRPr="00C15772">
        <w:rPr>
          <w:shd w:val="clear" w:color="auto" w:fill="FFFFFF"/>
        </w:rPr>
        <w:t xml:space="preserve"> </w:t>
      </w:r>
      <w:r w:rsidR="00A217E6">
        <w:rPr>
          <w:shd w:val="clear" w:color="auto" w:fill="FFFFFF"/>
        </w:rPr>
        <w:t>latach</w:t>
      </w:r>
      <w:r w:rsidR="00F370FD">
        <w:rPr>
          <w:shd w:val="clear" w:color="auto" w:fill="FFFFFF"/>
        </w:rPr>
        <w:t xml:space="preserve"> 2017–2020</w:t>
      </w:r>
    </w:p>
    <w:p w14:paraId="79A77EF8" w14:textId="77777777" w:rsidR="00C562B2" w:rsidRPr="00FD7BD2" w:rsidRDefault="00C562B2" w:rsidP="00C562B2"/>
    <w:p w14:paraId="29BEDAB8" w14:textId="77777777" w:rsidR="00C562B2" w:rsidRDefault="003B3271" w:rsidP="00C562B2">
      <w:pPr>
        <w:pStyle w:val="tytuwykresu"/>
        <w:ind w:left="851" w:hanging="851"/>
        <w:rPr>
          <w:shd w:val="clear" w:color="auto" w:fill="FFFFFF"/>
        </w:rPr>
      </w:pPr>
      <w:r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751424" behindDoc="0" locked="0" layoutInCell="1" allowOverlap="1" wp14:anchorId="2AA5074D" wp14:editId="1815E872">
                <wp:simplePos x="0" y="0"/>
                <wp:positionH relativeFrom="column">
                  <wp:posOffset>337047</wp:posOffset>
                </wp:positionH>
                <wp:positionV relativeFrom="paragraph">
                  <wp:posOffset>3452495</wp:posOffset>
                </wp:positionV>
                <wp:extent cx="1502410" cy="269875"/>
                <wp:effectExtent l="0" t="0" r="2540" b="0"/>
                <wp:wrapSquare wrapText="bothSides"/>
                <wp:docPr id="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2410" cy="26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C7E697" w14:textId="77777777" w:rsidR="00F6030E" w:rsidRPr="003B3271" w:rsidRDefault="00F6030E" w:rsidP="003B3271">
                            <w:pPr>
                              <w:spacing w:before="0" w:after="0"/>
                              <w:rPr>
                                <w:sz w:val="14"/>
                              </w:rPr>
                            </w:pPr>
                            <w:r w:rsidRPr="003B3271">
                              <w:rPr>
                                <w:sz w:val="14"/>
                              </w:rPr>
                              <w:t>** kwiecień, lipiec, październik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A5074D" id="_x0000_s1032" type="#_x0000_t202" style="position:absolute;left:0;text-align:left;margin-left:26.55pt;margin-top:271.85pt;width:118.3pt;height:21.25pt;z-index:2517514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" stroked="f">
                <v:textbox>
                  <w:txbxContent>
                    <w:p w14:paraId="18C7E697" w14:textId="77777777" w:rsidR="00F6030E" w:rsidRPr="003B3271" w:rsidRDefault="00F6030E" w:rsidP="003B3271">
                      <w:pPr>
                        <w:spacing w:before="0" w:after="0"/>
                        <w:rPr>
                          <w:sz w:val="14"/>
                        </w:rPr>
                      </w:pPr>
                      <w:r w:rsidRPr="003B3271">
                        <w:rPr>
                          <w:sz w:val="14"/>
                        </w:rPr>
                        <w:t>** kwiecień, lipiec, październik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341AC1">
        <w:rPr>
          <w:noProof/>
          <w:lang w:eastAsia="pl-PL"/>
        </w:rPr>
        <w:drawing>
          <wp:anchor distT="0" distB="0" distL="114300" distR="114300" simplePos="0" relativeHeight="251749376" behindDoc="0" locked="0" layoutInCell="1" allowOverlap="1" wp14:anchorId="1B831E3B" wp14:editId="102B757C">
            <wp:simplePos x="0" y="0"/>
            <wp:positionH relativeFrom="margin">
              <wp:align>right</wp:align>
            </wp:positionH>
            <wp:positionV relativeFrom="margin">
              <wp:posOffset>4935220</wp:posOffset>
            </wp:positionV>
            <wp:extent cx="5122545" cy="3927475"/>
            <wp:effectExtent l="0" t="0" r="1905" b="0"/>
            <wp:wrapSquare wrapText="bothSides"/>
            <wp:docPr id="15" name="Wykres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62B2" w:rsidRPr="00C15772">
        <w:t xml:space="preserve">Wykres </w:t>
      </w:r>
      <w:r w:rsidR="00C562B2">
        <w:t>4</w:t>
      </w:r>
      <w:r w:rsidR="00C562B2" w:rsidRPr="00C15772">
        <w:t>.</w:t>
      </w:r>
      <w:r w:rsidR="00C562B2" w:rsidRPr="00C15772">
        <w:rPr>
          <w:shd w:val="clear" w:color="auto" w:fill="FFFFFF"/>
        </w:rPr>
        <w:t xml:space="preserve"> </w:t>
      </w:r>
      <w:r w:rsidR="00F87A89">
        <w:rPr>
          <w:shd w:val="clear" w:color="auto" w:fill="FFFFFF"/>
        </w:rPr>
        <w:t>Wyprzedzający</w:t>
      </w:r>
      <w:r w:rsidR="00C562B2" w:rsidRPr="00C15772">
        <w:rPr>
          <w:shd w:val="clear" w:color="auto" w:fill="FFFFFF"/>
        </w:rPr>
        <w:t xml:space="preserve"> </w:t>
      </w:r>
      <w:r w:rsidR="00F87A89">
        <w:rPr>
          <w:shd w:val="clear" w:color="auto" w:fill="FFFFFF"/>
        </w:rPr>
        <w:t>wskaźnik</w:t>
      </w:r>
      <w:r w:rsidR="00F87A89" w:rsidRPr="00C15772">
        <w:rPr>
          <w:shd w:val="clear" w:color="auto" w:fill="FFFFFF"/>
        </w:rPr>
        <w:t xml:space="preserve"> </w:t>
      </w:r>
      <w:r w:rsidR="00F87A89">
        <w:rPr>
          <w:shd w:val="clear" w:color="auto" w:fill="FFFFFF"/>
        </w:rPr>
        <w:t>ufności</w:t>
      </w:r>
      <w:r w:rsidR="00F87A89" w:rsidRPr="00C15772">
        <w:rPr>
          <w:shd w:val="clear" w:color="auto" w:fill="FFFFFF"/>
        </w:rPr>
        <w:t xml:space="preserve"> </w:t>
      </w:r>
      <w:r w:rsidR="00F87A89">
        <w:rPr>
          <w:shd w:val="clear" w:color="auto" w:fill="FFFFFF"/>
        </w:rPr>
        <w:t>konsumenckiej (WWUK) oraz jego wartości składowe według lat</w:t>
      </w:r>
    </w:p>
    <w:p w14:paraId="19D98A9B" w14:textId="77777777" w:rsidR="00CF6348" w:rsidRDefault="00CF6348" w:rsidP="00C562B2">
      <w:pPr>
        <w:pStyle w:val="tytuwykresu"/>
        <w:ind w:left="851" w:hanging="851"/>
        <w:rPr>
          <w:shd w:val="clear" w:color="auto" w:fill="FFFFFF"/>
        </w:rPr>
      </w:pPr>
    </w:p>
    <w:p w14:paraId="49A713E8" w14:textId="77777777" w:rsidR="00CF6348" w:rsidRDefault="00CF6348" w:rsidP="00C562B2">
      <w:pPr>
        <w:pStyle w:val="tytuwykresu"/>
        <w:ind w:left="851" w:hanging="851"/>
        <w:rPr>
          <w:shd w:val="clear" w:color="auto" w:fill="FFFFFF"/>
        </w:rPr>
      </w:pPr>
    </w:p>
    <w:p w14:paraId="29B37C95" w14:textId="77777777" w:rsidR="00CF6348" w:rsidRPr="00CF6348" w:rsidRDefault="00CF6348" w:rsidP="00CF6348">
      <w:pPr>
        <w:rPr>
          <w:lang w:eastAsia="pl-PL"/>
        </w:rPr>
      </w:pPr>
    </w:p>
    <w:p w14:paraId="65BF16AD" w14:textId="77777777" w:rsidR="00694AF0" w:rsidRPr="00001C5B" w:rsidRDefault="00694AF0" w:rsidP="00E76D26">
      <w:pPr>
        <w:rPr>
          <w:sz w:val="18"/>
        </w:rPr>
        <w:sectPr w:rsidR="00694AF0" w:rsidRPr="00001C5B" w:rsidSect="009950DE">
          <w:headerReference w:type="default" r:id="rId17"/>
          <w:footerReference w:type="default" r:id="rId18"/>
          <w:headerReference w:type="first" r:id="rId19"/>
          <w:footerReference w:type="first" r:id="rId20"/>
          <w:footnotePr>
            <w:numFmt w:val="lowerLetter"/>
          </w:footnotePr>
          <w:pgSz w:w="11906" w:h="16838"/>
          <w:pgMar w:top="720" w:right="3119" w:bottom="720" w:left="720" w:header="284" w:footer="318" w:gutter="0"/>
          <w:cols w:space="708"/>
          <w:titlePg/>
          <w:docGrid w:linePitch="360"/>
        </w:sectPr>
      </w:pPr>
    </w:p>
    <w:p w14:paraId="5AC1C0C7" w14:textId="0E2D3524" w:rsidR="004E324A" w:rsidRDefault="006631D3" w:rsidP="004E324A">
      <w:pPr>
        <w:pStyle w:val="tytuinformacji"/>
        <w:rPr>
          <w:szCs w:val="40"/>
          <w:shd w:val="clear" w:color="auto" w:fill="FFFFFF"/>
        </w:rPr>
      </w:pPr>
      <w:r>
        <w:rPr>
          <w:szCs w:val="40"/>
          <w:shd w:val="clear" w:color="auto" w:fill="FFFFFF"/>
        </w:rPr>
        <w:lastRenderedPageBreak/>
        <w:t>Załącznik</w:t>
      </w:r>
    </w:p>
    <w:p w14:paraId="6ED5CDAD" w14:textId="2A9AB9D4" w:rsidR="004E324A" w:rsidRPr="00FE5C2F" w:rsidRDefault="00BB5174" w:rsidP="004E324A">
      <w:pPr>
        <w:pStyle w:val="tytuinformacji"/>
        <w:rPr>
          <w:shd w:val="clear" w:color="auto" w:fill="FFFFFF"/>
        </w:rPr>
      </w:pPr>
      <w:r>
        <w:rPr>
          <w:shd w:val="clear" w:color="auto" w:fill="FFFFFF"/>
        </w:rPr>
        <w:t>P</w:t>
      </w:r>
      <w:r w:rsidR="004E324A" w:rsidRPr="004E324A">
        <w:rPr>
          <w:shd w:val="clear" w:color="auto" w:fill="FFFFFF"/>
        </w:rPr>
        <w:t>ytania dodatkowe w związku z sytuacją epidemiologiczną (zag</w:t>
      </w:r>
      <w:r w:rsidR="00FE5C2F">
        <w:rPr>
          <w:shd w:val="clear" w:color="auto" w:fill="FFFFFF"/>
        </w:rPr>
        <w:t>rożenie koronawirusem COVID-19)</w:t>
      </w:r>
    </w:p>
    <w:p w14:paraId="2EE59960" w14:textId="77777777" w:rsidR="00FE5C2F" w:rsidRPr="003A3169" w:rsidRDefault="00FE5C2F" w:rsidP="00FE5C2F">
      <w:pPr>
        <w:pStyle w:val="tytuinformacji"/>
        <w:rPr>
          <w:sz w:val="32"/>
        </w:rPr>
      </w:pPr>
      <w:r w:rsidRPr="00001C5B">
        <w:rPr>
          <w:rFonts w:ascii="Fira Sans" w:hAnsi="Fira Sans"/>
          <w:b/>
          <w:noProof/>
          <w:color w:val="212492"/>
          <w:spacing w:val="-2"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763712" behindDoc="1" locked="0" layoutInCell="1" allowOverlap="1" wp14:anchorId="3AF51DA0" wp14:editId="687E4655">
                <wp:simplePos x="0" y="0"/>
                <wp:positionH relativeFrom="column">
                  <wp:posOffset>5238750</wp:posOffset>
                </wp:positionH>
                <wp:positionV relativeFrom="paragraph">
                  <wp:posOffset>246380</wp:posOffset>
                </wp:positionV>
                <wp:extent cx="1725295" cy="1466850"/>
                <wp:effectExtent l="0" t="0" r="0" b="0"/>
                <wp:wrapTight wrapText="bothSides">
                  <wp:wrapPolygon edited="0">
                    <wp:start x="715" y="0"/>
                    <wp:lineTo x="715" y="21319"/>
                    <wp:lineTo x="20749" y="21319"/>
                    <wp:lineTo x="20749" y="0"/>
                    <wp:lineTo x="715" y="0"/>
                  </wp:wrapPolygon>
                </wp:wrapTight>
                <wp:docPr id="198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466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5BBAA6" w14:textId="77777777" w:rsidR="00F6030E" w:rsidRPr="00074DD8" w:rsidRDefault="00F6030E" w:rsidP="00FE5C2F">
                            <w:pPr>
                              <w:pStyle w:val="tekstzboku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F51DA0" id="_x0000_s1033" type="#_x0000_t202" style="position:absolute;margin-left:412.5pt;margin-top:19.4pt;width:135.85pt;height:115.5pt;z-index:-251552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" filled="f" stroked="f">
                <v:textbox>
                  <w:txbxContent>
                    <w:p w14:paraId="3E5BBAA6" w14:textId="77777777" w:rsidR="00F6030E" w:rsidRPr="00074DD8" w:rsidRDefault="00F6030E" w:rsidP="00FE5C2F">
                      <w:pPr>
                        <w:pStyle w:val="tekstzboku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3939D217" w14:textId="77777777" w:rsidR="00FE5C2F" w:rsidRPr="00CF538E" w:rsidRDefault="00FE5C2F" w:rsidP="00FE5C2F">
      <w:pPr>
        <w:pStyle w:val="tekstzboku"/>
        <w:rPr>
          <w:b/>
          <w:color w:val="auto"/>
          <w:sz w:val="19"/>
          <w:szCs w:val="19"/>
        </w:rPr>
      </w:pPr>
      <w:r w:rsidRPr="00CF538E">
        <w:rPr>
          <w:b/>
          <w:noProof/>
          <w:color w:val="auto"/>
          <w:sz w:val="19"/>
          <w:szCs w:val="19"/>
        </w:rPr>
        <mc:AlternateContent>
          <mc:Choice Requires="wps">
            <w:drawing>
              <wp:anchor distT="45720" distB="45720" distL="114300" distR="114300" simplePos="0" relativeHeight="251767808" behindDoc="0" locked="0" layoutInCell="1" allowOverlap="1" wp14:anchorId="4F5D2875" wp14:editId="43E5FAD4">
                <wp:simplePos x="0" y="0"/>
                <wp:positionH relativeFrom="margin">
                  <wp:align>left</wp:align>
                </wp:positionH>
                <wp:positionV relativeFrom="paragraph">
                  <wp:posOffset>83427</wp:posOffset>
                </wp:positionV>
                <wp:extent cx="1828800" cy="1214120"/>
                <wp:effectExtent l="0" t="0" r="0" b="5080"/>
                <wp:wrapSquare wrapText="bothSides"/>
                <wp:docPr id="199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214323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1458E1" w14:textId="12147B6A" w:rsidR="00F6030E" w:rsidRPr="00BC44E4" w:rsidRDefault="00F6030E" w:rsidP="00FE5C2F">
                            <w:pPr>
                              <w:pStyle w:val="Akapitzlist"/>
                              <w:spacing w:after="0" w:line="240" w:lineRule="auto"/>
                              <w:ind w:left="0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</w:pP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38"/>
                                <w:szCs w:val="38"/>
                              </w:rPr>
                              <w:t>95,4</w:t>
                            </w:r>
                            <w:r w:rsidRPr="00BD6D11">
                              <w:rPr>
                                <w:rFonts w:ascii="Fira Sans SemiBold" w:hAnsi="Fira Sans SemiBold"/>
                                <w:color w:val="FFFFFF" w:themeColor="background1"/>
                                <w:sz w:val="38"/>
                                <w:szCs w:val="38"/>
                              </w:rPr>
                              <w:t xml:space="preserve"> </w:t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38"/>
                                <w:szCs w:val="38"/>
                              </w:rPr>
                              <w:t xml:space="preserve">% </w:t>
                            </w:r>
                          </w:p>
                          <w:p w14:paraId="07A2A322" w14:textId="77777777" w:rsidR="00F6030E" w:rsidRPr="00DD7916" w:rsidRDefault="00F6030E" w:rsidP="00FE5C2F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</w:rPr>
                            </w:pPr>
                            <w:r>
                              <w:t>Wpływ sytuacji epidemiologicznej na odpowiedzi respondentów dotyczące koniunktury konsumenckiej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5D2875" id="_x0000_s1034" type="#_x0000_t202" style="position:absolute;margin-left:0;margin-top:6.55pt;width:2in;height:95.6pt;z-index:2517678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" fillcolor="#001d77" stroked="f">
                <v:textbox>
                  <w:txbxContent>
                    <w:p w14:paraId="601458E1" w14:textId="12147B6A" w:rsidR="00F6030E" w:rsidRPr="00BC44E4" w:rsidRDefault="00F6030E" w:rsidP="00FE5C2F">
                      <w:pPr>
                        <w:pStyle w:val="Akapitzlist"/>
                        <w:spacing w:after="0" w:line="240" w:lineRule="auto"/>
                        <w:ind w:left="0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</w:pPr>
                      <w:r>
                        <w:rPr>
                          <w:rFonts w:ascii="Fira Sans SemiBold" w:hAnsi="Fira Sans SemiBold"/>
                          <w:color w:val="FFFFFF" w:themeColor="background1"/>
                          <w:sz w:val="22"/>
                        </w:rPr>
                        <w:t xml:space="preserve"> 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38"/>
                          <w:szCs w:val="38"/>
                        </w:rPr>
                        <w:t>95,4</w:t>
                      </w:r>
                      <w:r w:rsidRPr="00BD6D11">
                        <w:rPr>
                          <w:rFonts w:ascii="Fira Sans SemiBold" w:hAnsi="Fira Sans SemiBold"/>
                          <w:color w:val="FFFFFF" w:themeColor="background1"/>
                          <w:sz w:val="38"/>
                          <w:szCs w:val="38"/>
                        </w:rPr>
                        <w:t xml:space="preserve"> 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38"/>
                          <w:szCs w:val="38"/>
                        </w:rPr>
                        <w:t xml:space="preserve">% </w:t>
                      </w:r>
                    </w:p>
                    <w:p w14:paraId="07A2A322" w14:textId="77777777" w:rsidR="00F6030E" w:rsidRPr="00DD7916" w:rsidRDefault="00F6030E" w:rsidP="00FE5C2F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</w:rPr>
                      </w:pPr>
                      <w:r>
                        <w:t>Wpływ sytuacji epidemiologicznej na odpowiedzi respondentów dotyczące koniunktury konsumenckiej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CF538E">
        <w:rPr>
          <w:b/>
          <w:color w:val="auto"/>
          <w:sz w:val="19"/>
          <w:szCs w:val="19"/>
        </w:rPr>
        <w:t>W</w:t>
      </w:r>
      <w:r>
        <w:rPr>
          <w:b/>
          <w:color w:val="auto"/>
          <w:sz w:val="19"/>
          <w:szCs w:val="19"/>
        </w:rPr>
        <w:t xml:space="preserve"> kwietniu 2020 r. do badania koniunktury konsumenckiej dodano 7 pytań związanych z sytuacją epidemiologiczną (zagrożenie koronawirusem COVID-19).</w:t>
      </w:r>
    </w:p>
    <w:p w14:paraId="7A3D8A81" w14:textId="77777777" w:rsidR="00FE5C2F" w:rsidRDefault="00FE5C2F" w:rsidP="00FE5C2F">
      <w:pPr>
        <w:pStyle w:val="Nagwek1"/>
        <w:tabs>
          <w:tab w:val="left" w:pos="6330"/>
        </w:tabs>
      </w:pPr>
    </w:p>
    <w:p w14:paraId="25F76203" w14:textId="77777777" w:rsidR="00FE5C2F" w:rsidRDefault="00FE5C2F" w:rsidP="00FE5C2F">
      <w:pPr>
        <w:pStyle w:val="Nagwek1"/>
        <w:tabs>
          <w:tab w:val="left" w:pos="6330"/>
        </w:tabs>
      </w:pPr>
      <w:r>
        <w:tab/>
      </w:r>
    </w:p>
    <w:p w14:paraId="1E77DD57" w14:textId="77777777" w:rsidR="00FE5C2F" w:rsidRDefault="00FE5C2F" w:rsidP="00FE5C2F">
      <w:pPr>
        <w:pStyle w:val="Nagwek1"/>
      </w:pPr>
    </w:p>
    <w:p w14:paraId="77731AAF" w14:textId="77777777" w:rsidR="00FE5C2F" w:rsidRDefault="00FE5C2F" w:rsidP="00FE5C2F">
      <w:pPr>
        <w:pStyle w:val="Nagwek1"/>
      </w:pPr>
    </w:p>
    <w:p w14:paraId="15D3A1BD" w14:textId="77777777" w:rsidR="00FE5C2F" w:rsidRPr="009A5A6D" w:rsidRDefault="00FE5C2F" w:rsidP="00FE5C2F">
      <w:pPr>
        <w:pStyle w:val="Nagwek1"/>
      </w:pPr>
      <w:r w:rsidRPr="00633014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764736" behindDoc="1" locked="0" layoutInCell="1" allowOverlap="1" wp14:anchorId="68D46730" wp14:editId="378783EA">
                <wp:simplePos x="0" y="0"/>
                <wp:positionH relativeFrom="column">
                  <wp:posOffset>5243195</wp:posOffset>
                </wp:positionH>
                <wp:positionV relativeFrom="paragraph">
                  <wp:posOffset>92075</wp:posOffset>
                </wp:positionV>
                <wp:extent cx="1725295" cy="1097280"/>
                <wp:effectExtent l="0" t="0" r="0" b="0"/>
                <wp:wrapTight wrapText="bothSides">
                  <wp:wrapPolygon edited="0">
                    <wp:start x="715" y="0"/>
                    <wp:lineTo x="715" y="21000"/>
                    <wp:lineTo x="20749" y="21000"/>
                    <wp:lineTo x="20749" y="0"/>
                    <wp:lineTo x="715" y="0"/>
                  </wp:wrapPolygon>
                </wp:wrapTight>
                <wp:docPr id="200" name="Pole tekstowe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97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58F857" w14:textId="77777777" w:rsidR="00F6030E" w:rsidRPr="00380DFD" w:rsidRDefault="00F6030E" w:rsidP="00FE5C2F">
                            <w:pPr>
                              <w:pStyle w:val="tekstzboku"/>
                            </w:pPr>
                            <w:r w:rsidRPr="007C5810">
                              <w:t>Znaczny wpływ sytuacji epidemiologicznej na odpowiedzi na pytania dotyczące koniunktury konsumenckiej zadeklarowało 58,1% respondentów</w:t>
                            </w:r>
                          </w:p>
                          <w:p w14:paraId="413BE2CB" w14:textId="77777777" w:rsidR="00F6030E" w:rsidRPr="00D616D2" w:rsidRDefault="00F6030E" w:rsidP="00FE5C2F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D46730" id="Pole tekstowe 200" o:spid="_x0000_s1035" type="#_x0000_t202" style="position:absolute;margin-left:412.85pt;margin-top:7.25pt;width:135.85pt;height:86.4pt;z-index:-251551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" filled="f" stroked="f">
                <v:textbox>
                  <w:txbxContent>
                    <w:p w14:paraId="0558F857" w14:textId="77777777" w:rsidR="00F6030E" w:rsidRPr="00380DFD" w:rsidRDefault="00F6030E" w:rsidP="00FE5C2F">
                      <w:pPr>
                        <w:pStyle w:val="tekstzboku"/>
                      </w:pPr>
                      <w:r w:rsidRPr="007C5810">
                        <w:t>Znaczny wpływ sytuacji epidemiologicznej na odpowiedzi na pytania dotyczące koniunktury konsumenckiej zadeklarowało 58,1% respondentów</w:t>
                      </w:r>
                    </w:p>
                    <w:p w14:paraId="413BE2CB" w14:textId="77777777" w:rsidR="00F6030E" w:rsidRPr="00D616D2" w:rsidRDefault="00F6030E" w:rsidP="00FE5C2F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t>Wpływ obecnej sytuacji epidemiologicznej na odpowiedzi dotyczące koniunktury konsumenckiej</w:t>
      </w:r>
    </w:p>
    <w:p w14:paraId="72F0945E" w14:textId="7CEF432C" w:rsidR="00FE5C2F" w:rsidRDefault="00FE5C2F" w:rsidP="00FE5C2F">
      <w:pPr>
        <w:spacing w:before="0"/>
        <w:rPr>
          <w:shd w:val="clear" w:color="auto" w:fill="FFFFFF"/>
        </w:rPr>
      </w:pPr>
      <w:r>
        <w:rPr>
          <w:shd w:val="clear" w:color="auto" w:fill="FFFFFF"/>
        </w:rPr>
        <w:t xml:space="preserve">Znaczny wpływ sytuacji epidemiologicznej na odpowiedzi dotyczące koniunktury konsumenckiej zadeklarowało 58,1% respondentów. W przypadku </w:t>
      </w:r>
      <w:r w:rsidR="00E55777">
        <w:rPr>
          <w:shd w:val="clear" w:color="auto" w:fill="FFFFFF"/>
        </w:rPr>
        <w:t>37,3</w:t>
      </w:r>
      <w:r>
        <w:rPr>
          <w:shd w:val="clear" w:color="auto" w:fill="FFFFFF"/>
        </w:rPr>
        <w:t>% respondentów wpływ sytuacji epidemiologicznej na odpowiedzi został uznany jako umiarkowany, a d</w:t>
      </w:r>
      <w:r w:rsidR="00E55777">
        <w:rPr>
          <w:shd w:val="clear" w:color="auto" w:fill="FFFFFF"/>
        </w:rPr>
        <w:t>la 4,6</w:t>
      </w:r>
      <w:r>
        <w:rPr>
          <w:shd w:val="clear" w:color="auto" w:fill="FFFFFF"/>
        </w:rPr>
        <w:t>% obecna sytuacja nie ma żadnego wpływu.</w:t>
      </w:r>
    </w:p>
    <w:p w14:paraId="1278C9A5" w14:textId="7CB606D2" w:rsidR="00FE5C2F" w:rsidRDefault="00FE5C2F" w:rsidP="00FE5C2F">
      <w:pPr>
        <w:pStyle w:val="tytuwykresu"/>
        <w:ind w:left="851" w:hanging="851"/>
        <w:rPr>
          <w:shd w:val="clear" w:color="auto" w:fill="FFFFFF"/>
        </w:rPr>
      </w:pPr>
      <w:r w:rsidRPr="00341AC1">
        <w:rPr>
          <w:noProof/>
          <w:lang w:eastAsia="pl-PL"/>
        </w:rPr>
        <w:drawing>
          <wp:anchor distT="0" distB="0" distL="114300" distR="114300" simplePos="0" relativeHeight="251771904" behindDoc="0" locked="0" layoutInCell="1" allowOverlap="1" wp14:anchorId="64DC7BED" wp14:editId="25157496">
            <wp:simplePos x="0" y="0"/>
            <wp:positionH relativeFrom="margin">
              <wp:align>left</wp:align>
            </wp:positionH>
            <wp:positionV relativeFrom="margin">
              <wp:posOffset>4723841</wp:posOffset>
            </wp:positionV>
            <wp:extent cx="5122545" cy="1980000"/>
            <wp:effectExtent l="0" t="0" r="1905" b="1270"/>
            <wp:wrapSquare wrapText="bothSides"/>
            <wp:docPr id="6" name="Wykres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772">
        <w:t>Wykres 1.</w:t>
      </w:r>
      <w:r w:rsidRPr="00C15772">
        <w:rPr>
          <w:shd w:val="clear" w:color="auto" w:fill="FFFFFF"/>
        </w:rPr>
        <w:t xml:space="preserve"> </w:t>
      </w:r>
      <w:r>
        <w:rPr>
          <w:shd w:val="clear" w:color="auto" w:fill="FFFFFF"/>
        </w:rPr>
        <w:t>Wpływ obecnej sytuacji epidemiologicznej (koronawirus COVID-19) na odpowiedzi</w:t>
      </w:r>
      <w:r w:rsidRPr="00C15772">
        <w:rPr>
          <w:shd w:val="clear" w:color="auto" w:fill="FFFFFF"/>
        </w:rPr>
        <w:t xml:space="preserve"> </w:t>
      </w:r>
      <w:r>
        <w:rPr>
          <w:shd w:val="clear" w:color="auto" w:fill="FFFFFF"/>
        </w:rPr>
        <w:t>– struktura odpowiedzi (%)</w:t>
      </w:r>
    </w:p>
    <w:p w14:paraId="0CD03036" w14:textId="77777777" w:rsidR="00FE5C2F" w:rsidRDefault="00FE5C2F" w:rsidP="00FE5C2F">
      <w:pPr>
        <w:pStyle w:val="Nagwek1"/>
      </w:pPr>
    </w:p>
    <w:p w14:paraId="0E27269D" w14:textId="77777777" w:rsidR="00FE5C2F" w:rsidRPr="00FE5C2F" w:rsidRDefault="00FE5C2F" w:rsidP="00FE5C2F">
      <w:pPr>
        <w:rPr>
          <w:lang w:eastAsia="pl-PL"/>
        </w:rPr>
      </w:pPr>
    </w:p>
    <w:p w14:paraId="3EDC7D35" w14:textId="677488EE" w:rsidR="00FE5C2F" w:rsidRPr="00396FC5" w:rsidRDefault="00FE5C2F" w:rsidP="00FE5C2F">
      <w:pPr>
        <w:pStyle w:val="Nagwek1"/>
      </w:pPr>
      <w:r w:rsidRPr="00633014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777024" behindDoc="1" locked="0" layoutInCell="1" allowOverlap="1" wp14:anchorId="690007E3" wp14:editId="413B8CF8">
                <wp:simplePos x="0" y="0"/>
                <wp:positionH relativeFrom="column">
                  <wp:posOffset>5238115</wp:posOffset>
                </wp:positionH>
                <wp:positionV relativeFrom="paragraph">
                  <wp:posOffset>86360</wp:posOffset>
                </wp:positionV>
                <wp:extent cx="1725295" cy="985520"/>
                <wp:effectExtent l="0" t="0" r="0" b="5080"/>
                <wp:wrapTight wrapText="bothSides">
                  <wp:wrapPolygon edited="0">
                    <wp:start x="715" y="0"/>
                    <wp:lineTo x="715" y="21294"/>
                    <wp:lineTo x="20749" y="21294"/>
                    <wp:lineTo x="20749" y="0"/>
                    <wp:lineTo x="715" y="0"/>
                  </wp:wrapPolygon>
                </wp:wrapTight>
                <wp:docPr id="201" name="Pole tekstowe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85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7860A3" w14:textId="391C18B3" w:rsidR="00F6030E" w:rsidRPr="00380DFD" w:rsidRDefault="00F6030E" w:rsidP="00FE5C2F">
                            <w:pPr>
                              <w:pStyle w:val="tekstzboku"/>
                            </w:pPr>
                            <w:r w:rsidRPr="00DE5407">
                              <w:t>Zdecydowaną obawę utraty pracy lub zaprzestania prowadzenia własnej działalności wyraziło 1</w:t>
                            </w:r>
                            <w:r>
                              <w:t>9</w:t>
                            </w:r>
                            <w:r w:rsidRPr="00DE5407">
                              <w:t>,</w:t>
                            </w:r>
                            <w:r>
                              <w:t>1</w:t>
                            </w:r>
                            <w:r w:rsidRPr="00DE5407">
                              <w:t>% respondentów</w:t>
                            </w:r>
                            <w:r>
                              <w:t xml:space="preserve"> </w:t>
                            </w:r>
                          </w:p>
                          <w:p w14:paraId="72200D5A" w14:textId="77777777" w:rsidR="00F6030E" w:rsidRPr="00380DFD" w:rsidRDefault="00F6030E" w:rsidP="00FE5C2F">
                            <w:pPr>
                              <w:pStyle w:val="tekstzboku"/>
                            </w:pPr>
                          </w:p>
                          <w:p w14:paraId="52AD221E" w14:textId="77777777" w:rsidR="00F6030E" w:rsidRPr="00D616D2" w:rsidRDefault="00F6030E" w:rsidP="00FE5C2F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0007E3" id="Pole tekstowe 201" o:spid="_x0000_s1036" type="#_x0000_t202" style="position:absolute;margin-left:412.45pt;margin-top:6.8pt;width:135.85pt;height:77.6pt;z-index:-251539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" filled="f" stroked="f">
                <v:textbox>
                  <w:txbxContent>
                    <w:p w14:paraId="317860A3" w14:textId="391C18B3" w:rsidR="00F6030E" w:rsidRPr="00380DFD" w:rsidRDefault="00F6030E" w:rsidP="00FE5C2F">
                      <w:pPr>
                        <w:pStyle w:val="tekstzboku"/>
                      </w:pPr>
                      <w:r w:rsidRPr="00DE5407">
                        <w:t>Zdecydowaną obawę utraty pracy lub zaprzestania prowadzenia własnej działalności wyraziło 1</w:t>
                      </w:r>
                      <w:r>
                        <w:t>9</w:t>
                      </w:r>
                      <w:r w:rsidRPr="00DE5407">
                        <w:t>,</w:t>
                      </w:r>
                      <w:r>
                        <w:t>1</w:t>
                      </w:r>
                      <w:r w:rsidRPr="00DE5407">
                        <w:t>% respondentów</w:t>
                      </w:r>
                      <w:r>
                        <w:t xml:space="preserve"> </w:t>
                      </w:r>
                    </w:p>
                    <w:p w14:paraId="72200D5A" w14:textId="77777777" w:rsidR="00F6030E" w:rsidRPr="00380DFD" w:rsidRDefault="00F6030E" w:rsidP="00FE5C2F">
                      <w:pPr>
                        <w:pStyle w:val="tekstzboku"/>
                      </w:pPr>
                    </w:p>
                    <w:p w14:paraId="52AD221E" w14:textId="77777777" w:rsidR="00F6030E" w:rsidRPr="00D616D2" w:rsidRDefault="00F6030E" w:rsidP="00FE5C2F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t>Obawa utraty pracy lub zaprzestania prowadzenia własnej działalności w związku z obecną sytuacją epidemiologiczną</w:t>
      </w:r>
    </w:p>
    <w:p w14:paraId="2BBC31EC" w14:textId="1B72DB85" w:rsidR="00FE5C2F" w:rsidRDefault="00FE5C2F" w:rsidP="00FE5C2F">
      <w:pPr>
        <w:spacing w:after="0"/>
        <w:rPr>
          <w:shd w:val="clear" w:color="auto" w:fill="FFFFFF"/>
        </w:rPr>
      </w:pPr>
      <w:r>
        <w:rPr>
          <w:shd w:val="clear" w:color="auto" w:fill="FFFFFF"/>
        </w:rPr>
        <w:t>Spośród osób pracujących</w:t>
      </w:r>
      <w:r w:rsidR="00E55777">
        <w:rPr>
          <w:shd w:val="clear" w:color="auto" w:fill="FFFFFF"/>
        </w:rPr>
        <w:t xml:space="preserve"> (58,3</w:t>
      </w:r>
      <w:r>
        <w:rPr>
          <w:shd w:val="clear" w:color="auto" w:fill="FFFFFF"/>
        </w:rPr>
        <w:t>% respondentów), zdecydowaną obawę utraty pracy lub zaprzestania prowadzenia własnej działalności odczuwa 19,</w:t>
      </w:r>
      <w:r w:rsidR="00E55777">
        <w:rPr>
          <w:shd w:val="clear" w:color="auto" w:fill="FFFFFF"/>
        </w:rPr>
        <w:t>1</w:t>
      </w:r>
      <w:r>
        <w:rPr>
          <w:shd w:val="clear" w:color="auto" w:fill="FFFFFF"/>
        </w:rPr>
        <w:t>% respondentów. Podobny odse</w:t>
      </w:r>
      <w:r w:rsidR="00001874">
        <w:rPr>
          <w:shd w:val="clear" w:color="auto" w:fill="FFFFFF"/>
        </w:rPr>
        <w:t>tek odpowiedzi w wysokości 19,9</w:t>
      </w:r>
      <w:r>
        <w:rPr>
          <w:shd w:val="clear" w:color="auto" w:fill="FFFFFF"/>
        </w:rPr>
        <w:t>% dotyczy osób, które nie posiadają żadnych obaw. W przypadku wariantów odpowiedzi „możliwe” i „raczej nie” odsetek o</w:t>
      </w:r>
      <w:r w:rsidR="00E55777">
        <w:rPr>
          <w:shd w:val="clear" w:color="auto" w:fill="FFFFFF"/>
        </w:rPr>
        <w:t>dpowiedzi wynosił odpowiednio 29</w:t>
      </w:r>
      <w:r w:rsidR="00001874">
        <w:rPr>
          <w:shd w:val="clear" w:color="auto" w:fill="FFFFFF"/>
        </w:rPr>
        <w:t>,0</w:t>
      </w:r>
      <w:r>
        <w:rPr>
          <w:shd w:val="clear" w:color="auto" w:fill="FFFFFF"/>
        </w:rPr>
        <w:t>% oraz 27,</w:t>
      </w:r>
      <w:r w:rsidR="00001874">
        <w:rPr>
          <w:shd w:val="clear" w:color="auto" w:fill="FFFFFF"/>
        </w:rPr>
        <w:t>8</w:t>
      </w:r>
      <w:r>
        <w:rPr>
          <w:shd w:val="clear" w:color="auto" w:fill="FFFFFF"/>
        </w:rPr>
        <w:t>%. Niewielka liczba respondentów pracujących (4,</w:t>
      </w:r>
      <w:r w:rsidR="00E55777">
        <w:rPr>
          <w:shd w:val="clear" w:color="auto" w:fill="FFFFFF"/>
        </w:rPr>
        <w:t>2</w:t>
      </w:r>
      <w:r>
        <w:rPr>
          <w:shd w:val="clear" w:color="auto" w:fill="FFFFFF"/>
        </w:rPr>
        <w:t xml:space="preserve">%) nie miała zdania. </w:t>
      </w:r>
    </w:p>
    <w:p w14:paraId="6DD3F223" w14:textId="29D6316E" w:rsidR="00FE5C2F" w:rsidRDefault="00FE5C2F">
      <w:pPr>
        <w:spacing w:before="0" w:after="160" w:line="259" w:lineRule="auto"/>
        <w:rPr>
          <w:b/>
          <w:spacing w:val="-2"/>
          <w:sz w:val="18"/>
        </w:rPr>
      </w:pPr>
      <w:r>
        <w:br w:type="page"/>
      </w:r>
    </w:p>
    <w:p w14:paraId="76FD2CE3" w14:textId="4C5C2275" w:rsidR="00FE5C2F" w:rsidRDefault="00FE5C2F" w:rsidP="00FE5C2F">
      <w:pPr>
        <w:pStyle w:val="tytuwykresu"/>
        <w:ind w:left="851" w:hanging="851"/>
        <w:rPr>
          <w:shd w:val="clear" w:color="auto" w:fill="FFFFFF"/>
        </w:rPr>
      </w:pPr>
      <w:r w:rsidRPr="00341AC1">
        <w:rPr>
          <w:noProof/>
          <w:lang w:eastAsia="pl-PL"/>
        </w:rPr>
        <w:lastRenderedPageBreak/>
        <w:drawing>
          <wp:anchor distT="0" distB="0" distL="114300" distR="114300" simplePos="0" relativeHeight="251784192" behindDoc="0" locked="0" layoutInCell="1" allowOverlap="1" wp14:anchorId="249BE973" wp14:editId="7DBA0D25">
            <wp:simplePos x="0" y="0"/>
            <wp:positionH relativeFrom="margin">
              <wp:align>left</wp:align>
            </wp:positionH>
            <wp:positionV relativeFrom="margin">
              <wp:posOffset>850417</wp:posOffset>
            </wp:positionV>
            <wp:extent cx="5122545" cy="1980000"/>
            <wp:effectExtent l="0" t="0" r="1905" b="1270"/>
            <wp:wrapSquare wrapText="bothSides"/>
            <wp:docPr id="20" name="Wykres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772">
        <w:t xml:space="preserve">Wykres </w:t>
      </w:r>
      <w:r>
        <w:t>2</w:t>
      </w:r>
      <w:r w:rsidRPr="00C15772">
        <w:t>.</w:t>
      </w:r>
      <w:r w:rsidRPr="00C15772">
        <w:rPr>
          <w:shd w:val="clear" w:color="auto" w:fill="FFFFFF"/>
        </w:rPr>
        <w:t xml:space="preserve"> </w:t>
      </w:r>
      <w:r w:rsidRPr="00A170FA">
        <w:rPr>
          <w:shd w:val="clear" w:color="auto" w:fill="FFFFFF"/>
        </w:rPr>
        <w:t>Obawa przed  utratą pracy lub zaprzestaniem prowadzenia własnej działalności w</w:t>
      </w:r>
      <w:r>
        <w:rPr>
          <w:shd w:val="clear" w:color="auto" w:fill="FFFFFF"/>
        </w:rPr>
        <w:t> </w:t>
      </w:r>
      <w:r w:rsidRPr="00A170FA">
        <w:rPr>
          <w:shd w:val="clear" w:color="auto" w:fill="FFFFFF"/>
        </w:rPr>
        <w:t>związku z obecną sytuacją epidemiologiczną</w:t>
      </w:r>
      <w:r>
        <w:rPr>
          <w:shd w:val="clear" w:color="auto" w:fill="FFFFFF"/>
        </w:rPr>
        <w:t xml:space="preserve"> (koronawirus COVID-19) – struktura odpowiedzi dla pracujących (%)</w:t>
      </w:r>
    </w:p>
    <w:p w14:paraId="69AFEA30" w14:textId="5FBCEB2D" w:rsidR="00FE5C2F" w:rsidRDefault="00FE5C2F" w:rsidP="00FE5C2F">
      <w:pPr>
        <w:pStyle w:val="tytuwykresu"/>
        <w:ind w:left="426" w:hanging="426"/>
        <w:rPr>
          <w:shd w:val="clear" w:color="auto" w:fill="FFFFFF"/>
        </w:rPr>
      </w:pPr>
    </w:p>
    <w:p w14:paraId="5D971ACE" w14:textId="4497F89A" w:rsidR="00FE5C2F" w:rsidRDefault="00FE5C2F" w:rsidP="00FE5C2F">
      <w:pPr>
        <w:pStyle w:val="Nagwek1"/>
      </w:pPr>
    </w:p>
    <w:p w14:paraId="38C84742" w14:textId="3F0A0B51" w:rsidR="00FE5C2F" w:rsidRPr="00FE5C2F" w:rsidRDefault="00FE5C2F" w:rsidP="00FE5C2F">
      <w:pPr>
        <w:rPr>
          <w:lang w:eastAsia="pl-PL"/>
        </w:rPr>
      </w:pPr>
    </w:p>
    <w:p w14:paraId="08EC4401" w14:textId="722B5480" w:rsidR="00FE5C2F" w:rsidRPr="00396FC5" w:rsidRDefault="00FE5C2F" w:rsidP="00FE5C2F">
      <w:pPr>
        <w:pStyle w:val="Nagwek1"/>
      </w:pPr>
      <w:r w:rsidRPr="00633014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778048" behindDoc="1" locked="0" layoutInCell="1" allowOverlap="1" wp14:anchorId="1BCA5AA5" wp14:editId="08AA213E">
                <wp:simplePos x="0" y="0"/>
                <wp:positionH relativeFrom="column">
                  <wp:posOffset>5228590</wp:posOffset>
                </wp:positionH>
                <wp:positionV relativeFrom="paragraph">
                  <wp:posOffset>86360</wp:posOffset>
                </wp:positionV>
                <wp:extent cx="1725295" cy="985520"/>
                <wp:effectExtent l="0" t="0" r="0" b="5080"/>
                <wp:wrapTight wrapText="bothSides">
                  <wp:wrapPolygon edited="0">
                    <wp:start x="715" y="0"/>
                    <wp:lineTo x="715" y="21294"/>
                    <wp:lineTo x="20749" y="21294"/>
                    <wp:lineTo x="20749" y="0"/>
                    <wp:lineTo x="715" y="0"/>
                  </wp:wrapPolygon>
                </wp:wrapTight>
                <wp:docPr id="7" name="Pole tekstow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85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02AC71" w14:textId="496A3762" w:rsidR="00F6030E" w:rsidRPr="00380DFD" w:rsidRDefault="00F6030E" w:rsidP="00FE5C2F">
                            <w:pPr>
                              <w:pStyle w:val="tekstzboku"/>
                            </w:pPr>
                            <w:r>
                              <w:t>Dla 69,</w:t>
                            </w:r>
                            <w:r w:rsidR="00DE1E47">
                              <w:t>8</w:t>
                            </w:r>
                            <w:r w:rsidRPr="007A2FDB">
                              <w:t>% respondentów obecna sytuacji epidemiologiczna stanowi duże zagrożenie dla zdrowia populacji jako całości</w:t>
                            </w:r>
                          </w:p>
                          <w:p w14:paraId="1C9E5933" w14:textId="77777777" w:rsidR="00F6030E" w:rsidRPr="00380DFD" w:rsidRDefault="00F6030E" w:rsidP="00FE5C2F">
                            <w:pPr>
                              <w:pStyle w:val="tekstzboku"/>
                            </w:pPr>
                          </w:p>
                          <w:p w14:paraId="01D0AD75" w14:textId="77777777" w:rsidR="00F6030E" w:rsidRPr="00D616D2" w:rsidRDefault="00F6030E" w:rsidP="00FE5C2F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CA5AA5" id="_x0000_t202" coordsize="21600,21600" o:spt="202" path="m,l,21600r21600,l21600,xe">
                <v:stroke joinstyle="miter"/>
                <v:path gradientshapeok="t" o:connecttype="rect"/>
              </v:shapetype>
              <v:shape id="Pole tekstowe 7" o:spid="_x0000_s1037" type="#_x0000_t202" style="position:absolute;margin-left:411.7pt;margin-top:6.8pt;width:135.85pt;height:77.6pt;z-index:-251538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" filled="f" stroked="f">
                <v:textbox>
                  <w:txbxContent>
                    <w:p w14:paraId="5702AC71" w14:textId="496A3762" w:rsidR="00F6030E" w:rsidRPr="00380DFD" w:rsidRDefault="00F6030E" w:rsidP="00FE5C2F">
                      <w:pPr>
                        <w:pStyle w:val="tekstzboku"/>
                      </w:pPr>
                      <w:r>
                        <w:t>Dla 69,</w:t>
                      </w:r>
                      <w:r w:rsidR="00DE1E47">
                        <w:t>8</w:t>
                      </w:r>
                      <w:r w:rsidRPr="007A2FDB">
                        <w:t>% respondentów obecna sytuacji epidemiologiczna stanowi duże zagrożenie dla zdrowia populacji jako całości</w:t>
                      </w:r>
                    </w:p>
                    <w:p w14:paraId="1C9E5933" w14:textId="77777777" w:rsidR="00F6030E" w:rsidRPr="00380DFD" w:rsidRDefault="00F6030E" w:rsidP="00FE5C2F">
                      <w:pPr>
                        <w:pStyle w:val="tekstzboku"/>
                      </w:pPr>
                    </w:p>
                    <w:p w14:paraId="01D0AD75" w14:textId="77777777" w:rsidR="00F6030E" w:rsidRPr="00D616D2" w:rsidRDefault="00F6030E" w:rsidP="00FE5C2F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t>Jakim zagrożeniem jest obecna sytuacja epidemiologiczna dla zdrowia populacji Polski jako całości</w:t>
      </w:r>
    </w:p>
    <w:p w14:paraId="6AF994CE" w14:textId="355672B3" w:rsidR="00FE5C2F" w:rsidRDefault="00FE5C2F" w:rsidP="00FE5C2F">
      <w:pPr>
        <w:spacing w:after="0"/>
        <w:rPr>
          <w:shd w:val="clear" w:color="auto" w:fill="FFFFFF"/>
        </w:rPr>
      </w:pPr>
      <w:r>
        <w:rPr>
          <w:shd w:val="clear" w:color="auto" w:fill="FFFFFF"/>
        </w:rPr>
        <w:t xml:space="preserve">Według </w:t>
      </w:r>
      <w:r w:rsidR="00D17EAA">
        <w:rPr>
          <w:shd w:val="clear" w:color="auto" w:fill="FFFFFF"/>
        </w:rPr>
        <w:t>69,8</w:t>
      </w:r>
      <w:r>
        <w:rPr>
          <w:shd w:val="clear" w:color="auto" w:fill="FFFFFF"/>
        </w:rPr>
        <w:t xml:space="preserve">% respondentów obecna sytuacji epidemiologiczna stanowi duże zagrożenie dla zdrowia populacji jako całości. </w:t>
      </w:r>
      <w:r w:rsidR="00E55777">
        <w:rPr>
          <w:shd w:val="clear" w:color="auto" w:fill="FFFFFF"/>
        </w:rPr>
        <w:t>Przeciętne zagrożenie odczuwa 27</w:t>
      </w:r>
      <w:r w:rsidR="00D17EAA">
        <w:rPr>
          <w:shd w:val="clear" w:color="auto" w:fill="FFFFFF"/>
        </w:rPr>
        <w:t>,0</w:t>
      </w:r>
      <w:r>
        <w:rPr>
          <w:shd w:val="clear" w:color="auto" w:fill="FFFFFF"/>
        </w:rPr>
        <w:t>% odpowiadających na pytania.</w:t>
      </w:r>
      <w:r w:rsidR="00E55777">
        <w:rPr>
          <w:shd w:val="clear" w:color="auto" w:fill="FFFFFF"/>
        </w:rPr>
        <w:t xml:space="preserve"> Małe zagrożenie deklaruje 3</w:t>
      </w:r>
      <w:r w:rsidR="00D17EAA">
        <w:rPr>
          <w:shd w:val="clear" w:color="auto" w:fill="FFFFFF"/>
        </w:rPr>
        <w:t>,0</w:t>
      </w:r>
      <w:r>
        <w:rPr>
          <w:shd w:val="clear" w:color="auto" w:fill="FFFFFF"/>
        </w:rPr>
        <w:t>%, zaś brak zagrożenia stwierdziło zaledwie 0,2% respondentów.</w:t>
      </w:r>
    </w:p>
    <w:p w14:paraId="03CE96C1" w14:textId="31444774" w:rsidR="00FE5C2F" w:rsidRDefault="00FE5C2F" w:rsidP="00FE5C2F">
      <w:pPr>
        <w:pStyle w:val="tytuwykresu"/>
        <w:ind w:left="851" w:hanging="851"/>
      </w:pPr>
    </w:p>
    <w:p w14:paraId="12CDFB88" w14:textId="653E3060" w:rsidR="00FE5C2F" w:rsidRDefault="00FE5C2F" w:rsidP="00FE5C2F">
      <w:pPr>
        <w:pStyle w:val="tytuwykresu"/>
        <w:ind w:left="851" w:hanging="851"/>
        <w:rPr>
          <w:shd w:val="clear" w:color="auto" w:fill="FFFFFF"/>
        </w:rPr>
      </w:pPr>
      <w:r w:rsidRPr="00341AC1">
        <w:rPr>
          <w:noProof/>
          <w:lang w:eastAsia="pl-PL"/>
        </w:rPr>
        <w:drawing>
          <wp:anchor distT="0" distB="0" distL="114300" distR="114300" simplePos="0" relativeHeight="251772928" behindDoc="0" locked="0" layoutInCell="1" allowOverlap="1" wp14:anchorId="61DA21AE" wp14:editId="63993AD3">
            <wp:simplePos x="0" y="0"/>
            <wp:positionH relativeFrom="margin">
              <wp:align>left</wp:align>
            </wp:positionH>
            <wp:positionV relativeFrom="margin">
              <wp:posOffset>5177155</wp:posOffset>
            </wp:positionV>
            <wp:extent cx="5122545" cy="1980000"/>
            <wp:effectExtent l="0" t="0" r="1905" b="1270"/>
            <wp:wrapSquare wrapText="bothSides"/>
            <wp:docPr id="212" name="Wykres 2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772">
        <w:t xml:space="preserve">Wykres </w:t>
      </w:r>
      <w:r>
        <w:t>3</w:t>
      </w:r>
      <w:r w:rsidRPr="00C15772">
        <w:t>.</w:t>
      </w:r>
      <w:r w:rsidRPr="00C15772">
        <w:rPr>
          <w:shd w:val="clear" w:color="auto" w:fill="FFFFFF"/>
        </w:rPr>
        <w:t xml:space="preserve"> </w:t>
      </w:r>
      <w:r w:rsidRPr="006736C7">
        <w:rPr>
          <w:shd w:val="clear" w:color="auto" w:fill="FFFFFF"/>
        </w:rPr>
        <w:t>Jakie zagrożenie stanowi obecna sytuacja epidemiologiczna</w:t>
      </w:r>
      <w:r>
        <w:rPr>
          <w:shd w:val="clear" w:color="auto" w:fill="FFFFFF"/>
        </w:rPr>
        <w:t xml:space="preserve"> (koronawirus COVID-19) </w:t>
      </w:r>
      <w:r w:rsidRPr="006736C7">
        <w:rPr>
          <w:shd w:val="clear" w:color="auto" w:fill="FFFFFF"/>
        </w:rPr>
        <w:t>dla zdrowia populacji Polski jako całości</w:t>
      </w:r>
      <w:r>
        <w:rPr>
          <w:shd w:val="clear" w:color="auto" w:fill="FFFFFF"/>
        </w:rPr>
        <w:t xml:space="preserve"> – struktura odpowiedzi (%)</w:t>
      </w:r>
    </w:p>
    <w:p w14:paraId="7D3BBA30" w14:textId="77777777" w:rsidR="00FE5C2F" w:rsidRDefault="00FE5C2F" w:rsidP="00FE5C2F">
      <w:pPr>
        <w:pStyle w:val="Nagwek1"/>
      </w:pPr>
    </w:p>
    <w:p w14:paraId="7762B075" w14:textId="49138197" w:rsidR="00FE5C2F" w:rsidRDefault="00FE5C2F" w:rsidP="00FE5C2F">
      <w:pPr>
        <w:pStyle w:val="Nagwek1"/>
      </w:pPr>
    </w:p>
    <w:p w14:paraId="03374370" w14:textId="0C5F621D" w:rsidR="00FE5C2F" w:rsidRPr="00396FC5" w:rsidRDefault="00233319" w:rsidP="00FE5C2F">
      <w:pPr>
        <w:pStyle w:val="Nagwek1"/>
      </w:pPr>
      <w:r w:rsidRPr="00633014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779072" behindDoc="1" locked="0" layoutInCell="1" allowOverlap="1" wp14:anchorId="3F746A34" wp14:editId="1DD74ED3">
                <wp:simplePos x="0" y="0"/>
                <wp:positionH relativeFrom="column">
                  <wp:posOffset>5229225</wp:posOffset>
                </wp:positionH>
                <wp:positionV relativeFrom="paragraph">
                  <wp:posOffset>82136</wp:posOffset>
                </wp:positionV>
                <wp:extent cx="1725295" cy="985520"/>
                <wp:effectExtent l="0" t="0" r="0" b="5080"/>
                <wp:wrapTight wrapText="bothSides">
                  <wp:wrapPolygon edited="0">
                    <wp:start x="715" y="0"/>
                    <wp:lineTo x="715" y="21294"/>
                    <wp:lineTo x="20749" y="21294"/>
                    <wp:lineTo x="20749" y="0"/>
                    <wp:lineTo x="715" y="0"/>
                  </wp:wrapPolygon>
                </wp:wrapTight>
                <wp:docPr id="202" name="Pole tekstowe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85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9B1042" w14:textId="4C5FC000" w:rsidR="00F6030E" w:rsidRPr="00380DFD" w:rsidRDefault="00F6030E" w:rsidP="00FE5C2F">
                            <w:pPr>
                              <w:pStyle w:val="tekstzboku"/>
                            </w:pPr>
                            <w:r>
                              <w:t>Dla 50,7</w:t>
                            </w:r>
                            <w:r w:rsidRPr="001D30FF">
                              <w:t>% respondentów obecna sytuacji epidemiologiczna stanowi duże zagrożenie dla ich osobistego zdrowia</w:t>
                            </w:r>
                          </w:p>
                          <w:p w14:paraId="00CB9B02" w14:textId="77777777" w:rsidR="00F6030E" w:rsidRPr="00380DFD" w:rsidRDefault="00F6030E" w:rsidP="00FE5C2F">
                            <w:pPr>
                              <w:pStyle w:val="tekstzboku"/>
                            </w:pPr>
                          </w:p>
                          <w:p w14:paraId="1E065CD7" w14:textId="77777777" w:rsidR="00F6030E" w:rsidRPr="00D616D2" w:rsidRDefault="00F6030E" w:rsidP="00FE5C2F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746A34" id="Pole tekstowe 202" o:spid="_x0000_s1038" type="#_x0000_t202" style="position:absolute;margin-left:411.75pt;margin-top:6.45pt;width:135.85pt;height:77.6pt;z-index:-251537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" filled="f" stroked="f">
                <v:textbox>
                  <w:txbxContent>
                    <w:p w14:paraId="3D9B1042" w14:textId="4C5FC000" w:rsidR="00F6030E" w:rsidRPr="00380DFD" w:rsidRDefault="00F6030E" w:rsidP="00FE5C2F">
                      <w:pPr>
                        <w:pStyle w:val="tekstzboku"/>
                      </w:pPr>
                      <w:r>
                        <w:t>Dla 50,7</w:t>
                      </w:r>
                      <w:r w:rsidRPr="001D30FF">
                        <w:t>% respondentów obecna sytuacji epidemiologiczna stanowi duże zagrożenie dla ich osobistego zdrowia</w:t>
                      </w:r>
                    </w:p>
                    <w:p w14:paraId="00CB9B02" w14:textId="77777777" w:rsidR="00F6030E" w:rsidRPr="00380DFD" w:rsidRDefault="00F6030E" w:rsidP="00FE5C2F">
                      <w:pPr>
                        <w:pStyle w:val="tekstzboku"/>
                      </w:pPr>
                    </w:p>
                    <w:p w14:paraId="1E065CD7" w14:textId="77777777" w:rsidR="00F6030E" w:rsidRPr="00D616D2" w:rsidRDefault="00F6030E" w:rsidP="00FE5C2F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FE5C2F">
        <w:t>Jakim zagrożeniem jest obecna sytuacja epidemiologiczna dla osobistego zdrowia</w:t>
      </w:r>
    </w:p>
    <w:p w14:paraId="7A22C78C" w14:textId="5538DE07" w:rsidR="00FE5C2F" w:rsidRDefault="00233319" w:rsidP="00FE5C2F">
      <w:pPr>
        <w:spacing w:after="0"/>
        <w:rPr>
          <w:shd w:val="clear" w:color="auto" w:fill="FFFFFF"/>
        </w:rPr>
      </w:pPr>
      <w:r>
        <w:rPr>
          <w:shd w:val="clear" w:color="auto" w:fill="FFFFFF"/>
        </w:rPr>
        <w:t>Dla 50,7</w:t>
      </w:r>
      <w:r w:rsidR="00FE5C2F">
        <w:rPr>
          <w:shd w:val="clear" w:color="auto" w:fill="FFFFFF"/>
        </w:rPr>
        <w:t>% respondentów obecna sytuacji epidemiologiczna stanowi duże zagrożenie dla ich osobistego zdrowia. 38,</w:t>
      </w:r>
      <w:r>
        <w:rPr>
          <w:shd w:val="clear" w:color="auto" w:fill="FFFFFF"/>
        </w:rPr>
        <w:t>7</w:t>
      </w:r>
      <w:r w:rsidR="00FE5C2F">
        <w:rPr>
          <w:shd w:val="clear" w:color="auto" w:fill="FFFFFF"/>
        </w:rPr>
        <w:t xml:space="preserve">% odpowiadających na pytania odczuwa przeciętne zagrożenie. Małe zagrożenie deklaruje </w:t>
      </w:r>
      <w:r>
        <w:rPr>
          <w:shd w:val="clear" w:color="auto" w:fill="FFFFFF"/>
        </w:rPr>
        <w:t>10</w:t>
      </w:r>
      <w:r w:rsidR="00F6030E">
        <w:rPr>
          <w:shd w:val="clear" w:color="auto" w:fill="FFFFFF"/>
        </w:rPr>
        <w:t>,0</w:t>
      </w:r>
      <w:r w:rsidR="00FE5C2F">
        <w:rPr>
          <w:shd w:val="clear" w:color="auto" w:fill="FFFFFF"/>
        </w:rPr>
        <w:t>%, natomiast brak zagrożenia stwierdziło zaledw</w:t>
      </w:r>
      <w:r>
        <w:rPr>
          <w:shd w:val="clear" w:color="auto" w:fill="FFFFFF"/>
        </w:rPr>
        <w:t>ie 0,6</w:t>
      </w:r>
      <w:r w:rsidR="00FE5C2F">
        <w:rPr>
          <w:shd w:val="clear" w:color="auto" w:fill="FFFFFF"/>
        </w:rPr>
        <w:t>% respondentów.</w:t>
      </w:r>
    </w:p>
    <w:p w14:paraId="234E37FB" w14:textId="20185D6F" w:rsidR="00FE5C2F" w:rsidRDefault="00FE5C2F">
      <w:pPr>
        <w:spacing w:before="0" w:after="160" w:line="259" w:lineRule="auto"/>
      </w:pPr>
      <w:r>
        <w:br w:type="page"/>
      </w:r>
    </w:p>
    <w:p w14:paraId="61C53893" w14:textId="5F119C06" w:rsidR="00FE5C2F" w:rsidRDefault="00FE5C2F" w:rsidP="00FE5C2F">
      <w:pPr>
        <w:tabs>
          <w:tab w:val="left" w:pos="3218"/>
        </w:tabs>
      </w:pPr>
    </w:p>
    <w:p w14:paraId="0AC654CE" w14:textId="419B8CC3" w:rsidR="00FE5C2F" w:rsidRDefault="00FE5C2F" w:rsidP="00FE5C2F">
      <w:pPr>
        <w:pStyle w:val="tytuwykresu"/>
        <w:ind w:left="851" w:hanging="851"/>
        <w:rPr>
          <w:shd w:val="clear" w:color="auto" w:fill="FFFFFF"/>
        </w:rPr>
      </w:pPr>
      <w:r w:rsidRPr="00341AC1">
        <w:rPr>
          <w:noProof/>
          <w:lang w:eastAsia="pl-PL"/>
        </w:rPr>
        <w:drawing>
          <wp:anchor distT="0" distB="0" distL="114300" distR="114300" simplePos="0" relativeHeight="251773952" behindDoc="0" locked="0" layoutInCell="1" allowOverlap="1" wp14:anchorId="1788E863" wp14:editId="35F8FBA8">
            <wp:simplePos x="0" y="0"/>
            <wp:positionH relativeFrom="margin">
              <wp:align>left</wp:align>
            </wp:positionH>
            <wp:positionV relativeFrom="page">
              <wp:posOffset>1320266</wp:posOffset>
            </wp:positionV>
            <wp:extent cx="5122545" cy="1980000"/>
            <wp:effectExtent l="0" t="0" r="1905" b="1270"/>
            <wp:wrapSquare wrapText="bothSides"/>
            <wp:docPr id="19" name="Wykres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772">
        <w:t xml:space="preserve">Wykres </w:t>
      </w:r>
      <w:r>
        <w:t>4</w:t>
      </w:r>
      <w:r w:rsidRPr="00C15772">
        <w:t>.</w:t>
      </w:r>
      <w:r w:rsidRPr="00C15772">
        <w:rPr>
          <w:shd w:val="clear" w:color="auto" w:fill="FFFFFF"/>
        </w:rPr>
        <w:t xml:space="preserve"> </w:t>
      </w:r>
      <w:r w:rsidRPr="006736C7">
        <w:rPr>
          <w:shd w:val="clear" w:color="auto" w:fill="FFFFFF"/>
        </w:rPr>
        <w:t>Jakie zagrożenie stanowi obecna sytuacja epidemiologiczna</w:t>
      </w:r>
      <w:r>
        <w:rPr>
          <w:shd w:val="clear" w:color="auto" w:fill="FFFFFF"/>
        </w:rPr>
        <w:t xml:space="preserve"> (koronawirus COVID-19) </w:t>
      </w:r>
      <w:r w:rsidRPr="006736C7">
        <w:rPr>
          <w:shd w:val="clear" w:color="auto" w:fill="FFFFFF"/>
        </w:rPr>
        <w:t>dla osobistego zdrowia</w:t>
      </w:r>
      <w:r w:rsidRPr="00D24571">
        <w:rPr>
          <w:b w:val="0"/>
          <w:sz w:val="14"/>
          <w:szCs w:val="14"/>
        </w:rPr>
        <w:t xml:space="preserve"> </w:t>
      </w:r>
      <w:r>
        <w:rPr>
          <w:shd w:val="clear" w:color="auto" w:fill="FFFFFF"/>
        </w:rPr>
        <w:t>– struktura odpowiedzi (%)</w:t>
      </w:r>
    </w:p>
    <w:p w14:paraId="5B532DFB" w14:textId="77777777" w:rsidR="00FE5C2F" w:rsidRDefault="00FE5C2F" w:rsidP="00FE5C2F">
      <w:pPr>
        <w:pStyle w:val="Nagwek1"/>
      </w:pPr>
    </w:p>
    <w:p w14:paraId="2117E3E1" w14:textId="4DCD9E23" w:rsidR="00FE5C2F" w:rsidRDefault="00FE5C2F" w:rsidP="00FE5C2F">
      <w:pPr>
        <w:pStyle w:val="Nagwek1"/>
      </w:pPr>
    </w:p>
    <w:p w14:paraId="75B01449" w14:textId="4C2D54C5" w:rsidR="00FE5C2F" w:rsidRPr="00396FC5" w:rsidRDefault="00FE5C2F" w:rsidP="00FE5C2F">
      <w:pPr>
        <w:pStyle w:val="Nagwek1"/>
      </w:pPr>
      <w:r w:rsidRPr="00633014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780096" behindDoc="1" locked="0" layoutInCell="1" allowOverlap="1" wp14:anchorId="33C1451E" wp14:editId="18854D44">
                <wp:simplePos x="0" y="0"/>
                <wp:positionH relativeFrom="column">
                  <wp:posOffset>5244465</wp:posOffset>
                </wp:positionH>
                <wp:positionV relativeFrom="paragraph">
                  <wp:posOffset>3175</wp:posOffset>
                </wp:positionV>
                <wp:extent cx="1725295" cy="985520"/>
                <wp:effectExtent l="0" t="0" r="0" b="5080"/>
                <wp:wrapTight wrapText="bothSides">
                  <wp:wrapPolygon edited="0">
                    <wp:start x="715" y="0"/>
                    <wp:lineTo x="715" y="21294"/>
                    <wp:lineTo x="20749" y="21294"/>
                    <wp:lineTo x="20749" y="0"/>
                    <wp:lineTo x="715" y="0"/>
                  </wp:wrapPolygon>
                </wp:wrapTight>
                <wp:docPr id="203" name="Pole tekstowe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85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247806" w14:textId="0ADB7FCC" w:rsidR="00F6030E" w:rsidRPr="00380DFD" w:rsidRDefault="00F6030E" w:rsidP="00FE5C2F">
                            <w:pPr>
                              <w:pStyle w:val="tekstzboku"/>
                            </w:pPr>
                            <w:r w:rsidRPr="00097F40">
                              <w:t>Dla 88</w:t>
                            </w:r>
                            <w:r w:rsidR="00DE1E47">
                              <w:t>,0</w:t>
                            </w:r>
                            <w:r w:rsidRPr="00097F40">
                              <w:t>% respondentów obecna sytuacji epidemiologiczna stanowi duże zagrożenie dla gospodarki w Polsce</w:t>
                            </w:r>
                          </w:p>
                          <w:p w14:paraId="131D744F" w14:textId="77777777" w:rsidR="00F6030E" w:rsidRPr="00D616D2" w:rsidRDefault="00F6030E" w:rsidP="00FE5C2F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C1451E" id="Pole tekstowe 203" o:spid="_x0000_s1039" type="#_x0000_t202" style="position:absolute;margin-left:412.95pt;margin-top:.25pt;width:135.85pt;height:77.6pt;z-index:-251536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" filled="f" stroked="f">
                <v:textbox>
                  <w:txbxContent>
                    <w:p w14:paraId="75247806" w14:textId="0ADB7FCC" w:rsidR="00F6030E" w:rsidRPr="00380DFD" w:rsidRDefault="00F6030E" w:rsidP="00FE5C2F">
                      <w:pPr>
                        <w:pStyle w:val="tekstzboku"/>
                      </w:pPr>
                      <w:r w:rsidRPr="00097F40">
                        <w:t xml:space="preserve">Dla </w:t>
                      </w:r>
                      <w:r w:rsidRPr="00097F40">
                        <w:t>88</w:t>
                      </w:r>
                      <w:r w:rsidR="00DE1E47">
                        <w:t>,0</w:t>
                      </w:r>
                      <w:bookmarkStart w:id="1" w:name="_GoBack"/>
                      <w:bookmarkEnd w:id="1"/>
                      <w:r w:rsidRPr="00097F40">
                        <w:t>% respondentów obecna sytuacji epidemiologiczna stanowi duże zagrożenie dla gospodarki w Polsce</w:t>
                      </w:r>
                    </w:p>
                    <w:p w14:paraId="131D744F" w14:textId="77777777" w:rsidR="00F6030E" w:rsidRPr="00D616D2" w:rsidRDefault="00F6030E" w:rsidP="00FE5C2F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t>Jakim zagrożeniem jest obecna sytuacja epidemiologiczna dla gospodarki w Polsce</w:t>
      </w:r>
    </w:p>
    <w:p w14:paraId="7F073039" w14:textId="2CF5EDC4" w:rsidR="00FE5C2F" w:rsidRDefault="00FE5C2F" w:rsidP="00FE5C2F">
      <w:pPr>
        <w:spacing w:after="0"/>
        <w:rPr>
          <w:shd w:val="clear" w:color="auto" w:fill="FFFFFF"/>
        </w:rPr>
      </w:pPr>
      <w:r>
        <w:rPr>
          <w:shd w:val="clear" w:color="auto" w:fill="FFFFFF"/>
        </w:rPr>
        <w:t>Według 88</w:t>
      </w:r>
      <w:r w:rsidR="00CA4DFE">
        <w:rPr>
          <w:shd w:val="clear" w:color="auto" w:fill="FFFFFF"/>
        </w:rPr>
        <w:t>,0</w:t>
      </w:r>
      <w:r>
        <w:rPr>
          <w:shd w:val="clear" w:color="auto" w:fill="FFFFFF"/>
        </w:rPr>
        <w:t xml:space="preserve">% respondentów obecna sytuacji epidemiologiczna stanowi duże zagrożenie dla gospodarki w Polsce. Przeciętne zagrożenie dla gospodarki odczuwa </w:t>
      </w:r>
      <w:r w:rsidR="00233319">
        <w:rPr>
          <w:shd w:val="clear" w:color="auto" w:fill="FFFFFF"/>
        </w:rPr>
        <w:t>11</w:t>
      </w:r>
      <w:r w:rsidR="00CA4DFE">
        <w:rPr>
          <w:shd w:val="clear" w:color="auto" w:fill="FFFFFF"/>
        </w:rPr>
        <w:t>,0</w:t>
      </w:r>
      <w:r>
        <w:rPr>
          <w:shd w:val="clear" w:color="auto" w:fill="FFFFFF"/>
        </w:rPr>
        <w:t>% odpowiadających na pytania. Małe zagrożenie deklaruje tylko 0</w:t>
      </w:r>
      <w:r w:rsidR="00233319">
        <w:rPr>
          <w:shd w:val="clear" w:color="auto" w:fill="FFFFFF"/>
        </w:rPr>
        <w:t>,9</w:t>
      </w:r>
      <w:r>
        <w:rPr>
          <w:shd w:val="clear" w:color="auto" w:fill="FFFFFF"/>
        </w:rPr>
        <w:t xml:space="preserve">%, natomiast brak zagrożenia stwierdziło </w:t>
      </w:r>
      <w:r w:rsidR="00424B5D">
        <w:rPr>
          <w:shd w:val="clear" w:color="auto" w:fill="FFFFFF"/>
        </w:rPr>
        <w:t>zaledwie</w:t>
      </w:r>
      <w:r w:rsidR="00233319">
        <w:rPr>
          <w:shd w:val="clear" w:color="auto" w:fill="FFFFFF"/>
        </w:rPr>
        <w:t xml:space="preserve"> 0,1</w:t>
      </w:r>
      <w:r>
        <w:rPr>
          <w:shd w:val="clear" w:color="auto" w:fill="FFFFFF"/>
        </w:rPr>
        <w:t>% respondentów.</w:t>
      </w:r>
    </w:p>
    <w:p w14:paraId="51D1F6B6" w14:textId="5A2D59D6" w:rsidR="00FE5C2F" w:rsidRDefault="00FE5C2F" w:rsidP="00FE5C2F">
      <w:pPr>
        <w:tabs>
          <w:tab w:val="left" w:pos="3218"/>
        </w:tabs>
      </w:pPr>
      <w:r>
        <w:tab/>
      </w:r>
    </w:p>
    <w:p w14:paraId="7EF295A1" w14:textId="36ED5216" w:rsidR="00FE5C2F" w:rsidRDefault="00FE5C2F" w:rsidP="00FE5C2F">
      <w:pPr>
        <w:pStyle w:val="tytuwykresu"/>
        <w:ind w:left="851" w:hanging="851"/>
        <w:rPr>
          <w:shd w:val="clear" w:color="auto" w:fill="FFFFFF"/>
        </w:rPr>
      </w:pPr>
      <w:r w:rsidRPr="00341AC1">
        <w:rPr>
          <w:noProof/>
          <w:lang w:eastAsia="pl-PL"/>
        </w:rPr>
        <w:drawing>
          <wp:anchor distT="0" distB="0" distL="114300" distR="114300" simplePos="0" relativeHeight="251776000" behindDoc="0" locked="0" layoutInCell="1" allowOverlap="1" wp14:anchorId="5A31420E" wp14:editId="6B3542B2">
            <wp:simplePos x="0" y="0"/>
            <wp:positionH relativeFrom="margin">
              <wp:align>left</wp:align>
            </wp:positionH>
            <wp:positionV relativeFrom="margin">
              <wp:posOffset>4918380</wp:posOffset>
            </wp:positionV>
            <wp:extent cx="5122545" cy="1980000"/>
            <wp:effectExtent l="0" t="0" r="1905" b="1270"/>
            <wp:wrapSquare wrapText="bothSides"/>
            <wp:docPr id="28" name="Wykres 2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772">
        <w:t xml:space="preserve">Wykres </w:t>
      </w:r>
      <w:r>
        <w:t>5</w:t>
      </w:r>
      <w:r w:rsidRPr="00C15772">
        <w:t>.</w:t>
      </w:r>
      <w:r w:rsidRPr="00C15772">
        <w:rPr>
          <w:shd w:val="clear" w:color="auto" w:fill="FFFFFF"/>
        </w:rPr>
        <w:t xml:space="preserve"> </w:t>
      </w:r>
      <w:r w:rsidRPr="006736C7">
        <w:rPr>
          <w:shd w:val="clear" w:color="auto" w:fill="FFFFFF"/>
        </w:rPr>
        <w:t>Jakie zagrożenie stanowi obecna sytuacja epidemiologiczna</w:t>
      </w:r>
      <w:r>
        <w:rPr>
          <w:shd w:val="clear" w:color="auto" w:fill="FFFFFF"/>
        </w:rPr>
        <w:t xml:space="preserve"> (koronawirus COVID-19) </w:t>
      </w:r>
      <w:r w:rsidRPr="006736C7">
        <w:rPr>
          <w:shd w:val="clear" w:color="auto" w:fill="FFFFFF"/>
        </w:rPr>
        <w:t xml:space="preserve">dla </w:t>
      </w:r>
      <w:r>
        <w:rPr>
          <w:shd w:val="clear" w:color="auto" w:fill="FFFFFF"/>
        </w:rPr>
        <w:t>gospodarki w Polsce</w:t>
      </w:r>
      <w:r w:rsidRPr="00D24571">
        <w:rPr>
          <w:b w:val="0"/>
          <w:sz w:val="14"/>
          <w:szCs w:val="14"/>
        </w:rPr>
        <w:t xml:space="preserve"> </w:t>
      </w:r>
      <w:r>
        <w:rPr>
          <w:shd w:val="clear" w:color="auto" w:fill="FFFFFF"/>
        </w:rPr>
        <w:t>– struktura odpowiedzi (%)</w:t>
      </w:r>
    </w:p>
    <w:p w14:paraId="3B6348CF" w14:textId="5586FEE4" w:rsidR="00FE5C2F" w:rsidRDefault="00FE5C2F" w:rsidP="00FE5C2F">
      <w:pPr>
        <w:pStyle w:val="Nagwek1"/>
      </w:pPr>
    </w:p>
    <w:p w14:paraId="02744F9E" w14:textId="77777777" w:rsidR="00FE5C2F" w:rsidRPr="00FE5C2F" w:rsidRDefault="00FE5C2F" w:rsidP="00FE5C2F">
      <w:pPr>
        <w:rPr>
          <w:lang w:eastAsia="pl-PL"/>
        </w:rPr>
      </w:pPr>
    </w:p>
    <w:p w14:paraId="6AED08D6" w14:textId="17DB78A2" w:rsidR="00FE5C2F" w:rsidRPr="00396FC5" w:rsidRDefault="00FE5C2F" w:rsidP="00FE5C2F">
      <w:pPr>
        <w:pStyle w:val="Nagwek1"/>
      </w:pPr>
      <w:r w:rsidRPr="00633014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781120" behindDoc="1" locked="0" layoutInCell="1" allowOverlap="1" wp14:anchorId="4CF1FA7A" wp14:editId="7A22ECD0">
                <wp:simplePos x="0" y="0"/>
                <wp:positionH relativeFrom="rightMargin">
                  <wp:posOffset>102235</wp:posOffset>
                </wp:positionH>
                <wp:positionV relativeFrom="paragraph">
                  <wp:posOffset>80645</wp:posOffset>
                </wp:positionV>
                <wp:extent cx="1725295" cy="985520"/>
                <wp:effectExtent l="0" t="0" r="0" b="5080"/>
                <wp:wrapTight wrapText="bothSides">
                  <wp:wrapPolygon edited="0">
                    <wp:start x="715" y="0"/>
                    <wp:lineTo x="715" y="21294"/>
                    <wp:lineTo x="20749" y="21294"/>
                    <wp:lineTo x="20749" y="0"/>
                    <wp:lineTo x="715" y="0"/>
                  </wp:wrapPolygon>
                </wp:wrapTight>
                <wp:docPr id="204" name="Pole tekstowe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85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03A8C7" w14:textId="3A8A4142" w:rsidR="00F6030E" w:rsidRPr="00D616D2" w:rsidRDefault="00F6030E" w:rsidP="00FE5C2F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W przypadku 44,4</w:t>
                            </w:r>
                            <w:r w:rsidRPr="003F343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% respondentów obecna sytuacji epidemiologiczna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stanowi</w:t>
                            </w:r>
                            <w:r w:rsidRPr="003F343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 xml:space="preserve"> duże zagrożenie dla ich osobistej sytuacji finansowej </w:t>
                            </w:r>
                          </w:p>
                          <w:p w14:paraId="636ECF54" w14:textId="77777777" w:rsidR="00F6030E" w:rsidRDefault="00F6030E" w:rsidP="00FE5C2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F1FA7A" id="Pole tekstowe 204" o:spid="_x0000_s1040" type="#_x0000_t202" style="position:absolute;margin-left:8.05pt;margin-top:6.35pt;width:135.85pt;height:77.6pt;z-index:-251535360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" filled="f" stroked="f">
                <v:textbox>
                  <w:txbxContent>
                    <w:p w14:paraId="6C03A8C7" w14:textId="3A8A4142" w:rsidR="00F6030E" w:rsidRPr="00D616D2" w:rsidRDefault="00F6030E" w:rsidP="00FE5C2F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W przypadku 44,4</w:t>
                      </w:r>
                      <w:r w:rsidRPr="003F343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% respondentów obecna sytuacji epidemiologiczna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stanowi</w:t>
                      </w:r>
                      <w:r w:rsidRPr="003F343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 xml:space="preserve"> duże zagrożenie dla ich osobistej sytuacji finansowej </w:t>
                      </w:r>
                    </w:p>
                    <w:p w14:paraId="636ECF54" w14:textId="77777777" w:rsidR="00F6030E" w:rsidRDefault="00F6030E" w:rsidP="00FE5C2F"/>
                  </w:txbxContent>
                </v:textbox>
                <w10:wrap type="tight" anchorx="margin"/>
              </v:shape>
            </w:pict>
          </mc:Fallback>
        </mc:AlternateContent>
      </w:r>
      <w:r>
        <w:t>Jakim zagrożeniem jest obecna sytuacja epidemiologiczna dla osobistej sytuacji finansowej</w:t>
      </w:r>
    </w:p>
    <w:p w14:paraId="2278D934" w14:textId="3C562884" w:rsidR="00FE5C2F" w:rsidRDefault="00CA12C5" w:rsidP="00FE5C2F">
      <w:pPr>
        <w:spacing w:after="0"/>
        <w:rPr>
          <w:shd w:val="clear" w:color="auto" w:fill="FFFFFF"/>
        </w:rPr>
      </w:pPr>
      <w:r>
        <w:rPr>
          <w:shd w:val="clear" w:color="auto" w:fill="FFFFFF"/>
        </w:rPr>
        <w:t>W przypadku 44,4</w:t>
      </w:r>
      <w:r w:rsidR="00FE5C2F">
        <w:rPr>
          <w:shd w:val="clear" w:color="auto" w:fill="FFFFFF"/>
        </w:rPr>
        <w:t>% respondentów obecna sytuacja epidemiologiczna stanowi duże zagrożenie dla ich osobistej sytuacji finansowej. Pr</w:t>
      </w:r>
      <w:r w:rsidR="00CA4DFE">
        <w:rPr>
          <w:shd w:val="clear" w:color="auto" w:fill="FFFFFF"/>
        </w:rPr>
        <w:t>zeciętne zagrożenie odczuwa 36,5</w:t>
      </w:r>
      <w:r w:rsidR="00FE5C2F">
        <w:rPr>
          <w:shd w:val="clear" w:color="auto" w:fill="FFFFFF"/>
        </w:rPr>
        <w:t>% odpowiadających na pytania dotyczące koniunktury konsumenckiej.</w:t>
      </w:r>
      <w:r>
        <w:rPr>
          <w:shd w:val="clear" w:color="auto" w:fill="FFFFFF"/>
        </w:rPr>
        <w:t xml:space="preserve"> Małe zagrożenie deklaruje 14,6</w:t>
      </w:r>
      <w:r w:rsidR="00FE5C2F">
        <w:rPr>
          <w:shd w:val="clear" w:color="auto" w:fill="FFFFFF"/>
        </w:rPr>
        <w:t>%, natomiast brak zagrożenia stwierdziło</w:t>
      </w:r>
      <w:r>
        <w:rPr>
          <w:shd w:val="clear" w:color="auto" w:fill="FFFFFF"/>
        </w:rPr>
        <w:t xml:space="preserve"> 4,5</w:t>
      </w:r>
      <w:r w:rsidR="00FE5C2F">
        <w:rPr>
          <w:shd w:val="clear" w:color="auto" w:fill="FFFFFF"/>
        </w:rPr>
        <w:t>% respondentów.</w:t>
      </w:r>
    </w:p>
    <w:p w14:paraId="11316341" w14:textId="19C988A0" w:rsidR="00FE5C2F" w:rsidRDefault="00FE5C2F" w:rsidP="00FE5C2F">
      <w:pPr>
        <w:spacing w:before="0" w:after="160" w:line="259" w:lineRule="auto"/>
      </w:pPr>
      <w:r>
        <w:br w:type="page"/>
      </w:r>
    </w:p>
    <w:p w14:paraId="2EB97368" w14:textId="77777777" w:rsidR="00FE5C2F" w:rsidRDefault="00FE5C2F" w:rsidP="00FE5C2F">
      <w:pPr>
        <w:pStyle w:val="tytuwykresu"/>
        <w:ind w:left="851" w:hanging="851"/>
        <w:rPr>
          <w:shd w:val="clear" w:color="auto" w:fill="FFFFFF"/>
        </w:rPr>
      </w:pPr>
      <w:r w:rsidRPr="00341AC1">
        <w:rPr>
          <w:noProof/>
          <w:lang w:eastAsia="pl-PL"/>
        </w:rPr>
        <w:lastRenderedPageBreak/>
        <w:drawing>
          <wp:anchor distT="0" distB="0" distL="114300" distR="114300" simplePos="0" relativeHeight="251774976" behindDoc="0" locked="0" layoutInCell="1" allowOverlap="1" wp14:anchorId="28E3E73E" wp14:editId="6A536B0D">
            <wp:simplePos x="0" y="0"/>
            <wp:positionH relativeFrom="margin">
              <wp:align>right</wp:align>
            </wp:positionH>
            <wp:positionV relativeFrom="margin">
              <wp:posOffset>375861</wp:posOffset>
            </wp:positionV>
            <wp:extent cx="5122545" cy="1980000"/>
            <wp:effectExtent l="0" t="0" r="1905" b="1270"/>
            <wp:wrapSquare wrapText="bothSides"/>
            <wp:docPr id="27" name="Wykres 2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772">
        <w:t xml:space="preserve">Wykres </w:t>
      </w:r>
      <w:r>
        <w:t>6</w:t>
      </w:r>
      <w:r w:rsidRPr="00C15772">
        <w:t>.</w:t>
      </w:r>
      <w:r w:rsidRPr="00C15772">
        <w:rPr>
          <w:shd w:val="clear" w:color="auto" w:fill="FFFFFF"/>
        </w:rPr>
        <w:t xml:space="preserve"> </w:t>
      </w:r>
      <w:r w:rsidRPr="006736C7">
        <w:rPr>
          <w:shd w:val="clear" w:color="auto" w:fill="FFFFFF"/>
        </w:rPr>
        <w:t>Jakie zagrożenie stanowi obecna sytuacja epidemiologiczna</w:t>
      </w:r>
      <w:r>
        <w:rPr>
          <w:shd w:val="clear" w:color="auto" w:fill="FFFFFF"/>
        </w:rPr>
        <w:t xml:space="preserve"> (koronawirus COVID-19) </w:t>
      </w:r>
      <w:r w:rsidRPr="006736C7">
        <w:rPr>
          <w:shd w:val="clear" w:color="auto" w:fill="FFFFFF"/>
        </w:rPr>
        <w:t xml:space="preserve">dla </w:t>
      </w:r>
      <w:r>
        <w:rPr>
          <w:shd w:val="clear" w:color="auto" w:fill="FFFFFF"/>
        </w:rPr>
        <w:t>Pana/Pani osobistej sytuacji finansowej</w:t>
      </w:r>
      <w:r w:rsidRPr="00D24571">
        <w:rPr>
          <w:b w:val="0"/>
          <w:sz w:val="14"/>
          <w:szCs w:val="14"/>
        </w:rPr>
        <w:t xml:space="preserve"> </w:t>
      </w:r>
      <w:r>
        <w:rPr>
          <w:shd w:val="clear" w:color="auto" w:fill="FFFFFF"/>
        </w:rPr>
        <w:t>– struktura odpowiedzi (%)</w:t>
      </w:r>
    </w:p>
    <w:p w14:paraId="431F1F1D" w14:textId="77777777" w:rsidR="00FE5C2F" w:rsidRDefault="00FE5C2F" w:rsidP="00FE5C2F">
      <w:pPr>
        <w:pStyle w:val="Nagwek1"/>
      </w:pPr>
    </w:p>
    <w:p w14:paraId="1BF976A7" w14:textId="77777777" w:rsidR="00FE5C2F" w:rsidRDefault="00FE5C2F" w:rsidP="00FE5C2F">
      <w:pPr>
        <w:pStyle w:val="Nagwek1"/>
      </w:pPr>
    </w:p>
    <w:p w14:paraId="1B8D1880" w14:textId="0DA3FF4E" w:rsidR="00FE5C2F" w:rsidRPr="00396FC5" w:rsidRDefault="00FE5C2F" w:rsidP="00FE5C2F">
      <w:pPr>
        <w:pStyle w:val="Nagwek1"/>
      </w:pPr>
      <w:r w:rsidRPr="00633014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782144" behindDoc="1" locked="0" layoutInCell="1" allowOverlap="1" wp14:anchorId="6E305487" wp14:editId="67C4B36C">
                <wp:simplePos x="0" y="0"/>
                <wp:positionH relativeFrom="rightMargin">
                  <wp:posOffset>114884</wp:posOffset>
                </wp:positionH>
                <wp:positionV relativeFrom="paragraph">
                  <wp:posOffset>77393</wp:posOffset>
                </wp:positionV>
                <wp:extent cx="1725295" cy="985520"/>
                <wp:effectExtent l="0" t="0" r="0" b="5080"/>
                <wp:wrapTight wrapText="bothSides">
                  <wp:wrapPolygon edited="0">
                    <wp:start x="715" y="0"/>
                    <wp:lineTo x="715" y="21294"/>
                    <wp:lineTo x="20749" y="21294"/>
                    <wp:lineTo x="20749" y="0"/>
                    <wp:lineTo x="715" y="0"/>
                  </wp:wrapPolygon>
                </wp:wrapTight>
                <wp:docPr id="205" name="Pole tekstowe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85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14BF3B" w14:textId="1DE5EFBE" w:rsidR="00F6030E" w:rsidRPr="00D616D2" w:rsidRDefault="00F6030E" w:rsidP="00FE5C2F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Dla 49,5</w:t>
                            </w:r>
                            <w:r w:rsidRPr="003F343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  <w:t>% respondentów obecna sytuacji epidemiologiczna stanowi duże zagrożenie codziennego życia w lokalnej społeczności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305487" id="Pole tekstowe 205" o:spid="_x0000_s1041" type="#_x0000_t202" style="position:absolute;margin-left:9.05pt;margin-top:6.1pt;width:135.85pt;height:77.6pt;z-index:-251534336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" filled="f" stroked="f">
                <v:textbox>
                  <w:txbxContent>
                    <w:p w14:paraId="2D14BF3B" w14:textId="1DE5EFBE" w:rsidR="00F6030E" w:rsidRPr="00D616D2" w:rsidRDefault="00F6030E" w:rsidP="00FE5C2F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Dla 49,5</w:t>
                      </w:r>
                      <w:r w:rsidRPr="003F343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  <w:t>% respondentów obecna sytuacji epidemiologiczna stanowi duże zagrożenie codziennego życia w lokalnej społeczności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>
        <w:t>Jakim zagrożeniem jest obecna sytuacja epidemiologiczna dla codziennego życia w lokalnej społeczności</w:t>
      </w:r>
    </w:p>
    <w:p w14:paraId="0EF1B76D" w14:textId="564BD366" w:rsidR="00FE5C2F" w:rsidRDefault="00FE5C2F" w:rsidP="00FE5C2F">
      <w:pPr>
        <w:spacing w:after="0"/>
        <w:rPr>
          <w:shd w:val="clear" w:color="auto" w:fill="FFFFFF"/>
        </w:rPr>
      </w:pPr>
      <w:r>
        <w:rPr>
          <w:shd w:val="clear" w:color="auto" w:fill="FFFFFF"/>
        </w:rPr>
        <w:t xml:space="preserve">Dla 49,5% respondentów obecna sytuacji epidemiologiczna stanowi duże zagrożenie codziennego życia w lokalnej społeczności. Przeciętne zagrożenie odczuwa </w:t>
      </w:r>
      <w:r w:rsidR="00CA12C5">
        <w:rPr>
          <w:shd w:val="clear" w:color="auto" w:fill="FFFFFF"/>
        </w:rPr>
        <w:t>43,1</w:t>
      </w:r>
      <w:r>
        <w:rPr>
          <w:shd w:val="clear" w:color="auto" w:fill="FFFFFF"/>
        </w:rPr>
        <w:t>% odpowiadających na pytania dotyczące koniunktury konsumenckiej. Małe zagrożenie de</w:t>
      </w:r>
      <w:r w:rsidR="00CA12C5">
        <w:rPr>
          <w:shd w:val="clear" w:color="auto" w:fill="FFFFFF"/>
        </w:rPr>
        <w:t>klaruje tylko 7,3</w:t>
      </w:r>
      <w:r>
        <w:rPr>
          <w:shd w:val="clear" w:color="auto" w:fill="FFFFFF"/>
        </w:rPr>
        <w:t xml:space="preserve">%, natomiast brak zagrożenia stwierdziło </w:t>
      </w:r>
      <w:r w:rsidR="00DE1E47">
        <w:rPr>
          <w:shd w:val="clear" w:color="auto" w:fill="FFFFFF"/>
        </w:rPr>
        <w:t>mniej niż</w:t>
      </w:r>
      <w:r w:rsidR="00CA12C5">
        <w:rPr>
          <w:shd w:val="clear" w:color="auto" w:fill="FFFFFF"/>
        </w:rPr>
        <w:t xml:space="preserve"> 0,1</w:t>
      </w:r>
      <w:r>
        <w:rPr>
          <w:shd w:val="clear" w:color="auto" w:fill="FFFFFF"/>
        </w:rPr>
        <w:t>% respondentów.</w:t>
      </w:r>
    </w:p>
    <w:p w14:paraId="6A168AAA" w14:textId="1DA6F0FC" w:rsidR="00FE5C2F" w:rsidRPr="00E940D5" w:rsidRDefault="00FE5C2F" w:rsidP="00FE5C2F">
      <w:pPr>
        <w:spacing w:before="0" w:after="0"/>
        <w:rPr>
          <w:sz w:val="16"/>
          <w:shd w:val="clear" w:color="auto" w:fill="FFFFFF"/>
        </w:rPr>
      </w:pPr>
    </w:p>
    <w:p w14:paraId="7DD29331" w14:textId="009F0F48" w:rsidR="00FE5C2F" w:rsidRDefault="00FE5C2F" w:rsidP="00FE5C2F">
      <w:pPr>
        <w:pStyle w:val="tytuwykresu"/>
        <w:ind w:left="851" w:hanging="851"/>
        <w:rPr>
          <w:shd w:val="clear" w:color="auto" w:fill="FFFFFF"/>
        </w:rPr>
      </w:pPr>
      <w:r w:rsidRPr="00341AC1">
        <w:rPr>
          <w:noProof/>
          <w:lang w:eastAsia="pl-PL"/>
        </w:rPr>
        <w:drawing>
          <wp:anchor distT="0" distB="0" distL="114300" distR="114300" simplePos="0" relativeHeight="251783168" behindDoc="0" locked="0" layoutInCell="1" allowOverlap="1" wp14:anchorId="40BE7E35" wp14:editId="7415D5E1">
            <wp:simplePos x="0" y="0"/>
            <wp:positionH relativeFrom="margin">
              <wp:align>left</wp:align>
            </wp:positionH>
            <wp:positionV relativeFrom="margin">
              <wp:posOffset>4696460</wp:posOffset>
            </wp:positionV>
            <wp:extent cx="5122545" cy="1980000"/>
            <wp:effectExtent l="0" t="0" r="1905" b="1270"/>
            <wp:wrapSquare wrapText="bothSides"/>
            <wp:docPr id="29" name="Wykres 2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772">
        <w:t xml:space="preserve">Wykres </w:t>
      </w:r>
      <w:r>
        <w:t>7</w:t>
      </w:r>
      <w:r w:rsidRPr="00C15772">
        <w:t>.</w:t>
      </w:r>
      <w:r w:rsidRPr="00C15772">
        <w:rPr>
          <w:shd w:val="clear" w:color="auto" w:fill="FFFFFF"/>
        </w:rPr>
        <w:t xml:space="preserve"> </w:t>
      </w:r>
      <w:r w:rsidRPr="006736C7">
        <w:rPr>
          <w:shd w:val="clear" w:color="auto" w:fill="FFFFFF"/>
        </w:rPr>
        <w:t>Jakie zagrożenie stanowi obecna sytuacja epidemiologiczna</w:t>
      </w:r>
      <w:r>
        <w:rPr>
          <w:shd w:val="clear" w:color="auto" w:fill="FFFFFF"/>
        </w:rPr>
        <w:t xml:space="preserve"> (koronawirus COVID-19)</w:t>
      </w:r>
      <w:r w:rsidRPr="006736C7">
        <w:rPr>
          <w:shd w:val="clear" w:color="auto" w:fill="FFFFFF"/>
        </w:rPr>
        <w:t xml:space="preserve"> dla </w:t>
      </w:r>
      <w:r>
        <w:rPr>
          <w:shd w:val="clear" w:color="auto" w:fill="FFFFFF"/>
        </w:rPr>
        <w:t>codziennego życia w Pana/Pani lokalnej społeczności</w:t>
      </w:r>
      <w:r w:rsidRPr="00D24571">
        <w:rPr>
          <w:b w:val="0"/>
          <w:sz w:val="14"/>
          <w:szCs w:val="14"/>
        </w:rPr>
        <w:t xml:space="preserve"> </w:t>
      </w:r>
      <w:r>
        <w:rPr>
          <w:shd w:val="clear" w:color="auto" w:fill="FFFFFF"/>
        </w:rPr>
        <w:t>– struktura odpowiedzi (%)</w:t>
      </w:r>
    </w:p>
    <w:p w14:paraId="1265AD2C" w14:textId="30C5FE3B" w:rsidR="00FE5C2F" w:rsidRDefault="00FE5C2F">
      <w:pPr>
        <w:spacing w:before="0" w:after="160" w:line="259" w:lineRule="auto"/>
        <w:rPr>
          <w:b/>
          <w:spacing w:val="-2"/>
          <w:sz w:val="18"/>
          <w:shd w:val="clear" w:color="auto" w:fill="FFFFFF"/>
        </w:rPr>
      </w:pPr>
      <w:r>
        <w:rPr>
          <w:b/>
          <w:spacing w:val="-2"/>
          <w:sz w:val="18"/>
          <w:shd w:val="clear" w:color="auto" w:fill="FFFFFF"/>
        </w:rPr>
        <w:br w:type="page"/>
      </w:r>
    </w:p>
    <w:p w14:paraId="241B3090" w14:textId="77777777" w:rsidR="00FE5C2F" w:rsidRDefault="00FE5C2F" w:rsidP="00FE5C2F">
      <w:pPr>
        <w:ind w:left="851" w:hanging="851"/>
        <w:rPr>
          <w:b/>
          <w:spacing w:val="-2"/>
          <w:sz w:val="18"/>
          <w:shd w:val="clear" w:color="auto" w:fill="FFFFFF"/>
        </w:rPr>
      </w:pPr>
    </w:p>
    <w:p w14:paraId="61B139E3" w14:textId="26AD6D68" w:rsidR="00FE5C2F" w:rsidRPr="009F2906" w:rsidRDefault="00FE5C2F" w:rsidP="00FE5C2F">
      <w:pPr>
        <w:ind w:left="851" w:hanging="851"/>
        <w:rPr>
          <w:b/>
          <w:spacing w:val="-2"/>
          <w:sz w:val="18"/>
          <w:shd w:val="clear" w:color="auto" w:fill="FFFFFF"/>
        </w:rPr>
      </w:pPr>
      <w:r w:rsidRPr="005A36AA">
        <w:rPr>
          <w:b/>
          <w:spacing w:val="-2"/>
          <w:sz w:val="18"/>
          <w:shd w:val="clear" w:color="auto" w:fill="FFFFFF"/>
        </w:rPr>
        <w:t>Tablica</w:t>
      </w:r>
      <w:r>
        <w:rPr>
          <w:b/>
          <w:spacing w:val="-2"/>
          <w:sz w:val="18"/>
          <w:shd w:val="clear" w:color="auto" w:fill="FFFFFF"/>
        </w:rPr>
        <w:t xml:space="preserve"> 1</w:t>
      </w:r>
      <w:r w:rsidRPr="0057036A">
        <w:rPr>
          <w:b/>
          <w:spacing w:val="-2"/>
          <w:sz w:val="18"/>
          <w:shd w:val="clear" w:color="auto" w:fill="FFFFFF"/>
        </w:rPr>
        <w:t xml:space="preserve">. </w:t>
      </w:r>
      <w:r>
        <w:rPr>
          <w:b/>
          <w:spacing w:val="-2"/>
          <w:sz w:val="18"/>
          <w:shd w:val="clear" w:color="auto" w:fill="FFFFFF"/>
        </w:rPr>
        <w:t>Pytania dodatkowe (odsetki odpowiedzi)</w:t>
      </w:r>
      <w:r w:rsidRPr="005A36AA">
        <w:rPr>
          <w:b/>
          <w:spacing w:val="-2"/>
          <w:sz w:val="18"/>
          <w:shd w:val="clear" w:color="auto" w:fill="FFFFFF"/>
        </w:rPr>
        <w:t xml:space="preserve"> </w:t>
      </w:r>
      <w:r>
        <w:rPr>
          <w:b/>
          <w:spacing w:val="-2"/>
          <w:sz w:val="18"/>
          <w:shd w:val="clear" w:color="auto" w:fill="FFFFFF"/>
        </w:rPr>
        <w:t xml:space="preserve"> - sytuacja epidemiologiczna (zagrożenie koronawirusem COVID-19)</w:t>
      </w:r>
    </w:p>
    <w:tbl>
      <w:tblPr>
        <w:tblStyle w:val="Tabela-Siatka"/>
        <w:tblW w:w="7088" w:type="dxa"/>
        <w:tblLayout w:type="fixed"/>
        <w:tblLook w:val="04A0" w:firstRow="1" w:lastRow="0" w:firstColumn="1" w:lastColumn="0" w:noHBand="0" w:noVBand="1"/>
      </w:tblPr>
      <w:tblGrid>
        <w:gridCol w:w="3261"/>
        <w:gridCol w:w="2693"/>
        <w:gridCol w:w="1134"/>
      </w:tblGrid>
      <w:tr w:rsidR="00FE5C2F" w:rsidRPr="00D24571" w14:paraId="67A2BBE5" w14:textId="77777777" w:rsidTr="00F6030E">
        <w:tc>
          <w:tcPr>
            <w:tcW w:w="5954" w:type="dxa"/>
            <w:gridSpan w:val="2"/>
            <w:tcBorders>
              <w:top w:val="nil"/>
              <w:left w:val="nil"/>
              <w:bottom w:val="single" w:sz="12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6706AF8D" w14:textId="77777777" w:rsidR="00FE5C2F" w:rsidRPr="00D24571" w:rsidRDefault="00FE5C2F" w:rsidP="00F6030E">
            <w:pPr>
              <w:jc w:val="center"/>
              <w:rPr>
                <w:sz w:val="14"/>
                <w:szCs w:val="14"/>
              </w:rPr>
            </w:pPr>
            <w:r w:rsidRPr="00D24571">
              <w:rPr>
                <w:sz w:val="14"/>
                <w:szCs w:val="14"/>
              </w:rPr>
              <w:t>WYSZCZEGÓLNIENIE</w:t>
            </w:r>
          </w:p>
        </w:tc>
        <w:tc>
          <w:tcPr>
            <w:tcW w:w="1134" w:type="dxa"/>
            <w:tcBorders>
              <w:top w:val="nil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shd w:val="clear" w:color="auto" w:fill="auto"/>
          </w:tcPr>
          <w:p w14:paraId="06899841" w14:textId="77777777" w:rsidR="00FE5C2F" w:rsidRPr="009F2906" w:rsidRDefault="00FE5C2F" w:rsidP="00F6030E">
            <w:pPr>
              <w:jc w:val="center"/>
              <w:rPr>
                <w:b/>
                <w:bCs/>
                <w:sz w:val="14"/>
                <w:szCs w:val="14"/>
              </w:rPr>
            </w:pPr>
            <w:r w:rsidRPr="009F2906">
              <w:rPr>
                <w:b/>
                <w:bCs/>
                <w:sz w:val="14"/>
                <w:szCs w:val="14"/>
              </w:rPr>
              <w:t>Kwiecień</w:t>
            </w:r>
          </w:p>
        </w:tc>
      </w:tr>
      <w:tr w:rsidR="00FE5C2F" w:rsidRPr="00D24571" w14:paraId="043BC519" w14:textId="77777777" w:rsidTr="00F6030E">
        <w:trPr>
          <w:trHeight w:val="369"/>
        </w:trPr>
        <w:tc>
          <w:tcPr>
            <w:tcW w:w="3261" w:type="dxa"/>
            <w:vMerge w:val="restart"/>
            <w:tcBorders>
              <w:top w:val="single" w:sz="12" w:space="0" w:color="001D77"/>
              <w:left w:val="nil"/>
              <w:bottom w:val="single" w:sz="4" w:space="0" w:color="001D77"/>
              <w:right w:val="nil"/>
            </w:tcBorders>
          </w:tcPr>
          <w:p w14:paraId="690F2890" w14:textId="17CA11F6" w:rsidR="00FE5C2F" w:rsidRPr="00D24571" w:rsidRDefault="00FE5C2F" w:rsidP="00CA4DFE">
            <w:pPr>
              <w:rPr>
                <w:b/>
                <w:sz w:val="14"/>
                <w:szCs w:val="14"/>
              </w:rPr>
            </w:pPr>
            <w:r w:rsidRPr="00E631C8">
              <w:rPr>
                <w:b/>
                <w:noProof/>
                <w:sz w:val="14"/>
                <w:szCs w:val="14"/>
                <w:lang w:eastAsia="pl-PL"/>
              </w:rPr>
              <w:t>Jaki wpływ na Pana/Pani odpowiedzi miała obecna sytuacja epidemiologiczna (koronawirus COVID</w:t>
            </w:r>
            <w:r w:rsidR="00CA4DFE">
              <w:rPr>
                <w:b/>
                <w:noProof/>
                <w:sz w:val="14"/>
                <w:szCs w:val="14"/>
                <w:lang w:eastAsia="pl-PL"/>
              </w:rPr>
              <w:t>-</w:t>
            </w:r>
            <w:r w:rsidRPr="00E631C8">
              <w:rPr>
                <w:b/>
                <w:noProof/>
                <w:sz w:val="14"/>
                <w:szCs w:val="14"/>
                <w:lang w:eastAsia="pl-PL"/>
              </w:rPr>
              <w:t>19)?</w:t>
            </w:r>
            <w:r>
              <w:rPr>
                <w:b/>
                <w:noProof/>
                <w:sz w:val="14"/>
                <w:szCs w:val="14"/>
                <w:lang w:eastAsia="pl-PL"/>
              </w:rPr>
              <w:t xml:space="preserve"> </w:t>
            </w:r>
          </w:p>
        </w:tc>
        <w:tc>
          <w:tcPr>
            <w:tcW w:w="2693" w:type="dxa"/>
            <w:tcBorders>
              <w:top w:val="single" w:sz="12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05941D7E" w14:textId="77777777" w:rsidR="00FE5C2F" w:rsidRPr="00D24571" w:rsidRDefault="00FE5C2F" w:rsidP="00F6030E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Fira Sans"/>
                <w:color w:val="000000"/>
                <w:sz w:val="14"/>
                <w:szCs w:val="14"/>
              </w:rPr>
            </w:pPr>
            <w:r>
              <w:rPr>
                <w:rFonts w:cs="Fira Sans"/>
                <w:color w:val="000000"/>
                <w:sz w:val="14"/>
                <w:szCs w:val="14"/>
              </w:rPr>
              <w:t>znaczny</w:t>
            </w:r>
          </w:p>
        </w:tc>
        <w:tc>
          <w:tcPr>
            <w:tcW w:w="1134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E3C23F2" w14:textId="6E5AFC34" w:rsidR="00FE5C2F" w:rsidRPr="00D24571" w:rsidRDefault="0092395E" w:rsidP="00F6030E">
            <w:pPr>
              <w:spacing w:before="0" w:after="0" w:line="240" w:lineRule="auto"/>
              <w:jc w:val="right"/>
              <w:rPr>
                <w:rFonts w:cs="Calibri"/>
                <w:color w:val="000000"/>
                <w:sz w:val="14"/>
                <w:szCs w:val="14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58,1</w:t>
            </w:r>
          </w:p>
        </w:tc>
      </w:tr>
      <w:tr w:rsidR="00FE5C2F" w:rsidRPr="00D24571" w14:paraId="4F16D325" w14:textId="77777777" w:rsidTr="00F6030E">
        <w:trPr>
          <w:trHeight w:val="369"/>
        </w:trPr>
        <w:tc>
          <w:tcPr>
            <w:tcW w:w="3261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0404FCD1" w14:textId="77777777" w:rsidR="00FE5C2F" w:rsidRPr="00D24571" w:rsidRDefault="00FE5C2F" w:rsidP="00F6030E">
            <w:pPr>
              <w:rPr>
                <w:sz w:val="14"/>
                <w:szCs w:val="14"/>
              </w:rPr>
            </w:pPr>
          </w:p>
        </w:tc>
        <w:tc>
          <w:tcPr>
            <w:tcW w:w="2693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4E63A243" w14:textId="77777777" w:rsidR="00FE5C2F" w:rsidRPr="00D24571" w:rsidRDefault="00FE5C2F" w:rsidP="00F6030E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Fira Sans"/>
                <w:color w:val="000000"/>
                <w:sz w:val="14"/>
                <w:szCs w:val="14"/>
              </w:rPr>
            </w:pPr>
            <w:r>
              <w:rPr>
                <w:rFonts w:cs="Fira Sans"/>
                <w:color w:val="000000"/>
                <w:sz w:val="14"/>
                <w:szCs w:val="14"/>
              </w:rPr>
              <w:t>umiarkowany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F54B0FD" w14:textId="63F39163" w:rsidR="00FE5C2F" w:rsidRPr="00D24571" w:rsidRDefault="0092395E" w:rsidP="00F6030E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37,3</w:t>
            </w:r>
          </w:p>
        </w:tc>
      </w:tr>
      <w:tr w:rsidR="00FE5C2F" w:rsidRPr="00D24571" w14:paraId="056FCE10" w14:textId="77777777" w:rsidTr="00F6030E">
        <w:trPr>
          <w:trHeight w:val="369"/>
        </w:trPr>
        <w:tc>
          <w:tcPr>
            <w:tcW w:w="3261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39AF083C" w14:textId="77777777" w:rsidR="00FE5C2F" w:rsidRPr="00D24571" w:rsidRDefault="00FE5C2F" w:rsidP="00F6030E">
            <w:pPr>
              <w:rPr>
                <w:sz w:val="14"/>
                <w:szCs w:val="14"/>
              </w:rPr>
            </w:pPr>
          </w:p>
        </w:tc>
        <w:tc>
          <w:tcPr>
            <w:tcW w:w="2693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0ADBBED1" w14:textId="77777777" w:rsidR="00FE5C2F" w:rsidRPr="00D24571" w:rsidRDefault="00FE5C2F" w:rsidP="00F6030E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Fira Sans"/>
                <w:color w:val="000000"/>
                <w:sz w:val="14"/>
                <w:szCs w:val="14"/>
              </w:rPr>
            </w:pPr>
            <w:r>
              <w:rPr>
                <w:rFonts w:cs="Fira Sans"/>
                <w:color w:val="000000"/>
                <w:sz w:val="14"/>
                <w:szCs w:val="14"/>
              </w:rPr>
              <w:t>żaden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B340350" w14:textId="5081CB19" w:rsidR="00FE5C2F" w:rsidRPr="00D24571" w:rsidRDefault="0092395E" w:rsidP="00F6030E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4,6</w:t>
            </w:r>
          </w:p>
        </w:tc>
      </w:tr>
      <w:tr w:rsidR="00FE5C2F" w:rsidRPr="00D24571" w14:paraId="70C7ED76" w14:textId="77777777" w:rsidTr="00F6030E">
        <w:trPr>
          <w:trHeight w:hRule="exact" w:val="369"/>
        </w:trPr>
        <w:tc>
          <w:tcPr>
            <w:tcW w:w="3261" w:type="dxa"/>
            <w:vMerge w:val="restart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2D40DF8E" w14:textId="6235FF7A" w:rsidR="00FE5C2F" w:rsidRPr="00D24571" w:rsidRDefault="00FE5C2F" w:rsidP="00F6030E">
            <w:pPr>
              <w:rPr>
                <w:b/>
                <w:sz w:val="14"/>
                <w:szCs w:val="14"/>
              </w:rPr>
            </w:pPr>
            <w:r w:rsidRPr="00E631C8">
              <w:rPr>
                <w:b/>
                <w:sz w:val="14"/>
                <w:szCs w:val="14"/>
              </w:rPr>
              <w:t xml:space="preserve">Czy w związku z obecną sytuacją epidemiologiczną (koronawirus </w:t>
            </w:r>
            <w:r w:rsidR="00CA4DFE">
              <w:rPr>
                <w:b/>
                <w:sz w:val="14"/>
                <w:szCs w:val="14"/>
              </w:rPr>
              <w:t>COVID-</w:t>
            </w:r>
            <w:r w:rsidRPr="00E631C8">
              <w:rPr>
                <w:b/>
                <w:sz w:val="14"/>
                <w:szCs w:val="14"/>
              </w:rPr>
              <w:t>19), obawia się Pan/Pani utraty pracy lub zaprzestania prowadzenia własnej działalności?</w:t>
            </w:r>
          </w:p>
        </w:tc>
        <w:tc>
          <w:tcPr>
            <w:tcW w:w="2693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2CCD16B7" w14:textId="77777777" w:rsidR="00FE5C2F" w:rsidRPr="00D24571" w:rsidRDefault="00FE5C2F" w:rsidP="00F6030E">
            <w:pPr>
              <w:autoSpaceDE w:val="0"/>
              <w:autoSpaceDN w:val="0"/>
              <w:adjustRightInd w:val="0"/>
              <w:spacing w:before="0" w:after="0" w:line="240" w:lineRule="auto"/>
              <w:rPr>
                <w:sz w:val="14"/>
                <w:szCs w:val="14"/>
              </w:rPr>
            </w:pPr>
            <w:r w:rsidRPr="003D18AF">
              <w:rPr>
                <w:sz w:val="14"/>
                <w:szCs w:val="14"/>
              </w:rPr>
              <w:t xml:space="preserve">zdecydowanie tak                                                                                                                                      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2ED32EF" w14:textId="10076843" w:rsidR="00FE5C2F" w:rsidRPr="00D24571" w:rsidRDefault="0092395E" w:rsidP="00F6030E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11,1</w:t>
            </w:r>
          </w:p>
        </w:tc>
      </w:tr>
      <w:tr w:rsidR="00FE5C2F" w:rsidRPr="00D24571" w14:paraId="74863483" w14:textId="77777777" w:rsidTr="00F6030E">
        <w:trPr>
          <w:trHeight w:hRule="exact" w:val="369"/>
        </w:trPr>
        <w:tc>
          <w:tcPr>
            <w:tcW w:w="3261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40EDC4A0" w14:textId="77777777" w:rsidR="00FE5C2F" w:rsidRPr="00D24571" w:rsidRDefault="00FE5C2F" w:rsidP="00F6030E">
            <w:pPr>
              <w:rPr>
                <w:sz w:val="14"/>
                <w:szCs w:val="14"/>
              </w:rPr>
            </w:pPr>
          </w:p>
        </w:tc>
        <w:tc>
          <w:tcPr>
            <w:tcW w:w="2693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7C9CF23B" w14:textId="77777777" w:rsidR="00FE5C2F" w:rsidRPr="00D24571" w:rsidRDefault="00FE5C2F" w:rsidP="00F6030E">
            <w:pPr>
              <w:autoSpaceDE w:val="0"/>
              <w:autoSpaceDN w:val="0"/>
              <w:adjustRightInd w:val="0"/>
              <w:spacing w:before="0" w:after="0" w:line="240" w:lineRule="auto"/>
              <w:rPr>
                <w:sz w:val="14"/>
                <w:szCs w:val="14"/>
              </w:rPr>
            </w:pPr>
            <w:r w:rsidRPr="003D18AF">
              <w:rPr>
                <w:sz w:val="14"/>
                <w:szCs w:val="14"/>
              </w:rPr>
              <w:t xml:space="preserve">możliwe                                                                                                                                               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C05C5E9" w14:textId="7B798D8A" w:rsidR="00FE5C2F" w:rsidRPr="00D24571" w:rsidRDefault="0092395E" w:rsidP="00F6030E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16,9</w:t>
            </w:r>
          </w:p>
        </w:tc>
      </w:tr>
      <w:tr w:rsidR="00FE5C2F" w:rsidRPr="00D24571" w14:paraId="53FFA65B" w14:textId="77777777" w:rsidTr="00F6030E">
        <w:trPr>
          <w:trHeight w:hRule="exact" w:val="369"/>
        </w:trPr>
        <w:tc>
          <w:tcPr>
            <w:tcW w:w="3261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5B99809F" w14:textId="77777777" w:rsidR="00FE5C2F" w:rsidRPr="00D24571" w:rsidRDefault="00FE5C2F" w:rsidP="00F6030E">
            <w:pPr>
              <w:rPr>
                <w:sz w:val="14"/>
                <w:szCs w:val="14"/>
              </w:rPr>
            </w:pPr>
          </w:p>
        </w:tc>
        <w:tc>
          <w:tcPr>
            <w:tcW w:w="2693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2AE8377E" w14:textId="77777777" w:rsidR="00FE5C2F" w:rsidRPr="00D24571" w:rsidRDefault="00FE5C2F" w:rsidP="00F6030E">
            <w:pPr>
              <w:autoSpaceDE w:val="0"/>
              <w:autoSpaceDN w:val="0"/>
              <w:adjustRightInd w:val="0"/>
              <w:spacing w:before="0" w:after="0" w:line="240" w:lineRule="auto"/>
              <w:rPr>
                <w:sz w:val="14"/>
                <w:szCs w:val="14"/>
              </w:rPr>
            </w:pPr>
            <w:r w:rsidRPr="003D18AF">
              <w:rPr>
                <w:sz w:val="14"/>
                <w:szCs w:val="14"/>
              </w:rPr>
              <w:t xml:space="preserve">raczej nie                                                                                                                                            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9A5AD8C" w14:textId="7ACDB49F" w:rsidR="00FE5C2F" w:rsidRPr="00D24571" w:rsidRDefault="00EC5DD8" w:rsidP="00F6030E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16,3</w:t>
            </w:r>
          </w:p>
        </w:tc>
      </w:tr>
      <w:tr w:rsidR="00FE5C2F" w:rsidRPr="00D24571" w14:paraId="6141B0D2" w14:textId="77777777" w:rsidTr="00F6030E">
        <w:trPr>
          <w:trHeight w:hRule="exact" w:val="369"/>
        </w:trPr>
        <w:tc>
          <w:tcPr>
            <w:tcW w:w="3261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119DCA60" w14:textId="77777777" w:rsidR="00FE5C2F" w:rsidRPr="00D24571" w:rsidRDefault="00FE5C2F" w:rsidP="00F6030E">
            <w:pPr>
              <w:rPr>
                <w:sz w:val="14"/>
                <w:szCs w:val="14"/>
              </w:rPr>
            </w:pPr>
          </w:p>
        </w:tc>
        <w:tc>
          <w:tcPr>
            <w:tcW w:w="2693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6D698C21" w14:textId="77777777" w:rsidR="00FE5C2F" w:rsidRPr="003D18AF" w:rsidRDefault="00FE5C2F" w:rsidP="00F6030E">
            <w:pPr>
              <w:autoSpaceDE w:val="0"/>
              <w:autoSpaceDN w:val="0"/>
              <w:adjustRightInd w:val="0"/>
              <w:spacing w:before="0" w:after="0" w:line="240" w:lineRule="auto"/>
              <w:rPr>
                <w:sz w:val="14"/>
                <w:szCs w:val="14"/>
              </w:rPr>
            </w:pPr>
            <w:r w:rsidRPr="003D18AF">
              <w:rPr>
                <w:sz w:val="14"/>
                <w:szCs w:val="14"/>
              </w:rPr>
              <w:t>nie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531C43B" w14:textId="2DFFB698" w:rsidR="00FE5C2F" w:rsidRPr="00D24571" w:rsidRDefault="0092395E" w:rsidP="00F6030E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11,6</w:t>
            </w:r>
          </w:p>
        </w:tc>
      </w:tr>
      <w:tr w:rsidR="00FE5C2F" w:rsidRPr="00D24571" w14:paraId="4652C08D" w14:textId="77777777" w:rsidTr="00F6030E">
        <w:trPr>
          <w:trHeight w:hRule="exact" w:val="369"/>
        </w:trPr>
        <w:tc>
          <w:tcPr>
            <w:tcW w:w="3261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30295AA2" w14:textId="77777777" w:rsidR="00FE5C2F" w:rsidRPr="00D24571" w:rsidRDefault="00FE5C2F" w:rsidP="00F6030E">
            <w:pPr>
              <w:rPr>
                <w:sz w:val="14"/>
                <w:szCs w:val="14"/>
              </w:rPr>
            </w:pPr>
          </w:p>
        </w:tc>
        <w:tc>
          <w:tcPr>
            <w:tcW w:w="2693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3D86B35F" w14:textId="77777777" w:rsidR="00FE5C2F" w:rsidRPr="003D18AF" w:rsidRDefault="00FE5C2F" w:rsidP="00F6030E">
            <w:pPr>
              <w:autoSpaceDE w:val="0"/>
              <w:autoSpaceDN w:val="0"/>
              <w:adjustRightInd w:val="0"/>
              <w:spacing w:before="0" w:after="0" w:line="240" w:lineRule="auto"/>
              <w:rPr>
                <w:sz w:val="14"/>
                <w:szCs w:val="14"/>
              </w:rPr>
            </w:pPr>
            <w:r w:rsidRPr="003D18AF">
              <w:rPr>
                <w:sz w:val="14"/>
                <w:szCs w:val="14"/>
              </w:rPr>
              <w:t>nie mam zdania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39C1807" w14:textId="707DC5F7" w:rsidR="00FE5C2F" w:rsidRPr="00D24571" w:rsidRDefault="0092395E" w:rsidP="00F6030E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2,4</w:t>
            </w:r>
          </w:p>
        </w:tc>
      </w:tr>
      <w:tr w:rsidR="00FE5C2F" w:rsidRPr="00D24571" w14:paraId="4692BAE9" w14:textId="77777777" w:rsidTr="00F6030E">
        <w:trPr>
          <w:trHeight w:hRule="exact" w:val="369"/>
        </w:trPr>
        <w:tc>
          <w:tcPr>
            <w:tcW w:w="3261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6FB1AC60" w14:textId="77777777" w:rsidR="00FE5C2F" w:rsidRPr="00D24571" w:rsidRDefault="00FE5C2F" w:rsidP="00F6030E">
            <w:pPr>
              <w:rPr>
                <w:sz w:val="14"/>
                <w:szCs w:val="14"/>
              </w:rPr>
            </w:pPr>
          </w:p>
        </w:tc>
        <w:tc>
          <w:tcPr>
            <w:tcW w:w="2693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0E2EBFD6" w14:textId="77777777" w:rsidR="00FE5C2F" w:rsidRPr="00D24571" w:rsidRDefault="00FE5C2F" w:rsidP="00F6030E">
            <w:pPr>
              <w:autoSpaceDE w:val="0"/>
              <w:autoSpaceDN w:val="0"/>
              <w:adjustRightInd w:val="0"/>
              <w:spacing w:before="0" w:after="0" w:line="240" w:lineRule="auto"/>
              <w:rPr>
                <w:sz w:val="14"/>
                <w:szCs w:val="14"/>
              </w:rPr>
            </w:pPr>
            <w:r w:rsidRPr="003D18AF">
              <w:rPr>
                <w:sz w:val="14"/>
                <w:szCs w:val="14"/>
              </w:rPr>
              <w:t>nie dotyczy (dla osób niepracujących)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2822A04" w14:textId="0FEA72FD" w:rsidR="00FE5C2F" w:rsidRPr="00D24571" w:rsidRDefault="0092395E" w:rsidP="00F6030E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41,7</w:t>
            </w:r>
          </w:p>
        </w:tc>
      </w:tr>
      <w:tr w:rsidR="00FE5C2F" w:rsidRPr="00D24571" w14:paraId="0D0A969B" w14:textId="77777777" w:rsidTr="00F6030E">
        <w:trPr>
          <w:trHeight w:hRule="exact" w:val="369"/>
        </w:trPr>
        <w:tc>
          <w:tcPr>
            <w:tcW w:w="3261" w:type="dxa"/>
            <w:vMerge w:val="restart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06196639" w14:textId="508956E2" w:rsidR="00FE5C2F" w:rsidRPr="00D24571" w:rsidRDefault="00FE5C2F" w:rsidP="00F6030E">
            <w:pPr>
              <w:rPr>
                <w:b/>
                <w:sz w:val="14"/>
                <w:szCs w:val="14"/>
              </w:rPr>
            </w:pPr>
            <w:r w:rsidRPr="00E631C8">
              <w:rPr>
                <w:b/>
                <w:sz w:val="14"/>
                <w:szCs w:val="14"/>
              </w:rPr>
              <w:t>Jakim zagrożeniem, Pana/Pani zdaniem, jest obecna sytuacja epid</w:t>
            </w:r>
            <w:r w:rsidR="00CA4DFE">
              <w:rPr>
                <w:b/>
                <w:sz w:val="14"/>
                <w:szCs w:val="14"/>
              </w:rPr>
              <w:t>emiologiczna (koronawirus COVID-</w:t>
            </w:r>
            <w:r w:rsidRPr="00E631C8">
              <w:rPr>
                <w:b/>
                <w:sz w:val="14"/>
                <w:szCs w:val="14"/>
              </w:rPr>
              <w:t>19) dla zdrowia populacji Polski jako całości?</w:t>
            </w:r>
          </w:p>
        </w:tc>
        <w:tc>
          <w:tcPr>
            <w:tcW w:w="2693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17734990" w14:textId="77777777" w:rsidR="00FE5C2F" w:rsidRPr="00D24571" w:rsidRDefault="00FE5C2F" w:rsidP="00F6030E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Fira Sans"/>
                <w:color w:val="000000"/>
                <w:sz w:val="14"/>
                <w:szCs w:val="14"/>
              </w:rPr>
            </w:pPr>
            <w:r w:rsidRPr="00D24571">
              <w:rPr>
                <w:sz w:val="14"/>
                <w:szCs w:val="14"/>
              </w:rPr>
              <w:t>duże zagrożenie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3CD9DD46" w14:textId="601310D6" w:rsidR="00FE5C2F" w:rsidRPr="00D24571" w:rsidRDefault="0092395E" w:rsidP="0012739E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69,</w:t>
            </w:r>
            <w:r w:rsidR="0012739E">
              <w:rPr>
                <w:rFonts w:cs="Calibri"/>
                <w:color w:val="000000"/>
                <w:sz w:val="14"/>
                <w:szCs w:val="14"/>
              </w:rPr>
              <w:t>8</w:t>
            </w:r>
          </w:p>
        </w:tc>
      </w:tr>
      <w:tr w:rsidR="00FE5C2F" w:rsidRPr="00D24571" w14:paraId="5890636E" w14:textId="77777777" w:rsidTr="00F6030E">
        <w:trPr>
          <w:trHeight w:hRule="exact" w:val="369"/>
        </w:trPr>
        <w:tc>
          <w:tcPr>
            <w:tcW w:w="3261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6A40796B" w14:textId="77777777" w:rsidR="00FE5C2F" w:rsidRPr="00D24571" w:rsidRDefault="00FE5C2F" w:rsidP="00F6030E">
            <w:pPr>
              <w:rPr>
                <w:sz w:val="14"/>
                <w:szCs w:val="14"/>
              </w:rPr>
            </w:pPr>
          </w:p>
        </w:tc>
        <w:tc>
          <w:tcPr>
            <w:tcW w:w="2693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467EF827" w14:textId="77777777" w:rsidR="00FE5C2F" w:rsidRPr="00D24571" w:rsidRDefault="00FE5C2F" w:rsidP="00F6030E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Fira Sans"/>
                <w:color w:val="000000"/>
                <w:sz w:val="14"/>
                <w:szCs w:val="14"/>
              </w:rPr>
            </w:pPr>
            <w:r w:rsidRPr="00D24571">
              <w:rPr>
                <w:sz w:val="14"/>
                <w:szCs w:val="14"/>
              </w:rPr>
              <w:t>przeciętne zagrożenie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002DACB" w14:textId="72460D8C" w:rsidR="00FE5C2F" w:rsidRPr="00D24571" w:rsidRDefault="0092395E" w:rsidP="00F6030E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27,0</w:t>
            </w:r>
          </w:p>
        </w:tc>
      </w:tr>
      <w:tr w:rsidR="00FE5C2F" w:rsidRPr="00D24571" w14:paraId="6520FBE6" w14:textId="77777777" w:rsidTr="00F6030E">
        <w:trPr>
          <w:trHeight w:hRule="exact" w:val="369"/>
        </w:trPr>
        <w:tc>
          <w:tcPr>
            <w:tcW w:w="3261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364349F4" w14:textId="77777777" w:rsidR="00FE5C2F" w:rsidRPr="00D24571" w:rsidRDefault="00FE5C2F" w:rsidP="00F6030E">
            <w:pPr>
              <w:rPr>
                <w:sz w:val="14"/>
                <w:szCs w:val="14"/>
              </w:rPr>
            </w:pPr>
          </w:p>
        </w:tc>
        <w:tc>
          <w:tcPr>
            <w:tcW w:w="2693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4E78EB0F" w14:textId="77777777" w:rsidR="00FE5C2F" w:rsidRPr="00D24571" w:rsidRDefault="00FE5C2F" w:rsidP="00F6030E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Fira Sans"/>
                <w:color w:val="000000"/>
                <w:sz w:val="14"/>
                <w:szCs w:val="14"/>
              </w:rPr>
            </w:pPr>
            <w:r w:rsidRPr="00D24571">
              <w:rPr>
                <w:sz w:val="14"/>
                <w:szCs w:val="14"/>
              </w:rPr>
              <w:t>małe zagrożenie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0FDE7AFD" w14:textId="363A0171" w:rsidR="00FE5C2F" w:rsidRPr="00D24571" w:rsidRDefault="0092395E" w:rsidP="00F6030E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3,0</w:t>
            </w:r>
          </w:p>
        </w:tc>
      </w:tr>
      <w:tr w:rsidR="00FE5C2F" w:rsidRPr="00D24571" w14:paraId="29551225" w14:textId="77777777" w:rsidTr="00F6030E">
        <w:trPr>
          <w:trHeight w:hRule="exact" w:val="369"/>
        </w:trPr>
        <w:tc>
          <w:tcPr>
            <w:tcW w:w="3261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3D6C850A" w14:textId="77777777" w:rsidR="00FE5C2F" w:rsidRPr="00D24571" w:rsidRDefault="00FE5C2F" w:rsidP="00F6030E">
            <w:pPr>
              <w:rPr>
                <w:sz w:val="14"/>
                <w:szCs w:val="14"/>
              </w:rPr>
            </w:pPr>
          </w:p>
        </w:tc>
        <w:tc>
          <w:tcPr>
            <w:tcW w:w="2693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0738AC59" w14:textId="77777777" w:rsidR="00FE5C2F" w:rsidRPr="00D24571" w:rsidRDefault="00FE5C2F" w:rsidP="00F6030E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Fira Sans"/>
                <w:color w:val="000000"/>
                <w:sz w:val="14"/>
                <w:szCs w:val="14"/>
              </w:rPr>
            </w:pPr>
            <w:r w:rsidRPr="00D24571">
              <w:rPr>
                <w:sz w:val="14"/>
                <w:szCs w:val="14"/>
              </w:rPr>
              <w:t>brak zagrożenia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4389266" w14:textId="06E14307" w:rsidR="00FE5C2F" w:rsidRPr="00D24571" w:rsidRDefault="0092395E" w:rsidP="00F6030E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0,2</w:t>
            </w:r>
          </w:p>
        </w:tc>
      </w:tr>
      <w:tr w:rsidR="00FE5C2F" w:rsidRPr="00D24571" w14:paraId="6CC1C1EC" w14:textId="77777777" w:rsidTr="00F6030E">
        <w:trPr>
          <w:trHeight w:val="369"/>
        </w:trPr>
        <w:tc>
          <w:tcPr>
            <w:tcW w:w="3261" w:type="dxa"/>
            <w:vMerge w:val="restart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3FA5ED08" w14:textId="3566878F" w:rsidR="00FE5C2F" w:rsidRPr="00D24571" w:rsidRDefault="00FE5C2F" w:rsidP="00F6030E">
            <w:pPr>
              <w:rPr>
                <w:b/>
                <w:sz w:val="14"/>
                <w:szCs w:val="14"/>
              </w:rPr>
            </w:pPr>
            <w:r w:rsidRPr="00E631C8">
              <w:rPr>
                <w:b/>
                <w:sz w:val="14"/>
                <w:szCs w:val="14"/>
              </w:rPr>
              <w:t>Jakim zagrożeniem, Pana/Pani zdaniem, jest obecna sytuacja epid</w:t>
            </w:r>
            <w:r w:rsidR="00CA4DFE">
              <w:rPr>
                <w:b/>
                <w:sz w:val="14"/>
                <w:szCs w:val="14"/>
              </w:rPr>
              <w:t>emiologiczna (koronawirus COVID-</w:t>
            </w:r>
            <w:r w:rsidRPr="00E631C8">
              <w:rPr>
                <w:b/>
                <w:sz w:val="14"/>
                <w:szCs w:val="14"/>
              </w:rPr>
              <w:t>19) dla Pana/Pani osobistego zdrowia?</w:t>
            </w:r>
          </w:p>
        </w:tc>
        <w:tc>
          <w:tcPr>
            <w:tcW w:w="2693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5B8332B5" w14:textId="77777777" w:rsidR="00FE5C2F" w:rsidRPr="00D24571" w:rsidRDefault="00FE5C2F" w:rsidP="00F6030E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Fira Sans"/>
                <w:color w:val="000000"/>
                <w:sz w:val="14"/>
                <w:szCs w:val="14"/>
              </w:rPr>
            </w:pPr>
            <w:r w:rsidRPr="00D24571">
              <w:rPr>
                <w:sz w:val="14"/>
                <w:szCs w:val="14"/>
              </w:rPr>
              <w:t>duże zagrożenie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33D2BAF" w14:textId="2D87797B" w:rsidR="00FE5C2F" w:rsidRPr="00D24571" w:rsidRDefault="0092395E" w:rsidP="00F6030E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50,7</w:t>
            </w:r>
          </w:p>
        </w:tc>
      </w:tr>
      <w:tr w:rsidR="00FE5C2F" w:rsidRPr="00D24571" w14:paraId="15D42C83" w14:textId="77777777" w:rsidTr="00F6030E">
        <w:trPr>
          <w:trHeight w:val="369"/>
        </w:trPr>
        <w:tc>
          <w:tcPr>
            <w:tcW w:w="3261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60396368" w14:textId="77777777" w:rsidR="00FE5C2F" w:rsidRPr="00D24571" w:rsidRDefault="00FE5C2F" w:rsidP="00F6030E">
            <w:pPr>
              <w:rPr>
                <w:sz w:val="14"/>
                <w:szCs w:val="14"/>
              </w:rPr>
            </w:pPr>
          </w:p>
        </w:tc>
        <w:tc>
          <w:tcPr>
            <w:tcW w:w="2693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14A7838C" w14:textId="77777777" w:rsidR="00FE5C2F" w:rsidRPr="00D24571" w:rsidRDefault="00FE5C2F" w:rsidP="00F6030E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Fira Sans"/>
                <w:color w:val="000000"/>
                <w:sz w:val="14"/>
                <w:szCs w:val="14"/>
              </w:rPr>
            </w:pPr>
            <w:r w:rsidRPr="00D24571">
              <w:rPr>
                <w:sz w:val="14"/>
                <w:szCs w:val="14"/>
              </w:rPr>
              <w:t>przeciętne zagrożenie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96E4183" w14:textId="2043A482" w:rsidR="00FE5C2F" w:rsidRPr="00D24571" w:rsidRDefault="0092395E" w:rsidP="00F6030E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38,7</w:t>
            </w:r>
          </w:p>
        </w:tc>
      </w:tr>
      <w:tr w:rsidR="00FE5C2F" w:rsidRPr="00D24571" w14:paraId="50BE4998" w14:textId="77777777" w:rsidTr="00F6030E">
        <w:trPr>
          <w:trHeight w:val="369"/>
        </w:trPr>
        <w:tc>
          <w:tcPr>
            <w:tcW w:w="3261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07BC630D" w14:textId="77777777" w:rsidR="00FE5C2F" w:rsidRPr="00D24571" w:rsidRDefault="00FE5C2F" w:rsidP="00F6030E">
            <w:pPr>
              <w:rPr>
                <w:sz w:val="14"/>
                <w:szCs w:val="14"/>
              </w:rPr>
            </w:pPr>
          </w:p>
        </w:tc>
        <w:tc>
          <w:tcPr>
            <w:tcW w:w="2693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6130ABCF" w14:textId="77777777" w:rsidR="00FE5C2F" w:rsidRPr="00D24571" w:rsidRDefault="00FE5C2F" w:rsidP="00F6030E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Fira Sans"/>
                <w:color w:val="000000"/>
                <w:sz w:val="14"/>
                <w:szCs w:val="14"/>
              </w:rPr>
            </w:pPr>
            <w:r w:rsidRPr="00D24571">
              <w:rPr>
                <w:sz w:val="14"/>
                <w:szCs w:val="14"/>
              </w:rPr>
              <w:t>małe zagrożenie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33C05FC" w14:textId="5EA85BE1" w:rsidR="00FE5C2F" w:rsidRPr="00D24571" w:rsidRDefault="0092395E" w:rsidP="00F6030E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10,0</w:t>
            </w:r>
          </w:p>
        </w:tc>
      </w:tr>
      <w:tr w:rsidR="00FE5C2F" w:rsidRPr="00D24571" w14:paraId="39993059" w14:textId="77777777" w:rsidTr="00F6030E">
        <w:trPr>
          <w:trHeight w:val="369"/>
        </w:trPr>
        <w:tc>
          <w:tcPr>
            <w:tcW w:w="3261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2F1A3D23" w14:textId="77777777" w:rsidR="00FE5C2F" w:rsidRPr="00D24571" w:rsidRDefault="00FE5C2F" w:rsidP="00F6030E">
            <w:pPr>
              <w:rPr>
                <w:sz w:val="14"/>
                <w:szCs w:val="14"/>
              </w:rPr>
            </w:pPr>
          </w:p>
        </w:tc>
        <w:tc>
          <w:tcPr>
            <w:tcW w:w="2693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1CA8374B" w14:textId="77777777" w:rsidR="00FE5C2F" w:rsidRPr="00D24571" w:rsidRDefault="00FE5C2F" w:rsidP="00F6030E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Fira Sans"/>
                <w:color w:val="000000"/>
                <w:sz w:val="14"/>
                <w:szCs w:val="14"/>
              </w:rPr>
            </w:pPr>
            <w:r w:rsidRPr="00D24571">
              <w:rPr>
                <w:sz w:val="14"/>
                <w:szCs w:val="14"/>
              </w:rPr>
              <w:t>brak zagrożenia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C5DE7F9" w14:textId="6905E783" w:rsidR="00FE5C2F" w:rsidRPr="00D24571" w:rsidRDefault="0092395E" w:rsidP="00F6030E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0,6</w:t>
            </w:r>
          </w:p>
        </w:tc>
      </w:tr>
      <w:tr w:rsidR="00FE5C2F" w:rsidRPr="00D24571" w14:paraId="062FFA08" w14:textId="77777777" w:rsidTr="00F6030E">
        <w:trPr>
          <w:trHeight w:hRule="exact" w:val="369"/>
        </w:trPr>
        <w:tc>
          <w:tcPr>
            <w:tcW w:w="3261" w:type="dxa"/>
            <w:vMerge w:val="restart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44E08798" w14:textId="64204EE4" w:rsidR="00FE5C2F" w:rsidRPr="00D24571" w:rsidRDefault="00FE5C2F" w:rsidP="00F6030E">
            <w:pPr>
              <w:spacing w:before="0"/>
              <w:rPr>
                <w:sz w:val="14"/>
                <w:szCs w:val="14"/>
              </w:rPr>
            </w:pPr>
            <w:r w:rsidRPr="00E631C8">
              <w:rPr>
                <w:b/>
                <w:sz w:val="14"/>
                <w:szCs w:val="14"/>
              </w:rPr>
              <w:t>Jakim zagrożeniem, Pana/Pani zdaniem, jest obecna sytuacja epid</w:t>
            </w:r>
            <w:r w:rsidR="00CA4DFE">
              <w:rPr>
                <w:b/>
                <w:sz w:val="14"/>
                <w:szCs w:val="14"/>
              </w:rPr>
              <w:t>emiologiczna (koronawirus COVID-</w:t>
            </w:r>
            <w:r w:rsidRPr="00E631C8">
              <w:rPr>
                <w:b/>
                <w:sz w:val="14"/>
                <w:szCs w:val="14"/>
              </w:rPr>
              <w:t>19) dla gospodarki w Polsce?</w:t>
            </w:r>
          </w:p>
        </w:tc>
        <w:tc>
          <w:tcPr>
            <w:tcW w:w="2693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74BEB412" w14:textId="77777777" w:rsidR="00FE5C2F" w:rsidRPr="00D24571" w:rsidRDefault="00FE5C2F" w:rsidP="00F6030E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Fira Sans"/>
                <w:color w:val="000000"/>
                <w:sz w:val="14"/>
                <w:szCs w:val="14"/>
              </w:rPr>
            </w:pPr>
            <w:r w:rsidRPr="00D24571">
              <w:rPr>
                <w:sz w:val="14"/>
                <w:szCs w:val="14"/>
              </w:rPr>
              <w:t>duże zagrożenie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30F1F48" w14:textId="7305D3DF" w:rsidR="00FE5C2F" w:rsidRPr="00D24571" w:rsidRDefault="0092395E" w:rsidP="00F6030E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88,0</w:t>
            </w:r>
          </w:p>
        </w:tc>
      </w:tr>
      <w:tr w:rsidR="00FE5C2F" w:rsidRPr="00D24571" w14:paraId="4E590D7A" w14:textId="77777777" w:rsidTr="00F6030E">
        <w:trPr>
          <w:trHeight w:hRule="exact" w:val="369"/>
        </w:trPr>
        <w:tc>
          <w:tcPr>
            <w:tcW w:w="3261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7997B575" w14:textId="77777777" w:rsidR="00FE5C2F" w:rsidRPr="00D24571" w:rsidRDefault="00FE5C2F" w:rsidP="00F6030E">
            <w:pPr>
              <w:rPr>
                <w:sz w:val="14"/>
                <w:szCs w:val="14"/>
              </w:rPr>
            </w:pPr>
          </w:p>
        </w:tc>
        <w:tc>
          <w:tcPr>
            <w:tcW w:w="2693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4C193E51" w14:textId="77777777" w:rsidR="00FE5C2F" w:rsidRPr="00D24571" w:rsidRDefault="00FE5C2F" w:rsidP="00F6030E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Fira Sans"/>
                <w:color w:val="000000"/>
                <w:sz w:val="14"/>
                <w:szCs w:val="14"/>
              </w:rPr>
            </w:pPr>
            <w:r w:rsidRPr="00D24571">
              <w:rPr>
                <w:sz w:val="14"/>
                <w:szCs w:val="14"/>
              </w:rPr>
              <w:t>przeciętne zagrożenie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7F788A28" w14:textId="658CF7FD" w:rsidR="00FE5C2F" w:rsidRPr="00D24571" w:rsidRDefault="0092395E" w:rsidP="00F6030E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11,0</w:t>
            </w:r>
          </w:p>
        </w:tc>
      </w:tr>
      <w:tr w:rsidR="00FE5C2F" w:rsidRPr="00D24571" w14:paraId="67E416C1" w14:textId="77777777" w:rsidTr="00F6030E">
        <w:trPr>
          <w:trHeight w:hRule="exact" w:val="369"/>
        </w:trPr>
        <w:tc>
          <w:tcPr>
            <w:tcW w:w="3261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4966DF5B" w14:textId="77777777" w:rsidR="00FE5C2F" w:rsidRPr="00D24571" w:rsidRDefault="00FE5C2F" w:rsidP="00F6030E">
            <w:pPr>
              <w:rPr>
                <w:sz w:val="14"/>
                <w:szCs w:val="14"/>
              </w:rPr>
            </w:pPr>
          </w:p>
        </w:tc>
        <w:tc>
          <w:tcPr>
            <w:tcW w:w="2693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0A937E54" w14:textId="77777777" w:rsidR="00FE5C2F" w:rsidRPr="00D24571" w:rsidRDefault="00FE5C2F" w:rsidP="00F6030E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Fira Sans"/>
                <w:color w:val="000000"/>
                <w:sz w:val="14"/>
                <w:szCs w:val="14"/>
              </w:rPr>
            </w:pPr>
            <w:r w:rsidRPr="00D24571">
              <w:rPr>
                <w:sz w:val="14"/>
                <w:szCs w:val="14"/>
              </w:rPr>
              <w:t>małe zagrożenie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7620EF1" w14:textId="1E58A91F" w:rsidR="00FE5C2F" w:rsidRPr="00D24571" w:rsidRDefault="0092395E" w:rsidP="00F6030E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0,9</w:t>
            </w:r>
          </w:p>
        </w:tc>
      </w:tr>
      <w:tr w:rsidR="00FE5C2F" w:rsidRPr="00D24571" w14:paraId="2DEFA277" w14:textId="77777777" w:rsidTr="00F6030E">
        <w:trPr>
          <w:trHeight w:hRule="exact" w:val="369"/>
        </w:trPr>
        <w:tc>
          <w:tcPr>
            <w:tcW w:w="3261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3449D6D6" w14:textId="77777777" w:rsidR="00FE5C2F" w:rsidRPr="00D24571" w:rsidRDefault="00FE5C2F" w:rsidP="00F6030E">
            <w:pPr>
              <w:rPr>
                <w:sz w:val="14"/>
                <w:szCs w:val="14"/>
              </w:rPr>
            </w:pPr>
          </w:p>
        </w:tc>
        <w:tc>
          <w:tcPr>
            <w:tcW w:w="2693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0FC398BA" w14:textId="77777777" w:rsidR="00FE5C2F" w:rsidRPr="00D24571" w:rsidRDefault="00FE5C2F" w:rsidP="00F6030E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Fira Sans"/>
                <w:color w:val="000000"/>
                <w:sz w:val="14"/>
                <w:szCs w:val="14"/>
              </w:rPr>
            </w:pPr>
            <w:r w:rsidRPr="00D24571">
              <w:rPr>
                <w:sz w:val="14"/>
                <w:szCs w:val="14"/>
              </w:rPr>
              <w:t>brak zagrożenia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DC6C7E6" w14:textId="55E8FC2C" w:rsidR="00FE5C2F" w:rsidRPr="00D24571" w:rsidRDefault="00273FBE" w:rsidP="0012739E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0,</w:t>
            </w:r>
            <w:r w:rsidR="0012739E">
              <w:rPr>
                <w:rFonts w:cs="Calibri"/>
                <w:color w:val="000000"/>
                <w:sz w:val="14"/>
                <w:szCs w:val="14"/>
              </w:rPr>
              <w:t>1</w:t>
            </w:r>
          </w:p>
        </w:tc>
      </w:tr>
      <w:tr w:rsidR="00FE5C2F" w:rsidRPr="00D24571" w14:paraId="58E3C50B" w14:textId="77777777" w:rsidTr="00F6030E">
        <w:trPr>
          <w:trHeight w:hRule="exact" w:val="369"/>
        </w:trPr>
        <w:tc>
          <w:tcPr>
            <w:tcW w:w="3261" w:type="dxa"/>
            <w:vMerge w:val="restart"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5D3875E3" w14:textId="218C23DA" w:rsidR="00FE5C2F" w:rsidRPr="00D24571" w:rsidRDefault="00FE5C2F" w:rsidP="00F6030E">
            <w:pPr>
              <w:rPr>
                <w:b/>
                <w:sz w:val="14"/>
                <w:szCs w:val="14"/>
              </w:rPr>
            </w:pPr>
            <w:r w:rsidRPr="00E631C8">
              <w:rPr>
                <w:b/>
                <w:sz w:val="14"/>
                <w:szCs w:val="14"/>
              </w:rPr>
              <w:t>Jakim zagrożeniem, Pana/Pani zdaniem, jest obecna sytuacja epid</w:t>
            </w:r>
            <w:r w:rsidR="00CA4DFE">
              <w:rPr>
                <w:b/>
                <w:sz w:val="14"/>
                <w:szCs w:val="14"/>
              </w:rPr>
              <w:t>emiologiczna (koronawirus COVID-</w:t>
            </w:r>
            <w:r w:rsidRPr="00E631C8">
              <w:rPr>
                <w:b/>
                <w:sz w:val="14"/>
                <w:szCs w:val="14"/>
              </w:rPr>
              <w:t>19) dla Pana/Pani osobistej sytuacji finansowej?</w:t>
            </w:r>
          </w:p>
        </w:tc>
        <w:tc>
          <w:tcPr>
            <w:tcW w:w="2693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5A0F6A51" w14:textId="77777777" w:rsidR="00FE5C2F" w:rsidRPr="00D24571" w:rsidRDefault="00FE5C2F" w:rsidP="00F6030E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Fira Sans"/>
                <w:color w:val="000000"/>
                <w:sz w:val="14"/>
                <w:szCs w:val="14"/>
              </w:rPr>
            </w:pPr>
            <w:r w:rsidRPr="00D24571">
              <w:rPr>
                <w:sz w:val="14"/>
                <w:szCs w:val="14"/>
              </w:rPr>
              <w:t>duże zagrożenie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C6E9200" w14:textId="79844BFC" w:rsidR="00FE5C2F" w:rsidRPr="00D24571" w:rsidRDefault="0092395E" w:rsidP="00F6030E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44,4</w:t>
            </w:r>
          </w:p>
        </w:tc>
      </w:tr>
      <w:tr w:rsidR="00FE5C2F" w:rsidRPr="00D24571" w14:paraId="4D330D91" w14:textId="77777777" w:rsidTr="00F6030E">
        <w:trPr>
          <w:trHeight w:hRule="exact" w:val="369"/>
        </w:trPr>
        <w:tc>
          <w:tcPr>
            <w:tcW w:w="3261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350B15EE" w14:textId="77777777" w:rsidR="00FE5C2F" w:rsidRPr="00D24571" w:rsidRDefault="00FE5C2F" w:rsidP="00F6030E">
            <w:pPr>
              <w:rPr>
                <w:sz w:val="14"/>
                <w:szCs w:val="14"/>
              </w:rPr>
            </w:pPr>
          </w:p>
        </w:tc>
        <w:tc>
          <w:tcPr>
            <w:tcW w:w="2693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05552AA0" w14:textId="77777777" w:rsidR="00FE5C2F" w:rsidRPr="00D24571" w:rsidRDefault="00FE5C2F" w:rsidP="00F6030E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Fira Sans"/>
                <w:color w:val="000000"/>
                <w:sz w:val="14"/>
                <w:szCs w:val="14"/>
              </w:rPr>
            </w:pPr>
            <w:r w:rsidRPr="00D24571">
              <w:rPr>
                <w:sz w:val="14"/>
                <w:szCs w:val="14"/>
              </w:rPr>
              <w:t>przeciętne zagrożenie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2F50E377" w14:textId="4F60C94A" w:rsidR="00FE5C2F" w:rsidRPr="00D24571" w:rsidRDefault="0092395E" w:rsidP="0012739E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36,</w:t>
            </w:r>
            <w:r w:rsidR="0012739E">
              <w:rPr>
                <w:rFonts w:cs="Calibri"/>
                <w:color w:val="000000"/>
                <w:sz w:val="14"/>
                <w:szCs w:val="14"/>
              </w:rPr>
              <w:t>5</w:t>
            </w:r>
          </w:p>
        </w:tc>
      </w:tr>
      <w:tr w:rsidR="00FE5C2F" w:rsidRPr="00D24571" w14:paraId="3F3487BB" w14:textId="77777777" w:rsidTr="00F6030E">
        <w:trPr>
          <w:trHeight w:hRule="exact" w:val="369"/>
        </w:trPr>
        <w:tc>
          <w:tcPr>
            <w:tcW w:w="3261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3A9C5C80" w14:textId="77777777" w:rsidR="00FE5C2F" w:rsidRPr="00D24571" w:rsidRDefault="00FE5C2F" w:rsidP="00F6030E">
            <w:pPr>
              <w:rPr>
                <w:sz w:val="14"/>
                <w:szCs w:val="14"/>
              </w:rPr>
            </w:pPr>
          </w:p>
        </w:tc>
        <w:tc>
          <w:tcPr>
            <w:tcW w:w="2693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1B9578C3" w14:textId="77777777" w:rsidR="00FE5C2F" w:rsidRPr="00D24571" w:rsidRDefault="00FE5C2F" w:rsidP="00F6030E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Fira Sans"/>
                <w:color w:val="000000"/>
                <w:sz w:val="14"/>
                <w:szCs w:val="14"/>
              </w:rPr>
            </w:pPr>
            <w:r w:rsidRPr="00D24571">
              <w:rPr>
                <w:sz w:val="14"/>
                <w:szCs w:val="14"/>
              </w:rPr>
              <w:t>małe zagrożenie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504697A5" w14:textId="363034DD" w:rsidR="00FE5C2F" w:rsidRPr="00D24571" w:rsidRDefault="0092395E" w:rsidP="00F6030E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14,6</w:t>
            </w:r>
          </w:p>
        </w:tc>
      </w:tr>
      <w:tr w:rsidR="00FE5C2F" w:rsidRPr="00D24571" w14:paraId="6EED5DDA" w14:textId="77777777" w:rsidTr="00F6030E">
        <w:trPr>
          <w:trHeight w:hRule="exact" w:val="369"/>
        </w:trPr>
        <w:tc>
          <w:tcPr>
            <w:tcW w:w="3261" w:type="dxa"/>
            <w:vMerge/>
            <w:tcBorders>
              <w:top w:val="single" w:sz="4" w:space="0" w:color="001D77"/>
              <w:left w:val="nil"/>
              <w:bottom w:val="single" w:sz="4" w:space="0" w:color="001D77"/>
              <w:right w:val="nil"/>
            </w:tcBorders>
          </w:tcPr>
          <w:p w14:paraId="5D47F543" w14:textId="77777777" w:rsidR="00FE5C2F" w:rsidRPr="00D24571" w:rsidRDefault="00FE5C2F" w:rsidP="00F6030E">
            <w:pPr>
              <w:rPr>
                <w:sz w:val="14"/>
                <w:szCs w:val="14"/>
              </w:rPr>
            </w:pPr>
          </w:p>
        </w:tc>
        <w:tc>
          <w:tcPr>
            <w:tcW w:w="2693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2C98ED7F" w14:textId="77777777" w:rsidR="00FE5C2F" w:rsidRPr="00D24571" w:rsidRDefault="00FE5C2F" w:rsidP="00F6030E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Fira Sans"/>
                <w:color w:val="000000"/>
                <w:sz w:val="14"/>
                <w:szCs w:val="14"/>
              </w:rPr>
            </w:pPr>
            <w:r w:rsidRPr="00D24571">
              <w:rPr>
                <w:sz w:val="14"/>
                <w:szCs w:val="14"/>
              </w:rPr>
              <w:t>brak zagrożenia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auto"/>
              <w:right w:val="single" w:sz="4" w:space="0" w:color="001D77"/>
            </w:tcBorders>
            <w:vAlign w:val="center"/>
          </w:tcPr>
          <w:p w14:paraId="01DBF908" w14:textId="3B4D4F3F" w:rsidR="00FE5C2F" w:rsidRPr="00D24571" w:rsidRDefault="0092395E" w:rsidP="00F6030E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4,5</w:t>
            </w:r>
          </w:p>
        </w:tc>
      </w:tr>
      <w:tr w:rsidR="00FE5C2F" w:rsidRPr="00D24571" w14:paraId="164D1752" w14:textId="77777777" w:rsidTr="00F6030E">
        <w:trPr>
          <w:trHeight w:hRule="exact" w:val="369"/>
        </w:trPr>
        <w:tc>
          <w:tcPr>
            <w:tcW w:w="3261" w:type="dxa"/>
            <w:vMerge w:val="restart"/>
            <w:tcBorders>
              <w:top w:val="single" w:sz="4" w:space="0" w:color="001D77"/>
              <w:left w:val="nil"/>
              <w:right w:val="nil"/>
            </w:tcBorders>
          </w:tcPr>
          <w:p w14:paraId="23366C03" w14:textId="2311FB06" w:rsidR="00FE5C2F" w:rsidRPr="00D24571" w:rsidRDefault="00FE5C2F" w:rsidP="00F6030E">
            <w:pPr>
              <w:rPr>
                <w:b/>
                <w:sz w:val="14"/>
                <w:szCs w:val="14"/>
              </w:rPr>
            </w:pPr>
            <w:r w:rsidRPr="005022FF">
              <w:rPr>
                <w:b/>
                <w:sz w:val="14"/>
                <w:szCs w:val="14"/>
              </w:rPr>
              <w:t>Jakim zagrożeniem, Pana/Pani zdaniem, jest obecna sytuacja epid</w:t>
            </w:r>
            <w:r w:rsidR="00CA4DFE">
              <w:rPr>
                <w:b/>
                <w:sz w:val="14"/>
                <w:szCs w:val="14"/>
              </w:rPr>
              <w:t>emiologiczna (koronawirus COVID-</w:t>
            </w:r>
            <w:r w:rsidRPr="005022FF">
              <w:rPr>
                <w:b/>
                <w:sz w:val="14"/>
                <w:szCs w:val="14"/>
              </w:rPr>
              <w:t>19) dla codziennego życia w Pana/Pani lokalnej społeczności?</w:t>
            </w:r>
          </w:p>
        </w:tc>
        <w:tc>
          <w:tcPr>
            <w:tcW w:w="2693" w:type="dxa"/>
            <w:tcBorders>
              <w:top w:val="single" w:sz="4" w:space="0" w:color="001D77"/>
              <w:left w:val="nil"/>
              <w:right w:val="single" w:sz="4" w:space="0" w:color="001D77"/>
            </w:tcBorders>
            <w:vAlign w:val="center"/>
          </w:tcPr>
          <w:p w14:paraId="79DA6436" w14:textId="77777777" w:rsidR="00FE5C2F" w:rsidRPr="00D24571" w:rsidRDefault="00FE5C2F" w:rsidP="00F6030E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Fira Sans"/>
                <w:color w:val="000000"/>
                <w:sz w:val="14"/>
                <w:szCs w:val="14"/>
              </w:rPr>
            </w:pPr>
            <w:r w:rsidRPr="00D24571">
              <w:rPr>
                <w:sz w:val="14"/>
                <w:szCs w:val="14"/>
              </w:rPr>
              <w:t>duże zagrożenie</w:t>
            </w:r>
          </w:p>
        </w:tc>
        <w:tc>
          <w:tcPr>
            <w:tcW w:w="1134" w:type="dxa"/>
            <w:tcBorders>
              <w:left w:val="single" w:sz="4" w:space="0" w:color="001D77"/>
              <w:right w:val="single" w:sz="4" w:space="0" w:color="001D77"/>
            </w:tcBorders>
            <w:vAlign w:val="center"/>
          </w:tcPr>
          <w:p w14:paraId="4A436381" w14:textId="54DC1EE6" w:rsidR="00FE5C2F" w:rsidRPr="00D24571" w:rsidRDefault="0092395E" w:rsidP="00F6030E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49,5</w:t>
            </w:r>
          </w:p>
        </w:tc>
      </w:tr>
      <w:tr w:rsidR="00FE5C2F" w:rsidRPr="00D24571" w14:paraId="5759FBCD" w14:textId="77777777" w:rsidTr="00F6030E">
        <w:trPr>
          <w:trHeight w:hRule="exact" w:val="369"/>
        </w:trPr>
        <w:tc>
          <w:tcPr>
            <w:tcW w:w="3261" w:type="dxa"/>
            <w:vMerge/>
            <w:tcBorders>
              <w:left w:val="nil"/>
              <w:right w:val="nil"/>
            </w:tcBorders>
          </w:tcPr>
          <w:p w14:paraId="268454E5" w14:textId="77777777" w:rsidR="00FE5C2F" w:rsidRPr="00D24571" w:rsidRDefault="00FE5C2F" w:rsidP="00F6030E">
            <w:pPr>
              <w:rPr>
                <w:sz w:val="14"/>
                <w:szCs w:val="14"/>
              </w:rPr>
            </w:pPr>
          </w:p>
        </w:tc>
        <w:tc>
          <w:tcPr>
            <w:tcW w:w="2693" w:type="dxa"/>
            <w:tcBorders>
              <w:left w:val="nil"/>
              <w:right w:val="single" w:sz="4" w:space="0" w:color="001D77"/>
            </w:tcBorders>
            <w:vAlign w:val="center"/>
          </w:tcPr>
          <w:p w14:paraId="3DB9A032" w14:textId="77777777" w:rsidR="00FE5C2F" w:rsidRPr="00D24571" w:rsidRDefault="00FE5C2F" w:rsidP="00F6030E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Fira Sans"/>
                <w:color w:val="000000"/>
                <w:sz w:val="14"/>
                <w:szCs w:val="14"/>
              </w:rPr>
            </w:pPr>
            <w:r w:rsidRPr="00D24571">
              <w:rPr>
                <w:sz w:val="14"/>
                <w:szCs w:val="14"/>
              </w:rPr>
              <w:t>przeciętne zagrożenie</w:t>
            </w:r>
          </w:p>
        </w:tc>
        <w:tc>
          <w:tcPr>
            <w:tcW w:w="1134" w:type="dxa"/>
            <w:tcBorders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14:paraId="15437130" w14:textId="057738F0" w:rsidR="00FE5C2F" w:rsidRPr="00D24571" w:rsidRDefault="0092395E" w:rsidP="00F6030E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43,1</w:t>
            </w:r>
          </w:p>
        </w:tc>
      </w:tr>
      <w:tr w:rsidR="00FE5C2F" w:rsidRPr="00D24571" w14:paraId="2E470172" w14:textId="77777777" w:rsidTr="00F6030E">
        <w:trPr>
          <w:trHeight w:hRule="exact" w:val="369"/>
        </w:trPr>
        <w:tc>
          <w:tcPr>
            <w:tcW w:w="3261" w:type="dxa"/>
            <w:vMerge/>
            <w:tcBorders>
              <w:left w:val="nil"/>
              <w:right w:val="nil"/>
            </w:tcBorders>
          </w:tcPr>
          <w:p w14:paraId="321DDE9C" w14:textId="77777777" w:rsidR="00FE5C2F" w:rsidRPr="00D24571" w:rsidRDefault="00FE5C2F" w:rsidP="00F6030E">
            <w:pPr>
              <w:rPr>
                <w:sz w:val="14"/>
                <w:szCs w:val="14"/>
              </w:rPr>
            </w:pPr>
          </w:p>
        </w:tc>
        <w:tc>
          <w:tcPr>
            <w:tcW w:w="2693" w:type="dxa"/>
            <w:tcBorders>
              <w:left w:val="nil"/>
              <w:bottom w:val="single" w:sz="4" w:space="0" w:color="001D77"/>
              <w:right w:val="single" w:sz="4" w:space="0" w:color="001D77"/>
            </w:tcBorders>
            <w:vAlign w:val="center"/>
          </w:tcPr>
          <w:p w14:paraId="3EF1D92B" w14:textId="77777777" w:rsidR="00FE5C2F" w:rsidRPr="00D24571" w:rsidRDefault="00FE5C2F" w:rsidP="00F6030E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Fira Sans"/>
                <w:color w:val="000000"/>
                <w:sz w:val="14"/>
                <w:szCs w:val="14"/>
              </w:rPr>
            </w:pPr>
            <w:r w:rsidRPr="00D24571">
              <w:rPr>
                <w:sz w:val="14"/>
                <w:szCs w:val="14"/>
              </w:rPr>
              <w:t>małe zagrożenie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vAlign w:val="center"/>
          </w:tcPr>
          <w:p w14:paraId="5F251FEF" w14:textId="4BA70991" w:rsidR="00FE5C2F" w:rsidRPr="00D24571" w:rsidRDefault="0092395E" w:rsidP="00F6030E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7,3</w:t>
            </w:r>
          </w:p>
        </w:tc>
      </w:tr>
      <w:tr w:rsidR="00FE5C2F" w:rsidRPr="00D24571" w14:paraId="41FCB5C6" w14:textId="77777777" w:rsidTr="00F6030E">
        <w:trPr>
          <w:trHeight w:hRule="exact" w:val="546"/>
        </w:trPr>
        <w:tc>
          <w:tcPr>
            <w:tcW w:w="3261" w:type="dxa"/>
            <w:vMerge/>
            <w:tcBorders>
              <w:left w:val="nil"/>
              <w:bottom w:val="nil"/>
              <w:right w:val="nil"/>
            </w:tcBorders>
          </w:tcPr>
          <w:p w14:paraId="750F4249" w14:textId="77777777" w:rsidR="00FE5C2F" w:rsidRPr="00D24571" w:rsidRDefault="00FE5C2F" w:rsidP="00F6030E">
            <w:pPr>
              <w:rPr>
                <w:sz w:val="14"/>
                <w:szCs w:val="14"/>
              </w:rPr>
            </w:pPr>
          </w:p>
        </w:tc>
        <w:tc>
          <w:tcPr>
            <w:tcW w:w="2693" w:type="dxa"/>
            <w:tcBorders>
              <w:top w:val="single" w:sz="4" w:space="0" w:color="001D77"/>
              <w:left w:val="nil"/>
              <w:bottom w:val="nil"/>
              <w:right w:val="single" w:sz="4" w:space="0" w:color="001D77"/>
            </w:tcBorders>
            <w:vAlign w:val="center"/>
          </w:tcPr>
          <w:p w14:paraId="656EDC7C" w14:textId="77777777" w:rsidR="00FE5C2F" w:rsidRPr="00D24571" w:rsidRDefault="00FE5C2F" w:rsidP="00F6030E">
            <w:pPr>
              <w:autoSpaceDE w:val="0"/>
              <w:autoSpaceDN w:val="0"/>
              <w:adjustRightInd w:val="0"/>
              <w:spacing w:before="0" w:after="0" w:line="240" w:lineRule="auto"/>
              <w:rPr>
                <w:rFonts w:cs="Fira Sans"/>
                <w:color w:val="000000"/>
                <w:sz w:val="14"/>
                <w:szCs w:val="14"/>
              </w:rPr>
            </w:pPr>
            <w:r w:rsidRPr="00D24571">
              <w:rPr>
                <w:sz w:val="14"/>
                <w:szCs w:val="14"/>
              </w:rPr>
              <w:t>brak zagrożenia</w:t>
            </w:r>
          </w:p>
        </w:tc>
        <w:tc>
          <w:tcPr>
            <w:tcW w:w="1134" w:type="dxa"/>
            <w:tcBorders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14:paraId="690D6586" w14:textId="09E61270" w:rsidR="00FE5C2F" w:rsidRPr="00D24571" w:rsidRDefault="0092395E" w:rsidP="00F6030E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</w:rPr>
            </w:pPr>
            <w:r>
              <w:rPr>
                <w:rFonts w:cs="Calibri"/>
                <w:color w:val="000000"/>
                <w:sz w:val="14"/>
                <w:szCs w:val="14"/>
              </w:rPr>
              <w:t>0,1</w:t>
            </w:r>
          </w:p>
        </w:tc>
      </w:tr>
      <w:tr w:rsidR="00FE5C2F" w:rsidRPr="00D24571" w14:paraId="7F7AE9DE" w14:textId="77777777" w:rsidTr="00F6030E">
        <w:trPr>
          <w:trHeight w:hRule="exact" w:val="546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14:paraId="16D63C95" w14:textId="77777777" w:rsidR="00FE5C2F" w:rsidRPr="00D24571" w:rsidRDefault="00FE5C2F" w:rsidP="00F6030E">
            <w:pPr>
              <w:rPr>
                <w:sz w:val="14"/>
                <w:szCs w:val="1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DED6D4" w14:textId="77777777" w:rsidR="00FE5C2F" w:rsidRPr="00D24571" w:rsidRDefault="00FE5C2F" w:rsidP="00F6030E">
            <w:pPr>
              <w:autoSpaceDE w:val="0"/>
              <w:autoSpaceDN w:val="0"/>
              <w:adjustRightInd w:val="0"/>
              <w:spacing w:before="0" w:after="0" w:line="240" w:lineRule="auto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E44D6C" w14:textId="77777777" w:rsidR="00FE5C2F" w:rsidRPr="00D24571" w:rsidRDefault="00FE5C2F" w:rsidP="00F6030E">
            <w:pPr>
              <w:spacing w:before="0" w:after="0"/>
              <w:jc w:val="right"/>
              <w:rPr>
                <w:rFonts w:cs="Calibri"/>
                <w:color w:val="000000"/>
                <w:sz w:val="14"/>
                <w:szCs w:val="14"/>
              </w:rPr>
            </w:pPr>
          </w:p>
        </w:tc>
      </w:tr>
    </w:tbl>
    <w:p w14:paraId="06469A30" w14:textId="44B0B333" w:rsidR="00FE5C2F" w:rsidRPr="00FE5C2F" w:rsidRDefault="00FE5C2F" w:rsidP="00FE5C2F">
      <w:pPr>
        <w:spacing w:before="0" w:after="160" w:line="259" w:lineRule="auto"/>
        <w:rPr>
          <w:b/>
          <w:spacing w:val="-2"/>
          <w:sz w:val="18"/>
        </w:rPr>
        <w:sectPr w:rsidR="00FE5C2F" w:rsidRPr="00FE5C2F" w:rsidSect="009950DE">
          <w:headerReference w:type="default" r:id="rId28"/>
          <w:footerReference w:type="default" r:id="rId29"/>
          <w:headerReference w:type="first" r:id="rId30"/>
          <w:footerReference w:type="first" r:id="rId31"/>
          <w:footnotePr>
            <w:numFmt w:val="chicago"/>
          </w:footnotePr>
          <w:pgSz w:w="11906" w:h="16838"/>
          <w:pgMar w:top="720" w:right="3119" w:bottom="720" w:left="720" w:header="284" w:footer="318" w:gutter="0"/>
          <w:cols w:space="708"/>
          <w:titlePg/>
          <w:docGrid w:linePitch="360"/>
        </w:sectPr>
      </w:pPr>
    </w:p>
    <w:p w14:paraId="78672B0B" w14:textId="77777777" w:rsidR="000470AA" w:rsidRDefault="000470AA" w:rsidP="000470AA">
      <w:pPr>
        <w:rPr>
          <w:sz w:val="18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3"/>
        <w:gridCol w:w="3824"/>
      </w:tblGrid>
      <w:tr w:rsidR="00076F85" w:rsidRPr="008F3638" w14:paraId="2DB5CE44" w14:textId="77777777" w:rsidTr="007B0D6A">
        <w:trPr>
          <w:trHeight w:val="1912"/>
        </w:trPr>
        <w:tc>
          <w:tcPr>
            <w:tcW w:w="4379" w:type="dxa"/>
          </w:tcPr>
          <w:p w14:paraId="1B405618" w14:textId="77777777" w:rsidR="00076F85" w:rsidRPr="008F3638" w:rsidRDefault="00076F85" w:rsidP="00076F85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Opracowanie merytoryczne:</w:t>
            </w:r>
          </w:p>
          <w:p w14:paraId="0E338E18" w14:textId="77777777" w:rsidR="00076F85" w:rsidRDefault="00076F85" w:rsidP="00076F85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>
              <w:rPr>
                <w:rFonts w:cs="Arial"/>
                <w:b/>
                <w:color w:val="000000" w:themeColor="text1"/>
                <w:sz w:val="20"/>
              </w:rPr>
              <w:t>Urząd Statystyczny w Łodzi</w:t>
            </w:r>
          </w:p>
          <w:p w14:paraId="6ADEEB1C" w14:textId="77777777" w:rsidR="00076F85" w:rsidRDefault="00076F85" w:rsidP="00076F85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956F30">
              <w:rPr>
                <w:rFonts w:cs="Arial"/>
                <w:b/>
                <w:color w:val="000000" w:themeColor="text1"/>
                <w:sz w:val="20"/>
              </w:rPr>
              <w:t xml:space="preserve">Dyrektor </w:t>
            </w:r>
            <w:r w:rsidRPr="00076F85">
              <w:rPr>
                <w:rFonts w:cs="Arial"/>
                <w:b/>
                <w:color w:val="000000" w:themeColor="text1"/>
                <w:sz w:val="20"/>
              </w:rPr>
              <w:t>dr Piotr Ryszard Cmela</w:t>
            </w:r>
          </w:p>
          <w:p w14:paraId="04EE7A73" w14:textId="77777777" w:rsidR="00076F85" w:rsidRPr="008F3638" w:rsidRDefault="00076F85" w:rsidP="00076F85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4</w:t>
            </w: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2 </w:t>
            </w:r>
            <w:r w:rsidR="00B05C6D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684 56 11</w:t>
            </w:r>
          </w:p>
          <w:p w14:paraId="4BDC4932" w14:textId="77777777" w:rsidR="00076F85" w:rsidRPr="008F3638" w:rsidRDefault="00076F85" w:rsidP="00076F85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fi-FI"/>
              </w:rPr>
            </w:pPr>
          </w:p>
        </w:tc>
        <w:tc>
          <w:tcPr>
            <w:tcW w:w="3942" w:type="dxa"/>
          </w:tcPr>
          <w:p w14:paraId="5CF0DE93" w14:textId="77777777" w:rsidR="00076F85" w:rsidRPr="008F3638" w:rsidRDefault="00076F85" w:rsidP="00076F85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F3638">
              <w:rPr>
                <w:rFonts w:cs="Arial"/>
                <w:color w:val="000000" w:themeColor="text1"/>
                <w:sz w:val="20"/>
              </w:rPr>
              <w:t>Rozpowszechnianie:</w:t>
            </w:r>
            <w:r w:rsidRPr="008F3638">
              <w:rPr>
                <w:rFonts w:cs="Arial"/>
                <w:color w:val="000000" w:themeColor="text1"/>
                <w:sz w:val="20"/>
              </w:rPr>
              <w:br/>
            </w:r>
            <w:r w:rsidRPr="008F3638">
              <w:rPr>
                <w:rFonts w:cs="Arial"/>
                <w:b/>
                <w:color w:val="000000" w:themeColor="text1"/>
                <w:sz w:val="20"/>
              </w:rPr>
              <w:t>Rzecznik Prasowy Prezesa GUS</w:t>
            </w:r>
          </w:p>
          <w:p w14:paraId="1F979E52" w14:textId="77777777" w:rsidR="00076F85" w:rsidRPr="008F3638" w:rsidRDefault="00076F85" w:rsidP="00076F85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</w:pPr>
            <w:r w:rsidRPr="008F3638">
              <w:rPr>
                <w:rFonts w:ascii="Fira Sans" w:hAnsi="Fira Sans" w:cs="Arial"/>
                <w:b/>
                <w:color w:val="000000" w:themeColor="text1"/>
                <w:sz w:val="20"/>
                <w:szCs w:val="28"/>
              </w:rPr>
              <w:t>Karolina</w:t>
            </w:r>
            <w:r w:rsidRPr="008F0829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 xml:space="preserve"> Banaszek</w:t>
            </w:r>
          </w:p>
          <w:p w14:paraId="16A17F5E" w14:textId="77777777" w:rsidR="00076F85" w:rsidRPr="008F3638" w:rsidRDefault="00076F85" w:rsidP="00076F85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Pr="00F60BA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695 255 011</w:t>
            </w:r>
          </w:p>
          <w:p w14:paraId="4C9FE8E1" w14:textId="77777777" w:rsidR="00076F85" w:rsidRPr="008F3638" w:rsidRDefault="00076F85" w:rsidP="00076F85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US"/>
              </w:rPr>
            </w:pPr>
          </w:p>
        </w:tc>
      </w:tr>
    </w:tbl>
    <w:p w14:paraId="32B6C7F8" w14:textId="77777777" w:rsidR="00076F85" w:rsidRDefault="00076F85" w:rsidP="00076F85">
      <w:pPr>
        <w:rPr>
          <w:sz w:val="20"/>
        </w:rPr>
      </w:pPr>
    </w:p>
    <w:p w14:paraId="29223097" w14:textId="77777777" w:rsidR="00076F85" w:rsidRDefault="00076F85" w:rsidP="00076F85">
      <w:pPr>
        <w:rPr>
          <w:sz w:val="18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390"/>
        <w:gridCol w:w="595"/>
        <w:gridCol w:w="3082"/>
      </w:tblGrid>
      <w:tr w:rsidR="00076F85" w14:paraId="4EABAEC5" w14:textId="77777777" w:rsidTr="007B0D6A">
        <w:trPr>
          <w:trHeight w:val="610"/>
        </w:trPr>
        <w:tc>
          <w:tcPr>
            <w:tcW w:w="2721" w:type="pct"/>
            <w:vMerge w:val="restart"/>
          </w:tcPr>
          <w:p w14:paraId="1FAECCE0" w14:textId="77777777" w:rsidR="00076F85" w:rsidRPr="00C91687" w:rsidRDefault="00076F85" w:rsidP="00076F85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14:paraId="0FF673D0" w14:textId="77777777" w:rsidR="00076F85" w:rsidRPr="00C91687" w:rsidRDefault="00076F85" w:rsidP="00076F85">
            <w:pPr>
              <w:rPr>
                <w:sz w:val="20"/>
              </w:rPr>
            </w:pPr>
            <w:r w:rsidRPr="00674DE5">
              <w:rPr>
                <w:sz w:val="20"/>
              </w:rPr>
              <w:t>T</w:t>
            </w:r>
            <w:r>
              <w:rPr>
                <w:sz w:val="20"/>
              </w:rPr>
              <w:t>el</w:t>
            </w:r>
            <w:r w:rsidRPr="00674DE5">
              <w:rPr>
                <w:sz w:val="20"/>
              </w:rPr>
              <w:t xml:space="preserve">: </w:t>
            </w:r>
            <w:r>
              <w:rPr>
                <w:sz w:val="20"/>
              </w:rPr>
              <w:t>22 608 34 91, 22</w:t>
            </w:r>
            <w:r w:rsidRPr="00C91687">
              <w:rPr>
                <w:sz w:val="20"/>
              </w:rPr>
              <w:t xml:space="preserve"> 608 38 04 </w:t>
            </w:r>
          </w:p>
          <w:p w14:paraId="7CC59C25" w14:textId="77777777" w:rsidR="00076F85" w:rsidRPr="00076F85" w:rsidRDefault="00076F85" w:rsidP="00076F85">
            <w:pPr>
              <w:rPr>
                <w:sz w:val="18"/>
                <w:lang w:val="en-US"/>
              </w:rPr>
            </w:pPr>
            <w:r w:rsidRPr="00076F85">
              <w:rPr>
                <w:b/>
                <w:sz w:val="20"/>
                <w:lang w:val="en-US"/>
              </w:rPr>
              <w:t>e-mail:</w:t>
            </w:r>
            <w:r w:rsidRPr="00076F85">
              <w:rPr>
                <w:sz w:val="20"/>
                <w:lang w:val="en-US"/>
              </w:rPr>
              <w:t xml:space="preserve"> </w:t>
            </w:r>
            <w:hyperlink r:id="rId32" w:history="1">
              <w:r w:rsidRPr="00394E26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14:paraId="44043060" w14:textId="77777777" w:rsidR="00076F85" w:rsidRPr="00076F85" w:rsidRDefault="00076F85" w:rsidP="00076F85">
            <w:pPr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9616" behindDoc="0" locked="0" layoutInCell="1" allowOverlap="1" wp14:anchorId="6E46C46D" wp14:editId="2BEA7426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14:paraId="6FC0B34E" w14:textId="77777777" w:rsidR="00076F85" w:rsidRDefault="00076F85" w:rsidP="00076F85">
            <w:pPr>
              <w:rPr>
                <w:sz w:val="18"/>
              </w:rPr>
            </w:pPr>
            <w:r w:rsidRPr="003D5F42">
              <w:rPr>
                <w:sz w:val="20"/>
              </w:rPr>
              <w:t>www.stat.gov.pl</w:t>
            </w:r>
          </w:p>
        </w:tc>
      </w:tr>
      <w:tr w:rsidR="00076F85" w14:paraId="16B3DE99" w14:textId="77777777" w:rsidTr="007B0D6A">
        <w:trPr>
          <w:trHeight w:val="436"/>
        </w:trPr>
        <w:tc>
          <w:tcPr>
            <w:tcW w:w="2721" w:type="pct"/>
            <w:vMerge/>
            <w:vAlign w:val="center"/>
          </w:tcPr>
          <w:p w14:paraId="2B5CAA16" w14:textId="77777777" w:rsidR="00076F85" w:rsidRDefault="00076F85" w:rsidP="00076F85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1CF5E4C3" w14:textId="77777777" w:rsidR="00076F85" w:rsidRDefault="00076F85" w:rsidP="00076F85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1664" behindDoc="0" locked="0" layoutInCell="1" allowOverlap="1" wp14:anchorId="5C7694AB" wp14:editId="4C324D2C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2055CD5B" w14:textId="77777777" w:rsidR="00076F85" w:rsidRDefault="00076F85" w:rsidP="00076F85">
            <w:pPr>
              <w:rPr>
                <w:sz w:val="18"/>
              </w:rPr>
            </w:pPr>
            <w:r w:rsidRPr="003D5F42">
              <w:rPr>
                <w:sz w:val="20"/>
              </w:rPr>
              <w:t>@GUS_STAT</w:t>
            </w:r>
          </w:p>
        </w:tc>
      </w:tr>
      <w:tr w:rsidR="00076F85" w14:paraId="4389F5B7" w14:textId="77777777" w:rsidTr="007B0D6A">
        <w:trPr>
          <w:trHeight w:val="436"/>
        </w:trPr>
        <w:tc>
          <w:tcPr>
            <w:tcW w:w="2721" w:type="pct"/>
            <w:vMerge/>
            <w:vAlign w:val="center"/>
          </w:tcPr>
          <w:p w14:paraId="0D6F5273" w14:textId="77777777" w:rsidR="00076F85" w:rsidRDefault="00076F85" w:rsidP="00076F85">
            <w:pPr>
              <w:rPr>
                <w:sz w:val="18"/>
              </w:rPr>
            </w:pPr>
          </w:p>
        </w:tc>
        <w:tc>
          <w:tcPr>
            <w:tcW w:w="369" w:type="pct"/>
            <w:vAlign w:val="center"/>
          </w:tcPr>
          <w:p w14:paraId="02BAC878" w14:textId="77777777" w:rsidR="00076F85" w:rsidRDefault="00076F85" w:rsidP="00076F85">
            <w:pPr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0640" behindDoc="0" locked="0" layoutInCell="1" allowOverlap="1" wp14:anchorId="40C75DC9" wp14:editId="3B65C8D4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52A94A08" w14:textId="77777777" w:rsidR="00076F85" w:rsidRDefault="00076F85" w:rsidP="00076F85">
            <w:pPr>
              <w:rPr>
                <w:sz w:val="20"/>
              </w:rPr>
            </w:pPr>
            <w:r w:rsidRPr="003D5F42">
              <w:rPr>
                <w:sz w:val="20"/>
              </w:rPr>
              <w:t>@GlownyUrzadStatystyczny</w:t>
            </w:r>
          </w:p>
        </w:tc>
      </w:tr>
    </w:tbl>
    <w:p w14:paraId="6286322E" w14:textId="77777777" w:rsidR="00DE1E47" w:rsidRDefault="00DE1E47" w:rsidP="00E76D26">
      <w:pPr>
        <w:rPr>
          <w:sz w:val="18"/>
          <w:lang w:val="en-US"/>
        </w:rPr>
      </w:pPr>
    </w:p>
    <w:p w14:paraId="5140083E" w14:textId="77777777" w:rsidR="00DE1E47" w:rsidRDefault="00DE1E47" w:rsidP="00E76D26">
      <w:pPr>
        <w:rPr>
          <w:sz w:val="18"/>
          <w:lang w:val="en-US"/>
        </w:rPr>
      </w:pPr>
    </w:p>
    <w:p w14:paraId="1EA45209" w14:textId="72E9CFB6" w:rsidR="00D261A2" w:rsidRPr="003308DB" w:rsidRDefault="001448A7" w:rsidP="00E76D26">
      <w:pPr>
        <w:rPr>
          <w:sz w:val="18"/>
          <w:lang w:val="en-US"/>
        </w:rPr>
      </w:pPr>
      <w:r w:rsidRPr="00001C5B">
        <w:rPr>
          <w:noProof/>
          <w:sz w:val="18"/>
          <w:lang w:eastAsia="pl-PL"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4AD63A91" wp14:editId="150456E4">
                <wp:simplePos x="0" y="0"/>
                <wp:positionH relativeFrom="margin">
                  <wp:posOffset>19050</wp:posOffset>
                </wp:positionH>
                <wp:positionV relativeFrom="page">
                  <wp:posOffset>3914775</wp:posOffset>
                </wp:positionV>
                <wp:extent cx="6559550" cy="4443095"/>
                <wp:effectExtent l="0" t="0" r="12700" b="14605"/>
                <wp:wrapSquare wrapText="bothSides"/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4A78F5" w14:textId="77777777" w:rsidR="00F6030E" w:rsidRDefault="00F6030E" w:rsidP="00AB6D25">
                            <w:pPr>
                              <w:rPr>
                                <w:b/>
                              </w:rPr>
                            </w:pPr>
                          </w:p>
                          <w:p w14:paraId="0D0F3A61" w14:textId="77777777" w:rsidR="00F6030E" w:rsidRPr="00C51D06" w:rsidRDefault="00F6030E" w:rsidP="00AB6D25">
                            <w:pPr>
                              <w:rPr>
                                <w:b/>
                              </w:rPr>
                            </w:pPr>
                            <w:r w:rsidRPr="00C51D06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14:paraId="1C3F59E1" w14:textId="3D5872F1" w:rsidR="00F6030E" w:rsidRPr="00AD0C67" w:rsidRDefault="00036779" w:rsidP="009942D1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6" w:history="1">
                              <w:r w:rsidR="00F6030E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Koniunktura w przetwórstwie przemysłowym, budownictwie, handlu i usługach w marcu 2020 roku</w:t>
                              </w:r>
                            </w:hyperlink>
                          </w:p>
                          <w:p w14:paraId="4567E0E2" w14:textId="7BBA3327" w:rsidR="00F6030E" w:rsidRPr="00AD0C67" w:rsidRDefault="00036779" w:rsidP="009942D1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7" w:history="1">
                              <w:r w:rsidR="00F6030E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Biuletyn Statystyczny Nr 2/2020</w:t>
                              </w:r>
                            </w:hyperlink>
                          </w:p>
                          <w:p w14:paraId="3D2B1744" w14:textId="77777777" w:rsidR="00F6030E" w:rsidRPr="00C51D06" w:rsidRDefault="00F6030E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  <w:p w14:paraId="39286B63" w14:textId="77777777" w:rsidR="00F6030E" w:rsidRPr="00655E7E" w:rsidRDefault="00F6030E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  <w:r w:rsidRPr="00655E7E">
                              <w:rPr>
                                <w:b/>
                                <w:color w:val="000000" w:themeColor="text1"/>
                                <w:szCs w:val="24"/>
                              </w:rPr>
                              <w:t>Temat dostępny w bazach danych</w:t>
                            </w:r>
                          </w:p>
                          <w:p w14:paraId="5EAC8D14" w14:textId="77777777" w:rsidR="00F6030E" w:rsidRPr="00AD0C67" w:rsidRDefault="00036779" w:rsidP="00673C26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8" w:history="1">
                              <w:r w:rsidR="00F6030E" w:rsidRPr="00AD0C67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</w:rPr>
                                <w:t>Dziedzinowa Baza Wiedzy Warunki Życia Ludności</w:t>
                              </w:r>
                            </w:hyperlink>
                          </w:p>
                          <w:p w14:paraId="1CAD297C" w14:textId="77777777" w:rsidR="00F6030E" w:rsidRPr="00C267CA" w:rsidRDefault="00F6030E" w:rsidP="00AB6D25">
                            <w:pPr>
                              <w:rPr>
                                <w:b/>
                                <w:color w:val="000000" w:themeColor="text1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D63A91" id="_x0000_s1042" type="#_x0000_t202" style="position:absolute;margin-left:1.5pt;margin-top:308.25pt;width:516.5pt;height:349.8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" fillcolor="#f2f2f2 [3052]" strokecolor="white [3212]">
                <v:textbox>
                  <w:txbxContent>
                    <w:p w14:paraId="5D4A78F5" w14:textId="77777777" w:rsidR="00F6030E" w:rsidRDefault="00F6030E" w:rsidP="00AB6D25">
                      <w:pPr>
                        <w:rPr>
                          <w:b/>
                        </w:rPr>
                      </w:pPr>
                    </w:p>
                    <w:p w14:paraId="0D0F3A61" w14:textId="77777777" w:rsidR="00F6030E" w:rsidRPr="00C51D06" w:rsidRDefault="00F6030E" w:rsidP="00AB6D25">
                      <w:pPr>
                        <w:rPr>
                          <w:b/>
                        </w:rPr>
                      </w:pPr>
                      <w:r w:rsidRPr="00C51D06">
                        <w:rPr>
                          <w:b/>
                        </w:rPr>
                        <w:t>Powiązane opracowania</w:t>
                      </w:r>
                    </w:p>
                    <w:p w14:paraId="1C3F59E1" w14:textId="3D5872F1" w:rsidR="00F6030E" w:rsidRPr="00AD0C67" w:rsidRDefault="00844DA1" w:rsidP="009942D1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39" w:history="1">
                        <w:r w:rsidR="00F6030E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Koniunktura w przetwórstwie przemysłowym, budownictwie, handlu i usługach w marcu 2020 roku</w:t>
                        </w:r>
                      </w:hyperlink>
                    </w:p>
                    <w:p w14:paraId="4567E0E2" w14:textId="7BBA3327" w:rsidR="00F6030E" w:rsidRPr="00AD0C67" w:rsidRDefault="00844DA1" w:rsidP="009942D1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0" w:history="1">
                        <w:r w:rsidR="00F6030E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Biuletyn Statystyczny Nr 2/2020</w:t>
                        </w:r>
                      </w:hyperlink>
                    </w:p>
                    <w:p w14:paraId="3D2B1744" w14:textId="77777777" w:rsidR="00F6030E" w:rsidRPr="00C51D06" w:rsidRDefault="00F6030E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  <w:p w14:paraId="39286B63" w14:textId="77777777" w:rsidR="00F6030E" w:rsidRPr="00655E7E" w:rsidRDefault="00F6030E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  <w:r w:rsidRPr="00655E7E">
                        <w:rPr>
                          <w:b/>
                          <w:color w:val="000000" w:themeColor="text1"/>
                          <w:szCs w:val="24"/>
                        </w:rPr>
                        <w:t>Temat dostępny w bazach danych</w:t>
                      </w:r>
                    </w:p>
                    <w:p w14:paraId="5EAC8D14" w14:textId="77777777" w:rsidR="00F6030E" w:rsidRPr="00AD0C67" w:rsidRDefault="00844DA1" w:rsidP="00673C26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1" w:history="1">
                        <w:r w:rsidR="00F6030E" w:rsidRPr="00AD0C67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</w:rPr>
                          <w:t>Dziedzinowa Baza Wiedzy Warunki Życia Ludności</w:t>
                        </w:r>
                      </w:hyperlink>
                    </w:p>
                    <w:p w14:paraId="1CAD297C" w14:textId="77777777" w:rsidR="00F6030E" w:rsidRPr="00C267CA" w:rsidRDefault="00F6030E" w:rsidP="00AB6D25">
                      <w:pPr>
                        <w:rPr>
                          <w:b/>
                          <w:color w:val="000000" w:themeColor="text1"/>
                          <w:szCs w:val="24"/>
                        </w:rPr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sectPr w:rsidR="00D261A2" w:rsidRPr="003308DB" w:rsidSect="003B18B6">
      <w:headerReference w:type="default" r:id="rId42"/>
      <w:footerReference w:type="default" r:id="rId43"/>
      <w:footnotePr>
        <w:numFmt w:val="chicago"/>
      </w:footnotePr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8FE610" w14:textId="77777777" w:rsidR="00036779" w:rsidRDefault="00036779" w:rsidP="000662E2">
      <w:pPr>
        <w:spacing w:after="0" w:line="240" w:lineRule="auto"/>
      </w:pPr>
      <w:r>
        <w:separator/>
      </w:r>
    </w:p>
  </w:endnote>
  <w:endnote w:type="continuationSeparator" w:id="0">
    <w:p w14:paraId="18E159AD" w14:textId="77777777" w:rsidR="00036779" w:rsidRDefault="00036779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altName w:val="Calibri"/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altName w:val="Calibri"/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altName w:val="Calibri"/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altName w:val="Arial"/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95213403"/>
      <w:docPartObj>
        <w:docPartGallery w:val="Page Numbers (Bottom of Page)"/>
        <w:docPartUnique/>
      </w:docPartObj>
    </w:sdtPr>
    <w:sdtEndPr/>
    <w:sdtContent>
      <w:p w14:paraId="3196DBB8" w14:textId="77777777" w:rsidR="00F6030E" w:rsidRDefault="00F6030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04E0">
          <w:rPr>
            <w:noProof/>
          </w:rPr>
          <w:t>5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Fira Sans" w:hAnsi="Fira Sans" w:cstheme="minorBidi"/>
        <w:color w:val="auto"/>
        <w:sz w:val="19"/>
        <w:szCs w:val="22"/>
      </w:rPr>
      <w:id w:val="1499692559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13AF9F01" w14:textId="77777777" w:rsidR="00F6030E" w:rsidRPr="00A518FC" w:rsidRDefault="00F6030E" w:rsidP="00A518FC">
        <w:pPr>
          <w:pStyle w:val="Default"/>
          <w:rPr>
            <w:rFonts w:ascii="Fira Sans" w:hAnsi="Fira Sans" w:cs="Fira Sans"/>
            <w:sz w:val="16"/>
            <w:szCs w:val="16"/>
          </w:rPr>
        </w:pPr>
      </w:p>
      <w:p w14:paraId="5373A8C0" w14:textId="77777777" w:rsidR="00F6030E" w:rsidRPr="00A518FC" w:rsidRDefault="00F6030E" w:rsidP="003B18B6">
        <w:pPr>
          <w:pStyle w:val="Stopka"/>
          <w:jc w:val="center"/>
          <w:rPr>
            <w:sz w:val="16"/>
            <w:szCs w:val="16"/>
          </w:rPr>
        </w:pPr>
        <w:r w:rsidRPr="00A518FC">
          <w:rPr>
            <w:sz w:val="16"/>
            <w:szCs w:val="16"/>
          </w:rPr>
          <w:fldChar w:fldCharType="begin"/>
        </w:r>
        <w:r w:rsidRPr="00A518FC">
          <w:rPr>
            <w:sz w:val="16"/>
            <w:szCs w:val="16"/>
          </w:rPr>
          <w:instrText>PAGE   \* MERGEFORMAT</w:instrText>
        </w:r>
        <w:r w:rsidRPr="00A518FC">
          <w:rPr>
            <w:sz w:val="16"/>
            <w:szCs w:val="16"/>
          </w:rPr>
          <w:fldChar w:fldCharType="separate"/>
        </w:r>
        <w:r w:rsidR="00A704E0">
          <w:rPr>
            <w:noProof/>
            <w:sz w:val="16"/>
            <w:szCs w:val="16"/>
          </w:rPr>
          <w:t>1</w:t>
        </w:r>
        <w:r w:rsidRPr="00A518FC">
          <w:rPr>
            <w:sz w:val="16"/>
            <w:szCs w:val="16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0258335"/>
      <w:docPartObj>
        <w:docPartGallery w:val="Page Numbers (Bottom of Page)"/>
        <w:docPartUnique/>
      </w:docPartObj>
    </w:sdtPr>
    <w:sdtEndPr/>
    <w:sdtContent>
      <w:p w14:paraId="7ECCDFE3" w14:textId="77777777" w:rsidR="00F6030E" w:rsidRDefault="00F6030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04E0">
          <w:rPr>
            <w:noProof/>
          </w:rPr>
          <w:t>10</w:t>
        </w:r>
        <w: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Fira Sans" w:hAnsi="Fira Sans" w:cstheme="minorBidi"/>
        <w:color w:val="auto"/>
        <w:sz w:val="19"/>
        <w:szCs w:val="22"/>
      </w:rPr>
      <w:id w:val="1356697198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48888E1A" w14:textId="77777777" w:rsidR="00F6030E" w:rsidRPr="00A518FC" w:rsidRDefault="00F6030E" w:rsidP="00A518FC">
        <w:pPr>
          <w:pStyle w:val="Default"/>
          <w:rPr>
            <w:rFonts w:ascii="Fira Sans" w:hAnsi="Fira Sans" w:cs="Fira Sans"/>
            <w:sz w:val="16"/>
            <w:szCs w:val="16"/>
          </w:rPr>
        </w:pPr>
      </w:p>
      <w:p w14:paraId="39C04540" w14:textId="77777777" w:rsidR="00F6030E" w:rsidRPr="00A518FC" w:rsidRDefault="00F6030E" w:rsidP="003B18B6">
        <w:pPr>
          <w:pStyle w:val="Stopka"/>
          <w:jc w:val="center"/>
          <w:rPr>
            <w:sz w:val="16"/>
            <w:szCs w:val="16"/>
          </w:rPr>
        </w:pPr>
        <w:r w:rsidRPr="00A518FC">
          <w:rPr>
            <w:sz w:val="16"/>
            <w:szCs w:val="16"/>
          </w:rPr>
          <w:fldChar w:fldCharType="begin"/>
        </w:r>
        <w:r w:rsidRPr="00A518FC">
          <w:rPr>
            <w:sz w:val="16"/>
            <w:szCs w:val="16"/>
          </w:rPr>
          <w:instrText>PAGE   \* MERGEFORMAT</w:instrText>
        </w:r>
        <w:r w:rsidRPr="00A518FC">
          <w:rPr>
            <w:sz w:val="16"/>
            <w:szCs w:val="16"/>
          </w:rPr>
          <w:fldChar w:fldCharType="separate"/>
        </w:r>
        <w:r w:rsidR="00A704E0">
          <w:rPr>
            <w:noProof/>
            <w:sz w:val="16"/>
            <w:szCs w:val="16"/>
          </w:rPr>
          <w:t>6</w:t>
        </w:r>
        <w:r w:rsidRPr="00A518FC">
          <w:rPr>
            <w:sz w:val="16"/>
            <w:szCs w:val="16"/>
          </w:rPr>
          <w:fldChar w:fldCharType="end"/>
        </w:r>
      </w:p>
    </w:sdtContent>
  </w:sdt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14:paraId="2F3A7A0B" w14:textId="77777777" w:rsidR="00F6030E" w:rsidRDefault="00F6030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04E0">
          <w:rPr>
            <w:noProof/>
          </w:rPr>
          <w:t>11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1DC828" w14:textId="77777777" w:rsidR="00036779" w:rsidRDefault="00036779" w:rsidP="000662E2">
      <w:pPr>
        <w:spacing w:after="0" w:line="240" w:lineRule="auto"/>
      </w:pPr>
      <w:r>
        <w:separator/>
      </w:r>
    </w:p>
  </w:footnote>
  <w:footnote w:type="continuationSeparator" w:id="0">
    <w:p w14:paraId="57162DCB" w14:textId="77777777" w:rsidR="00036779" w:rsidRDefault="00036779" w:rsidP="000662E2">
      <w:pPr>
        <w:spacing w:after="0" w:line="240" w:lineRule="auto"/>
      </w:pPr>
      <w:r>
        <w:continuationSeparator/>
      </w:r>
    </w:p>
  </w:footnote>
  <w:footnote w:id="1">
    <w:p w14:paraId="4D80B54E" w14:textId="3E8F6316" w:rsidR="00F6030E" w:rsidRDefault="00F6030E" w:rsidP="000A76B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518FC">
        <w:rPr>
          <w:rFonts w:cs="Fira Sans"/>
          <w:sz w:val="16"/>
          <w:szCs w:val="16"/>
        </w:rPr>
        <w:t xml:space="preserve">Obydwa wskaźniki ufności konsumenckiej mogą przyjmować wartości od –100 do +100. Wartość dodatnia oznacza przewagę liczebną konsumentów nastawionych optymistycznie nad konsumentami nastawionymi pesymistycznie, natomiast wartość ujemna oznacza przewagę liczebną konsumentów nastawionych pesymistycznie nad konsumentami nastawionymi optymistycznie. </w:t>
      </w:r>
      <w:r w:rsidRPr="00A518FC">
        <w:rPr>
          <w:noProof/>
          <w:sz w:val="16"/>
          <w:szCs w:val="16"/>
        </w:rPr>
        <w:t>W</w:t>
      </w:r>
      <w:r>
        <w:rPr>
          <w:noProof/>
          <w:sz w:val="16"/>
          <w:szCs w:val="16"/>
        </w:rPr>
        <w:t xml:space="preserve"> okresie 06-16.04.2020 r. przeprowadzono metodą wywiadu telefonicznego 1808 wywiadów.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8725AD" w14:textId="77777777" w:rsidR="00F6030E" w:rsidRDefault="00F6030E">
    <w:pPr>
      <w:pStyle w:val="Nagwek"/>
    </w:pPr>
  </w:p>
  <w:p w14:paraId="51BD416D" w14:textId="77777777" w:rsidR="00F6030E" w:rsidRDefault="00F6030E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E2860DD" wp14:editId="5E18D427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33D10F4F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30438F" w14:textId="77777777" w:rsidR="00F6030E" w:rsidRDefault="00F6030E">
    <w:pPr>
      <w:pStyle w:val="Nagwek"/>
      <w:rPr>
        <w:noProof/>
        <w:lang w:eastAsia="pl-PL"/>
      </w:rPr>
    </w:pPr>
    <w:r>
      <w:rPr>
        <w:noProof/>
        <w:lang w:eastAsia="pl-PL"/>
      </w:rPr>
      <w:drawing>
        <wp:inline distT="0" distB="0" distL="0" distR="0" wp14:anchorId="798FBC26" wp14:editId="1A31F1CC">
          <wp:extent cx="1153274" cy="720000"/>
          <wp:effectExtent l="0" t="0" r="0" b="4445"/>
          <wp:docPr id="4" name="Obraz 4" descr="logog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74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915D97B" wp14:editId="26450A45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0F66D64" w14:textId="77777777" w:rsidR="00F6030E" w:rsidRPr="003C6C8D" w:rsidRDefault="00F6030E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915D97B" id="Schemat blokowy: opóźnienie 6" o:spid="_x0000_s1043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50F66D64" w14:textId="77777777" w:rsidR="00F6030E" w:rsidRPr="003C6C8D" w:rsidRDefault="00F6030E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41A7B097" wp14:editId="592E5B2F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7C6DAABA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</w:p>
  <w:p w14:paraId="529C9426" w14:textId="77777777" w:rsidR="00F6030E" w:rsidRDefault="00F6030E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626CFB1B" wp14:editId="09EA1D45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8DD16CF" w14:textId="2D3EE8FC" w:rsidR="00F6030E" w:rsidRPr="00C97596" w:rsidRDefault="00F6030E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23.04.2020</w:t>
                          </w:r>
                          <w:r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6CFB1B" id="_x0000_t202" coordsize="21600,21600" o:spt="202" path="m,l,21600r21600,l21600,xe">
              <v:stroke joinstyle="miter"/>
              <v:path gradientshapeok="t" o:connecttype="rect"/>
            </v:shapetype>
            <v:shape id="_x0000_s1044" type="#_x0000_t202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BBGbvN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14:paraId="68DD16CF" w14:textId="2D3EE8FC" w:rsidR="00F6030E" w:rsidRPr="00C97596" w:rsidRDefault="00F6030E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23.04.2020</w:t>
                    </w:r>
                    <w:r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78B483" w14:textId="77777777" w:rsidR="00F6030E" w:rsidRDefault="00F6030E">
    <w:pPr>
      <w:pStyle w:val="Nagwek"/>
    </w:pPr>
  </w:p>
  <w:p w14:paraId="12B1F17D" w14:textId="77777777" w:rsidR="00F6030E" w:rsidRDefault="00F6030E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0C68E397" wp14:editId="2EEFE2A3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08" name="Prostokąt 20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B9F7F51" id="Prostokąt 208" o:spid="_x0000_s1026" style="position:absolute;margin-left:410.6pt;margin-top:-14.05pt;width:147.6pt;height:1785.8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azWpwIAAK8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" fillcolor="#f2f2f2 [3052]" stroked="f" strokeweight="1pt"/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9BB982" w14:textId="72423298" w:rsidR="00F6030E" w:rsidRDefault="00F6030E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27AEE69A" wp14:editId="709BE3C8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210" name="Prostokąt 2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B6467F0" id="Prostokąt 210" o:spid="_x0000_s1026" style="position:absolute;margin-left:410.95pt;margin-top:40.3pt;width:147.4pt;height:1803.55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3/qngIAAIw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" fillcolor="#f2f2f2" stroked="f" strokeweight="1pt">
              <w10:wrap type="tight"/>
            </v:rect>
          </w:pict>
        </mc:Fallback>
      </mc:AlternateContent>
    </w:r>
  </w:p>
  <w:p w14:paraId="3F28722A" w14:textId="277E6585" w:rsidR="00F6030E" w:rsidRDefault="00F6030E">
    <w:pPr>
      <w:pStyle w:val="Nagwek"/>
      <w:rPr>
        <w:noProof/>
        <w:lang w:eastAsia="pl-PL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8A314C" w14:textId="77777777" w:rsidR="00F6030E" w:rsidRDefault="00F6030E">
    <w:pPr>
      <w:pStyle w:val="Nagwek"/>
    </w:pPr>
  </w:p>
  <w:p w14:paraId="2F92140A" w14:textId="77777777" w:rsidR="00F6030E" w:rsidRDefault="00F6030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pt;height:125.25pt;visibility:visible;mso-wrap-style:square" o:bullet="t">
        <v:imagedata r:id="rId1" o:title=""/>
      </v:shape>
    </w:pict>
  </w:numPicBullet>
  <w:numPicBullet w:numPicBulletId="1">
    <w:pict>
      <v:shape id="_x0000_i1029" type="#_x0000_t75" style="width:123.75pt;height:125.2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3ACF487E"/>
    <w:multiLevelType w:val="hybridMultilevel"/>
    <w:tmpl w:val="8FB6CCC2"/>
    <w:lvl w:ilvl="0" w:tplc="D08E87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08E433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770CB7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A0478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A56943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51A118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86872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3DA8DC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7C07D1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4E3D4E0D"/>
    <w:multiLevelType w:val="hybridMultilevel"/>
    <w:tmpl w:val="0D5CF88A"/>
    <w:lvl w:ilvl="0" w:tplc="4D10BA6C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0A6C55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AD4A1A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A807B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5DCE1F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05E24A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E66F1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8382D6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2FAB53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numFmt w:val="lowerLetter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874"/>
    <w:rsid w:val="00001C5B"/>
    <w:rsid w:val="00003437"/>
    <w:rsid w:val="00004121"/>
    <w:rsid w:val="0000709F"/>
    <w:rsid w:val="000108B8"/>
    <w:rsid w:val="00014DB7"/>
    <w:rsid w:val="000152F5"/>
    <w:rsid w:val="000248A6"/>
    <w:rsid w:val="00034768"/>
    <w:rsid w:val="00036779"/>
    <w:rsid w:val="00040B33"/>
    <w:rsid w:val="00041798"/>
    <w:rsid w:val="00043689"/>
    <w:rsid w:val="0004582E"/>
    <w:rsid w:val="000470AA"/>
    <w:rsid w:val="00047B35"/>
    <w:rsid w:val="00050829"/>
    <w:rsid w:val="00051607"/>
    <w:rsid w:val="00051E07"/>
    <w:rsid w:val="00053B77"/>
    <w:rsid w:val="00057CA1"/>
    <w:rsid w:val="000662E2"/>
    <w:rsid w:val="00066883"/>
    <w:rsid w:val="00072F74"/>
    <w:rsid w:val="00074DD8"/>
    <w:rsid w:val="00075F14"/>
    <w:rsid w:val="00076F85"/>
    <w:rsid w:val="000806E2"/>
    <w:rsid w:val="000806F7"/>
    <w:rsid w:val="00082E10"/>
    <w:rsid w:val="00086288"/>
    <w:rsid w:val="00087858"/>
    <w:rsid w:val="00092075"/>
    <w:rsid w:val="00092223"/>
    <w:rsid w:val="00094173"/>
    <w:rsid w:val="00096100"/>
    <w:rsid w:val="00097840"/>
    <w:rsid w:val="000A2240"/>
    <w:rsid w:val="000A296E"/>
    <w:rsid w:val="000A2CBF"/>
    <w:rsid w:val="000A4C70"/>
    <w:rsid w:val="000A65A9"/>
    <w:rsid w:val="000A76BB"/>
    <w:rsid w:val="000B0727"/>
    <w:rsid w:val="000B0D27"/>
    <w:rsid w:val="000B11BD"/>
    <w:rsid w:val="000B5253"/>
    <w:rsid w:val="000B747E"/>
    <w:rsid w:val="000C135D"/>
    <w:rsid w:val="000C5F1F"/>
    <w:rsid w:val="000C7931"/>
    <w:rsid w:val="000D0352"/>
    <w:rsid w:val="000D1D43"/>
    <w:rsid w:val="000D225C"/>
    <w:rsid w:val="000D29F7"/>
    <w:rsid w:val="000D2A5C"/>
    <w:rsid w:val="000D2D91"/>
    <w:rsid w:val="000E0918"/>
    <w:rsid w:val="000E2680"/>
    <w:rsid w:val="000E3CBF"/>
    <w:rsid w:val="000E60B4"/>
    <w:rsid w:val="000E615F"/>
    <w:rsid w:val="000F55BC"/>
    <w:rsid w:val="001011C3"/>
    <w:rsid w:val="001070E2"/>
    <w:rsid w:val="00107A73"/>
    <w:rsid w:val="00110D87"/>
    <w:rsid w:val="00112723"/>
    <w:rsid w:val="00113C04"/>
    <w:rsid w:val="00114DB9"/>
    <w:rsid w:val="0011502A"/>
    <w:rsid w:val="00116087"/>
    <w:rsid w:val="001174F6"/>
    <w:rsid w:val="0012106E"/>
    <w:rsid w:val="00124C75"/>
    <w:rsid w:val="001258BC"/>
    <w:rsid w:val="0012739E"/>
    <w:rsid w:val="00130296"/>
    <w:rsid w:val="00131F96"/>
    <w:rsid w:val="0013245A"/>
    <w:rsid w:val="00133BFC"/>
    <w:rsid w:val="001423B6"/>
    <w:rsid w:val="00142BFC"/>
    <w:rsid w:val="001448A7"/>
    <w:rsid w:val="00146621"/>
    <w:rsid w:val="0015506A"/>
    <w:rsid w:val="001613AE"/>
    <w:rsid w:val="00162325"/>
    <w:rsid w:val="00162C4B"/>
    <w:rsid w:val="00163353"/>
    <w:rsid w:val="0016456B"/>
    <w:rsid w:val="001646FD"/>
    <w:rsid w:val="001707DA"/>
    <w:rsid w:val="00171469"/>
    <w:rsid w:val="00173149"/>
    <w:rsid w:val="00181035"/>
    <w:rsid w:val="00181CBC"/>
    <w:rsid w:val="001825B1"/>
    <w:rsid w:val="00183CE4"/>
    <w:rsid w:val="001904D7"/>
    <w:rsid w:val="00190CA5"/>
    <w:rsid w:val="00192832"/>
    <w:rsid w:val="00194F85"/>
    <w:rsid w:val="001951DA"/>
    <w:rsid w:val="00197987"/>
    <w:rsid w:val="00197B94"/>
    <w:rsid w:val="001A0AD3"/>
    <w:rsid w:val="001A671B"/>
    <w:rsid w:val="001A6ED5"/>
    <w:rsid w:val="001A7D81"/>
    <w:rsid w:val="001A7FFC"/>
    <w:rsid w:val="001B5A4C"/>
    <w:rsid w:val="001C1E98"/>
    <w:rsid w:val="001C2D33"/>
    <w:rsid w:val="001C3269"/>
    <w:rsid w:val="001C32FE"/>
    <w:rsid w:val="001C42EB"/>
    <w:rsid w:val="001C6EBA"/>
    <w:rsid w:val="001C7BD5"/>
    <w:rsid w:val="001D1DB4"/>
    <w:rsid w:val="001D2AA0"/>
    <w:rsid w:val="001D4E28"/>
    <w:rsid w:val="001D5FC6"/>
    <w:rsid w:val="001D7E17"/>
    <w:rsid w:val="001F19A3"/>
    <w:rsid w:val="001F2A20"/>
    <w:rsid w:val="00205B38"/>
    <w:rsid w:val="00210F89"/>
    <w:rsid w:val="002115FD"/>
    <w:rsid w:val="00213881"/>
    <w:rsid w:val="00214086"/>
    <w:rsid w:val="00216D8F"/>
    <w:rsid w:val="00217B26"/>
    <w:rsid w:val="00221E7B"/>
    <w:rsid w:val="002220A6"/>
    <w:rsid w:val="0022352C"/>
    <w:rsid w:val="002253F4"/>
    <w:rsid w:val="00227C24"/>
    <w:rsid w:val="00232CDD"/>
    <w:rsid w:val="002331F6"/>
    <w:rsid w:val="00233319"/>
    <w:rsid w:val="00236A55"/>
    <w:rsid w:val="00236A7C"/>
    <w:rsid w:val="00240B8D"/>
    <w:rsid w:val="00255158"/>
    <w:rsid w:val="002570E8"/>
    <w:rsid w:val="002574F9"/>
    <w:rsid w:val="00262B61"/>
    <w:rsid w:val="00262E7F"/>
    <w:rsid w:val="00267A8F"/>
    <w:rsid w:val="00273134"/>
    <w:rsid w:val="00273FBE"/>
    <w:rsid w:val="00274ADF"/>
    <w:rsid w:val="00276811"/>
    <w:rsid w:val="00276A4D"/>
    <w:rsid w:val="00276FE7"/>
    <w:rsid w:val="00277159"/>
    <w:rsid w:val="00282699"/>
    <w:rsid w:val="002830B9"/>
    <w:rsid w:val="00284618"/>
    <w:rsid w:val="00285ED8"/>
    <w:rsid w:val="002926DF"/>
    <w:rsid w:val="0029516C"/>
    <w:rsid w:val="002964C3"/>
    <w:rsid w:val="00296697"/>
    <w:rsid w:val="002971E7"/>
    <w:rsid w:val="002A3665"/>
    <w:rsid w:val="002B0472"/>
    <w:rsid w:val="002B2112"/>
    <w:rsid w:val="002B21C8"/>
    <w:rsid w:val="002B6B12"/>
    <w:rsid w:val="002C458A"/>
    <w:rsid w:val="002C58BA"/>
    <w:rsid w:val="002D4281"/>
    <w:rsid w:val="002D5918"/>
    <w:rsid w:val="002D77BE"/>
    <w:rsid w:val="002E0940"/>
    <w:rsid w:val="002E0EE3"/>
    <w:rsid w:val="002E14C1"/>
    <w:rsid w:val="002E3621"/>
    <w:rsid w:val="002E6140"/>
    <w:rsid w:val="002E6985"/>
    <w:rsid w:val="002E6D6C"/>
    <w:rsid w:val="002E71B6"/>
    <w:rsid w:val="002F027A"/>
    <w:rsid w:val="002F22D2"/>
    <w:rsid w:val="002F5124"/>
    <w:rsid w:val="002F77C8"/>
    <w:rsid w:val="0030476F"/>
    <w:rsid w:val="00304F22"/>
    <w:rsid w:val="003069FD"/>
    <w:rsid w:val="00306C7C"/>
    <w:rsid w:val="00310165"/>
    <w:rsid w:val="00320B84"/>
    <w:rsid w:val="003222A9"/>
    <w:rsid w:val="00322EDD"/>
    <w:rsid w:val="00326E56"/>
    <w:rsid w:val="003308DB"/>
    <w:rsid w:val="00331879"/>
    <w:rsid w:val="00332320"/>
    <w:rsid w:val="003346B1"/>
    <w:rsid w:val="003350E9"/>
    <w:rsid w:val="00335B46"/>
    <w:rsid w:val="00340D65"/>
    <w:rsid w:val="00341AC1"/>
    <w:rsid w:val="00345AB6"/>
    <w:rsid w:val="0034608E"/>
    <w:rsid w:val="00347D72"/>
    <w:rsid w:val="00351316"/>
    <w:rsid w:val="0035420B"/>
    <w:rsid w:val="00356C31"/>
    <w:rsid w:val="00357611"/>
    <w:rsid w:val="0036042D"/>
    <w:rsid w:val="00360663"/>
    <w:rsid w:val="00361619"/>
    <w:rsid w:val="00361B86"/>
    <w:rsid w:val="003632BA"/>
    <w:rsid w:val="00363703"/>
    <w:rsid w:val="00365786"/>
    <w:rsid w:val="00367237"/>
    <w:rsid w:val="003701DE"/>
    <w:rsid w:val="0037077F"/>
    <w:rsid w:val="00371782"/>
    <w:rsid w:val="00372411"/>
    <w:rsid w:val="00373882"/>
    <w:rsid w:val="003740B0"/>
    <w:rsid w:val="00377B67"/>
    <w:rsid w:val="00380064"/>
    <w:rsid w:val="00380DFD"/>
    <w:rsid w:val="003843DB"/>
    <w:rsid w:val="00384F1C"/>
    <w:rsid w:val="0038699E"/>
    <w:rsid w:val="00386E30"/>
    <w:rsid w:val="00391C97"/>
    <w:rsid w:val="00393761"/>
    <w:rsid w:val="00393F64"/>
    <w:rsid w:val="00394115"/>
    <w:rsid w:val="00396FC5"/>
    <w:rsid w:val="00397D18"/>
    <w:rsid w:val="003A01D8"/>
    <w:rsid w:val="003A0714"/>
    <w:rsid w:val="003A1B36"/>
    <w:rsid w:val="003A3169"/>
    <w:rsid w:val="003B000B"/>
    <w:rsid w:val="003B1454"/>
    <w:rsid w:val="003B18B6"/>
    <w:rsid w:val="003B3271"/>
    <w:rsid w:val="003C019D"/>
    <w:rsid w:val="003C1941"/>
    <w:rsid w:val="003C2E08"/>
    <w:rsid w:val="003C59E0"/>
    <w:rsid w:val="003C5D47"/>
    <w:rsid w:val="003C6C8D"/>
    <w:rsid w:val="003C6EFB"/>
    <w:rsid w:val="003C7383"/>
    <w:rsid w:val="003C78C6"/>
    <w:rsid w:val="003C78F1"/>
    <w:rsid w:val="003D01F8"/>
    <w:rsid w:val="003D0689"/>
    <w:rsid w:val="003D4D7F"/>
    <w:rsid w:val="003D4F95"/>
    <w:rsid w:val="003D57EF"/>
    <w:rsid w:val="003D5F42"/>
    <w:rsid w:val="003D60A9"/>
    <w:rsid w:val="003E5F73"/>
    <w:rsid w:val="003E6677"/>
    <w:rsid w:val="003F153D"/>
    <w:rsid w:val="003F404F"/>
    <w:rsid w:val="003F450F"/>
    <w:rsid w:val="003F4C97"/>
    <w:rsid w:val="003F514B"/>
    <w:rsid w:val="003F6DBB"/>
    <w:rsid w:val="003F7FE6"/>
    <w:rsid w:val="00400193"/>
    <w:rsid w:val="004013C9"/>
    <w:rsid w:val="00401F1A"/>
    <w:rsid w:val="00406761"/>
    <w:rsid w:val="00407D88"/>
    <w:rsid w:val="004151AC"/>
    <w:rsid w:val="004212E7"/>
    <w:rsid w:val="0042446D"/>
    <w:rsid w:val="00424B5D"/>
    <w:rsid w:val="004266E2"/>
    <w:rsid w:val="00427BF8"/>
    <w:rsid w:val="00431318"/>
    <w:rsid w:val="00431C02"/>
    <w:rsid w:val="00434891"/>
    <w:rsid w:val="00436D99"/>
    <w:rsid w:val="00437395"/>
    <w:rsid w:val="004414F9"/>
    <w:rsid w:val="0044211B"/>
    <w:rsid w:val="004423BF"/>
    <w:rsid w:val="00445047"/>
    <w:rsid w:val="00450D53"/>
    <w:rsid w:val="00452AE6"/>
    <w:rsid w:val="00454AB8"/>
    <w:rsid w:val="00460614"/>
    <w:rsid w:val="00462C73"/>
    <w:rsid w:val="004631AB"/>
    <w:rsid w:val="00463E39"/>
    <w:rsid w:val="004657FC"/>
    <w:rsid w:val="00465D66"/>
    <w:rsid w:val="00465EE5"/>
    <w:rsid w:val="00466732"/>
    <w:rsid w:val="0046695F"/>
    <w:rsid w:val="004733F6"/>
    <w:rsid w:val="00474E69"/>
    <w:rsid w:val="004750B3"/>
    <w:rsid w:val="00475774"/>
    <w:rsid w:val="00475BA8"/>
    <w:rsid w:val="0047601B"/>
    <w:rsid w:val="00477386"/>
    <w:rsid w:val="00477E44"/>
    <w:rsid w:val="00483BB4"/>
    <w:rsid w:val="00486E1D"/>
    <w:rsid w:val="004904F8"/>
    <w:rsid w:val="00491BFD"/>
    <w:rsid w:val="00494BFC"/>
    <w:rsid w:val="0049621B"/>
    <w:rsid w:val="00496F49"/>
    <w:rsid w:val="0049754B"/>
    <w:rsid w:val="004A104D"/>
    <w:rsid w:val="004A2D43"/>
    <w:rsid w:val="004B0AE4"/>
    <w:rsid w:val="004B194F"/>
    <w:rsid w:val="004B2FF7"/>
    <w:rsid w:val="004B587A"/>
    <w:rsid w:val="004B707D"/>
    <w:rsid w:val="004B7496"/>
    <w:rsid w:val="004C1895"/>
    <w:rsid w:val="004C2109"/>
    <w:rsid w:val="004C515F"/>
    <w:rsid w:val="004C5E33"/>
    <w:rsid w:val="004C6D40"/>
    <w:rsid w:val="004C78A8"/>
    <w:rsid w:val="004D268C"/>
    <w:rsid w:val="004D4078"/>
    <w:rsid w:val="004D6152"/>
    <w:rsid w:val="004E312A"/>
    <w:rsid w:val="004E324A"/>
    <w:rsid w:val="004E464A"/>
    <w:rsid w:val="004E61ED"/>
    <w:rsid w:val="004E6889"/>
    <w:rsid w:val="004F0C3C"/>
    <w:rsid w:val="004F177F"/>
    <w:rsid w:val="004F24C3"/>
    <w:rsid w:val="004F4B02"/>
    <w:rsid w:val="004F56E4"/>
    <w:rsid w:val="004F57F5"/>
    <w:rsid w:val="004F63FC"/>
    <w:rsid w:val="004F77E1"/>
    <w:rsid w:val="004F7BB4"/>
    <w:rsid w:val="00500308"/>
    <w:rsid w:val="00500D94"/>
    <w:rsid w:val="00503CEF"/>
    <w:rsid w:val="00504868"/>
    <w:rsid w:val="005049F9"/>
    <w:rsid w:val="00505A92"/>
    <w:rsid w:val="00505EA2"/>
    <w:rsid w:val="0051042A"/>
    <w:rsid w:val="00510941"/>
    <w:rsid w:val="00510D9A"/>
    <w:rsid w:val="0051777B"/>
    <w:rsid w:val="005203F1"/>
    <w:rsid w:val="00521BC3"/>
    <w:rsid w:val="005249E0"/>
    <w:rsid w:val="00525DC6"/>
    <w:rsid w:val="0052620B"/>
    <w:rsid w:val="00526FE9"/>
    <w:rsid w:val="00527156"/>
    <w:rsid w:val="00527458"/>
    <w:rsid w:val="00530074"/>
    <w:rsid w:val="00530EDF"/>
    <w:rsid w:val="00531FE8"/>
    <w:rsid w:val="00533632"/>
    <w:rsid w:val="005336B5"/>
    <w:rsid w:val="00534B5E"/>
    <w:rsid w:val="005357E1"/>
    <w:rsid w:val="00535A8D"/>
    <w:rsid w:val="00536467"/>
    <w:rsid w:val="0053753D"/>
    <w:rsid w:val="00541E6E"/>
    <w:rsid w:val="00542145"/>
    <w:rsid w:val="0054251F"/>
    <w:rsid w:val="00542EAD"/>
    <w:rsid w:val="0054344F"/>
    <w:rsid w:val="005462E0"/>
    <w:rsid w:val="005479B1"/>
    <w:rsid w:val="005520D8"/>
    <w:rsid w:val="00555B7A"/>
    <w:rsid w:val="00555E43"/>
    <w:rsid w:val="00555F04"/>
    <w:rsid w:val="005562C4"/>
    <w:rsid w:val="00556C55"/>
    <w:rsid w:val="00556CF1"/>
    <w:rsid w:val="00561BB7"/>
    <w:rsid w:val="005626C0"/>
    <w:rsid w:val="00562D79"/>
    <w:rsid w:val="00562F4D"/>
    <w:rsid w:val="0057036A"/>
    <w:rsid w:val="005762A7"/>
    <w:rsid w:val="00581651"/>
    <w:rsid w:val="00581CD2"/>
    <w:rsid w:val="005856AC"/>
    <w:rsid w:val="00586276"/>
    <w:rsid w:val="00586EB0"/>
    <w:rsid w:val="005916D7"/>
    <w:rsid w:val="005930D9"/>
    <w:rsid w:val="00597C1D"/>
    <w:rsid w:val="005A0467"/>
    <w:rsid w:val="005A36AA"/>
    <w:rsid w:val="005A3A95"/>
    <w:rsid w:val="005A3ED2"/>
    <w:rsid w:val="005A653B"/>
    <w:rsid w:val="005A698C"/>
    <w:rsid w:val="005A730E"/>
    <w:rsid w:val="005B2AAE"/>
    <w:rsid w:val="005B3A86"/>
    <w:rsid w:val="005B5D8A"/>
    <w:rsid w:val="005C433F"/>
    <w:rsid w:val="005C5FBD"/>
    <w:rsid w:val="005D05C5"/>
    <w:rsid w:val="005D6D73"/>
    <w:rsid w:val="005E0799"/>
    <w:rsid w:val="005E0B91"/>
    <w:rsid w:val="005E4C0B"/>
    <w:rsid w:val="005F0D73"/>
    <w:rsid w:val="005F40EF"/>
    <w:rsid w:val="005F41C9"/>
    <w:rsid w:val="005F4C4B"/>
    <w:rsid w:val="005F4EA6"/>
    <w:rsid w:val="005F53B6"/>
    <w:rsid w:val="005F5A80"/>
    <w:rsid w:val="005F6626"/>
    <w:rsid w:val="00600506"/>
    <w:rsid w:val="00600F7B"/>
    <w:rsid w:val="006044FF"/>
    <w:rsid w:val="0060556B"/>
    <w:rsid w:val="00607CC5"/>
    <w:rsid w:val="0061571C"/>
    <w:rsid w:val="00617810"/>
    <w:rsid w:val="00621090"/>
    <w:rsid w:val="00621808"/>
    <w:rsid w:val="0062592E"/>
    <w:rsid w:val="006265B8"/>
    <w:rsid w:val="00633014"/>
    <w:rsid w:val="0063437B"/>
    <w:rsid w:val="006348AB"/>
    <w:rsid w:val="006404CD"/>
    <w:rsid w:val="0064135C"/>
    <w:rsid w:val="006456D4"/>
    <w:rsid w:val="006508EE"/>
    <w:rsid w:val="00651FDC"/>
    <w:rsid w:val="006537BC"/>
    <w:rsid w:val="00654B4D"/>
    <w:rsid w:val="00655E7E"/>
    <w:rsid w:val="00656AE2"/>
    <w:rsid w:val="00657E03"/>
    <w:rsid w:val="00661090"/>
    <w:rsid w:val="00661ECB"/>
    <w:rsid w:val="006623F1"/>
    <w:rsid w:val="006631D3"/>
    <w:rsid w:val="00663D48"/>
    <w:rsid w:val="00664D0E"/>
    <w:rsid w:val="00665EB3"/>
    <w:rsid w:val="00666F48"/>
    <w:rsid w:val="006673CA"/>
    <w:rsid w:val="00672418"/>
    <w:rsid w:val="00673C26"/>
    <w:rsid w:val="00676474"/>
    <w:rsid w:val="006765B6"/>
    <w:rsid w:val="006812AF"/>
    <w:rsid w:val="0068327D"/>
    <w:rsid w:val="00691D5B"/>
    <w:rsid w:val="00694AF0"/>
    <w:rsid w:val="00695B50"/>
    <w:rsid w:val="006962BC"/>
    <w:rsid w:val="00696B93"/>
    <w:rsid w:val="006A3431"/>
    <w:rsid w:val="006A3CBF"/>
    <w:rsid w:val="006A4686"/>
    <w:rsid w:val="006A745A"/>
    <w:rsid w:val="006B0D09"/>
    <w:rsid w:val="006B0E9E"/>
    <w:rsid w:val="006B4CE8"/>
    <w:rsid w:val="006B509A"/>
    <w:rsid w:val="006B5AE4"/>
    <w:rsid w:val="006B60E1"/>
    <w:rsid w:val="006C105E"/>
    <w:rsid w:val="006C154F"/>
    <w:rsid w:val="006C35F4"/>
    <w:rsid w:val="006C4C37"/>
    <w:rsid w:val="006C62EA"/>
    <w:rsid w:val="006C6C8B"/>
    <w:rsid w:val="006D1507"/>
    <w:rsid w:val="006D4054"/>
    <w:rsid w:val="006D5FA7"/>
    <w:rsid w:val="006D6C0E"/>
    <w:rsid w:val="006E0142"/>
    <w:rsid w:val="006E02EC"/>
    <w:rsid w:val="006E449A"/>
    <w:rsid w:val="006E5948"/>
    <w:rsid w:val="006F05D5"/>
    <w:rsid w:val="006F35B8"/>
    <w:rsid w:val="006F6C7D"/>
    <w:rsid w:val="006F7B71"/>
    <w:rsid w:val="007004AD"/>
    <w:rsid w:val="00707207"/>
    <w:rsid w:val="00707637"/>
    <w:rsid w:val="00707CA9"/>
    <w:rsid w:val="00710607"/>
    <w:rsid w:val="00711590"/>
    <w:rsid w:val="00712785"/>
    <w:rsid w:val="00712B2A"/>
    <w:rsid w:val="00713654"/>
    <w:rsid w:val="0071553E"/>
    <w:rsid w:val="00715683"/>
    <w:rsid w:val="007211B1"/>
    <w:rsid w:val="007220B9"/>
    <w:rsid w:val="00722899"/>
    <w:rsid w:val="00724A5A"/>
    <w:rsid w:val="00724C09"/>
    <w:rsid w:val="00730701"/>
    <w:rsid w:val="007316C5"/>
    <w:rsid w:val="00733E2E"/>
    <w:rsid w:val="0074121C"/>
    <w:rsid w:val="00743028"/>
    <w:rsid w:val="007443DC"/>
    <w:rsid w:val="00744F8A"/>
    <w:rsid w:val="00745D81"/>
    <w:rsid w:val="00746187"/>
    <w:rsid w:val="00754815"/>
    <w:rsid w:val="0076254F"/>
    <w:rsid w:val="007640C5"/>
    <w:rsid w:val="00764E2D"/>
    <w:rsid w:val="00775052"/>
    <w:rsid w:val="00776AD6"/>
    <w:rsid w:val="00780119"/>
    <w:rsid w:val="007801F5"/>
    <w:rsid w:val="00780EB6"/>
    <w:rsid w:val="00781AED"/>
    <w:rsid w:val="007820A2"/>
    <w:rsid w:val="00783CA4"/>
    <w:rsid w:val="007842FB"/>
    <w:rsid w:val="0078476F"/>
    <w:rsid w:val="00785650"/>
    <w:rsid w:val="00786124"/>
    <w:rsid w:val="007901A2"/>
    <w:rsid w:val="0079514B"/>
    <w:rsid w:val="00795825"/>
    <w:rsid w:val="007968D0"/>
    <w:rsid w:val="0079706E"/>
    <w:rsid w:val="0079799F"/>
    <w:rsid w:val="007A0DC8"/>
    <w:rsid w:val="007A2DC1"/>
    <w:rsid w:val="007A32B5"/>
    <w:rsid w:val="007A7B28"/>
    <w:rsid w:val="007B0D6A"/>
    <w:rsid w:val="007B26F8"/>
    <w:rsid w:val="007B34B7"/>
    <w:rsid w:val="007B7753"/>
    <w:rsid w:val="007B785C"/>
    <w:rsid w:val="007C070C"/>
    <w:rsid w:val="007C3F8C"/>
    <w:rsid w:val="007C4853"/>
    <w:rsid w:val="007D1DA7"/>
    <w:rsid w:val="007D1F0E"/>
    <w:rsid w:val="007D3319"/>
    <w:rsid w:val="007D335D"/>
    <w:rsid w:val="007D569B"/>
    <w:rsid w:val="007D57F9"/>
    <w:rsid w:val="007D5BFA"/>
    <w:rsid w:val="007D6F6F"/>
    <w:rsid w:val="007E0BA8"/>
    <w:rsid w:val="007E3314"/>
    <w:rsid w:val="007E4B03"/>
    <w:rsid w:val="007E58C7"/>
    <w:rsid w:val="007F2056"/>
    <w:rsid w:val="007F324B"/>
    <w:rsid w:val="007F4E3D"/>
    <w:rsid w:val="007F677C"/>
    <w:rsid w:val="00800949"/>
    <w:rsid w:val="00801B02"/>
    <w:rsid w:val="0080234D"/>
    <w:rsid w:val="008024D9"/>
    <w:rsid w:val="0080553C"/>
    <w:rsid w:val="00805B46"/>
    <w:rsid w:val="008063C9"/>
    <w:rsid w:val="008118C7"/>
    <w:rsid w:val="00812468"/>
    <w:rsid w:val="00812A08"/>
    <w:rsid w:val="00812AE6"/>
    <w:rsid w:val="00813134"/>
    <w:rsid w:val="00815BCD"/>
    <w:rsid w:val="00817BBB"/>
    <w:rsid w:val="0082137A"/>
    <w:rsid w:val="0082262A"/>
    <w:rsid w:val="0082320B"/>
    <w:rsid w:val="00823882"/>
    <w:rsid w:val="0082543E"/>
    <w:rsid w:val="00825DC2"/>
    <w:rsid w:val="00826E3B"/>
    <w:rsid w:val="008305A7"/>
    <w:rsid w:val="00834AD3"/>
    <w:rsid w:val="00836863"/>
    <w:rsid w:val="00842E08"/>
    <w:rsid w:val="00843795"/>
    <w:rsid w:val="00844BF7"/>
    <w:rsid w:val="00844DA1"/>
    <w:rsid w:val="00847F0F"/>
    <w:rsid w:val="00852330"/>
    <w:rsid w:val="0085237B"/>
    <w:rsid w:val="00852448"/>
    <w:rsid w:val="0085474D"/>
    <w:rsid w:val="008636BC"/>
    <w:rsid w:val="00865527"/>
    <w:rsid w:val="008663B7"/>
    <w:rsid w:val="00866947"/>
    <w:rsid w:val="008810F3"/>
    <w:rsid w:val="008822CB"/>
    <w:rsid w:val="0088258A"/>
    <w:rsid w:val="008837AF"/>
    <w:rsid w:val="00886332"/>
    <w:rsid w:val="00886CAB"/>
    <w:rsid w:val="0088758F"/>
    <w:rsid w:val="00887A82"/>
    <w:rsid w:val="008908A3"/>
    <w:rsid w:val="00891516"/>
    <w:rsid w:val="00891FF7"/>
    <w:rsid w:val="008931C4"/>
    <w:rsid w:val="008934C4"/>
    <w:rsid w:val="008942E6"/>
    <w:rsid w:val="00896F40"/>
    <w:rsid w:val="00897772"/>
    <w:rsid w:val="008979AA"/>
    <w:rsid w:val="008A1D0D"/>
    <w:rsid w:val="008A26D9"/>
    <w:rsid w:val="008A2F86"/>
    <w:rsid w:val="008A3E99"/>
    <w:rsid w:val="008B2416"/>
    <w:rsid w:val="008B77C0"/>
    <w:rsid w:val="008C0A59"/>
    <w:rsid w:val="008C0C29"/>
    <w:rsid w:val="008C2B4B"/>
    <w:rsid w:val="008D066B"/>
    <w:rsid w:val="008D0ED7"/>
    <w:rsid w:val="008D4B7E"/>
    <w:rsid w:val="008D61B1"/>
    <w:rsid w:val="008E39CE"/>
    <w:rsid w:val="008E3D66"/>
    <w:rsid w:val="008E75B8"/>
    <w:rsid w:val="008F179A"/>
    <w:rsid w:val="008F3638"/>
    <w:rsid w:val="008F4441"/>
    <w:rsid w:val="008F6F31"/>
    <w:rsid w:val="008F74DF"/>
    <w:rsid w:val="0090176A"/>
    <w:rsid w:val="00903394"/>
    <w:rsid w:val="0090561C"/>
    <w:rsid w:val="00906B4E"/>
    <w:rsid w:val="00907522"/>
    <w:rsid w:val="009127BA"/>
    <w:rsid w:val="0091301E"/>
    <w:rsid w:val="00914E6D"/>
    <w:rsid w:val="00920F54"/>
    <w:rsid w:val="00921B01"/>
    <w:rsid w:val="009227A6"/>
    <w:rsid w:val="00923642"/>
    <w:rsid w:val="0092395E"/>
    <w:rsid w:val="00924F4C"/>
    <w:rsid w:val="00931755"/>
    <w:rsid w:val="00933EC1"/>
    <w:rsid w:val="0093459D"/>
    <w:rsid w:val="0093660E"/>
    <w:rsid w:val="00942142"/>
    <w:rsid w:val="009508AE"/>
    <w:rsid w:val="009530DB"/>
    <w:rsid w:val="00953676"/>
    <w:rsid w:val="009540D5"/>
    <w:rsid w:val="009551C9"/>
    <w:rsid w:val="009570BF"/>
    <w:rsid w:val="009601C9"/>
    <w:rsid w:val="00967DF8"/>
    <w:rsid w:val="009705EE"/>
    <w:rsid w:val="00974CCD"/>
    <w:rsid w:val="00977927"/>
    <w:rsid w:val="0098135C"/>
    <w:rsid w:val="0098156A"/>
    <w:rsid w:val="0098696C"/>
    <w:rsid w:val="00991BAC"/>
    <w:rsid w:val="009942D1"/>
    <w:rsid w:val="009950DE"/>
    <w:rsid w:val="00997879"/>
    <w:rsid w:val="009A0465"/>
    <w:rsid w:val="009A283D"/>
    <w:rsid w:val="009A2905"/>
    <w:rsid w:val="009A5A6D"/>
    <w:rsid w:val="009A6EA0"/>
    <w:rsid w:val="009B171E"/>
    <w:rsid w:val="009C1335"/>
    <w:rsid w:val="009C162D"/>
    <w:rsid w:val="009C1AB2"/>
    <w:rsid w:val="009C2E5B"/>
    <w:rsid w:val="009C7251"/>
    <w:rsid w:val="009D0AC9"/>
    <w:rsid w:val="009D10D8"/>
    <w:rsid w:val="009D207F"/>
    <w:rsid w:val="009D3DE0"/>
    <w:rsid w:val="009E2D0F"/>
    <w:rsid w:val="009E2E91"/>
    <w:rsid w:val="009F096D"/>
    <w:rsid w:val="009F1339"/>
    <w:rsid w:val="009F1EF8"/>
    <w:rsid w:val="009F5774"/>
    <w:rsid w:val="009F5AAF"/>
    <w:rsid w:val="009F7114"/>
    <w:rsid w:val="009F71F6"/>
    <w:rsid w:val="009F7696"/>
    <w:rsid w:val="00A01C97"/>
    <w:rsid w:val="00A0582E"/>
    <w:rsid w:val="00A06A63"/>
    <w:rsid w:val="00A10177"/>
    <w:rsid w:val="00A139F5"/>
    <w:rsid w:val="00A16CF0"/>
    <w:rsid w:val="00A201E6"/>
    <w:rsid w:val="00A217E6"/>
    <w:rsid w:val="00A21E81"/>
    <w:rsid w:val="00A2214D"/>
    <w:rsid w:val="00A23AB4"/>
    <w:rsid w:val="00A2414C"/>
    <w:rsid w:val="00A33D0D"/>
    <w:rsid w:val="00A35C72"/>
    <w:rsid w:val="00A365F4"/>
    <w:rsid w:val="00A419DD"/>
    <w:rsid w:val="00A46DAE"/>
    <w:rsid w:val="00A46DF7"/>
    <w:rsid w:val="00A479C0"/>
    <w:rsid w:val="00A47D09"/>
    <w:rsid w:val="00A47D7C"/>
    <w:rsid w:val="00A47D80"/>
    <w:rsid w:val="00A518FC"/>
    <w:rsid w:val="00A53132"/>
    <w:rsid w:val="00A563F2"/>
    <w:rsid w:val="00A566E8"/>
    <w:rsid w:val="00A62353"/>
    <w:rsid w:val="00A638B0"/>
    <w:rsid w:val="00A64D42"/>
    <w:rsid w:val="00A6713B"/>
    <w:rsid w:val="00A704E0"/>
    <w:rsid w:val="00A77879"/>
    <w:rsid w:val="00A810F9"/>
    <w:rsid w:val="00A81127"/>
    <w:rsid w:val="00A821F3"/>
    <w:rsid w:val="00A8354F"/>
    <w:rsid w:val="00A83560"/>
    <w:rsid w:val="00A84C04"/>
    <w:rsid w:val="00A866F2"/>
    <w:rsid w:val="00A86ECC"/>
    <w:rsid w:val="00A86FCC"/>
    <w:rsid w:val="00A87C05"/>
    <w:rsid w:val="00A907FE"/>
    <w:rsid w:val="00A934AA"/>
    <w:rsid w:val="00A953B9"/>
    <w:rsid w:val="00AA3BAC"/>
    <w:rsid w:val="00AA5262"/>
    <w:rsid w:val="00AA57A3"/>
    <w:rsid w:val="00AA630E"/>
    <w:rsid w:val="00AA676A"/>
    <w:rsid w:val="00AA710D"/>
    <w:rsid w:val="00AA724B"/>
    <w:rsid w:val="00AB0725"/>
    <w:rsid w:val="00AB1B71"/>
    <w:rsid w:val="00AB2C3E"/>
    <w:rsid w:val="00AB3236"/>
    <w:rsid w:val="00AB458F"/>
    <w:rsid w:val="00AB6D25"/>
    <w:rsid w:val="00AC1A44"/>
    <w:rsid w:val="00AC2AC4"/>
    <w:rsid w:val="00AC3B8D"/>
    <w:rsid w:val="00AC5371"/>
    <w:rsid w:val="00AC6F33"/>
    <w:rsid w:val="00AC77DC"/>
    <w:rsid w:val="00AD0C67"/>
    <w:rsid w:val="00AD5152"/>
    <w:rsid w:val="00AD58FC"/>
    <w:rsid w:val="00AD7676"/>
    <w:rsid w:val="00AE06C8"/>
    <w:rsid w:val="00AE2D4B"/>
    <w:rsid w:val="00AE40F9"/>
    <w:rsid w:val="00AE4F99"/>
    <w:rsid w:val="00AE6789"/>
    <w:rsid w:val="00AE6EF2"/>
    <w:rsid w:val="00AF2F1E"/>
    <w:rsid w:val="00AF3780"/>
    <w:rsid w:val="00AF4C9F"/>
    <w:rsid w:val="00B00C09"/>
    <w:rsid w:val="00B05C6D"/>
    <w:rsid w:val="00B06AF2"/>
    <w:rsid w:val="00B11B69"/>
    <w:rsid w:val="00B12FBA"/>
    <w:rsid w:val="00B14952"/>
    <w:rsid w:val="00B15CA4"/>
    <w:rsid w:val="00B217DB"/>
    <w:rsid w:val="00B24F4F"/>
    <w:rsid w:val="00B27B18"/>
    <w:rsid w:val="00B27B58"/>
    <w:rsid w:val="00B27D3E"/>
    <w:rsid w:val="00B31E5A"/>
    <w:rsid w:val="00B330DE"/>
    <w:rsid w:val="00B34DB1"/>
    <w:rsid w:val="00B3501C"/>
    <w:rsid w:val="00B35A63"/>
    <w:rsid w:val="00B403A1"/>
    <w:rsid w:val="00B412A3"/>
    <w:rsid w:val="00B413B9"/>
    <w:rsid w:val="00B4483E"/>
    <w:rsid w:val="00B46A9F"/>
    <w:rsid w:val="00B51B63"/>
    <w:rsid w:val="00B521B0"/>
    <w:rsid w:val="00B57890"/>
    <w:rsid w:val="00B6033B"/>
    <w:rsid w:val="00B61820"/>
    <w:rsid w:val="00B61924"/>
    <w:rsid w:val="00B63591"/>
    <w:rsid w:val="00B6506A"/>
    <w:rsid w:val="00B653AB"/>
    <w:rsid w:val="00B65F9E"/>
    <w:rsid w:val="00B66B19"/>
    <w:rsid w:val="00B7120E"/>
    <w:rsid w:val="00B722C7"/>
    <w:rsid w:val="00B72F68"/>
    <w:rsid w:val="00B733EE"/>
    <w:rsid w:val="00B73F74"/>
    <w:rsid w:val="00B749B9"/>
    <w:rsid w:val="00B75AD8"/>
    <w:rsid w:val="00B77A19"/>
    <w:rsid w:val="00B81262"/>
    <w:rsid w:val="00B81EBE"/>
    <w:rsid w:val="00B82545"/>
    <w:rsid w:val="00B85DBF"/>
    <w:rsid w:val="00B86BCA"/>
    <w:rsid w:val="00B914E9"/>
    <w:rsid w:val="00B9163F"/>
    <w:rsid w:val="00B91D7C"/>
    <w:rsid w:val="00B91FEC"/>
    <w:rsid w:val="00B93207"/>
    <w:rsid w:val="00B956EE"/>
    <w:rsid w:val="00B95B90"/>
    <w:rsid w:val="00BA2BA1"/>
    <w:rsid w:val="00BA3562"/>
    <w:rsid w:val="00BA4A0F"/>
    <w:rsid w:val="00BA4CBE"/>
    <w:rsid w:val="00BA6359"/>
    <w:rsid w:val="00BA728E"/>
    <w:rsid w:val="00BA76A2"/>
    <w:rsid w:val="00BB1D75"/>
    <w:rsid w:val="00BB4DF0"/>
    <w:rsid w:val="00BB4EA0"/>
    <w:rsid w:val="00BB4F09"/>
    <w:rsid w:val="00BB5174"/>
    <w:rsid w:val="00BB6A78"/>
    <w:rsid w:val="00BC1D2E"/>
    <w:rsid w:val="00BC2DDB"/>
    <w:rsid w:val="00BC310C"/>
    <w:rsid w:val="00BC44E4"/>
    <w:rsid w:val="00BD0145"/>
    <w:rsid w:val="00BD1E7E"/>
    <w:rsid w:val="00BD2828"/>
    <w:rsid w:val="00BD4E33"/>
    <w:rsid w:val="00BD5CAF"/>
    <w:rsid w:val="00BD6D11"/>
    <w:rsid w:val="00BE3159"/>
    <w:rsid w:val="00BE54BD"/>
    <w:rsid w:val="00BF0508"/>
    <w:rsid w:val="00BF36EE"/>
    <w:rsid w:val="00BF419C"/>
    <w:rsid w:val="00BF54F8"/>
    <w:rsid w:val="00BF61D5"/>
    <w:rsid w:val="00C030DE"/>
    <w:rsid w:val="00C03F01"/>
    <w:rsid w:val="00C074FD"/>
    <w:rsid w:val="00C10115"/>
    <w:rsid w:val="00C15772"/>
    <w:rsid w:val="00C16216"/>
    <w:rsid w:val="00C16AEC"/>
    <w:rsid w:val="00C22105"/>
    <w:rsid w:val="00C23026"/>
    <w:rsid w:val="00C244B6"/>
    <w:rsid w:val="00C25087"/>
    <w:rsid w:val="00C267CA"/>
    <w:rsid w:val="00C3702F"/>
    <w:rsid w:val="00C42F6A"/>
    <w:rsid w:val="00C43B04"/>
    <w:rsid w:val="00C4500A"/>
    <w:rsid w:val="00C517C0"/>
    <w:rsid w:val="00C51D06"/>
    <w:rsid w:val="00C5296B"/>
    <w:rsid w:val="00C558C4"/>
    <w:rsid w:val="00C562B2"/>
    <w:rsid w:val="00C563F1"/>
    <w:rsid w:val="00C566A9"/>
    <w:rsid w:val="00C56813"/>
    <w:rsid w:val="00C569AB"/>
    <w:rsid w:val="00C60D38"/>
    <w:rsid w:val="00C62895"/>
    <w:rsid w:val="00C63004"/>
    <w:rsid w:val="00C63B7B"/>
    <w:rsid w:val="00C64240"/>
    <w:rsid w:val="00C64A37"/>
    <w:rsid w:val="00C67462"/>
    <w:rsid w:val="00C7158E"/>
    <w:rsid w:val="00C717C9"/>
    <w:rsid w:val="00C7250B"/>
    <w:rsid w:val="00C7346B"/>
    <w:rsid w:val="00C77050"/>
    <w:rsid w:val="00C77C0E"/>
    <w:rsid w:val="00C8063E"/>
    <w:rsid w:val="00C81487"/>
    <w:rsid w:val="00C90369"/>
    <w:rsid w:val="00C91687"/>
    <w:rsid w:val="00C924A8"/>
    <w:rsid w:val="00C93D5E"/>
    <w:rsid w:val="00C940E7"/>
    <w:rsid w:val="00C945FE"/>
    <w:rsid w:val="00C96FAA"/>
    <w:rsid w:val="00C97A04"/>
    <w:rsid w:val="00CA0641"/>
    <w:rsid w:val="00CA107B"/>
    <w:rsid w:val="00CA12C5"/>
    <w:rsid w:val="00CA40BD"/>
    <w:rsid w:val="00CA484D"/>
    <w:rsid w:val="00CA495C"/>
    <w:rsid w:val="00CA4DFE"/>
    <w:rsid w:val="00CA4FB6"/>
    <w:rsid w:val="00CA5C53"/>
    <w:rsid w:val="00CB1737"/>
    <w:rsid w:val="00CB1BA1"/>
    <w:rsid w:val="00CC0AFE"/>
    <w:rsid w:val="00CC28D0"/>
    <w:rsid w:val="00CC5415"/>
    <w:rsid w:val="00CC5592"/>
    <w:rsid w:val="00CC72A6"/>
    <w:rsid w:val="00CC739E"/>
    <w:rsid w:val="00CD178A"/>
    <w:rsid w:val="00CD217B"/>
    <w:rsid w:val="00CD2907"/>
    <w:rsid w:val="00CD49BB"/>
    <w:rsid w:val="00CD58B7"/>
    <w:rsid w:val="00CE5807"/>
    <w:rsid w:val="00CE5EF2"/>
    <w:rsid w:val="00CE6A48"/>
    <w:rsid w:val="00CF2E4C"/>
    <w:rsid w:val="00CF4099"/>
    <w:rsid w:val="00CF50AE"/>
    <w:rsid w:val="00CF538E"/>
    <w:rsid w:val="00CF6348"/>
    <w:rsid w:val="00CF648E"/>
    <w:rsid w:val="00D00796"/>
    <w:rsid w:val="00D01C12"/>
    <w:rsid w:val="00D029DF"/>
    <w:rsid w:val="00D05126"/>
    <w:rsid w:val="00D06B81"/>
    <w:rsid w:val="00D078D8"/>
    <w:rsid w:val="00D12F08"/>
    <w:rsid w:val="00D14A85"/>
    <w:rsid w:val="00D16D48"/>
    <w:rsid w:val="00D17EAA"/>
    <w:rsid w:val="00D21BB8"/>
    <w:rsid w:val="00D23581"/>
    <w:rsid w:val="00D24390"/>
    <w:rsid w:val="00D24C05"/>
    <w:rsid w:val="00D26089"/>
    <w:rsid w:val="00D261A2"/>
    <w:rsid w:val="00D30454"/>
    <w:rsid w:val="00D36450"/>
    <w:rsid w:val="00D36D38"/>
    <w:rsid w:val="00D47E2E"/>
    <w:rsid w:val="00D54347"/>
    <w:rsid w:val="00D60211"/>
    <w:rsid w:val="00D60A84"/>
    <w:rsid w:val="00D616D2"/>
    <w:rsid w:val="00D62602"/>
    <w:rsid w:val="00D62F34"/>
    <w:rsid w:val="00D63B5F"/>
    <w:rsid w:val="00D70EF7"/>
    <w:rsid w:val="00D734C2"/>
    <w:rsid w:val="00D77FEA"/>
    <w:rsid w:val="00D8019B"/>
    <w:rsid w:val="00D8397C"/>
    <w:rsid w:val="00D86250"/>
    <w:rsid w:val="00D90CB4"/>
    <w:rsid w:val="00D9166B"/>
    <w:rsid w:val="00D92B9D"/>
    <w:rsid w:val="00D94BFD"/>
    <w:rsid w:val="00D94EED"/>
    <w:rsid w:val="00D95F99"/>
    <w:rsid w:val="00D96026"/>
    <w:rsid w:val="00D96A34"/>
    <w:rsid w:val="00D97CB4"/>
    <w:rsid w:val="00DA0438"/>
    <w:rsid w:val="00DA15B6"/>
    <w:rsid w:val="00DA6528"/>
    <w:rsid w:val="00DA70BC"/>
    <w:rsid w:val="00DA7C1C"/>
    <w:rsid w:val="00DB147A"/>
    <w:rsid w:val="00DB1B7A"/>
    <w:rsid w:val="00DB299B"/>
    <w:rsid w:val="00DC0BD7"/>
    <w:rsid w:val="00DC22C3"/>
    <w:rsid w:val="00DC6708"/>
    <w:rsid w:val="00DC7F3C"/>
    <w:rsid w:val="00DD01DA"/>
    <w:rsid w:val="00DD08D7"/>
    <w:rsid w:val="00DD1F1F"/>
    <w:rsid w:val="00DD3036"/>
    <w:rsid w:val="00DD7916"/>
    <w:rsid w:val="00DE1E47"/>
    <w:rsid w:val="00DF5320"/>
    <w:rsid w:val="00DF7BC7"/>
    <w:rsid w:val="00E01436"/>
    <w:rsid w:val="00E03B38"/>
    <w:rsid w:val="00E045BD"/>
    <w:rsid w:val="00E0762C"/>
    <w:rsid w:val="00E1149B"/>
    <w:rsid w:val="00E135B1"/>
    <w:rsid w:val="00E165BE"/>
    <w:rsid w:val="00E1667E"/>
    <w:rsid w:val="00E17B77"/>
    <w:rsid w:val="00E17DE6"/>
    <w:rsid w:val="00E20041"/>
    <w:rsid w:val="00E20CBE"/>
    <w:rsid w:val="00E212A3"/>
    <w:rsid w:val="00E23337"/>
    <w:rsid w:val="00E2483C"/>
    <w:rsid w:val="00E259EA"/>
    <w:rsid w:val="00E32061"/>
    <w:rsid w:val="00E35136"/>
    <w:rsid w:val="00E37334"/>
    <w:rsid w:val="00E41497"/>
    <w:rsid w:val="00E42FF9"/>
    <w:rsid w:val="00E4714C"/>
    <w:rsid w:val="00E47168"/>
    <w:rsid w:val="00E5101C"/>
    <w:rsid w:val="00E51AEB"/>
    <w:rsid w:val="00E522A7"/>
    <w:rsid w:val="00E53494"/>
    <w:rsid w:val="00E53693"/>
    <w:rsid w:val="00E53C71"/>
    <w:rsid w:val="00E54452"/>
    <w:rsid w:val="00E55777"/>
    <w:rsid w:val="00E57ABD"/>
    <w:rsid w:val="00E61613"/>
    <w:rsid w:val="00E64BE7"/>
    <w:rsid w:val="00E664C5"/>
    <w:rsid w:val="00E66983"/>
    <w:rsid w:val="00E671A2"/>
    <w:rsid w:val="00E67AEE"/>
    <w:rsid w:val="00E76D26"/>
    <w:rsid w:val="00E77169"/>
    <w:rsid w:val="00E77E1D"/>
    <w:rsid w:val="00E806E2"/>
    <w:rsid w:val="00E827EF"/>
    <w:rsid w:val="00E832ED"/>
    <w:rsid w:val="00E87266"/>
    <w:rsid w:val="00E9568F"/>
    <w:rsid w:val="00EA3120"/>
    <w:rsid w:val="00EA5E22"/>
    <w:rsid w:val="00EA69E1"/>
    <w:rsid w:val="00EB1390"/>
    <w:rsid w:val="00EB2C71"/>
    <w:rsid w:val="00EB4340"/>
    <w:rsid w:val="00EB556D"/>
    <w:rsid w:val="00EB5A7D"/>
    <w:rsid w:val="00EB6548"/>
    <w:rsid w:val="00EC1105"/>
    <w:rsid w:val="00EC4537"/>
    <w:rsid w:val="00EC4894"/>
    <w:rsid w:val="00EC4951"/>
    <w:rsid w:val="00EC5DD8"/>
    <w:rsid w:val="00EC6435"/>
    <w:rsid w:val="00EC73CA"/>
    <w:rsid w:val="00EC76B9"/>
    <w:rsid w:val="00ED1949"/>
    <w:rsid w:val="00ED297A"/>
    <w:rsid w:val="00ED55C0"/>
    <w:rsid w:val="00ED682B"/>
    <w:rsid w:val="00EE2896"/>
    <w:rsid w:val="00EE36CB"/>
    <w:rsid w:val="00EE41D5"/>
    <w:rsid w:val="00EE4780"/>
    <w:rsid w:val="00EE4970"/>
    <w:rsid w:val="00EE5223"/>
    <w:rsid w:val="00EE5EC4"/>
    <w:rsid w:val="00EE746E"/>
    <w:rsid w:val="00EF6C6B"/>
    <w:rsid w:val="00F0121F"/>
    <w:rsid w:val="00F01669"/>
    <w:rsid w:val="00F0170D"/>
    <w:rsid w:val="00F02254"/>
    <w:rsid w:val="00F037A4"/>
    <w:rsid w:val="00F06326"/>
    <w:rsid w:val="00F071AC"/>
    <w:rsid w:val="00F108B4"/>
    <w:rsid w:val="00F132FD"/>
    <w:rsid w:val="00F13C31"/>
    <w:rsid w:val="00F154DB"/>
    <w:rsid w:val="00F15F6E"/>
    <w:rsid w:val="00F27C8F"/>
    <w:rsid w:val="00F31D9C"/>
    <w:rsid w:val="00F32323"/>
    <w:rsid w:val="00F32749"/>
    <w:rsid w:val="00F327B3"/>
    <w:rsid w:val="00F344CD"/>
    <w:rsid w:val="00F3589E"/>
    <w:rsid w:val="00F359FA"/>
    <w:rsid w:val="00F370FD"/>
    <w:rsid w:val="00F37172"/>
    <w:rsid w:val="00F40194"/>
    <w:rsid w:val="00F4096A"/>
    <w:rsid w:val="00F43964"/>
    <w:rsid w:val="00F44379"/>
    <w:rsid w:val="00F4477E"/>
    <w:rsid w:val="00F45AD8"/>
    <w:rsid w:val="00F46013"/>
    <w:rsid w:val="00F47274"/>
    <w:rsid w:val="00F478EF"/>
    <w:rsid w:val="00F47E33"/>
    <w:rsid w:val="00F54466"/>
    <w:rsid w:val="00F54C16"/>
    <w:rsid w:val="00F6030E"/>
    <w:rsid w:val="00F63DF7"/>
    <w:rsid w:val="00F65B91"/>
    <w:rsid w:val="00F6684A"/>
    <w:rsid w:val="00F6773E"/>
    <w:rsid w:val="00F67D8F"/>
    <w:rsid w:val="00F726A7"/>
    <w:rsid w:val="00F729F3"/>
    <w:rsid w:val="00F73110"/>
    <w:rsid w:val="00F76B91"/>
    <w:rsid w:val="00F802BE"/>
    <w:rsid w:val="00F80E93"/>
    <w:rsid w:val="00F827A4"/>
    <w:rsid w:val="00F82CF5"/>
    <w:rsid w:val="00F83720"/>
    <w:rsid w:val="00F85252"/>
    <w:rsid w:val="00F86024"/>
    <w:rsid w:val="00F8611A"/>
    <w:rsid w:val="00F87A89"/>
    <w:rsid w:val="00F9541C"/>
    <w:rsid w:val="00FA0634"/>
    <w:rsid w:val="00FA1F77"/>
    <w:rsid w:val="00FA4875"/>
    <w:rsid w:val="00FA5128"/>
    <w:rsid w:val="00FA5F55"/>
    <w:rsid w:val="00FA5F62"/>
    <w:rsid w:val="00FA623A"/>
    <w:rsid w:val="00FB3898"/>
    <w:rsid w:val="00FB42D4"/>
    <w:rsid w:val="00FB451B"/>
    <w:rsid w:val="00FB5906"/>
    <w:rsid w:val="00FB5C58"/>
    <w:rsid w:val="00FB762F"/>
    <w:rsid w:val="00FC0725"/>
    <w:rsid w:val="00FC0EC4"/>
    <w:rsid w:val="00FC2AED"/>
    <w:rsid w:val="00FC64E0"/>
    <w:rsid w:val="00FC711D"/>
    <w:rsid w:val="00FD0641"/>
    <w:rsid w:val="00FD30CF"/>
    <w:rsid w:val="00FD4353"/>
    <w:rsid w:val="00FD4F5A"/>
    <w:rsid w:val="00FD5EA7"/>
    <w:rsid w:val="00FD69E9"/>
    <w:rsid w:val="00FD7BD2"/>
    <w:rsid w:val="00FE08F1"/>
    <w:rsid w:val="00FE4DFA"/>
    <w:rsid w:val="00FE5525"/>
    <w:rsid w:val="00FE5C2F"/>
    <w:rsid w:val="00FE6DF6"/>
    <w:rsid w:val="00FF1913"/>
    <w:rsid w:val="00FF198D"/>
    <w:rsid w:val="00FF1B51"/>
    <w:rsid w:val="00FF28AA"/>
    <w:rsid w:val="00FF48BB"/>
    <w:rsid w:val="00FF4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17AF7B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customStyle="1" w:styleId="Default">
    <w:name w:val="Default"/>
    <w:rsid w:val="003A316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E827EF"/>
    <w:rPr>
      <w:color w:val="954F72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F15F6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1.xml"/><Relationship Id="rId18" Type="http://schemas.openxmlformats.org/officeDocument/2006/relationships/footer" Target="footer1.xml"/><Relationship Id="rId26" Type="http://schemas.openxmlformats.org/officeDocument/2006/relationships/chart" Target="charts/chart10.xml"/><Relationship Id="rId39" Type="http://schemas.openxmlformats.org/officeDocument/2006/relationships/hyperlink" Target="https://stat.gov.pl/obszary-tematyczne/koniunktura/koniunktura/koniunktura-w-przetworstwie-przemyslowym-budownictwie-handlu-i-uslugach-marzec-2020-roku,3,88.html" TargetMode="External"/><Relationship Id="rId21" Type="http://schemas.openxmlformats.org/officeDocument/2006/relationships/chart" Target="charts/chart5.xml"/><Relationship Id="rId34" Type="http://schemas.openxmlformats.org/officeDocument/2006/relationships/image" Target="media/image6.png"/><Relationship Id="rId42" Type="http://schemas.openxmlformats.org/officeDocument/2006/relationships/header" Target="header5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chart" Target="charts/chart4.xml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emf"/><Relationship Id="rId24" Type="http://schemas.openxmlformats.org/officeDocument/2006/relationships/chart" Target="charts/chart8.xml"/><Relationship Id="rId32" Type="http://schemas.openxmlformats.org/officeDocument/2006/relationships/hyperlink" Target="mailto:obslugaprasowa@stat.gov.pl" TargetMode="External"/><Relationship Id="rId37" Type="http://schemas.openxmlformats.org/officeDocument/2006/relationships/hyperlink" Target="https://stat.gov.pl/obszary-tematyczne/inne-opracowania/informacje-o-sytuacji-spoleczno-gospodarczej/biuletyn-statystyczny-nr-22020,4,97.html" TargetMode="External"/><Relationship Id="rId40" Type="http://schemas.openxmlformats.org/officeDocument/2006/relationships/hyperlink" Target="https://stat.gov.pl/obszary-tematyczne/inne-opracowania/informacje-o-sytuacji-spoleczno-gospodarczej/biuletyn-statystyczny-nr-22020,4,97.html" TargetMode="External"/><Relationship Id="rId45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chart" Target="charts/chart3.xml"/><Relationship Id="rId23" Type="http://schemas.openxmlformats.org/officeDocument/2006/relationships/chart" Target="charts/chart7.xml"/><Relationship Id="rId28" Type="http://schemas.openxmlformats.org/officeDocument/2006/relationships/header" Target="header3.xml"/><Relationship Id="rId36" Type="http://schemas.openxmlformats.org/officeDocument/2006/relationships/hyperlink" Target="https://stat.gov.pl/obszary-tematyczne/koniunktura/koniunktura/koniunktura-w-przetworstwie-przemyslowym-budownictwie-handlu-i-uslugach-marzec-2020-roku,3,88.html" TargetMode="Externa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31" Type="http://schemas.openxmlformats.org/officeDocument/2006/relationships/footer" Target="footer4.xml"/><Relationship Id="rId44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hart" Target="charts/chart2.xml"/><Relationship Id="rId22" Type="http://schemas.openxmlformats.org/officeDocument/2006/relationships/chart" Target="charts/chart6.xml"/><Relationship Id="rId27" Type="http://schemas.openxmlformats.org/officeDocument/2006/relationships/chart" Target="charts/chart11.xml"/><Relationship Id="rId30" Type="http://schemas.openxmlformats.org/officeDocument/2006/relationships/header" Target="header4.xml"/><Relationship Id="rId35" Type="http://schemas.openxmlformats.org/officeDocument/2006/relationships/image" Target="media/image7.png"/><Relationship Id="rId43" Type="http://schemas.openxmlformats.org/officeDocument/2006/relationships/footer" Target="footer5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image" Target="media/image30.emf"/><Relationship Id="rId17" Type="http://schemas.openxmlformats.org/officeDocument/2006/relationships/header" Target="header1.xml"/><Relationship Id="rId25" Type="http://schemas.openxmlformats.org/officeDocument/2006/relationships/chart" Target="charts/chart9.xml"/><Relationship Id="rId33" Type="http://schemas.openxmlformats.org/officeDocument/2006/relationships/image" Target="media/image5.png"/><Relationship Id="rId38" Type="http://schemas.openxmlformats.org/officeDocument/2006/relationships/hyperlink" Target="http://swaid.stat.gov.pl/SitePagesDBW/WarunkiZyciaLudnosci.aspx" TargetMode="External"/><Relationship Id="rId20" Type="http://schemas.openxmlformats.org/officeDocument/2006/relationships/footer" Target="footer2.xml"/><Relationship Id="rId41" Type="http://schemas.openxmlformats.org/officeDocument/2006/relationships/hyperlink" Target="http://swaid.stat.gov.pl/SitePagesDBW/WarunkiZyciaLudnosci.aspx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Arkusz_programu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Arkusz_programu_Microsoft_Excel10.xlsx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Arkusz_programu_Microsoft_Excel11.xlsx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Arkusz_programu_Microsoft_Excel2.xlsx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chartUserShapes" Target="../drawings/drawing1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Arkusz_programu_Microsoft_Excel3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Arkusz_programu_Microsoft_Excel4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Arkusz_programu_Microsoft_Excel5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Arkusz_programu_Microsoft_Excel6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Arkusz_programu_Microsoft_Excel7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Arkusz_programu_Microsoft_Excel8.xlsx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Arkusz_programu_Microsoft_Excel9.xlsx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3109060047300714E-2"/>
          <c:y val="3.5143675222415377E-2"/>
          <c:w val="0.92572481061659784"/>
          <c:h val="0.6952207491635430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Arkusz1!$C$1</c:f>
              <c:strCache>
                <c:ptCount val="1"/>
                <c:pt idx="0">
                  <c:v>BWUK</c:v>
                </c:pt>
              </c:strCache>
            </c:strRef>
          </c:tx>
          <c:spPr>
            <a:solidFill>
              <a:srgbClr val="001D77"/>
            </a:solidFill>
            <a:ln>
              <a:noFill/>
            </a:ln>
            <a:effectLst/>
          </c:spPr>
          <c:invertIfNegative val="0"/>
          <c:cat>
            <c:multiLvlStrRef>
              <c:f>Arkusz1!$A$2:$B$85</c:f>
              <c:multiLvlStrCache>
                <c:ptCount val="40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</c:lvl>
                <c:lvl>
                  <c:pt idx="0">
                    <c:v>2017</c:v>
                  </c:pt>
                  <c:pt idx="12">
                    <c:v>2018 </c:v>
                  </c:pt>
                  <c:pt idx="24">
                    <c:v>2019</c:v>
                  </c:pt>
                  <c:pt idx="36">
                    <c:v>2020</c:v>
                  </c:pt>
                </c:lvl>
              </c:multiLvlStrCache>
            </c:multiLvlStrRef>
          </c:cat>
          <c:val>
            <c:numRef>
              <c:f>Arkusz1!$C$2:$C$85</c:f>
              <c:numCache>
                <c:formatCode>0.0</c:formatCode>
                <c:ptCount val="40"/>
                <c:pt idx="0">
                  <c:v>-1.2</c:v>
                </c:pt>
                <c:pt idx="1">
                  <c:v>-1.9</c:v>
                </c:pt>
                <c:pt idx="2">
                  <c:v>-2</c:v>
                </c:pt>
                <c:pt idx="3">
                  <c:v>-0.8</c:v>
                </c:pt>
                <c:pt idx="4">
                  <c:v>3.1</c:v>
                </c:pt>
                <c:pt idx="5">
                  <c:v>4.8</c:v>
                </c:pt>
                <c:pt idx="6">
                  <c:v>4</c:v>
                </c:pt>
                <c:pt idx="7">
                  <c:v>5.7</c:v>
                </c:pt>
                <c:pt idx="8">
                  <c:v>5</c:v>
                </c:pt>
                <c:pt idx="9">
                  <c:v>4.5999999999999996</c:v>
                </c:pt>
                <c:pt idx="10">
                  <c:v>5.4</c:v>
                </c:pt>
                <c:pt idx="11">
                  <c:v>2.1</c:v>
                </c:pt>
                <c:pt idx="12">
                  <c:v>6.2</c:v>
                </c:pt>
                <c:pt idx="13">
                  <c:v>6.2</c:v>
                </c:pt>
                <c:pt idx="14" formatCode="0.0_)">
                  <c:v>5.4</c:v>
                </c:pt>
                <c:pt idx="15" formatCode="0.0_)">
                  <c:v>7.8</c:v>
                </c:pt>
                <c:pt idx="16">
                  <c:v>5.9</c:v>
                </c:pt>
                <c:pt idx="17">
                  <c:v>6.1</c:v>
                </c:pt>
                <c:pt idx="18">
                  <c:v>5.2</c:v>
                </c:pt>
                <c:pt idx="19">
                  <c:v>6.2</c:v>
                </c:pt>
                <c:pt idx="20">
                  <c:v>6.9</c:v>
                </c:pt>
                <c:pt idx="21">
                  <c:v>6.1</c:v>
                </c:pt>
                <c:pt idx="22">
                  <c:v>5.2</c:v>
                </c:pt>
                <c:pt idx="23">
                  <c:v>1.1000000000000001</c:v>
                </c:pt>
                <c:pt idx="24">
                  <c:v>5.4</c:v>
                </c:pt>
                <c:pt idx="25">
                  <c:v>5.5</c:v>
                </c:pt>
                <c:pt idx="26">
                  <c:v>8.1999999999999993</c:v>
                </c:pt>
                <c:pt idx="27">
                  <c:v>7.2</c:v>
                </c:pt>
                <c:pt idx="28">
                  <c:v>8.3000000000000007</c:v>
                </c:pt>
                <c:pt idx="29">
                  <c:v>9.6</c:v>
                </c:pt>
                <c:pt idx="30">
                  <c:v>9</c:v>
                </c:pt>
                <c:pt idx="31">
                  <c:v>8.1999999999999993</c:v>
                </c:pt>
                <c:pt idx="32">
                  <c:v>10.199999999999999</c:v>
                </c:pt>
                <c:pt idx="33">
                  <c:v>9.3000000000000007</c:v>
                </c:pt>
                <c:pt idx="34">
                  <c:v>6.7</c:v>
                </c:pt>
                <c:pt idx="35">
                  <c:v>4.3</c:v>
                </c:pt>
                <c:pt idx="36">
                  <c:v>3.7</c:v>
                </c:pt>
                <c:pt idx="37">
                  <c:v>1.3</c:v>
                </c:pt>
                <c:pt idx="38">
                  <c:v>1.3</c:v>
                </c:pt>
                <c:pt idx="39">
                  <c:v>-36.4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8EB1-47A5-BCA0-F8F6FD2DE8F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1196408528"/>
        <c:axId val="-1196407440"/>
      </c:barChart>
      <c:lineChart>
        <c:grouping val="standard"/>
        <c:varyColors val="0"/>
        <c:ser>
          <c:idx val="5"/>
          <c:order val="1"/>
          <c:tx>
            <c:strRef>
              <c:f>Arkusz1!$D$1</c:f>
              <c:strCache>
                <c:ptCount val="1"/>
                <c:pt idx="0">
                  <c:v>Zmiana syt. gosp. dom. w ostatnich 12 miesiącach</c:v>
                </c:pt>
              </c:strCache>
            </c:strRef>
          </c:tx>
          <c:spPr>
            <a:ln w="28575" cap="rnd">
              <a:solidFill>
                <a:schemeClr val="tx1">
                  <a:alpha val="50000"/>
                </a:scheme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tx1">
                  <a:alpha val="50000"/>
                </a:schemeClr>
              </a:solidFill>
              <a:ln w="9525">
                <a:noFill/>
              </a:ln>
              <a:effectLst/>
            </c:spPr>
          </c:marker>
          <c:cat>
            <c:multiLvlStrRef>
              <c:f>Arkusz1!$A$2:$B$85</c:f>
              <c:multiLvlStrCache>
                <c:ptCount val="40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</c:lvl>
                <c:lvl>
                  <c:pt idx="0">
                    <c:v>2017</c:v>
                  </c:pt>
                  <c:pt idx="12">
                    <c:v>2018 </c:v>
                  </c:pt>
                  <c:pt idx="24">
                    <c:v>2019</c:v>
                  </c:pt>
                  <c:pt idx="36">
                    <c:v>2020</c:v>
                  </c:pt>
                </c:lvl>
              </c:multiLvlStrCache>
            </c:multiLvlStrRef>
          </c:cat>
          <c:val>
            <c:numRef>
              <c:f>Arkusz1!$D$2:$D$85</c:f>
              <c:numCache>
                <c:formatCode>0.0</c:formatCode>
                <c:ptCount val="40"/>
                <c:pt idx="0">
                  <c:v>-1.2</c:v>
                </c:pt>
                <c:pt idx="1">
                  <c:v>-0.9</c:v>
                </c:pt>
                <c:pt idx="2">
                  <c:v>-0.2</c:v>
                </c:pt>
                <c:pt idx="3">
                  <c:v>0.5</c:v>
                </c:pt>
                <c:pt idx="4">
                  <c:v>0.8</c:v>
                </c:pt>
                <c:pt idx="5">
                  <c:v>2.2999999999999998</c:v>
                </c:pt>
                <c:pt idx="6">
                  <c:v>-0.3</c:v>
                </c:pt>
                <c:pt idx="7">
                  <c:v>2</c:v>
                </c:pt>
                <c:pt idx="8">
                  <c:v>0.6</c:v>
                </c:pt>
                <c:pt idx="9">
                  <c:v>-0.3</c:v>
                </c:pt>
                <c:pt idx="10">
                  <c:v>0.2</c:v>
                </c:pt>
                <c:pt idx="11">
                  <c:v>-2.4</c:v>
                </c:pt>
                <c:pt idx="12">
                  <c:v>1.5</c:v>
                </c:pt>
                <c:pt idx="13">
                  <c:v>0.1</c:v>
                </c:pt>
                <c:pt idx="14" formatCode="0.0_)">
                  <c:v>-2.9</c:v>
                </c:pt>
                <c:pt idx="15" formatCode="0.0_)">
                  <c:v>2.4</c:v>
                </c:pt>
                <c:pt idx="16">
                  <c:v>0.7</c:v>
                </c:pt>
                <c:pt idx="17">
                  <c:v>-0.6</c:v>
                </c:pt>
                <c:pt idx="18">
                  <c:v>1</c:v>
                </c:pt>
                <c:pt idx="19">
                  <c:v>2.9</c:v>
                </c:pt>
                <c:pt idx="20">
                  <c:v>1.2</c:v>
                </c:pt>
                <c:pt idx="21">
                  <c:v>-0.2</c:v>
                </c:pt>
                <c:pt idx="22">
                  <c:v>1.9</c:v>
                </c:pt>
                <c:pt idx="23">
                  <c:v>-1.3</c:v>
                </c:pt>
                <c:pt idx="24">
                  <c:v>1.6</c:v>
                </c:pt>
                <c:pt idx="25">
                  <c:v>1.5</c:v>
                </c:pt>
                <c:pt idx="26">
                  <c:v>3.2</c:v>
                </c:pt>
                <c:pt idx="27">
                  <c:v>6</c:v>
                </c:pt>
                <c:pt idx="28">
                  <c:v>4.4000000000000004</c:v>
                </c:pt>
                <c:pt idx="29">
                  <c:v>7.5</c:v>
                </c:pt>
                <c:pt idx="30">
                  <c:v>5.4</c:v>
                </c:pt>
                <c:pt idx="31">
                  <c:v>5.4</c:v>
                </c:pt>
                <c:pt idx="32">
                  <c:v>6.9</c:v>
                </c:pt>
                <c:pt idx="33">
                  <c:v>6.6</c:v>
                </c:pt>
                <c:pt idx="34">
                  <c:v>5.5</c:v>
                </c:pt>
                <c:pt idx="35">
                  <c:v>3.3</c:v>
                </c:pt>
                <c:pt idx="36">
                  <c:v>4.2</c:v>
                </c:pt>
                <c:pt idx="37">
                  <c:v>-0.8</c:v>
                </c:pt>
                <c:pt idx="38">
                  <c:v>1.9</c:v>
                </c:pt>
                <c:pt idx="39">
                  <c:v>-9.1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8EB1-47A5-BCA0-F8F6FD2DE8F5}"/>
            </c:ext>
          </c:extLst>
        </c:ser>
        <c:ser>
          <c:idx val="1"/>
          <c:order val="2"/>
          <c:tx>
            <c:strRef>
              <c:f>Arkusz1!$E$1</c:f>
              <c:strCache>
                <c:ptCount val="1"/>
                <c:pt idx="0">
                  <c:v>Zmiana syt. gosp. dom. w najbliższych 12 miesiącach</c:v>
                </c:pt>
              </c:strCache>
            </c:strRef>
          </c:tx>
          <c:spPr>
            <a:ln w="28575" cap="rnd">
              <a:solidFill>
                <a:srgbClr val="66B68E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66B68E"/>
              </a:solidFill>
              <a:ln w="9525">
                <a:noFill/>
              </a:ln>
              <a:effectLst/>
            </c:spPr>
          </c:marker>
          <c:cat>
            <c:multiLvlStrRef>
              <c:f>Arkusz1!$A$2:$B$85</c:f>
              <c:multiLvlStrCache>
                <c:ptCount val="40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</c:lvl>
                <c:lvl>
                  <c:pt idx="0">
                    <c:v>2017</c:v>
                  </c:pt>
                  <c:pt idx="12">
                    <c:v>2018 </c:v>
                  </c:pt>
                  <c:pt idx="24">
                    <c:v>2019</c:v>
                  </c:pt>
                  <c:pt idx="36">
                    <c:v>2020</c:v>
                  </c:pt>
                </c:lvl>
              </c:multiLvlStrCache>
            </c:multiLvlStrRef>
          </c:cat>
          <c:val>
            <c:numRef>
              <c:f>Arkusz1!$E$2:$E$85</c:f>
              <c:numCache>
                <c:formatCode>0.0</c:formatCode>
                <c:ptCount val="40"/>
                <c:pt idx="0">
                  <c:v>2.9</c:v>
                </c:pt>
                <c:pt idx="1">
                  <c:v>2.2000000000000002</c:v>
                </c:pt>
                <c:pt idx="2">
                  <c:v>1.6</c:v>
                </c:pt>
                <c:pt idx="3">
                  <c:v>2</c:v>
                </c:pt>
                <c:pt idx="4">
                  <c:v>2.8</c:v>
                </c:pt>
                <c:pt idx="5">
                  <c:v>2.9</c:v>
                </c:pt>
                <c:pt idx="6">
                  <c:v>3.6</c:v>
                </c:pt>
                <c:pt idx="7">
                  <c:v>4.3</c:v>
                </c:pt>
                <c:pt idx="8">
                  <c:v>4</c:v>
                </c:pt>
                <c:pt idx="9">
                  <c:v>1.6</c:v>
                </c:pt>
                <c:pt idx="10">
                  <c:v>5</c:v>
                </c:pt>
                <c:pt idx="11">
                  <c:v>0.2</c:v>
                </c:pt>
                <c:pt idx="12">
                  <c:v>5.2</c:v>
                </c:pt>
                <c:pt idx="13">
                  <c:v>2.8</c:v>
                </c:pt>
                <c:pt idx="14" formatCode="0.0_)">
                  <c:v>4.2</c:v>
                </c:pt>
                <c:pt idx="15" formatCode="0.0_)">
                  <c:v>5.7</c:v>
                </c:pt>
                <c:pt idx="16">
                  <c:v>3.5</c:v>
                </c:pt>
                <c:pt idx="17">
                  <c:v>3.8</c:v>
                </c:pt>
                <c:pt idx="18">
                  <c:v>3.6</c:v>
                </c:pt>
                <c:pt idx="19">
                  <c:v>4</c:v>
                </c:pt>
                <c:pt idx="20">
                  <c:v>3.1</c:v>
                </c:pt>
                <c:pt idx="21">
                  <c:v>4.7</c:v>
                </c:pt>
                <c:pt idx="22">
                  <c:v>4</c:v>
                </c:pt>
                <c:pt idx="23">
                  <c:v>-1</c:v>
                </c:pt>
                <c:pt idx="24">
                  <c:v>2.8</c:v>
                </c:pt>
                <c:pt idx="25">
                  <c:v>6.9</c:v>
                </c:pt>
                <c:pt idx="26">
                  <c:v>7.7</c:v>
                </c:pt>
                <c:pt idx="27">
                  <c:v>7.9</c:v>
                </c:pt>
                <c:pt idx="28">
                  <c:v>7</c:v>
                </c:pt>
                <c:pt idx="29">
                  <c:v>7.7</c:v>
                </c:pt>
                <c:pt idx="30">
                  <c:v>8.9</c:v>
                </c:pt>
                <c:pt idx="31">
                  <c:v>4.4000000000000004</c:v>
                </c:pt>
                <c:pt idx="32">
                  <c:v>8</c:v>
                </c:pt>
                <c:pt idx="33">
                  <c:v>5.9</c:v>
                </c:pt>
                <c:pt idx="34">
                  <c:v>5</c:v>
                </c:pt>
                <c:pt idx="35">
                  <c:v>2.8</c:v>
                </c:pt>
                <c:pt idx="36">
                  <c:v>2</c:v>
                </c:pt>
                <c:pt idx="37">
                  <c:v>2.4</c:v>
                </c:pt>
                <c:pt idx="38">
                  <c:v>1.7</c:v>
                </c:pt>
                <c:pt idx="39">
                  <c:v>-30.5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8EB1-47A5-BCA0-F8F6FD2DE8F5}"/>
            </c:ext>
          </c:extLst>
        </c:ser>
        <c:ser>
          <c:idx val="6"/>
          <c:order val="3"/>
          <c:tx>
            <c:strRef>
              <c:f>Arkusz1!$F$1</c:f>
              <c:strCache>
                <c:ptCount val="1"/>
                <c:pt idx="0">
                  <c:v>Zmiana syt. kraju w ostatnich 12 miesiącach</c:v>
                </c:pt>
              </c:strCache>
            </c:strRef>
          </c:tx>
          <c:spPr>
            <a:ln w="28575" cap="rnd">
              <a:solidFill>
                <a:srgbClr val="00854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008542"/>
              </a:solidFill>
              <a:ln w="9525">
                <a:noFill/>
              </a:ln>
              <a:effectLst/>
            </c:spPr>
          </c:marker>
          <c:cat>
            <c:multiLvlStrRef>
              <c:f>Arkusz1!$A$2:$B$85</c:f>
              <c:multiLvlStrCache>
                <c:ptCount val="40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</c:lvl>
                <c:lvl>
                  <c:pt idx="0">
                    <c:v>2017</c:v>
                  </c:pt>
                  <c:pt idx="12">
                    <c:v>2018 </c:v>
                  </c:pt>
                  <c:pt idx="24">
                    <c:v>2019</c:v>
                  </c:pt>
                  <c:pt idx="36">
                    <c:v>2020</c:v>
                  </c:pt>
                </c:lvl>
              </c:multiLvlStrCache>
            </c:multiLvlStrRef>
          </c:cat>
          <c:val>
            <c:numRef>
              <c:f>Arkusz1!$F$2:$F$85</c:f>
              <c:numCache>
                <c:formatCode>0.0</c:formatCode>
                <c:ptCount val="40"/>
                <c:pt idx="0">
                  <c:v>-4.2</c:v>
                </c:pt>
                <c:pt idx="1">
                  <c:v>-4.8</c:v>
                </c:pt>
                <c:pt idx="2">
                  <c:v>-6.4</c:v>
                </c:pt>
                <c:pt idx="3">
                  <c:v>-3.8</c:v>
                </c:pt>
                <c:pt idx="4">
                  <c:v>0.2</c:v>
                </c:pt>
                <c:pt idx="5">
                  <c:v>3.8</c:v>
                </c:pt>
                <c:pt idx="6">
                  <c:v>4.5999999999999996</c:v>
                </c:pt>
                <c:pt idx="7">
                  <c:v>6.3</c:v>
                </c:pt>
                <c:pt idx="8">
                  <c:v>6.2</c:v>
                </c:pt>
                <c:pt idx="9">
                  <c:v>8.5</c:v>
                </c:pt>
                <c:pt idx="10">
                  <c:v>6.9</c:v>
                </c:pt>
                <c:pt idx="11">
                  <c:v>4</c:v>
                </c:pt>
                <c:pt idx="12">
                  <c:v>8.9</c:v>
                </c:pt>
                <c:pt idx="13">
                  <c:v>9</c:v>
                </c:pt>
                <c:pt idx="14" formatCode="0.0_)">
                  <c:v>9.5</c:v>
                </c:pt>
                <c:pt idx="15" formatCode="0.0_)">
                  <c:v>13.2</c:v>
                </c:pt>
                <c:pt idx="16">
                  <c:v>6.7</c:v>
                </c:pt>
                <c:pt idx="17">
                  <c:v>9.5</c:v>
                </c:pt>
                <c:pt idx="18">
                  <c:v>9.8000000000000007</c:v>
                </c:pt>
                <c:pt idx="19">
                  <c:v>8</c:v>
                </c:pt>
                <c:pt idx="20">
                  <c:v>10.8</c:v>
                </c:pt>
                <c:pt idx="21">
                  <c:v>7</c:v>
                </c:pt>
                <c:pt idx="22">
                  <c:v>6.7</c:v>
                </c:pt>
                <c:pt idx="23">
                  <c:v>4.9000000000000004</c:v>
                </c:pt>
                <c:pt idx="24">
                  <c:v>6.9</c:v>
                </c:pt>
                <c:pt idx="25">
                  <c:v>5.3</c:v>
                </c:pt>
                <c:pt idx="26">
                  <c:v>11.1</c:v>
                </c:pt>
                <c:pt idx="27">
                  <c:v>7.1</c:v>
                </c:pt>
                <c:pt idx="28">
                  <c:v>9.9</c:v>
                </c:pt>
                <c:pt idx="29">
                  <c:v>12</c:v>
                </c:pt>
                <c:pt idx="30">
                  <c:v>11.9</c:v>
                </c:pt>
                <c:pt idx="31">
                  <c:v>10.7</c:v>
                </c:pt>
                <c:pt idx="32">
                  <c:v>13.7</c:v>
                </c:pt>
                <c:pt idx="33">
                  <c:v>12.1</c:v>
                </c:pt>
                <c:pt idx="34">
                  <c:v>10</c:v>
                </c:pt>
                <c:pt idx="35">
                  <c:v>5.6</c:v>
                </c:pt>
                <c:pt idx="36">
                  <c:v>3.7</c:v>
                </c:pt>
                <c:pt idx="37">
                  <c:v>1.9</c:v>
                </c:pt>
                <c:pt idx="38">
                  <c:v>1.5</c:v>
                </c:pt>
                <c:pt idx="39">
                  <c:v>-30.5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3-8EB1-47A5-BCA0-F8F6FD2DE8F5}"/>
            </c:ext>
          </c:extLst>
        </c:ser>
        <c:ser>
          <c:idx val="2"/>
          <c:order val="4"/>
          <c:tx>
            <c:strRef>
              <c:f>Arkusz1!$G$1</c:f>
              <c:strCache>
                <c:ptCount val="1"/>
                <c:pt idx="0">
                  <c:v>Zmiana syt. kraju w najbliższych 12 miesiącach</c:v>
                </c:pt>
              </c:strCache>
            </c:strRef>
          </c:tx>
          <c:spPr>
            <a:ln w="28575" cap="rnd">
              <a:solidFill>
                <a:srgbClr val="6677AD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6677AD"/>
              </a:solidFill>
              <a:ln w="9525">
                <a:noFill/>
              </a:ln>
              <a:effectLst/>
            </c:spPr>
          </c:marker>
          <c:cat>
            <c:multiLvlStrRef>
              <c:f>Arkusz1!$A$2:$B$85</c:f>
              <c:multiLvlStrCache>
                <c:ptCount val="40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</c:lvl>
                <c:lvl>
                  <c:pt idx="0">
                    <c:v>2017</c:v>
                  </c:pt>
                  <c:pt idx="12">
                    <c:v>2018 </c:v>
                  </c:pt>
                  <c:pt idx="24">
                    <c:v>2019</c:v>
                  </c:pt>
                  <c:pt idx="36">
                    <c:v>2020</c:v>
                  </c:pt>
                </c:lvl>
              </c:multiLvlStrCache>
            </c:multiLvlStrRef>
          </c:cat>
          <c:val>
            <c:numRef>
              <c:f>Arkusz1!$G$2:$G$85</c:f>
              <c:numCache>
                <c:formatCode>0.0</c:formatCode>
                <c:ptCount val="40"/>
                <c:pt idx="0">
                  <c:v>-10.1</c:v>
                </c:pt>
                <c:pt idx="1">
                  <c:v>-9.1999999999999993</c:v>
                </c:pt>
                <c:pt idx="2">
                  <c:v>-8.3000000000000007</c:v>
                </c:pt>
                <c:pt idx="3">
                  <c:v>-7.2</c:v>
                </c:pt>
                <c:pt idx="4">
                  <c:v>-1.4</c:v>
                </c:pt>
                <c:pt idx="5">
                  <c:v>1.8</c:v>
                </c:pt>
                <c:pt idx="6">
                  <c:v>1.9</c:v>
                </c:pt>
                <c:pt idx="7">
                  <c:v>2.7</c:v>
                </c:pt>
                <c:pt idx="8">
                  <c:v>0.8</c:v>
                </c:pt>
                <c:pt idx="9">
                  <c:v>3.4</c:v>
                </c:pt>
                <c:pt idx="10">
                  <c:v>3.8</c:v>
                </c:pt>
                <c:pt idx="11">
                  <c:v>0.3</c:v>
                </c:pt>
                <c:pt idx="12">
                  <c:v>4</c:v>
                </c:pt>
                <c:pt idx="13">
                  <c:v>6.3</c:v>
                </c:pt>
                <c:pt idx="14" formatCode="0.0_)">
                  <c:v>3.2</c:v>
                </c:pt>
                <c:pt idx="15" formatCode="0.0_)">
                  <c:v>6</c:v>
                </c:pt>
                <c:pt idx="16">
                  <c:v>3.8</c:v>
                </c:pt>
                <c:pt idx="17">
                  <c:v>3.8</c:v>
                </c:pt>
                <c:pt idx="18">
                  <c:v>1.2</c:v>
                </c:pt>
                <c:pt idx="19">
                  <c:v>1.9</c:v>
                </c:pt>
                <c:pt idx="20">
                  <c:v>4.4000000000000004</c:v>
                </c:pt>
                <c:pt idx="21">
                  <c:v>1.5</c:v>
                </c:pt>
                <c:pt idx="22">
                  <c:v>2.7</c:v>
                </c:pt>
                <c:pt idx="23">
                  <c:v>-4.8</c:v>
                </c:pt>
                <c:pt idx="24">
                  <c:v>0.6</c:v>
                </c:pt>
                <c:pt idx="25">
                  <c:v>1.8</c:v>
                </c:pt>
                <c:pt idx="26">
                  <c:v>4.2</c:v>
                </c:pt>
                <c:pt idx="27">
                  <c:v>-0.5</c:v>
                </c:pt>
                <c:pt idx="28">
                  <c:v>3.5</c:v>
                </c:pt>
                <c:pt idx="29">
                  <c:v>3.9</c:v>
                </c:pt>
                <c:pt idx="30">
                  <c:v>2.8</c:v>
                </c:pt>
                <c:pt idx="31">
                  <c:v>2.2000000000000002</c:v>
                </c:pt>
                <c:pt idx="32">
                  <c:v>2.8</c:v>
                </c:pt>
                <c:pt idx="33">
                  <c:v>3.4</c:v>
                </c:pt>
                <c:pt idx="34">
                  <c:v>-3</c:v>
                </c:pt>
                <c:pt idx="35">
                  <c:v>-7.9</c:v>
                </c:pt>
                <c:pt idx="36">
                  <c:v>-7.7</c:v>
                </c:pt>
                <c:pt idx="37">
                  <c:v>-8.4</c:v>
                </c:pt>
                <c:pt idx="38">
                  <c:v>-10.1</c:v>
                </c:pt>
                <c:pt idx="39">
                  <c:v>-64.5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4-8EB1-47A5-BCA0-F8F6FD2DE8F5}"/>
            </c:ext>
          </c:extLst>
        </c:ser>
        <c:ser>
          <c:idx val="4"/>
          <c:order val="5"/>
          <c:tx>
            <c:strRef>
              <c:f>Arkusz1!$H$1</c:f>
              <c:strCache>
                <c:ptCount val="1"/>
                <c:pt idx="0">
                  <c:v>Obecne dokonyw. ważnych zakupów</c:v>
                </c:pt>
              </c:strCache>
            </c:strRef>
          </c:tx>
          <c:spPr>
            <a:ln w="28575" cap="rnd">
              <a:solidFill>
                <a:schemeClr val="tx1">
                  <a:alpha val="70000"/>
                </a:scheme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tx1">
                  <a:alpha val="70000"/>
                </a:schemeClr>
              </a:solidFill>
              <a:ln w="9525">
                <a:noFill/>
              </a:ln>
              <a:effectLst/>
            </c:spPr>
          </c:marker>
          <c:cat>
            <c:multiLvlStrRef>
              <c:f>Arkusz1!$A$2:$B$85</c:f>
              <c:multiLvlStrCache>
                <c:ptCount val="40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</c:lvl>
                <c:lvl>
                  <c:pt idx="0">
                    <c:v>2017</c:v>
                  </c:pt>
                  <c:pt idx="12">
                    <c:v>2018 </c:v>
                  </c:pt>
                  <c:pt idx="24">
                    <c:v>2019</c:v>
                  </c:pt>
                  <c:pt idx="36">
                    <c:v>2020</c:v>
                  </c:pt>
                </c:lvl>
              </c:multiLvlStrCache>
            </c:multiLvlStrRef>
          </c:cat>
          <c:val>
            <c:numRef>
              <c:f>Arkusz1!$H$2:$H$85</c:f>
              <c:numCache>
                <c:formatCode>0.0</c:formatCode>
                <c:ptCount val="40"/>
                <c:pt idx="0">
                  <c:v>6.6</c:v>
                </c:pt>
                <c:pt idx="1">
                  <c:v>3.4</c:v>
                </c:pt>
                <c:pt idx="2">
                  <c:v>3.3</c:v>
                </c:pt>
                <c:pt idx="3">
                  <c:v>4.7</c:v>
                </c:pt>
                <c:pt idx="4">
                  <c:v>12.9</c:v>
                </c:pt>
                <c:pt idx="5">
                  <c:v>13.2</c:v>
                </c:pt>
                <c:pt idx="6">
                  <c:v>10.3</c:v>
                </c:pt>
                <c:pt idx="7">
                  <c:v>13</c:v>
                </c:pt>
                <c:pt idx="8">
                  <c:v>13.2</c:v>
                </c:pt>
                <c:pt idx="9">
                  <c:v>10</c:v>
                </c:pt>
                <c:pt idx="10">
                  <c:v>11</c:v>
                </c:pt>
                <c:pt idx="11">
                  <c:v>8.4</c:v>
                </c:pt>
                <c:pt idx="12">
                  <c:v>11.4</c:v>
                </c:pt>
                <c:pt idx="13">
                  <c:v>13</c:v>
                </c:pt>
                <c:pt idx="14">
                  <c:v>12.7</c:v>
                </c:pt>
                <c:pt idx="15">
                  <c:v>11.9</c:v>
                </c:pt>
                <c:pt idx="16">
                  <c:v>14.9</c:v>
                </c:pt>
                <c:pt idx="17">
                  <c:v>14.2</c:v>
                </c:pt>
                <c:pt idx="18">
                  <c:v>10.3</c:v>
                </c:pt>
                <c:pt idx="19">
                  <c:v>14.2</c:v>
                </c:pt>
                <c:pt idx="20">
                  <c:v>15.2</c:v>
                </c:pt>
                <c:pt idx="21">
                  <c:v>17.5</c:v>
                </c:pt>
                <c:pt idx="22">
                  <c:v>10.6</c:v>
                </c:pt>
                <c:pt idx="23">
                  <c:v>7.5</c:v>
                </c:pt>
                <c:pt idx="24">
                  <c:v>14.9</c:v>
                </c:pt>
                <c:pt idx="25">
                  <c:v>11.9</c:v>
                </c:pt>
                <c:pt idx="26">
                  <c:v>14.5</c:v>
                </c:pt>
                <c:pt idx="27">
                  <c:v>15.4</c:v>
                </c:pt>
                <c:pt idx="28">
                  <c:v>16.7</c:v>
                </c:pt>
                <c:pt idx="29">
                  <c:v>17.100000000000001</c:v>
                </c:pt>
                <c:pt idx="30">
                  <c:v>16.2</c:v>
                </c:pt>
                <c:pt idx="31">
                  <c:v>18.5</c:v>
                </c:pt>
                <c:pt idx="32">
                  <c:v>19.399999999999999</c:v>
                </c:pt>
                <c:pt idx="33">
                  <c:v>18.2</c:v>
                </c:pt>
                <c:pt idx="34">
                  <c:v>16.100000000000001</c:v>
                </c:pt>
                <c:pt idx="35">
                  <c:v>17.899999999999999</c:v>
                </c:pt>
                <c:pt idx="36">
                  <c:v>16.100000000000001</c:v>
                </c:pt>
                <c:pt idx="37">
                  <c:v>11.5</c:v>
                </c:pt>
                <c:pt idx="38">
                  <c:v>11.5</c:v>
                </c:pt>
                <c:pt idx="39">
                  <c:v>-47.3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5-8EB1-47A5-BCA0-F8F6FD2DE8F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196408528"/>
        <c:axId val="-1196407440"/>
      </c:lineChart>
      <c:catAx>
        <c:axId val="-1196408528"/>
        <c:scaling>
          <c:orientation val="minMax"/>
        </c:scaling>
        <c:delete val="0"/>
        <c:axPos val="b"/>
        <c:numFmt formatCode="d/mm" sourceLinked="0"/>
        <c:majorTickMark val="in"/>
        <c:minorTickMark val="none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7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196407440"/>
        <c:crossesAt val="0"/>
        <c:auto val="1"/>
        <c:lblAlgn val="ctr"/>
        <c:lblOffset val="100"/>
        <c:tickLblSkip val="1"/>
        <c:noMultiLvlLbl val="0"/>
      </c:catAx>
      <c:valAx>
        <c:axId val="-119640744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1964085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6.6822253391625268E-4"/>
          <c:y val="0.83178335136222992"/>
          <c:w val="0.99511785645611706"/>
          <c:h val="0.16821658656304325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700">
          <a:solidFill>
            <a:sysClr val="windowText" lastClr="000000"/>
          </a:solidFill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3109060047300714E-2"/>
          <c:y val="3.5143675222415377E-2"/>
          <c:w val="0.92572481061659784"/>
          <c:h val="0.69522074916354304"/>
        </c:manualLayout>
      </c:layout>
      <c:barChart>
        <c:barDir val="bar"/>
        <c:grouping val="percentStacked"/>
        <c:varyColors val="0"/>
        <c:ser>
          <c:idx val="0"/>
          <c:order val="0"/>
          <c:tx>
            <c:strRef>
              <c:f>Arkusz1!$C$1</c:f>
              <c:strCache>
                <c:ptCount val="1"/>
                <c:pt idx="0">
                  <c:v>duże zagrożenie</c:v>
                </c:pt>
              </c:strCache>
            </c:strRef>
          </c:tx>
          <c:spPr>
            <a:solidFill>
              <a:srgbClr val="001D77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1-BAF2-4982-9D12-EF87F1CA2061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bg1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Arkusz1!$B$2</c:f>
              <c:strCache>
                <c:ptCount val="1"/>
                <c:pt idx="0">
                  <c:v>IV 2020</c:v>
                </c:pt>
              </c:strCache>
            </c:strRef>
          </c:cat>
          <c:val>
            <c:numRef>
              <c:f>Arkusz1!$C$2</c:f>
              <c:numCache>
                <c:formatCode>0.0</c:formatCode>
                <c:ptCount val="1"/>
                <c:pt idx="0">
                  <c:v>44.38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BAF2-4982-9D12-EF87F1CA2061}"/>
            </c:ext>
          </c:extLst>
        </c:ser>
        <c:ser>
          <c:idx val="1"/>
          <c:order val="1"/>
          <c:tx>
            <c:strRef>
              <c:f>Arkusz1!$D$1</c:f>
              <c:strCache>
                <c:ptCount val="1"/>
                <c:pt idx="0">
                  <c:v>przeciętne zagrożenie</c:v>
                </c:pt>
              </c:strCache>
            </c:strRef>
          </c:tx>
          <c:spPr>
            <a:solidFill>
              <a:srgbClr val="99A5C9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</c:dPt>
          <c:dLbls>
            <c:dLbl>
              <c:idx val="0"/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BAF2-4982-9D12-EF87F1CA2061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Arkusz1!$B$2</c:f>
              <c:strCache>
                <c:ptCount val="1"/>
                <c:pt idx="0">
                  <c:v>IV 2020</c:v>
                </c:pt>
              </c:strCache>
            </c:strRef>
          </c:cat>
          <c:val>
            <c:numRef>
              <c:f>Arkusz1!$D$2</c:f>
              <c:numCache>
                <c:formatCode>0.0</c:formatCode>
                <c:ptCount val="1"/>
                <c:pt idx="0">
                  <c:v>36.5</c:v>
                </c:pt>
              </c:numCache>
            </c:numRef>
          </c:val>
        </c:ser>
        <c:ser>
          <c:idx val="2"/>
          <c:order val="2"/>
          <c:tx>
            <c:strRef>
              <c:f>Arkusz1!$E$1</c:f>
              <c:strCache>
                <c:ptCount val="1"/>
                <c:pt idx="0">
                  <c:v>małe zagrożenie</c:v>
                </c:pt>
              </c:strCache>
            </c:strRef>
          </c:tx>
          <c:spPr>
            <a:solidFill>
              <a:srgbClr val="D9DADA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</c:dPt>
          <c:dLbls>
            <c:dLbl>
              <c:idx val="0"/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BAF2-4982-9D12-EF87F1CA2061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Arkusz1!$B$2</c:f>
              <c:strCache>
                <c:ptCount val="1"/>
                <c:pt idx="0">
                  <c:v>IV 2020</c:v>
                </c:pt>
              </c:strCache>
            </c:strRef>
          </c:cat>
          <c:val>
            <c:numRef>
              <c:f>Arkusz1!$E$2</c:f>
              <c:numCache>
                <c:formatCode>0.0</c:formatCode>
                <c:ptCount val="1"/>
                <c:pt idx="0">
                  <c:v>14.59</c:v>
                </c:pt>
              </c:numCache>
            </c:numRef>
          </c:val>
        </c:ser>
        <c:ser>
          <c:idx val="3"/>
          <c:order val="3"/>
          <c:tx>
            <c:strRef>
              <c:f>Arkusz1!$F$1</c:f>
              <c:strCache>
                <c:ptCount val="1"/>
                <c:pt idx="0">
                  <c:v>brak zagrożenia</c:v>
                </c:pt>
              </c:strCache>
            </c:strRef>
          </c:tx>
          <c:spPr>
            <a:solidFill>
              <a:srgbClr val="9D9E9E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</c:dPt>
          <c:dLbls>
            <c:dLbl>
              <c:idx val="0"/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BAF2-4982-9D12-EF87F1CA2061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Arkusz1!$B$2</c:f>
              <c:strCache>
                <c:ptCount val="1"/>
                <c:pt idx="0">
                  <c:v>IV 2020</c:v>
                </c:pt>
              </c:strCache>
            </c:strRef>
          </c:cat>
          <c:val>
            <c:numRef>
              <c:f>Arkusz1!$F$2</c:f>
              <c:numCache>
                <c:formatCode>0.0</c:formatCode>
                <c:ptCount val="1"/>
                <c:pt idx="0">
                  <c:v>4.4800000000000004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100"/>
        <c:axId val="-1196410704"/>
        <c:axId val="-1196412880"/>
      </c:barChart>
      <c:valAx>
        <c:axId val="-119641288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196410704"/>
        <c:crosses val="autoZero"/>
        <c:crossBetween val="between"/>
      </c:valAx>
      <c:catAx>
        <c:axId val="-1196410704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196412880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700">
          <a:solidFill>
            <a:sysClr val="windowText" lastClr="000000"/>
          </a:solidFill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3109060047300714E-2"/>
          <c:y val="3.5143675222415377E-2"/>
          <c:w val="0.92572481061659784"/>
          <c:h val="0.64156721688858653"/>
        </c:manualLayout>
      </c:layout>
      <c:barChart>
        <c:barDir val="bar"/>
        <c:grouping val="percentStacked"/>
        <c:varyColors val="0"/>
        <c:ser>
          <c:idx val="0"/>
          <c:order val="0"/>
          <c:tx>
            <c:strRef>
              <c:f>Arkusz1!$C$1</c:f>
              <c:strCache>
                <c:ptCount val="1"/>
                <c:pt idx="0">
                  <c:v>duże zagrożenie</c:v>
                </c:pt>
              </c:strCache>
            </c:strRef>
          </c:tx>
          <c:spPr>
            <a:solidFill>
              <a:srgbClr val="001D77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001D77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C0DE-4CED-86A1-09E654DE0DE6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bg1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Arkusz1!$B$2</c:f>
              <c:strCache>
                <c:ptCount val="1"/>
                <c:pt idx="0">
                  <c:v>IV 2020</c:v>
                </c:pt>
              </c:strCache>
            </c:strRef>
          </c:cat>
          <c:val>
            <c:numRef>
              <c:f>Arkusz1!$C$2</c:f>
              <c:numCache>
                <c:formatCode>0.0</c:formatCode>
                <c:ptCount val="1"/>
                <c:pt idx="0">
                  <c:v>49.52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C0DE-4CED-86A1-09E654DE0DE6}"/>
            </c:ext>
          </c:extLst>
        </c:ser>
        <c:ser>
          <c:idx val="1"/>
          <c:order val="1"/>
          <c:tx>
            <c:strRef>
              <c:f>Arkusz1!$D$1</c:f>
              <c:strCache>
                <c:ptCount val="1"/>
                <c:pt idx="0">
                  <c:v>przeciętne zagrożenie</c:v>
                </c:pt>
              </c:strCache>
            </c:strRef>
          </c:tx>
          <c:spPr>
            <a:solidFill>
              <a:srgbClr val="99A5C9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99A5C9"/>
              </a:solidFill>
              <a:ln>
                <a:noFill/>
              </a:ln>
              <a:effectLst/>
            </c:spPr>
          </c:dPt>
          <c:dLbls>
            <c:dLbl>
              <c:idx val="0"/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C0DE-4CED-86A1-09E654DE0DE6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Arkusz1!$B$2</c:f>
              <c:strCache>
                <c:ptCount val="1"/>
                <c:pt idx="0">
                  <c:v>IV 2020</c:v>
                </c:pt>
              </c:strCache>
            </c:strRef>
          </c:cat>
          <c:val>
            <c:numRef>
              <c:f>Arkusz1!$D$2</c:f>
              <c:numCache>
                <c:formatCode>0.0</c:formatCode>
                <c:ptCount val="1"/>
                <c:pt idx="0">
                  <c:v>43.09</c:v>
                </c:pt>
              </c:numCache>
            </c:numRef>
          </c:val>
        </c:ser>
        <c:ser>
          <c:idx val="2"/>
          <c:order val="2"/>
          <c:tx>
            <c:strRef>
              <c:f>Arkusz1!$E$1</c:f>
              <c:strCache>
                <c:ptCount val="1"/>
                <c:pt idx="0">
                  <c:v>małe zagrożenie</c:v>
                </c:pt>
              </c:strCache>
            </c:strRef>
          </c:tx>
          <c:spPr>
            <a:solidFill>
              <a:srgbClr val="D9DADA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D9DADA"/>
              </a:solidFill>
              <a:ln>
                <a:noFill/>
              </a:ln>
              <a:effectLst/>
            </c:spPr>
          </c:dPt>
          <c:dLbls>
            <c:dLbl>
              <c:idx val="0"/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Arkusz1!$B$2</c:f>
              <c:strCache>
                <c:ptCount val="1"/>
                <c:pt idx="0">
                  <c:v>IV 2020</c:v>
                </c:pt>
              </c:strCache>
            </c:strRef>
          </c:cat>
          <c:val>
            <c:numRef>
              <c:f>Arkusz1!$E$2</c:f>
              <c:numCache>
                <c:formatCode>0.0</c:formatCode>
                <c:ptCount val="1"/>
                <c:pt idx="0">
                  <c:v>7.31</c:v>
                </c:pt>
              </c:numCache>
            </c:numRef>
          </c:val>
        </c:ser>
        <c:ser>
          <c:idx val="3"/>
          <c:order val="3"/>
          <c:tx>
            <c:strRef>
              <c:f>Arkusz1!$F$1</c:f>
              <c:strCache>
                <c:ptCount val="1"/>
                <c:pt idx="0">
                  <c:v>brak zagrożenia</c:v>
                </c:pt>
              </c:strCache>
            </c:strRef>
          </c:tx>
          <c:spPr>
            <a:solidFill>
              <a:srgbClr val="9D9E9E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9D9E9E"/>
              </a:solidFill>
              <a:ln>
                <a:noFill/>
              </a:ln>
              <a:effectLst/>
            </c:spPr>
          </c:dPt>
          <c:dLbls>
            <c:dLbl>
              <c:idx val="0"/>
              <c:tx>
                <c:rich>
                  <a:bodyPr/>
                  <a:lstStyle/>
                  <a:p>
                    <a:fld id="{5338D9D3-F096-456C-8211-ED7BE968706E}" type="VALUE">
                      <a:rPr lang="en-US"/>
                      <a:pPr/>
                      <a:t>[WARTOŚĆ]</a:t>
                    </a:fld>
                    <a:endParaRPr lang="pl-PL"/>
                  </a:p>
                </c:rich>
              </c:tx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C0DE-4CED-86A1-09E654DE0DE6}"/>
                </c:ex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Arkusz1!$B$2</c:f>
              <c:strCache>
                <c:ptCount val="1"/>
                <c:pt idx="0">
                  <c:v>IV 2020</c:v>
                </c:pt>
              </c:strCache>
            </c:strRef>
          </c:cat>
          <c:val>
            <c:numRef>
              <c:f>Arkusz1!$F$2</c:f>
              <c:numCache>
                <c:formatCode>General</c:formatCode>
                <c:ptCount val="1"/>
                <c:pt idx="0">
                  <c:v>0.1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100"/>
        <c:axId val="-1215878752"/>
        <c:axId val="-1215883104"/>
      </c:barChart>
      <c:valAx>
        <c:axId val="-121588310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215878752"/>
        <c:crosses val="autoZero"/>
        <c:crossBetween val="between"/>
      </c:valAx>
      <c:catAx>
        <c:axId val="-1215878752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215883104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4.9999951196133957E-2"/>
          <c:y val="0.82878788644042967"/>
          <c:w val="0.8999999023922679"/>
          <c:h val="0.10706843171223225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700">
          <a:solidFill>
            <a:sysClr val="windowText" lastClr="000000"/>
          </a:solidFill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0546769232871537E-2"/>
          <c:y val="0.12403682659834088"/>
          <c:w val="0.91936996161087892"/>
          <c:h val="0.59331270756533183"/>
        </c:manualLayout>
      </c:layout>
      <c:barChart>
        <c:barDir val="col"/>
        <c:grouping val="clustered"/>
        <c:varyColors val="0"/>
        <c:ser>
          <c:idx val="3"/>
          <c:order val="0"/>
          <c:tx>
            <c:strRef>
              <c:f>Arkusz1!$C$1</c:f>
              <c:strCache>
                <c:ptCount val="1"/>
                <c:pt idx="0">
                  <c:v>BWUK</c:v>
                </c:pt>
              </c:strCache>
            </c:strRef>
          </c:tx>
          <c:spPr>
            <a:solidFill>
              <a:srgbClr val="001D77"/>
            </a:solidFill>
            <a:ln>
              <a:noFill/>
            </a:ln>
            <a:effectLst/>
          </c:spPr>
          <c:invertIfNegative val="0"/>
          <c:cat>
            <c:strRef>
              <c:f>Arkusz1!$B$2:$B$30</c:f>
              <c:strCache>
                <c:ptCount val="23"/>
                <c:pt idx="0">
                  <c:v>1997**</c:v>
                </c:pt>
                <c:pt idx="1">
                  <c:v>1998</c:v>
                </c:pt>
                <c:pt idx="2">
                  <c:v>1999</c:v>
                </c:pt>
                <c:pt idx="3">
                  <c:v>2000</c:v>
                </c:pt>
                <c:pt idx="4">
                  <c:v>2001</c:v>
                </c:pt>
                <c:pt idx="5">
                  <c:v>2002</c:v>
                </c:pt>
                <c:pt idx="6">
                  <c:v>2003</c:v>
                </c:pt>
                <c:pt idx="7">
                  <c:v>2004</c:v>
                </c:pt>
                <c:pt idx="8">
                  <c:v>2005</c:v>
                </c:pt>
                <c:pt idx="9">
                  <c:v>2006</c:v>
                </c:pt>
                <c:pt idx="10">
                  <c:v>2007</c:v>
                </c:pt>
                <c:pt idx="11">
                  <c:v>2008</c:v>
                </c:pt>
                <c:pt idx="12">
                  <c:v>2009</c:v>
                </c:pt>
                <c:pt idx="13">
                  <c:v>2010</c:v>
                </c:pt>
                <c:pt idx="14">
                  <c:v>2011</c:v>
                </c:pt>
                <c:pt idx="15">
                  <c:v>2012</c:v>
                </c:pt>
                <c:pt idx="16">
                  <c:v>2013</c:v>
                </c:pt>
                <c:pt idx="17">
                  <c:v>2014</c:v>
                </c:pt>
                <c:pt idx="18">
                  <c:v>2015</c:v>
                </c:pt>
                <c:pt idx="19">
                  <c:v>2016</c:v>
                </c:pt>
                <c:pt idx="20">
                  <c:v>2017</c:v>
                </c:pt>
                <c:pt idx="21">
                  <c:v>2018</c:v>
                </c:pt>
                <c:pt idx="22">
                  <c:v>2019</c:v>
                </c:pt>
              </c:strCache>
            </c:strRef>
          </c:cat>
          <c:val>
            <c:numRef>
              <c:f>Arkusz1!$C$2:$C$30</c:f>
              <c:numCache>
                <c:formatCode>0.0_)</c:formatCode>
                <c:ptCount val="23"/>
                <c:pt idx="0">
                  <c:v>-13.8</c:v>
                </c:pt>
                <c:pt idx="1">
                  <c:v>-20.8</c:v>
                </c:pt>
                <c:pt idx="2">
                  <c:v>-30</c:v>
                </c:pt>
                <c:pt idx="3">
                  <c:v>-33.700000000000003</c:v>
                </c:pt>
                <c:pt idx="4">
                  <c:v>-35.5</c:v>
                </c:pt>
                <c:pt idx="5">
                  <c:v>-37.5</c:v>
                </c:pt>
                <c:pt idx="6">
                  <c:v>-35.799999999999997</c:v>
                </c:pt>
                <c:pt idx="7">
                  <c:v>-31.8</c:v>
                </c:pt>
                <c:pt idx="8" formatCode="0.0">
                  <c:v>-22.1</c:v>
                </c:pt>
                <c:pt idx="9" formatCode="0.0">
                  <c:v>-14.9</c:v>
                </c:pt>
                <c:pt idx="10" formatCode="0.0">
                  <c:v>-7.1</c:v>
                </c:pt>
                <c:pt idx="11" formatCode="0.0">
                  <c:v>-8</c:v>
                </c:pt>
                <c:pt idx="12" formatCode="0.0">
                  <c:v>-22.3</c:v>
                </c:pt>
                <c:pt idx="13" formatCode="0.0">
                  <c:v>-16.899999999999999</c:v>
                </c:pt>
                <c:pt idx="14" formatCode="0.0">
                  <c:v>-25</c:v>
                </c:pt>
                <c:pt idx="15" formatCode="0.0">
                  <c:v>-29.5</c:v>
                </c:pt>
                <c:pt idx="16" formatCode="0.0">
                  <c:v>-26.7</c:v>
                </c:pt>
                <c:pt idx="17" formatCode="0.0">
                  <c:v>-17</c:v>
                </c:pt>
                <c:pt idx="18" formatCode="0.0">
                  <c:v>-10.9</c:v>
                </c:pt>
                <c:pt idx="19" formatCode="0.0">
                  <c:v>-5.2</c:v>
                </c:pt>
                <c:pt idx="20" formatCode="0.0">
                  <c:v>2.4</c:v>
                </c:pt>
                <c:pt idx="21" formatCode="0.0">
                  <c:v>5.7</c:v>
                </c:pt>
                <c:pt idx="22" formatCode="0.0">
                  <c:v>7.7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D2F2-498E-B669-1117FC4FE83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1196406352"/>
        <c:axId val="-1196413424"/>
      </c:barChart>
      <c:lineChart>
        <c:grouping val="standard"/>
        <c:varyColors val="0"/>
        <c:ser>
          <c:idx val="4"/>
          <c:order val="1"/>
          <c:tx>
            <c:strRef>
              <c:f>Arkusz1!$D$1</c:f>
              <c:strCache>
                <c:ptCount val="1"/>
                <c:pt idx="0">
                  <c:v>Zmiana syt. gosp. dom. w ostatnich 12 miesiącach</c:v>
                </c:pt>
              </c:strCache>
            </c:strRef>
          </c:tx>
          <c:spPr>
            <a:ln w="28575" cap="rnd">
              <a:solidFill>
                <a:schemeClr val="tx1">
                  <a:alpha val="50000"/>
                </a:scheme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tx1">
                  <a:alpha val="50000"/>
                </a:schemeClr>
              </a:solidFill>
              <a:ln w="9525">
                <a:noFill/>
              </a:ln>
              <a:effectLst/>
            </c:spPr>
          </c:marker>
          <c:cat>
            <c:strRef>
              <c:f>Arkusz1!$B$2:$B$30</c:f>
              <c:strCache>
                <c:ptCount val="23"/>
                <c:pt idx="0">
                  <c:v>1997**</c:v>
                </c:pt>
                <c:pt idx="1">
                  <c:v>1998</c:v>
                </c:pt>
                <c:pt idx="2">
                  <c:v>1999</c:v>
                </c:pt>
                <c:pt idx="3">
                  <c:v>2000</c:v>
                </c:pt>
                <c:pt idx="4">
                  <c:v>2001</c:v>
                </c:pt>
                <c:pt idx="5">
                  <c:v>2002</c:v>
                </c:pt>
                <c:pt idx="6">
                  <c:v>2003</c:v>
                </c:pt>
                <c:pt idx="7">
                  <c:v>2004</c:v>
                </c:pt>
                <c:pt idx="8">
                  <c:v>2005</c:v>
                </c:pt>
                <c:pt idx="9">
                  <c:v>2006</c:v>
                </c:pt>
                <c:pt idx="10">
                  <c:v>2007</c:v>
                </c:pt>
                <c:pt idx="11">
                  <c:v>2008</c:v>
                </c:pt>
                <c:pt idx="12">
                  <c:v>2009</c:v>
                </c:pt>
                <c:pt idx="13">
                  <c:v>2010</c:v>
                </c:pt>
                <c:pt idx="14">
                  <c:v>2011</c:v>
                </c:pt>
                <c:pt idx="15">
                  <c:v>2012</c:v>
                </c:pt>
                <c:pt idx="16">
                  <c:v>2013</c:v>
                </c:pt>
                <c:pt idx="17">
                  <c:v>2014</c:v>
                </c:pt>
                <c:pt idx="18">
                  <c:v>2015</c:v>
                </c:pt>
                <c:pt idx="19">
                  <c:v>2016</c:v>
                </c:pt>
                <c:pt idx="20">
                  <c:v>2017</c:v>
                </c:pt>
                <c:pt idx="21">
                  <c:v>2018</c:v>
                </c:pt>
                <c:pt idx="22">
                  <c:v>2019</c:v>
                </c:pt>
              </c:strCache>
            </c:strRef>
          </c:cat>
          <c:val>
            <c:numRef>
              <c:f>Arkusz1!$D$2:$D$30</c:f>
              <c:numCache>
                <c:formatCode>0.0_)</c:formatCode>
                <c:ptCount val="23"/>
                <c:pt idx="0">
                  <c:v>-21.6</c:v>
                </c:pt>
                <c:pt idx="1">
                  <c:v>-28.6</c:v>
                </c:pt>
                <c:pt idx="2">
                  <c:v>-36.299999999999997</c:v>
                </c:pt>
                <c:pt idx="3">
                  <c:v>-40.6</c:v>
                </c:pt>
                <c:pt idx="4">
                  <c:v>-39.700000000000003</c:v>
                </c:pt>
                <c:pt idx="5">
                  <c:v>-39.6</c:v>
                </c:pt>
                <c:pt idx="6">
                  <c:v>-38.1</c:v>
                </c:pt>
                <c:pt idx="7">
                  <c:v>-33.1</c:v>
                </c:pt>
                <c:pt idx="8" formatCode="0.0">
                  <c:v>-27</c:v>
                </c:pt>
                <c:pt idx="9" formatCode="0.0">
                  <c:v>-18.2</c:v>
                </c:pt>
                <c:pt idx="10" formatCode="0.0">
                  <c:v>-10.9</c:v>
                </c:pt>
                <c:pt idx="11" formatCode="0.0">
                  <c:v>-10.6</c:v>
                </c:pt>
                <c:pt idx="12" formatCode="0.0">
                  <c:v>-18.100000000000001</c:v>
                </c:pt>
                <c:pt idx="13" formatCode="0.0">
                  <c:v>-17.2</c:v>
                </c:pt>
                <c:pt idx="14" formatCode="0.0">
                  <c:v>-22.4</c:v>
                </c:pt>
                <c:pt idx="15" formatCode="0.0">
                  <c:v>-25.4</c:v>
                </c:pt>
                <c:pt idx="16" formatCode="0.0">
                  <c:v>-21.9</c:v>
                </c:pt>
                <c:pt idx="17" formatCode="0.0">
                  <c:v>-15.7</c:v>
                </c:pt>
                <c:pt idx="18" formatCode="0.0">
                  <c:v>-10.7</c:v>
                </c:pt>
                <c:pt idx="19" formatCode="0.0">
                  <c:v>-3.9</c:v>
                </c:pt>
                <c:pt idx="20" formatCode="0.0">
                  <c:v>0.1</c:v>
                </c:pt>
                <c:pt idx="21" formatCode="0.0">
                  <c:v>0.6</c:v>
                </c:pt>
                <c:pt idx="22" formatCode="0.0">
                  <c:v>4.8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D2F2-498E-B669-1117FC4FE837}"/>
            </c:ext>
          </c:extLst>
        </c:ser>
        <c:ser>
          <c:idx val="0"/>
          <c:order val="2"/>
          <c:tx>
            <c:strRef>
              <c:f>Arkusz1!$E$1</c:f>
              <c:strCache>
                <c:ptCount val="1"/>
                <c:pt idx="0">
                  <c:v>Zmiana syt. gosp. dom. w najbliższych 12 miesiącach</c:v>
                </c:pt>
              </c:strCache>
            </c:strRef>
          </c:tx>
          <c:spPr>
            <a:ln w="28575" cap="rnd">
              <a:solidFill>
                <a:srgbClr val="66B68E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66B68E"/>
              </a:solidFill>
              <a:ln w="9525">
                <a:noFill/>
              </a:ln>
              <a:effectLst/>
            </c:spPr>
          </c:marker>
          <c:cat>
            <c:strRef>
              <c:f>Arkusz1!$B$2:$B$30</c:f>
              <c:strCache>
                <c:ptCount val="23"/>
                <c:pt idx="0">
                  <c:v>1997**</c:v>
                </c:pt>
                <c:pt idx="1">
                  <c:v>1998</c:v>
                </c:pt>
                <c:pt idx="2">
                  <c:v>1999</c:v>
                </c:pt>
                <c:pt idx="3">
                  <c:v>2000</c:v>
                </c:pt>
                <c:pt idx="4">
                  <c:v>2001</c:v>
                </c:pt>
                <c:pt idx="5">
                  <c:v>2002</c:v>
                </c:pt>
                <c:pt idx="6">
                  <c:v>2003</c:v>
                </c:pt>
                <c:pt idx="7">
                  <c:v>2004</c:v>
                </c:pt>
                <c:pt idx="8">
                  <c:v>2005</c:v>
                </c:pt>
                <c:pt idx="9">
                  <c:v>2006</c:v>
                </c:pt>
                <c:pt idx="10">
                  <c:v>2007</c:v>
                </c:pt>
                <c:pt idx="11">
                  <c:v>2008</c:v>
                </c:pt>
                <c:pt idx="12">
                  <c:v>2009</c:v>
                </c:pt>
                <c:pt idx="13">
                  <c:v>2010</c:v>
                </c:pt>
                <c:pt idx="14">
                  <c:v>2011</c:v>
                </c:pt>
                <c:pt idx="15">
                  <c:v>2012</c:v>
                </c:pt>
                <c:pt idx="16">
                  <c:v>2013</c:v>
                </c:pt>
                <c:pt idx="17">
                  <c:v>2014</c:v>
                </c:pt>
                <c:pt idx="18">
                  <c:v>2015</c:v>
                </c:pt>
                <c:pt idx="19">
                  <c:v>2016</c:v>
                </c:pt>
                <c:pt idx="20">
                  <c:v>2017</c:v>
                </c:pt>
                <c:pt idx="21">
                  <c:v>2018</c:v>
                </c:pt>
                <c:pt idx="22">
                  <c:v>2019</c:v>
                </c:pt>
              </c:strCache>
            </c:strRef>
          </c:cat>
          <c:val>
            <c:numRef>
              <c:f>Arkusz1!$E$2:$E$30</c:f>
              <c:numCache>
                <c:formatCode>0.0_)</c:formatCode>
                <c:ptCount val="23"/>
                <c:pt idx="0">
                  <c:v>-11</c:v>
                </c:pt>
                <c:pt idx="1">
                  <c:v>-19.2</c:v>
                </c:pt>
                <c:pt idx="2">
                  <c:v>-25.3</c:v>
                </c:pt>
                <c:pt idx="3">
                  <c:v>-26.8</c:v>
                </c:pt>
                <c:pt idx="4">
                  <c:v>-25.8</c:v>
                </c:pt>
                <c:pt idx="5">
                  <c:v>-27.8</c:v>
                </c:pt>
                <c:pt idx="6">
                  <c:v>-24.5</c:v>
                </c:pt>
                <c:pt idx="7">
                  <c:v>-22.3</c:v>
                </c:pt>
                <c:pt idx="8" formatCode="0.0">
                  <c:v>-12</c:v>
                </c:pt>
                <c:pt idx="9" formatCode="0.0">
                  <c:v>-6.1</c:v>
                </c:pt>
                <c:pt idx="10" formatCode="0.0">
                  <c:v>-1.9</c:v>
                </c:pt>
                <c:pt idx="11" formatCode="0.0">
                  <c:v>-4.5</c:v>
                </c:pt>
                <c:pt idx="12" formatCode="0.0">
                  <c:v>-11.1</c:v>
                </c:pt>
                <c:pt idx="13" formatCode="0.0">
                  <c:v>-8.1999999999999993</c:v>
                </c:pt>
                <c:pt idx="14" formatCode="0.0">
                  <c:v>-14.6</c:v>
                </c:pt>
                <c:pt idx="15" formatCode="0.0">
                  <c:v>-18.5</c:v>
                </c:pt>
                <c:pt idx="16" formatCode="0.0">
                  <c:v>-13.6</c:v>
                </c:pt>
                <c:pt idx="17" formatCode="0.0">
                  <c:v>-7.3</c:v>
                </c:pt>
                <c:pt idx="18" formatCode="0.0">
                  <c:v>-2.8</c:v>
                </c:pt>
                <c:pt idx="19" formatCode="0.0">
                  <c:v>0.9</c:v>
                </c:pt>
                <c:pt idx="20" formatCode="0.0">
                  <c:v>2.8</c:v>
                </c:pt>
                <c:pt idx="21" formatCode="0.0">
                  <c:v>3.6</c:v>
                </c:pt>
                <c:pt idx="22" formatCode="0.0">
                  <c:v>6.3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D2F2-498E-B669-1117FC4FE837}"/>
            </c:ext>
          </c:extLst>
        </c:ser>
        <c:ser>
          <c:idx val="5"/>
          <c:order val="3"/>
          <c:tx>
            <c:strRef>
              <c:f>Arkusz1!$F$1</c:f>
              <c:strCache>
                <c:ptCount val="1"/>
                <c:pt idx="0">
                  <c:v>Zmiana syt. kraju w ostatnich 12 miesiącach</c:v>
                </c:pt>
              </c:strCache>
            </c:strRef>
          </c:tx>
          <c:spPr>
            <a:ln w="28575" cap="rnd">
              <a:solidFill>
                <a:srgbClr val="00854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008542"/>
              </a:solidFill>
              <a:ln w="9525">
                <a:noFill/>
              </a:ln>
              <a:effectLst/>
            </c:spPr>
          </c:marker>
          <c:cat>
            <c:strRef>
              <c:f>Arkusz1!$B$2:$B$30</c:f>
              <c:strCache>
                <c:ptCount val="23"/>
                <c:pt idx="0">
                  <c:v>1997**</c:v>
                </c:pt>
                <c:pt idx="1">
                  <c:v>1998</c:v>
                </c:pt>
                <c:pt idx="2">
                  <c:v>1999</c:v>
                </c:pt>
                <c:pt idx="3">
                  <c:v>2000</c:v>
                </c:pt>
                <c:pt idx="4">
                  <c:v>2001</c:v>
                </c:pt>
                <c:pt idx="5">
                  <c:v>2002</c:v>
                </c:pt>
                <c:pt idx="6">
                  <c:v>2003</c:v>
                </c:pt>
                <c:pt idx="7">
                  <c:v>2004</c:v>
                </c:pt>
                <c:pt idx="8">
                  <c:v>2005</c:v>
                </c:pt>
                <c:pt idx="9">
                  <c:v>2006</c:v>
                </c:pt>
                <c:pt idx="10">
                  <c:v>2007</c:v>
                </c:pt>
                <c:pt idx="11">
                  <c:v>2008</c:v>
                </c:pt>
                <c:pt idx="12">
                  <c:v>2009</c:v>
                </c:pt>
                <c:pt idx="13">
                  <c:v>2010</c:v>
                </c:pt>
                <c:pt idx="14">
                  <c:v>2011</c:v>
                </c:pt>
                <c:pt idx="15">
                  <c:v>2012</c:v>
                </c:pt>
                <c:pt idx="16">
                  <c:v>2013</c:v>
                </c:pt>
                <c:pt idx="17">
                  <c:v>2014</c:v>
                </c:pt>
                <c:pt idx="18">
                  <c:v>2015</c:v>
                </c:pt>
                <c:pt idx="19">
                  <c:v>2016</c:v>
                </c:pt>
                <c:pt idx="20">
                  <c:v>2017</c:v>
                </c:pt>
                <c:pt idx="21">
                  <c:v>2018</c:v>
                </c:pt>
                <c:pt idx="22">
                  <c:v>2019</c:v>
                </c:pt>
              </c:strCache>
            </c:strRef>
          </c:cat>
          <c:val>
            <c:numRef>
              <c:f>Arkusz1!$F$2:$F$30</c:f>
              <c:numCache>
                <c:formatCode>0.0_)</c:formatCode>
                <c:ptCount val="23"/>
                <c:pt idx="0">
                  <c:v>-12.8</c:v>
                </c:pt>
                <c:pt idx="1">
                  <c:v>-22.3</c:v>
                </c:pt>
                <c:pt idx="2">
                  <c:v>-37.9</c:v>
                </c:pt>
                <c:pt idx="3">
                  <c:v>-45.8</c:v>
                </c:pt>
                <c:pt idx="4">
                  <c:v>-51.8</c:v>
                </c:pt>
                <c:pt idx="5">
                  <c:v>-52.9</c:v>
                </c:pt>
                <c:pt idx="6">
                  <c:v>-51.7</c:v>
                </c:pt>
                <c:pt idx="7">
                  <c:v>-49.5</c:v>
                </c:pt>
                <c:pt idx="8" formatCode="0.0">
                  <c:v>-38.5</c:v>
                </c:pt>
                <c:pt idx="9" formatCode="0.0">
                  <c:v>-26.2</c:v>
                </c:pt>
                <c:pt idx="10" formatCode="0.0">
                  <c:v>-17.7</c:v>
                </c:pt>
                <c:pt idx="11" formatCode="0.0">
                  <c:v>-16.600000000000001</c:v>
                </c:pt>
                <c:pt idx="12" formatCode="0.0">
                  <c:v>-40</c:v>
                </c:pt>
                <c:pt idx="13" formatCode="0.0">
                  <c:v>-31.2</c:v>
                </c:pt>
                <c:pt idx="14" formatCode="0.0">
                  <c:v>-41.5</c:v>
                </c:pt>
                <c:pt idx="15" formatCode="0.0">
                  <c:v>-46.5</c:v>
                </c:pt>
                <c:pt idx="16" formatCode="0.0">
                  <c:v>-45.2</c:v>
                </c:pt>
                <c:pt idx="17" formatCode="0.0">
                  <c:v>-29.9</c:v>
                </c:pt>
                <c:pt idx="18" formatCode="0.0">
                  <c:v>-21.5</c:v>
                </c:pt>
                <c:pt idx="19" formatCode="0.0">
                  <c:v>-11</c:v>
                </c:pt>
                <c:pt idx="20" formatCode="0.0">
                  <c:v>1.8</c:v>
                </c:pt>
                <c:pt idx="21" formatCode="0.0">
                  <c:v>8.6999999999999993</c:v>
                </c:pt>
                <c:pt idx="22" formatCode="0.0">
                  <c:v>9.6999999999999993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3-D2F2-498E-B669-1117FC4FE837}"/>
            </c:ext>
          </c:extLst>
        </c:ser>
        <c:ser>
          <c:idx val="1"/>
          <c:order val="4"/>
          <c:tx>
            <c:strRef>
              <c:f>Arkusz1!$G$1</c:f>
              <c:strCache>
                <c:ptCount val="1"/>
                <c:pt idx="0">
                  <c:v>Zmiana syt. kraju w najbliższych 12 miesiącach</c:v>
                </c:pt>
              </c:strCache>
            </c:strRef>
          </c:tx>
          <c:spPr>
            <a:ln w="28575" cap="rnd">
              <a:solidFill>
                <a:srgbClr val="6677AD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6677AD"/>
              </a:solidFill>
              <a:ln w="9525">
                <a:noFill/>
              </a:ln>
              <a:effectLst/>
            </c:spPr>
          </c:marker>
          <c:cat>
            <c:strRef>
              <c:f>Arkusz1!$B$2:$B$30</c:f>
              <c:strCache>
                <c:ptCount val="23"/>
                <c:pt idx="0">
                  <c:v>1997**</c:v>
                </c:pt>
                <c:pt idx="1">
                  <c:v>1998</c:v>
                </c:pt>
                <c:pt idx="2">
                  <c:v>1999</c:v>
                </c:pt>
                <c:pt idx="3">
                  <c:v>2000</c:v>
                </c:pt>
                <c:pt idx="4">
                  <c:v>2001</c:v>
                </c:pt>
                <c:pt idx="5">
                  <c:v>2002</c:v>
                </c:pt>
                <c:pt idx="6">
                  <c:v>2003</c:v>
                </c:pt>
                <c:pt idx="7">
                  <c:v>2004</c:v>
                </c:pt>
                <c:pt idx="8">
                  <c:v>2005</c:v>
                </c:pt>
                <c:pt idx="9">
                  <c:v>2006</c:v>
                </c:pt>
                <c:pt idx="10">
                  <c:v>2007</c:v>
                </c:pt>
                <c:pt idx="11">
                  <c:v>2008</c:v>
                </c:pt>
                <c:pt idx="12">
                  <c:v>2009</c:v>
                </c:pt>
                <c:pt idx="13">
                  <c:v>2010</c:v>
                </c:pt>
                <c:pt idx="14">
                  <c:v>2011</c:v>
                </c:pt>
                <c:pt idx="15">
                  <c:v>2012</c:v>
                </c:pt>
                <c:pt idx="16">
                  <c:v>2013</c:v>
                </c:pt>
                <c:pt idx="17">
                  <c:v>2014</c:v>
                </c:pt>
                <c:pt idx="18">
                  <c:v>2015</c:v>
                </c:pt>
                <c:pt idx="19">
                  <c:v>2016</c:v>
                </c:pt>
                <c:pt idx="20">
                  <c:v>2017</c:v>
                </c:pt>
                <c:pt idx="21">
                  <c:v>2018</c:v>
                </c:pt>
                <c:pt idx="22">
                  <c:v>2019</c:v>
                </c:pt>
              </c:strCache>
            </c:strRef>
          </c:cat>
          <c:val>
            <c:numRef>
              <c:f>Arkusz1!$G$2:$G$30</c:f>
              <c:numCache>
                <c:formatCode>0.0_)</c:formatCode>
                <c:ptCount val="23"/>
                <c:pt idx="0">
                  <c:v>-10</c:v>
                </c:pt>
                <c:pt idx="1">
                  <c:v>-17</c:v>
                </c:pt>
                <c:pt idx="2">
                  <c:v>-29.7</c:v>
                </c:pt>
                <c:pt idx="3">
                  <c:v>-29.5</c:v>
                </c:pt>
                <c:pt idx="4">
                  <c:v>-32.200000000000003</c:v>
                </c:pt>
                <c:pt idx="5">
                  <c:v>-35.1</c:v>
                </c:pt>
                <c:pt idx="6">
                  <c:v>-35.200000000000003</c:v>
                </c:pt>
                <c:pt idx="7">
                  <c:v>-30.8</c:v>
                </c:pt>
                <c:pt idx="8" formatCode="0.0">
                  <c:v>-16.7</c:v>
                </c:pt>
                <c:pt idx="9" formatCode="0.0">
                  <c:v>-13</c:v>
                </c:pt>
                <c:pt idx="10" formatCode="0.0">
                  <c:v>-6.6</c:v>
                </c:pt>
                <c:pt idx="11" formatCode="0.0">
                  <c:v>-9.6999999999999993</c:v>
                </c:pt>
                <c:pt idx="12" formatCode="0.0">
                  <c:v>-26.5</c:v>
                </c:pt>
                <c:pt idx="13" formatCode="0.0">
                  <c:v>-18.899999999999999</c:v>
                </c:pt>
                <c:pt idx="14" formatCode="0.0">
                  <c:v>-30.8</c:v>
                </c:pt>
                <c:pt idx="15" formatCode="0.0">
                  <c:v>-38</c:v>
                </c:pt>
                <c:pt idx="16" formatCode="0.0">
                  <c:v>-31.2</c:v>
                </c:pt>
                <c:pt idx="17" formatCode="0.0">
                  <c:v>-18.399999999999999</c:v>
                </c:pt>
                <c:pt idx="18" formatCode="0.0">
                  <c:v>-11.4</c:v>
                </c:pt>
                <c:pt idx="19" formatCode="0.0">
                  <c:v>-9.4</c:v>
                </c:pt>
                <c:pt idx="20" formatCode="0.0">
                  <c:v>-1.8</c:v>
                </c:pt>
                <c:pt idx="21" formatCode="0.0">
                  <c:v>2.8</c:v>
                </c:pt>
                <c:pt idx="22" formatCode="0.0">
                  <c:v>1.2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4-D2F2-498E-B669-1117FC4FE837}"/>
            </c:ext>
          </c:extLst>
        </c:ser>
        <c:ser>
          <c:idx val="2"/>
          <c:order val="5"/>
          <c:tx>
            <c:strRef>
              <c:f>Arkusz1!$H$1</c:f>
              <c:strCache>
                <c:ptCount val="1"/>
                <c:pt idx="0">
                  <c:v>Obecne dokonyw. ważnych zakupów</c:v>
                </c:pt>
              </c:strCache>
            </c:strRef>
          </c:tx>
          <c:spPr>
            <a:ln w="28575" cap="rnd">
              <a:solidFill>
                <a:srgbClr val="000000">
                  <a:alpha val="70000"/>
                </a:srgb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000000">
                  <a:alpha val="70000"/>
                </a:srgbClr>
              </a:solidFill>
              <a:ln w="9525">
                <a:noFill/>
              </a:ln>
              <a:effectLst/>
            </c:spPr>
          </c:marker>
          <c:cat>
            <c:strRef>
              <c:f>Arkusz1!$B$2:$B$30</c:f>
              <c:strCache>
                <c:ptCount val="23"/>
                <c:pt idx="0">
                  <c:v>1997**</c:v>
                </c:pt>
                <c:pt idx="1">
                  <c:v>1998</c:v>
                </c:pt>
                <c:pt idx="2">
                  <c:v>1999</c:v>
                </c:pt>
                <c:pt idx="3">
                  <c:v>2000</c:v>
                </c:pt>
                <c:pt idx="4">
                  <c:v>2001</c:v>
                </c:pt>
                <c:pt idx="5">
                  <c:v>2002</c:v>
                </c:pt>
                <c:pt idx="6">
                  <c:v>2003</c:v>
                </c:pt>
                <c:pt idx="7">
                  <c:v>2004</c:v>
                </c:pt>
                <c:pt idx="8">
                  <c:v>2005</c:v>
                </c:pt>
                <c:pt idx="9">
                  <c:v>2006</c:v>
                </c:pt>
                <c:pt idx="10">
                  <c:v>2007</c:v>
                </c:pt>
                <c:pt idx="11">
                  <c:v>2008</c:v>
                </c:pt>
                <c:pt idx="12">
                  <c:v>2009</c:v>
                </c:pt>
                <c:pt idx="13">
                  <c:v>2010</c:v>
                </c:pt>
                <c:pt idx="14">
                  <c:v>2011</c:v>
                </c:pt>
                <c:pt idx="15">
                  <c:v>2012</c:v>
                </c:pt>
                <c:pt idx="16">
                  <c:v>2013</c:v>
                </c:pt>
                <c:pt idx="17">
                  <c:v>2014</c:v>
                </c:pt>
                <c:pt idx="18">
                  <c:v>2015</c:v>
                </c:pt>
                <c:pt idx="19">
                  <c:v>2016</c:v>
                </c:pt>
                <c:pt idx="20">
                  <c:v>2017</c:v>
                </c:pt>
                <c:pt idx="21">
                  <c:v>2018</c:v>
                </c:pt>
                <c:pt idx="22">
                  <c:v>2019</c:v>
                </c:pt>
              </c:strCache>
            </c:strRef>
          </c:cat>
          <c:val>
            <c:numRef>
              <c:f>Arkusz1!$H$2:$H$30</c:f>
              <c:numCache>
                <c:formatCode>0.0_)</c:formatCode>
                <c:ptCount val="23"/>
                <c:pt idx="0">
                  <c:v>-13.4</c:v>
                </c:pt>
                <c:pt idx="1">
                  <c:v>-16.600000000000001</c:v>
                </c:pt>
                <c:pt idx="2">
                  <c:v>-21</c:v>
                </c:pt>
                <c:pt idx="3">
                  <c:v>-25.8</c:v>
                </c:pt>
                <c:pt idx="4">
                  <c:v>-27.8</c:v>
                </c:pt>
                <c:pt idx="5">
                  <c:v>-32.1</c:v>
                </c:pt>
                <c:pt idx="6">
                  <c:v>-29.4</c:v>
                </c:pt>
                <c:pt idx="7">
                  <c:v>-23.3</c:v>
                </c:pt>
                <c:pt idx="8" formatCode="0.0">
                  <c:v>-16.399999999999999</c:v>
                </c:pt>
                <c:pt idx="9" formatCode="0.0">
                  <c:v>-11.1</c:v>
                </c:pt>
                <c:pt idx="10" formatCode="0.0">
                  <c:v>1.3</c:v>
                </c:pt>
                <c:pt idx="11" formatCode="0.0">
                  <c:v>1.2</c:v>
                </c:pt>
                <c:pt idx="12" formatCode="0.0">
                  <c:v>-16.100000000000001</c:v>
                </c:pt>
                <c:pt idx="13" formatCode="0.0">
                  <c:v>-9.1999999999999993</c:v>
                </c:pt>
                <c:pt idx="14" formatCode="0.0">
                  <c:v>-15.9</c:v>
                </c:pt>
                <c:pt idx="15" formatCode="0.0">
                  <c:v>-19.3</c:v>
                </c:pt>
                <c:pt idx="16" formatCode="0.0">
                  <c:v>-21.6</c:v>
                </c:pt>
                <c:pt idx="17" formatCode="0.0">
                  <c:v>-13.7</c:v>
                </c:pt>
                <c:pt idx="18" formatCode="0.0">
                  <c:v>-8.1999999999999993</c:v>
                </c:pt>
                <c:pt idx="19" formatCode="0.0">
                  <c:v>-2.5</c:v>
                </c:pt>
                <c:pt idx="20" formatCode="0.0">
                  <c:v>9.1999999999999993</c:v>
                </c:pt>
                <c:pt idx="21" formatCode="General">
                  <c:v>12.8</c:v>
                </c:pt>
                <c:pt idx="22" formatCode="General">
                  <c:v>16.399999999999999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5-D2F2-498E-B669-1117FC4FE83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196406352"/>
        <c:axId val="-1196413424"/>
      </c:lineChart>
      <c:catAx>
        <c:axId val="-1196406352"/>
        <c:scaling>
          <c:orientation val="minMax"/>
        </c:scaling>
        <c:delete val="0"/>
        <c:axPos val="b"/>
        <c:numFmt formatCode="d/mm" sourceLinked="0"/>
        <c:majorTickMark val="in"/>
        <c:minorTickMark val="none"/>
        <c:tickLblPos val="low"/>
        <c:spPr>
          <a:noFill/>
          <a:ln w="6350" cap="flat" cmpd="sng" algn="ctr">
            <a:solidFill>
              <a:schemeClr val="tx1"/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7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196413424"/>
        <c:crossesAt val="0"/>
        <c:auto val="0"/>
        <c:lblAlgn val="ctr"/>
        <c:lblOffset val="100"/>
        <c:tickLblSkip val="1"/>
        <c:noMultiLvlLbl val="0"/>
      </c:catAx>
      <c:valAx>
        <c:axId val="-11964134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_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19640635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6.6822253391625268E-4"/>
          <c:y val="0.86735319766516639"/>
          <c:w val="0.9993317774660837"/>
          <c:h val="0.13264680233483345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700">
          <a:solidFill>
            <a:sysClr val="windowText" lastClr="000000"/>
          </a:solidFill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3">
    <c:autoUpdate val="0"/>
  </c:externalData>
  <c:userShapes r:id="rId4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3109060047300714E-2"/>
          <c:y val="2.85158100059365E-2"/>
          <c:w val="0.92572481061659784"/>
          <c:h val="0.69522074916354304"/>
        </c:manualLayout>
      </c:layout>
      <c:barChart>
        <c:barDir val="col"/>
        <c:grouping val="clustered"/>
        <c:varyColors val="0"/>
        <c:ser>
          <c:idx val="4"/>
          <c:order val="0"/>
          <c:tx>
            <c:strRef>
              <c:f>Arkusz1!$C$1</c:f>
              <c:strCache>
                <c:ptCount val="1"/>
                <c:pt idx="0">
                  <c:v>WWUK</c:v>
                </c:pt>
              </c:strCache>
            </c:strRef>
          </c:tx>
          <c:spPr>
            <a:solidFill>
              <a:srgbClr val="001D77"/>
            </a:solidFill>
            <a:ln>
              <a:noFill/>
            </a:ln>
            <a:effectLst/>
          </c:spPr>
          <c:invertIfNegative val="0"/>
          <c:cat>
            <c:multiLvlStrRef>
              <c:f>Arkusz1!$A$2:$B$85</c:f>
              <c:multiLvlStrCache>
                <c:ptCount val="40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</c:lvl>
                <c:lvl>
                  <c:pt idx="0">
                    <c:v>2017</c:v>
                  </c:pt>
                  <c:pt idx="12">
                    <c:v>2018 </c:v>
                  </c:pt>
                  <c:pt idx="24">
                    <c:v>2019</c:v>
                  </c:pt>
                  <c:pt idx="36">
                    <c:v>2020</c:v>
                  </c:pt>
                </c:lvl>
              </c:multiLvlStrCache>
            </c:multiLvlStrRef>
          </c:cat>
          <c:val>
            <c:numRef>
              <c:f>Arkusz1!$C$2:$C$85</c:f>
              <c:numCache>
                <c:formatCode>0.0</c:formatCode>
                <c:ptCount val="40"/>
                <c:pt idx="0">
                  <c:v>-4.4000000000000004</c:v>
                </c:pt>
                <c:pt idx="1">
                  <c:v>-3.6</c:v>
                </c:pt>
                <c:pt idx="2">
                  <c:v>-4.2</c:v>
                </c:pt>
                <c:pt idx="3">
                  <c:v>-3.1</c:v>
                </c:pt>
                <c:pt idx="4">
                  <c:v>0.6</c:v>
                </c:pt>
                <c:pt idx="5">
                  <c:v>1.8</c:v>
                </c:pt>
                <c:pt idx="6">
                  <c:v>1.3</c:v>
                </c:pt>
                <c:pt idx="7">
                  <c:v>2.7</c:v>
                </c:pt>
                <c:pt idx="8">
                  <c:v>0.8</c:v>
                </c:pt>
                <c:pt idx="9">
                  <c:v>1.6</c:v>
                </c:pt>
                <c:pt idx="10">
                  <c:v>3.4</c:v>
                </c:pt>
                <c:pt idx="11">
                  <c:v>-0.2</c:v>
                </c:pt>
                <c:pt idx="12">
                  <c:v>4.3</c:v>
                </c:pt>
                <c:pt idx="13">
                  <c:v>4.2</c:v>
                </c:pt>
                <c:pt idx="14">
                  <c:v>2.9</c:v>
                </c:pt>
                <c:pt idx="15">
                  <c:v>5.7</c:v>
                </c:pt>
                <c:pt idx="16">
                  <c:v>2.8</c:v>
                </c:pt>
                <c:pt idx="17">
                  <c:v>4</c:v>
                </c:pt>
                <c:pt idx="18">
                  <c:v>2.4</c:v>
                </c:pt>
                <c:pt idx="19">
                  <c:v>2.4</c:v>
                </c:pt>
                <c:pt idx="20">
                  <c:v>3.1</c:v>
                </c:pt>
                <c:pt idx="21">
                  <c:v>1.3</c:v>
                </c:pt>
                <c:pt idx="22">
                  <c:v>3.4</c:v>
                </c:pt>
                <c:pt idx="23">
                  <c:v>-1.8</c:v>
                </c:pt>
                <c:pt idx="24">
                  <c:v>2.2000000000000002</c:v>
                </c:pt>
                <c:pt idx="25">
                  <c:v>3.2</c:v>
                </c:pt>
                <c:pt idx="26">
                  <c:v>4.7</c:v>
                </c:pt>
                <c:pt idx="27">
                  <c:v>3.5</c:v>
                </c:pt>
                <c:pt idx="28">
                  <c:v>4.9000000000000004</c:v>
                </c:pt>
                <c:pt idx="29">
                  <c:v>7.5</c:v>
                </c:pt>
                <c:pt idx="30">
                  <c:v>5.9</c:v>
                </c:pt>
                <c:pt idx="31">
                  <c:v>3.9</c:v>
                </c:pt>
                <c:pt idx="32">
                  <c:v>7</c:v>
                </c:pt>
                <c:pt idx="33">
                  <c:v>3.6</c:v>
                </c:pt>
                <c:pt idx="34">
                  <c:v>2.2000000000000002</c:v>
                </c:pt>
                <c:pt idx="35">
                  <c:v>-0.8</c:v>
                </c:pt>
                <c:pt idx="36">
                  <c:v>-0.6</c:v>
                </c:pt>
                <c:pt idx="37">
                  <c:v>-2.2000000000000002</c:v>
                </c:pt>
                <c:pt idx="38">
                  <c:v>-2.2999999999999998</c:v>
                </c:pt>
                <c:pt idx="39">
                  <c:v>-47.7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1A8A-4BD7-9881-15605F11A98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1196418320"/>
        <c:axId val="-1196412336"/>
      </c:barChart>
      <c:lineChart>
        <c:grouping val="standard"/>
        <c:varyColors val="0"/>
        <c:ser>
          <c:idx val="0"/>
          <c:order val="1"/>
          <c:tx>
            <c:strRef>
              <c:f>Arkusz1!$D$1</c:f>
              <c:strCache>
                <c:ptCount val="1"/>
                <c:pt idx="0">
                  <c:v>Zmiana syt. gosp. dom. w najbliższych 12 miesiącach</c:v>
                </c:pt>
              </c:strCache>
            </c:strRef>
          </c:tx>
          <c:spPr>
            <a:ln w="28575" cap="rnd">
              <a:solidFill>
                <a:srgbClr val="66B68E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66B68E"/>
              </a:solidFill>
              <a:ln w="9525">
                <a:noFill/>
              </a:ln>
              <a:effectLst/>
            </c:spPr>
          </c:marker>
          <c:cat>
            <c:multiLvlStrRef>
              <c:f>Arkusz1!$A$2:$B$85</c:f>
              <c:multiLvlStrCache>
                <c:ptCount val="40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</c:lvl>
                <c:lvl>
                  <c:pt idx="0">
                    <c:v>2017</c:v>
                  </c:pt>
                  <c:pt idx="12">
                    <c:v>2018 </c:v>
                  </c:pt>
                  <c:pt idx="24">
                    <c:v>2019</c:v>
                  </c:pt>
                  <c:pt idx="36">
                    <c:v>2020</c:v>
                  </c:pt>
                </c:lvl>
              </c:multiLvlStrCache>
            </c:multiLvlStrRef>
          </c:cat>
          <c:val>
            <c:numRef>
              <c:f>Arkusz1!$D$2:$D$85</c:f>
              <c:numCache>
                <c:formatCode>0.0</c:formatCode>
                <c:ptCount val="40"/>
                <c:pt idx="0">
                  <c:v>2.9</c:v>
                </c:pt>
                <c:pt idx="1">
                  <c:v>2.2000000000000002</c:v>
                </c:pt>
                <c:pt idx="2">
                  <c:v>1.6</c:v>
                </c:pt>
                <c:pt idx="3">
                  <c:v>2</c:v>
                </c:pt>
                <c:pt idx="4">
                  <c:v>2.8</c:v>
                </c:pt>
                <c:pt idx="5">
                  <c:v>2.9</c:v>
                </c:pt>
                <c:pt idx="6">
                  <c:v>3.6</c:v>
                </c:pt>
                <c:pt idx="7">
                  <c:v>4.3</c:v>
                </c:pt>
                <c:pt idx="8">
                  <c:v>4</c:v>
                </c:pt>
                <c:pt idx="9">
                  <c:v>1.6</c:v>
                </c:pt>
                <c:pt idx="10">
                  <c:v>5</c:v>
                </c:pt>
                <c:pt idx="11">
                  <c:v>0.2</c:v>
                </c:pt>
                <c:pt idx="12">
                  <c:v>5.2</c:v>
                </c:pt>
                <c:pt idx="13">
                  <c:v>2.8</c:v>
                </c:pt>
                <c:pt idx="14">
                  <c:v>4.2</c:v>
                </c:pt>
                <c:pt idx="15">
                  <c:v>5.7</c:v>
                </c:pt>
                <c:pt idx="16">
                  <c:v>3.5</c:v>
                </c:pt>
                <c:pt idx="17">
                  <c:v>3.8</c:v>
                </c:pt>
                <c:pt idx="18">
                  <c:v>3.6</c:v>
                </c:pt>
                <c:pt idx="19">
                  <c:v>4</c:v>
                </c:pt>
                <c:pt idx="20">
                  <c:v>3.1</c:v>
                </c:pt>
                <c:pt idx="21">
                  <c:v>4.7</c:v>
                </c:pt>
                <c:pt idx="22">
                  <c:v>4</c:v>
                </c:pt>
                <c:pt idx="23">
                  <c:v>-1</c:v>
                </c:pt>
                <c:pt idx="24">
                  <c:v>2.8</c:v>
                </c:pt>
                <c:pt idx="25">
                  <c:v>6.9</c:v>
                </c:pt>
                <c:pt idx="26">
                  <c:v>7.7</c:v>
                </c:pt>
                <c:pt idx="27">
                  <c:v>7.9</c:v>
                </c:pt>
                <c:pt idx="28">
                  <c:v>7</c:v>
                </c:pt>
                <c:pt idx="29">
                  <c:v>7.7</c:v>
                </c:pt>
                <c:pt idx="30">
                  <c:v>8.9</c:v>
                </c:pt>
                <c:pt idx="31">
                  <c:v>4.4000000000000004</c:v>
                </c:pt>
                <c:pt idx="32">
                  <c:v>8</c:v>
                </c:pt>
                <c:pt idx="33">
                  <c:v>5.9</c:v>
                </c:pt>
                <c:pt idx="34">
                  <c:v>5</c:v>
                </c:pt>
                <c:pt idx="35">
                  <c:v>2.8</c:v>
                </c:pt>
                <c:pt idx="36">
                  <c:v>2</c:v>
                </c:pt>
                <c:pt idx="37">
                  <c:v>2.4</c:v>
                </c:pt>
                <c:pt idx="38">
                  <c:v>1.7</c:v>
                </c:pt>
                <c:pt idx="39">
                  <c:v>-30.5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1A8A-4BD7-9881-15605F11A980}"/>
            </c:ext>
          </c:extLst>
        </c:ser>
        <c:ser>
          <c:idx val="1"/>
          <c:order val="2"/>
          <c:tx>
            <c:strRef>
              <c:f>Arkusz1!$E$1</c:f>
              <c:strCache>
                <c:ptCount val="1"/>
                <c:pt idx="0">
                  <c:v>Zmiana syt. kraju w najbliższych 12 miesiącach</c:v>
                </c:pt>
              </c:strCache>
            </c:strRef>
          </c:tx>
          <c:spPr>
            <a:ln w="28575" cap="rnd">
              <a:solidFill>
                <a:srgbClr val="6677AD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6677AD"/>
              </a:solidFill>
              <a:ln w="9525">
                <a:noFill/>
              </a:ln>
              <a:effectLst/>
            </c:spPr>
          </c:marker>
          <c:cat>
            <c:multiLvlStrRef>
              <c:f>Arkusz1!$A$2:$B$85</c:f>
              <c:multiLvlStrCache>
                <c:ptCount val="40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</c:lvl>
                <c:lvl>
                  <c:pt idx="0">
                    <c:v>2017</c:v>
                  </c:pt>
                  <c:pt idx="12">
                    <c:v>2018 </c:v>
                  </c:pt>
                  <c:pt idx="24">
                    <c:v>2019</c:v>
                  </c:pt>
                  <c:pt idx="36">
                    <c:v>2020</c:v>
                  </c:pt>
                </c:lvl>
              </c:multiLvlStrCache>
            </c:multiLvlStrRef>
          </c:cat>
          <c:val>
            <c:numRef>
              <c:f>Arkusz1!$E$2:$E$85</c:f>
              <c:numCache>
                <c:formatCode>0.0</c:formatCode>
                <c:ptCount val="40"/>
                <c:pt idx="0">
                  <c:v>-10.1</c:v>
                </c:pt>
                <c:pt idx="1">
                  <c:v>-9.1999999999999993</c:v>
                </c:pt>
                <c:pt idx="2">
                  <c:v>-8.3000000000000007</c:v>
                </c:pt>
                <c:pt idx="3">
                  <c:v>-7.2</c:v>
                </c:pt>
                <c:pt idx="4">
                  <c:v>-1.4</c:v>
                </c:pt>
                <c:pt idx="5">
                  <c:v>1.8</c:v>
                </c:pt>
                <c:pt idx="6">
                  <c:v>1.9</c:v>
                </c:pt>
                <c:pt idx="7">
                  <c:v>2.7</c:v>
                </c:pt>
                <c:pt idx="8">
                  <c:v>0.8</c:v>
                </c:pt>
                <c:pt idx="9">
                  <c:v>3.4</c:v>
                </c:pt>
                <c:pt idx="10">
                  <c:v>3.8</c:v>
                </c:pt>
                <c:pt idx="11">
                  <c:v>0.3</c:v>
                </c:pt>
                <c:pt idx="12">
                  <c:v>4</c:v>
                </c:pt>
                <c:pt idx="13">
                  <c:v>6.3</c:v>
                </c:pt>
                <c:pt idx="14">
                  <c:v>3.2</c:v>
                </c:pt>
                <c:pt idx="15">
                  <c:v>6</c:v>
                </c:pt>
                <c:pt idx="16">
                  <c:v>3.8</c:v>
                </c:pt>
                <c:pt idx="17">
                  <c:v>3.8</c:v>
                </c:pt>
                <c:pt idx="18">
                  <c:v>1.2</c:v>
                </c:pt>
                <c:pt idx="19">
                  <c:v>1.9</c:v>
                </c:pt>
                <c:pt idx="20">
                  <c:v>4.4000000000000004</c:v>
                </c:pt>
                <c:pt idx="21">
                  <c:v>1.5</c:v>
                </c:pt>
                <c:pt idx="22">
                  <c:v>2.7</c:v>
                </c:pt>
                <c:pt idx="23">
                  <c:v>-4.8</c:v>
                </c:pt>
                <c:pt idx="24">
                  <c:v>0.6</c:v>
                </c:pt>
                <c:pt idx="25">
                  <c:v>1.8</c:v>
                </c:pt>
                <c:pt idx="26">
                  <c:v>4.2</c:v>
                </c:pt>
                <c:pt idx="27">
                  <c:v>-0.5</c:v>
                </c:pt>
                <c:pt idx="28">
                  <c:v>3.5</c:v>
                </c:pt>
                <c:pt idx="29">
                  <c:v>3.9</c:v>
                </c:pt>
                <c:pt idx="30">
                  <c:v>2.8</c:v>
                </c:pt>
                <c:pt idx="31">
                  <c:v>2.2000000000000002</c:v>
                </c:pt>
                <c:pt idx="32">
                  <c:v>2.8</c:v>
                </c:pt>
                <c:pt idx="33">
                  <c:v>3.4</c:v>
                </c:pt>
                <c:pt idx="34">
                  <c:v>-3</c:v>
                </c:pt>
                <c:pt idx="35">
                  <c:v>-7.9</c:v>
                </c:pt>
                <c:pt idx="36">
                  <c:v>-7.7</c:v>
                </c:pt>
                <c:pt idx="37">
                  <c:v>-8.4</c:v>
                </c:pt>
                <c:pt idx="38">
                  <c:v>-10.1</c:v>
                </c:pt>
                <c:pt idx="39">
                  <c:v>-64.5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1A8A-4BD7-9881-15605F11A980}"/>
            </c:ext>
          </c:extLst>
        </c:ser>
        <c:ser>
          <c:idx val="2"/>
          <c:order val="3"/>
          <c:tx>
            <c:strRef>
              <c:f>Arkusz1!$F$1</c:f>
              <c:strCache>
                <c:ptCount val="1"/>
                <c:pt idx="0">
                  <c:v>Zmiana poziomu bezrobocia</c:v>
                </c:pt>
              </c:strCache>
            </c:strRef>
          </c:tx>
          <c:spPr>
            <a:ln w="28575" cap="rnd">
              <a:solidFill>
                <a:srgbClr val="000000">
                  <a:alpha val="70000"/>
                </a:srgb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000000">
                  <a:alpha val="70000"/>
                </a:srgbClr>
              </a:solidFill>
              <a:ln w="9525">
                <a:noFill/>
              </a:ln>
              <a:effectLst/>
            </c:spPr>
          </c:marker>
          <c:cat>
            <c:multiLvlStrRef>
              <c:f>Arkusz1!$A$2:$B$85</c:f>
              <c:multiLvlStrCache>
                <c:ptCount val="40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</c:lvl>
                <c:lvl>
                  <c:pt idx="0">
                    <c:v>2017</c:v>
                  </c:pt>
                  <c:pt idx="12">
                    <c:v>2018 </c:v>
                  </c:pt>
                  <c:pt idx="24">
                    <c:v>2019</c:v>
                  </c:pt>
                  <c:pt idx="36">
                    <c:v>2020</c:v>
                  </c:pt>
                </c:lvl>
              </c:multiLvlStrCache>
            </c:multiLvlStrRef>
          </c:cat>
          <c:val>
            <c:numRef>
              <c:f>Arkusz1!$F$2:$F$85</c:f>
              <c:numCache>
                <c:formatCode>0.0</c:formatCode>
                <c:ptCount val="40"/>
                <c:pt idx="0">
                  <c:v>-0.1</c:v>
                </c:pt>
                <c:pt idx="1">
                  <c:v>4.4000000000000004</c:v>
                </c:pt>
                <c:pt idx="2">
                  <c:v>4.9000000000000004</c:v>
                </c:pt>
                <c:pt idx="3">
                  <c:v>5.9</c:v>
                </c:pt>
                <c:pt idx="4">
                  <c:v>11</c:v>
                </c:pt>
                <c:pt idx="5">
                  <c:v>11.7</c:v>
                </c:pt>
                <c:pt idx="6">
                  <c:v>10.1</c:v>
                </c:pt>
                <c:pt idx="7">
                  <c:v>11</c:v>
                </c:pt>
                <c:pt idx="8">
                  <c:v>10.199999999999999</c:v>
                </c:pt>
                <c:pt idx="9">
                  <c:v>9.1999999999999993</c:v>
                </c:pt>
                <c:pt idx="10">
                  <c:v>13.5</c:v>
                </c:pt>
                <c:pt idx="11">
                  <c:v>10.8</c:v>
                </c:pt>
                <c:pt idx="12">
                  <c:v>13.6</c:v>
                </c:pt>
                <c:pt idx="13">
                  <c:v>14.1</c:v>
                </c:pt>
                <c:pt idx="14">
                  <c:v>13.4</c:v>
                </c:pt>
                <c:pt idx="15">
                  <c:v>18</c:v>
                </c:pt>
                <c:pt idx="16">
                  <c:v>14.2</c:v>
                </c:pt>
                <c:pt idx="17">
                  <c:v>13.7</c:v>
                </c:pt>
                <c:pt idx="18">
                  <c:v>14.1</c:v>
                </c:pt>
                <c:pt idx="19">
                  <c:v>12.3</c:v>
                </c:pt>
                <c:pt idx="20">
                  <c:v>11.9</c:v>
                </c:pt>
                <c:pt idx="21">
                  <c:v>8.3000000000000007</c:v>
                </c:pt>
                <c:pt idx="22">
                  <c:v>9.4</c:v>
                </c:pt>
                <c:pt idx="23">
                  <c:v>7.6</c:v>
                </c:pt>
                <c:pt idx="24">
                  <c:v>7.2</c:v>
                </c:pt>
                <c:pt idx="25">
                  <c:v>7.6</c:v>
                </c:pt>
                <c:pt idx="26">
                  <c:v>9.8000000000000007</c:v>
                </c:pt>
                <c:pt idx="27">
                  <c:v>8.1</c:v>
                </c:pt>
                <c:pt idx="28">
                  <c:v>10</c:v>
                </c:pt>
                <c:pt idx="29">
                  <c:v>15.3</c:v>
                </c:pt>
                <c:pt idx="30">
                  <c:v>10.3</c:v>
                </c:pt>
                <c:pt idx="31">
                  <c:v>8.6999999999999993</c:v>
                </c:pt>
                <c:pt idx="32">
                  <c:v>9.8000000000000007</c:v>
                </c:pt>
                <c:pt idx="33">
                  <c:v>2.5</c:v>
                </c:pt>
                <c:pt idx="34">
                  <c:v>2.9</c:v>
                </c:pt>
                <c:pt idx="35">
                  <c:v>0.5</c:v>
                </c:pt>
                <c:pt idx="36">
                  <c:v>2.4</c:v>
                </c:pt>
                <c:pt idx="37">
                  <c:v>-0.7</c:v>
                </c:pt>
                <c:pt idx="38">
                  <c:v>-0.7</c:v>
                </c:pt>
                <c:pt idx="39">
                  <c:v>-77.7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3-1A8A-4BD7-9881-15605F11A980}"/>
            </c:ext>
          </c:extLst>
        </c:ser>
        <c:ser>
          <c:idx val="5"/>
          <c:order val="4"/>
          <c:tx>
            <c:strRef>
              <c:f>Arkusz1!$G$1</c:f>
              <c:strCache>
                <c:ptCount val="1"/>
                <c:pt idx="0">
                  <c:v>Oszczędzanie pieniędzy</c:v>
                </c:pt>
              </c:strCache>
            </c:strRef>
          </c:tx>
          <c:spPr>
            <a:ln w="28575" cap="rnd">
              <a:solidFill>
                <a:srgbClr val="00854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008542"/>
              </a:solidFill>
              <a:ln w="9525">
                <a:noFill/>
              </a:ln>
              <a:effectLst/>
            </c:spPr>
          </c:marker>
          <c:cat>
            <c:multiLvlStrRef>
              <c:f>Arkusz1!$A$2:$B$85</c:f>
              <c:multiLvlStrCache>
                <c:ptCount val="40"/>
                <c:lvl>
                  <c:pt idx="0">
                    <c:v>I</c:v>
                  </c:pt>
                  <c:pt idx="1">
                    <c:v>II</c:v>
                  </c:pt>
                  <c:pt idx="2">
                    <c:v>III</c:v>
                  </c:pt>
                  <c:pt idx="3">
                    <c:v>IV</c:v>
                  </c:pt>
                  <c:pt idx="4">
                    <c:v>V</c:v>
                  </c:pt>
                  <c:pt idx="5">
                    <c:v>VI</c:v>
                  </c:pt>
                  <c:pt idx="6">
                    <c:v>VII</c:v>
                  </c:pt>
                  <c:pt idx="7">
                    <c:v>VIII</c:v>
                  </c:pt>
                  <c:pt idx="8">
                    <c:v>IX</c:v>
                  </c:pt>
                  <c:pt idx="9">
                    <c:v>X</c:v>
                  </c:pt>
                  <c:pt idx="10">
                    <c:v>XI</c:v>
                  </c:pt>
                  <c:pt idx="11">
                    <c:v>XII</c:v>
                  </c:pt>
                  <c:pt idx="12">
                    <c:v>I</c:v>
                  </c:pt>
                  <c:pt idx="13">
                    <c:v>II</c:v>
                  </c:pt>
                  <c:pt idx="14">
                    <c:v>III</c:v>
                  </c:pt>
                  <c:pt idx="15">
                    <c:v>IV</c:v>
                  </c:pt>
                  <c:pt idx="16">
                    <c:v>V</c:v>
                  </c:pt>
                  <c:pt idx="17">
                    <c:v>VI</c:v>
                  </c:pt>
                  <c:pt idx="18">
                    <c:v>VII</c:v>
                  </c:pt>
                  <c:pt idx="19">
                    <c:v>VIII</c:v>
                  </c:pt>
                  <c:pt idx="20">
                    <c:v>IX</c:v>
                  </c:pt>
                  <c:pt idx="21">
                    <c:v>X</c:v>
                  </c:pt>
                  <c:pt idx="22">
                    <c:v>XI</c:v>
                  </c:pt>
                  <c:pt idx="23">
                    <c:v>XII</c:v>
                  </c:pt>
                  <c:pt idx="24">
                    <c:v>I</c:v>
                  </c:pt>
                  <c:pt idx="25">
                    <c:v>II</c:v>
                  </c:pt>
                  <c:pt idx="26">
                    <c:v>III</c:v>
                  </c:pt>
                  <c:pt idx="27">
                    <c:v>IV</c:v>
                  </c:pt>
                  <c:pt idx="28">
                    <c:v>V</c:v>
                  </c:pt>
                  <c:pt idx="29">
                    <c:v>VI</c:v>
                  </c:pt>
                  <c:pt idx="30">
                    <c:v>VII</c:v>
                  </c:pt>
                  <c:pt idx="31">
                    <c:v>VIII</c:v>
                  </c:pt>
                  <c:pt idx="32">
                    <c:v>IX</c:v>
                  </c:pt>
                  <c:pt idx="33">
                    <c:v>X</c:v>
                  </c:pt>
                  <c:pt idx="34">
                    <c:v>XI</c:v>
                  </c:pt>
                  <c:pt idx="35">
                    <c:v>XII</c:v>
                  </c:pt>
                  <c:pt idx="36">
                    <c:v>I</c:v>
                  </c:pt>
                  <c:pt idx="37">
                    <c:v>II</c:v>
                  </c:pt>
                  <c:pt idx="38">
                    <c:v>III</c:v>
                  </c:pt>
                  <c:pt idx="39">
                    <c:v>IV</c:v>
                  </c:pt>
                </c:lvl>
                <c:lvl>
                  <c:pt idx="0">
                    <c:v>2017</c:v>
                  </c:pt>
                  <c:pt idx="12">
                    <c:v>2018 </c:v>
                  </c:pt>
                  <c:pt idx="24">
                    <c:v>2019</c:v>
                  </c:pt>
                  <c:pt idx="36">
                    <c:v>2020</c:v>
                  </c:pt>
                </c:lvl>
              </c:multiLvlStrCache>
            </c:multiLvlStrRef>
          </c:cat>
          <c:val>
            <c:numRef>
              <c:f>Arkusz1!$G$2:$G$85</c:f>
              <c:numCache>
                <c:formatCode>0.0</c:formatCode>
                <c:ptCount val="40"/>
                <c:pt idx="0">
                  <c:v>-10.1</c:v>
                </c:pt>
                <c:pt idx="1">
                  <c:v>-11.8</c:v>
                </c:pt>
                <c:pt idx="2">
                  <c:v>-15</c:v>
                </c:pt>
                <c:pt idx="3">
                  <c:v>-12.9</c:v>
                </c:pt>
                <c:pt idx="4">
                  <c:v>-10</c:v>
                </c:pt>
                <c:pt idx="5">
                  <c:v>-9.4</c:v>
                </c:pt>
                <c:pt idx="6">
                  <c:v>-10.5</c:v>
                </c:pt>
                <c:pt idx="7">
                  <c:v>-7.3</c:v>
                </c:pt>
                <c:pt idx="8">
                  <c:v>-11.7</c:v>
                </c:pt>
                <c:pt idx="9">
                  <c:v>-8</c:v>
                </c:pt>
                <c:pt idx="10">
                  <c:v>-8.8000000000000007</c:v>
                </c:pt>
                <c:pt idx="11">
                  <c:v>-12</c:v>
                </c:pt>
                <c:pt idx="12">
                  <c:v>-5.8</c:v>
                </c:pt>
                <c:pt idx="13">
                  <c:v>-6.4</c:v>
                </c:pt>
                <c:pt idx="14">
                  <c:v>-9.1999999999999993</c:v>
                </c:pt>
                <c:pt idx="15">
                  <c:v>-6.9</c:v>
                </c:pt>
                <c:pt idx="16">
                  <c:v>-10.199999999999999</c:v>
                </c:pt>
                <c:pt idx="17">
                  <c:v>-5.2</c:v>
                </c:pt>
                <c:pt idx="18">
                  <c:v>-9.4</c:v>
                </c:pt>
                <c:pt idx="19">
                  <c:v>-8.6999999999999993</c:v>
                </c:pt>
                <c:pt idx="20">
                  <c:v>-7.2</c:v>
                </c:pt>
                <c:pt idx="21">
                  <c:v>-9.3000000000000007</c:v>
                </c:pt>
                <c:pt idx="22">
                  <c:v>-2.6</c:v>
                </c:pt>
                <c:pt idx="23">
                  <c:v>-9</c:v>
                </c:pt>
                <c:pt idx="24">
                  <c:v>-1.6</c:v>
                </c:pt>
                <c:pt idx="25">
                  <c:v>-3.4</c:v>
                </c:pt>
                <c:pt idx="26">
                  <c:v>-3.1</c:v>
                </c:pt>
                <c:pt idx="27">
                  <c:v>-1.4</c:v>
                </c:pt>
                <c:pt idx="28">
                  <c:v>-0.8</c:v>
                </c:pt>
                <c:pt idx="29">
                  <c:v>3.1</c:v>
                </c:pt>
                <c:pt idx="30">
                  <c:v>1.7</c:v>
                </c:pt>
                <c:pt idx="31">
                  <c:v>0.4</c:v>
                </c:pt>
                <c:pt idx="32">
                  <c:v>7.5</c:v>
                </c:pt>
                <c:pt idx="33">
                  <c:v>2.6</c:v>
                </c:pt>
                <c:pt idx="34">
                  <c:v>3.9</c:v>
                </c:pt>
                <c:pt idx="35">
                  <c:v>1.2</c:v>
                </c:pt>
                <c:pt idx="36">
                  <c:v>1.1000000000000001</c:v>
                </c:pt>
                <c:pt idx="37">
                  <c:v>-2</c:v>
                </c:pt>
                <c:pt idx="38">
                  <c:v>-0.2</c:v>
                </c:pt>
                <c:pt idx="39">
                  <c:v>-18.3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4-1A8A-4BD7-9881-15605F11A98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196418320"/>
        <c:axId val="-1196412336"/>
      </c:lineChart>
      <c:catAx>
        <c:axId val="-1196418320"/>
        <c:scaling>
          <c:orientation val="minMax"/>
        </c:scaling>
        <c:delete val="0"/>
        <c:axPos val="b"/>
        <c:numFmt formatCode="d/mm" sourceLinked="0"/>
        <c:majorTickMark val="in"/>
        <c:minorTickMark val="none"/>
        <c:tickLblPos val="low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7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196412336"/>
        <c:crossesAt val="0"/>
        <c:auto val="1"/>
        <c:lblAlgn val="ctr"/>
        <c:lblOffset val="100"/>
        <c:tickLblSkip val="1"/>
        <c:noMultiLvlLbl val="0"/>
      </c:catAx>
      <c:valAx>
        <c:axId val="-11964123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1964183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6.6822253391625268E-4"/>
          <c:y val="0.84503937007874019"/>
          <c:w val="0.9993317774660837"/>
          <c:h val="0.1549606299212598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700">
          <a:solidFill>
            <a:sysClr val="windowText" lastClr="000000"/>
          </a:solidFill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4216712591104619E-2"/>
          <c:y val="3.182981166293733E-2"/>
          <c:w val="0.92505522157443221"/>
          <c:h val="0.68551983144386652"/>
        </c:manualLayout>
      </c:layout>
      <c:barChart>
        <c:barDir val="col"/>
        <c:grouping val="clustered"/>
        <c:varyColors val="0"/>
        <c:ser>
          <c:idx val="4"/>
          <c:order val="0"/>
          <c:tx>
            <c:strRef>
              <c:f>Arkusz1!$C$1</c:f>
              <c:strCache>
                <c:ptCount val="1"/>
                <c:pt idx="0">
                  <c:v>WWUK</c:v>
                </c:pt>
              </c:strCache>
            </c:strRef>
          </c:tx>
          <c:spPr>
            <a:solidFill>
              <a:srgbClr val="001D77"/>
            </a:solidFill>
            <a:ln>
              <a:noFill/>
            </a:ln>
            <a:effectLst/>
          </c:spPr>
          <c:invertIfNegative val="0"/>
          <c:cat>
            <c:strRef>
              <c:f>Arkusz1!$B$2:$B$30</c:f>
              <c:strCache>
                <c:ptCount val="23"/>
                <c:pt idx="0">
                  <c:v>1997**</c:v>
                </c:pt>
                <c:pt idx="1">
                  <c:v>1998</c:v>
                </c:pt>
                <c:pt idx="2">
                  <c:v>1999</c:v>
                </c:pt>
                <c:pt idx="3">
                  <c:v>2000</c:v>
                </c:pt>
                <c:pt idx="4">
                  <c:v>2001</c:v>
                </c:pt>
                <c:pt idx="5">
                  <c:v>2002</c:v>
                </c:pt>
                <c:pt idx="6">
                  <c:v>2003</c:v>
                </c:pt>
                <c:pt idx="7">
                  <c:v>2004</c:v>
                </c:pt>
                <c:pt idx="8">
                  <c:v>2005</c:v>
                </c:pt>
                <c:pt idx="9">
                  <c:v>2006</c:v>
                </c:pt>
                <c:pt idx="10">
                  <c:v>2007</c:v>
                </c:pt>
                <c:pt idx="11">
                  <c:v>2008</c:v>
                </c:pt>
                <c:pt idx="12">
                  <c:v>2009</c:v>
                </c:pt>
                <c:pt idx="13">
                  <c:v>2010</c:v>
                </c:pt>
                <c:pt idx="14">
                  <c:v>2011</c:v>
                </c:pt>
                <c:pt idx="15">
                  <c:v>2012</c:v>
                </c:pt>
                <c:pt idx="16">
                  <c:v>2013</c:v>
                </c:pt>
                <c:pt idx="17">
                  <c:v>2014</c:v>
                </c:pt>
                <c:pt idx="18">
                  <c:v>2015</c:v>
                </c:pt>
                <c:pt idx="19">
                  <c:v>2016</c:v>
                </c:pt>
                <c:pt idx="20">
                  <c:v>2017</c:v>
                </c:pt>
                <c:pt idx="21">
                  <c:v>2018</c:v>
                </c:pt>
                <c:pt idx="22">
                  <c:v>2019</c:v>
                </c:pt>
              </c:strCache>
            </c:strRef>
          </c:cat>
          <c:val>
            <c:numRef>
              <c:f>Arkusz1!$C$2:$C$30</c:f>
              <c:numCache>
                <c:formatCode>0.0_)</c:formatCode>
                <c:ptCount val="23"/>
                <c:pt idx="0">
                  <c:v>-21.85</c:v>
                </c:pt>
                <c:pt idx="1">
                  <c:v>-29.625</c:v>
                </c:pt>
                <c:pt idx="2">
                  <c:v>-41.424999999999997</c:v>
                </c:pt>
                <c:pt idx="3">
                  <c:v>-44.6</c:v>
                </c:pt>
                <c:pt idx="4">
                  <c:v>-46.524999999999999</c:v>
                </c:pt>
                <c:pt idx="5">
                  <c:v>-47.825000000000003</c:v>
                </c:pt>
                <c:pt idx="6">
                  <c:v>-44.8</c:v>
                </c:pt>
                <c:pt idx="7">
                  <c:v>-35.700000000000003</c:v>
                </c:pt>
                <c:pt idx="8" formatCode="0.0">
                  <c:v>-27.2</c:v>
                </c:pt>
                <c:pt idx="9" formatCode="0.0">
                  <c:v>-18.5</c:v>
                </c:pt>
                <c:pt idx="10" formatCode="0.0">
                  <c:v>-7.9</c:v>
                </c:pt>
                <c:pt idx="11" formatCode="0.0">
                  <c:v>-11.6</c:v>
                </c:pt>
                <c:pt idx="12" formatCode="0.0">
                  <c:v>-32.5</c:v>
                </c:pt>
                <c:pt idx="13" formatCode="0.0">
                  <c:v>-23.5</c:v>
                </c:pt>
                <c:pt idx="14" formatCode="0.0">
                  <c:v>-29.8</c:v>
                </c:pt>
                <c:pt idx="15" formatCode="0.0">
                  <c:v>-36.700000000000003</c:v>
                </c:pt>
                <c:pt idx="16" formatCode="0.0">
                  <c:v>-33.700000000000003</c:v>
                </c:pt>
                <c:pt idx="17" formatCode="0.0">
                  <c:v>-21.8</c:v>
                </c:pt>
                <c:pt idx="18" formatCode="0.0">
                  <c:v>-15.1</c:v>
                </c:pt>
                <c:pt idx="19" formatCode="0.0">
                  <c:v>-8.6</c:v>
                </c:pt>
                <c:pt idx="20" formatCode="0.0">
                  <c:v>-0.3</c:v>
                </c:pt>
                <c:pt idx="21" formatCode="0.0">
                  <c:v>2.9</c:v>
                </c:pt>
                <c:pt idx="22" formatCode="0.0">
                  <c:v>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6D55-4F43-B77C-634C5FD2DC7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-1196410160"/>
        <c:axId val="-1196417776"/>
      </c:barChart>
      <c:lineChart>
        <c:grouping val="standard"/>
        <c:varyColors val="0"/>
        <c:ser>
          <c:idx val="0"/>
          <c:order val="1"/>
          <c:tx>
            <c:strRef>
              <c:f>Arkusz1!$D$1</c:f>
              <c:strCache>
                <c:ptCount val="1"/>
                <c:pt idx="0">
                  <c:v>Zmiana syt. gosp. dom. w najbliższych 12 miesiącach</c:v>
                </c:pt>
              </c:strCache>
            </c:strRef>
          </c:tx>
          <c:spPr>
            <a:ln w="28575" cap="rnd">
              <a:solidFill>
                <a:srgbClr val="66B68E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66B68E"/>
              </a:solidFill>
              <a:ln w="9525">
                <a:noFill/>
              </a:ln>
              <a:effectLst/>
            </c:spPr>
          </c:marker>
          <c:cat>
            <c:strRef>
              <c:f>Arkusz1!$B$2:$B$30</c:f>
              <c:strCache>
                <c:ptCount val="23"/>
                <c:pt idx="0">
                  <c:v>1997**</c:v>
                </c:pt>
                <c:pt idx="1">
                  <c:v>1998</c:v>
                </c:pt>
                <c:pt idx="2">
                  <c:v>1999</c:v>
                </c:pt>
                <c:pt idx="3">
                  <c:v>2000</c:v>
                </c:pt>
                <c:pt idx="4">
                  <c:v>2001</c:v>
                </c:pt>
                <c:pt idx="5">
                  <c:v>2002</c:v>
                </c:pt>
                <c:pt idx="6">
                  <c:v>2003</c:v>
                </c:pt>
                <c:pt idx="7">
                  <c:v>2004</c:v>
                </c:pt>
                <c:pt idx="8">
                  <c:v>2005</c:v>
                </c:pt>
                <c:pt idx="9">
                  <c:v>2006</c:v>
                </c:pt>
                <c:pt idx="10">
                  <c:v>2007</c:v>
                </c:pt>
                <c:pt idx="11">
                  <c:v>2008</c:v>
                </c:pt>
                <c:pt idx="12">
                  <c:v>2009</c:v>
                </c:pt>
                <c:pt idx="13">
                  <c:v>2010</c:v>
                </c:pt>
                <c:pt idx="14">
                  <c:v>2011</c:v>
                </c:pt>
                <c:pt idx="15">
                  <c:v>2012</c:v>
                </c:pt>
                <c:pt idx="16">
                  <c:v>2013</c:v>
                </c:pt>
                <c:pt idx="17">
                  <c:v>2014</c:v>
                </c:pt>
                <c:pt idx="18">
                  <c:v>2015</c:v>
                </c:pt>
                <c:pt idx="19">
                  <c:v>2016</c:v>
                </c:pt>
                <c:pt idx="20">
                  <c:v>2017</c:v>
                </c:pt>
                <c:pt idx="21">
                  <c:v>2018</c:v>
                </c:pt>
                <c:pt idx="22">
                  <c:v>2019</c:v>
                </c:pt>
              </c:strCache>
            </c:strRef>
          </c:cat>
          <c:val>
            <c:numRef>
              <c:f>Arkusz1!$D$2:$D$30</c:f>
              <c:numCache>
                <c:formatCode>0.0_)</c:formatCode>
                <c:ptCount val="23"/>
                <c:pt idx="0">
                  <c:v>-11</c:v>
                </c:pt>
                <c:pt idx="1">
                  <c:v>-19.2</c:v>
                </c:pt>
                <c:pt idx="2">
                  <c:v>-25.3</c:v>
                </c:pt>
                <c:pt idx="3">
                  <c:v>-26.8</c:v>
                </c:pt>
                <c:pt idx="4">
                  <c:v>-25.8</c:v>
                </c:pt>
                <c:pt idx="5">
                  <c:v>-27.8</c:v>
                </c:pt>
                <c:pt idx="6">
                  <c:v>-24.5</c:v>
                </c:pt>
                <c:pt idx="7">
                  <c:v>-22.3</c:v>
                </c:pt>
                <c:pt idx="8" formatCode="0.0">
                  <c:v>-12</c:v>
                </c:pt>
                <c:pt idx="9" formatCode="0.0">
                  <c:v>-6.1</c:v>
                </c:pt>
                <c:pt idx="10" formatCode="0.0">
                  <c:v>-1.9</c:v>
                </c:pt>
                <c:pt idx="11" formatCode="0.0">
                  <c:v>-4.5</c:v>
                </c:pt>
                <c:pt idx="12" formatCode="0.0">
                  <c:v>-11.1</c:v>
                </c:pt>
                <c:pt idx="13" formatCode="0.0">
                  <c:v>-8.1999999999999993</c:v>
                </c:pt>
                <c:pt idx="14" formatCode="0.0">
                  <c:v>-14.6</c:v>
                </c:pt>
                <c:pt idx="15" formatCode="0.0">
                  <c:v>-18.5</c:v>
                </c:pt>
                <c:pt idx="16" formatCode="0.0">
                  <c:v>-13.6</c:v>
                </c:pt>
                <c:pt idx="17" formatCode="0.0">
                  <c:v>-7.3</c:v>
                </c:pt>
                <c:pt idx="18" formatCode="0.0">
                  <c:v>-2.8</c:v>
                </c:pt>
                <c:pt idx="19" formatCode="0.0">
                  <c:v>0.9</c:v>
                </c:pt>
                <c:pt idx="20" formatCode="0.0">
                  <c:v>2.8</c:v>
                </c:pt>
                <c:pt idx="21" formatCode="0.0">
                  <c:v>3.6</c:v>
                </c:pt>
                <c:pt idx="22" formatCode="0.0">
                  <c:v>6.3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6D55-4F43-B77C-634C5FD2DC7C}"/>
            </c:ext>
          </c:extLst>
        </c:ser>
        <c:ser>
          <c:idx val="5"/>
          <c:order val="2"/>
          <c:tx>
            <c:strRef>
              <c:f>Arkusz1!$E$1</c:f>
              <c:strCache>
                <c:ptCount val="1"/>
                <c:pt idx="0">
                  <c:v>Zmiana syt. kraju w najbliższych 12 miesiącach</c:v>
                </c:pt>
              </c:strCache>
            </c:strRef>
          </c:tx>
          <c:spPr>
            <a:ln w="28575" cap="rnd">
              <a:solidFill>
                <a:srgbClr val="6677AD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6677AD"/>
              </a:solidFill>
              <a:ln w="9525">
                <a:noFill/>
              </a:ln>
              <a:effectLst/>
            </c:spPr>
          </c:marker>
          <c:cat>
            <c:strRef>
              <c:f>Arkusz1!$B$2:$B$30</c:f>
              <c:strCache>
                <c:ptCount val="23"/>
                <c:pt idx="0">
                  <c:v>1997**</c:v>
                </c:pt>
                <c:pt idx="1">
                  <c:v>1998</c:v>
                </c:pt>
                <c:pt idx="2">
                  <c:v>1999</c:v>
                </c:pt>
                <c:pt idx="3">
                  <c:v>2000</c:v>
                </c:pt>
                <c:pt idx="4">
                  <c:v>2001</c:v>
                </c:pt>
                <c:pt idx="5">
                  <c:v>2002</c:v>
                </c:pt>
                <c:pt idx="6">
                  <c:v>2003</c:v>
                </c:pt>
                <c:pt idx="7">
                  <c:v>2004</c:v>
                </c:pt>
                <c:pt idx="8">
                  <c:v>2005</c:v>
                </c:pt>
                <c:pt idx="9">
                  <c:v>2006</c:v>
                </c:pt>
                <c:pt idx="10">
                  <c:v>2007</c:v>
                </c:pt>
                <c:pt idx="11">
                  <c:v>2008</c:v>
                </c:pt>
                <c:pt idx="12">
                  <c:v>2009</c:v>
                </c:pt>
                <c:pt idx="13">
                  <c:v>2010</c:v>
                </c:pt>
                <c:pt idx="14">
                  <c:v>2011</c:v>
                </c:pt>
                <c:pt idx="15">
                  <c:v>2012</c:v>
                </c:pt>
                <c:pt idx="16">
                  <c:v>2013</c:v>
                </c:pt>
                <c:pt idx="17">
                  <c:v>2014</c:v>
                </c:pt>
                <c:pt idx="18">
                  <c:v>2015</c:v>
                </c:pt>
                <c:pt idx="19">
                  <c:v>2016</c:v>
                </c:pt>
                <c:pt idx="20">
                  <c:v>2017</c:v>
                </c:pt>
                <c:pt idx="21">
                  <c:v>2018</c:v>
                </c:pt>
                <c:pt idx="22">
                  <c:v>2019</c:v>
                </c:pt>
              </c:strCache>
            </c:strRef>
          </c:cat>
          <c:val>
            <c:numRef>
              <c:f>Arkusz1!$E$2:$E$30</c:f>
              <c:numCache>
                <c:formatCode>0.0_)</c:formatCode>
                <c:ptCount val="23"/>
                <c:pt idx="0">
                  <c:v>-10</c:v>
                </c:pt>
                <c:pt idx="1">
                  <c:v>-17</c:v>
                </c:pt>
                <c:pt idx="2">
                  <c:v>-29.7</c:v>
                </c:pt>
                <c:pt idx="3">
                  <c:v>-29.5</c:v>
                </c:pt>
                <c:pt idx="4">
                  <c:v>-32.200000000000003</c:v>
                </c:pt>
                <c:pt idx="5">
                  <c:v>-35.1</c:v>
                </c:pt>
                <c:pt idx="6">
                  <c:v>-35.200000000000003</c:v>
                </c:pt>
                <c:pt idx="7">
                  <c:v>-30.8</c:v>
                </c:pt>
                <c:pt idx="8" formatCode="0.0">
                  <c:v>-16.7</c:v>
                </c:pt>
                <c:pt idx="9" formatCode="0.0">
                  <c:v>-13</c:v>
                </c:pt>
                <c:pt idx="10" formatCode="0.0">
                  <c:v>-6.6</c:v>
                </c:pt>
                <c:pt idx="11" formatCode="0.0">
                  <c:v>-9.6999999999999993</c:v>
                </c:pt>
                <c:pt idx="12" formatCode="0.0">
                  <c:v>-26.5</c:v>
                </c:pt>
                <c:pt idx="13" formatCode="0.0">
                  <c:v>-18.899999999999999</c:v>
                </c:pt>
                <c:pt idx="14" formatCode="0.0">
                  <c:v>-30.8</c:v>
                </c:pt>
                <c:pt idx="15" formatCode="0.0">
                  <c:v>-38</c:v>
                </c:pt>
                <c:pt idx="16" formatCode="0.0">
                  <c:v>-31.2</c:v>
                </c:pt>
                <c:pt idx="17" formatCode="0.0">
                  <c:v>-18.399999999999999</c:v>
                </c:pt>
                <c:pt idx="18" formatCode="0.0">
                  <c:v>-11.4</c:v>
                </c:pt>
                <c:pt idx="19" formatCode="0.0">
                  <c:v>-9.4</c:v>
                </c:pt>
                <c:pt idx="20" formatCode="0.0">
                  <c:v>-1.8</c:v>
                </c:pt>
                <c:pt idx="21" formatCode="0.0">
                  <c:v>2.8</c:v>
                </c:pt>
                <c:pt idx="22" formatCode="0.0">
                  <c:v>1.2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6D55-4F43-B77C-634C5FD2DC7C}"/>
            </c:ext>
          </c:extLst>
        </c:ser>
        <c:ser>
          <c:idx val="1"/>
          <c:order val="3"/>
          <c:tx>
            <c:strRef>
              <c:f>Arkusz1!$F$1</c:f>
              <c:strCache>
                <c:ptCount val="1"/>
                <c:pt idx="0">
                  <c:v>Zmiana poziomu bezrobocia</c:v>
                </c:pt>
              </c:strCache>
            </c:strRef>
          </c:tx>
          <c:spPr>
            <a:ln w="28575" cap="rnd">
              <a:solidFill>
                <a:srgbClr val="000000">
                  <a:alpha val="70000"/>
                </a:srgb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000000">
                  <a:alpha val="70000"/>
                </a:srgbClr>
              </a:solidFill>
              <a:ln w="9525">
                <a:noFill/>
              </a:ln>
              <a:effectLst/>
            </c:spPr>
          </c:marker>
          <c:cat>
            <c:strRef>
              <c:f>Arkusz1!$B$2:$B$30</c:f>
              <c:strCache>
                <c:ptCount val="23"/>
                <c:pt idx="0">
                  <c:v>1997**</c:v>
                </c:pt>
                <c:pt idx="1">
                  <c:v>1998</c:v>
                </c:pt>
                <c:pt idx="2">
                  <c:v>1999</c:v>
                </c:pt>
                <c:pt idx="3">
                  <c:v>2000</c:v>
                </c:pt>
                <c:pt idx="4">
                  <c:v>2001</c:v>
                </c:pt>
                <c:pt idx="5">
                  <c:v>2002</c:v>
                </c:pt>
                <c:pt idx="6">
                  <c:v>2003</c:v>
                </c:pt>
                <c:pt idx="7">
                  <c:v>2004</c:v>
                </c:pt>
                <c:pt idx="8">
                  <c:v>2005</c:v>
                </c:pt>
                <c:pt idx="9">
                  <c:v>2006</c:v>
                </c:pt>
                <c:pt idx="10">
                  <c:v>2007</c:v>
                </c:pt>
                <c:pt idx="11">
                  <c:v>2008</c:v>
                </c:pt>
                <c:pt idx="12">
                  <c:v>2009</c:v>
                </c:pt>
                <c:pt idx="13">
                  <c:v>2010</c:v>
                </c:pt>
                <c:pt idx="14">
                  <c:v>2011</c:v>
                </c:pt>
                <c:pt idx="15">
                  <c:v>2012</c:v>
                </c:pt>
                <c:pt idx="16">
                  <c:v>2013</c:v>
                </c:pt>
                <c:pt idx="17">
                  <c:v>2014</c:v>
                </c:pt>
                <c:pt idx="18">
                  <c:v>2015</c:v>
                </c:pt>
                <c:pt idx="19">
                  <c:v>2016</c:v>
                </c:pt>
                <c:pt idx="20">
                  <c:v>2017</c:v>
                </c:pt>
                <c:pt idx="21">
                  <c:v>2018</c:v>
                </c:pt>
                <c:pt idx="22">
                  <c:v>2019</c:v>
                </c:pt>
              </c:strCache>
            </c:strRef>
          </c:cat>
          <c:val>
            <c:numRef>
              <c:f>Arkusz1!$F$2:$F$30</c:f>
              <c:numCache>
                <c:formatCode>0.0_)</c:formatCode>
                <c:ptCount val="23"/>
                <c:pt idx="0">
                  <c:v>-15</c:v>
                </c:pt>
                <c:pt idx="1">
                  <c:v>-27.3</c:v>
                </c:pt>
                <c:pt idx="2">
                  <c:v>-53.1</c:v>
                </c:pt>
                <c:pt idx="3">
                  <c:v>-62</c:v>
                </c:pt>
                <c:pt idx="4">
                  <c:v>-68</c:v>
                </c:pt>
                <c:pt idx="5">
                  <c:v>-63.8</c:v>
                </c:pt>
                <c:pt idx="6">
                  <c:v>-54.1</c:v>
                </c:pt>
                <c:pt idx="7">
                  <c:v>-30.3</c:v>
                </c:pt>
                <c:pt idx="8" formatCode="0.0">
                  <c:v>-24.8</c:v>
                </c:pt>
                <c:pt idx="9" formatCode="0.0">
                  <c:v>-6.3</c:v>
                </c:pt>
                <c:pt idx="10" formatCode="0.0">
                  <c:v>17.600000000000001</c:v>
                </c:pt>
                <c:pt idx="11" formatCode="0.0">
                  <c:v>5.0999999999999996</c:v>
                </c:pt>
                <c:pt idx="12" formatCode="0.0">
                  <c:v>-54.6</c:v>
                </c:pt>
                <c:pt idx="13" formatCode="0.0">
                  <c:v>-34.4</c:v>
                </c:pt>
                <c:pt idx="14" formatCode="0.0">
                  <c:v>-37</c:v>
                </c:pt>
                <c:pt idx="15" formatCode="0.0">
                  <c:v>-53.3</c:v>
                </c:pt>
                <c:pt idx="16" formatCode="0.0">
                  <c:v>-53.7</c:v>
                </c:pt>
                <c:pt idx="17" formatCode="0.0">
                  <c:v>-31.1</c:v>
                </c:pt>
                <c:pt idx="18" formatCode="0.0">
                  <c:v>-19.7</c:v>
                </c:pt>
                <c:pt idx="19" formatCode="0.0">
                  <c:v>-7.8</c:v>
                </c:pt>
                <c:pt idx="20" formatCode="0.0">
                  <c:v>8.5</c:v>
                </c:pt>
                <c:pt idx="21" formatCode="0.0">
                  <c:v>12.6</c:v>
                </c:pt>
                <c:pt idx="22" formatCode="0.0">
                  <c:v>7.7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3-6D55-4F43-B77C-634C5FD2DC7C}"/>
            </c:ext>
          </c:extLst>
        </c:ser>
        <c:ser>
          <c:idx val="2"/>
          <c:order val="4"/>
          <c:tx>
            <c:strRef>
              <c:f>Arkusz1!$G$1</c:f>
              <c:strCache>
                <c:ptCount val="1"/>
                <c:pt idx="0">
                  <c:v>Oszczędzanie pieniędzy</c:v>
                </c:pt>
              </c:strCache>
            </c:strRef>
          </c:tx>
          <c:spPr>
            <a:ln w="28575" cap="rnd">
              <a:solidFill>
                <a:srgbClr val="00854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008542"/>
              </a:solidFill>
              <a:ln w="9525">
                <a:noFill/>
              </a:ln>
              <a:effectLst/>
            </c:spPr>
          </c:marker>
          <c:cat>
            <c:strRef>
              <c:f>Arkusz1!$B$2:$B$30</c:f>
              <c:strCache>
                <c:ptCount val="23"/>
                <c:pt idx="0">
                  <c:v>1997**</c:v>
                </c:pt>
                <c:pt idx="1">
                  <c:v>1998</c:v>
                </c:pt>
                <c:pt idx="2">
                  <c:v>1999</c:v>
                </c:pt>
                <c:pt idx="3">
                  <c:v>2000</c:v>
                </c:pt>
                <c:pt idx="4">
                  <c:v>2001</c:v>
                </c:pt>
                <c:pt idx="5">
                  <c:v>2002</c:v>
                </c:pt>
                <c:pt idx="6">
                  <c:v>2003</c:v>
                </c:pt>
                <c:pt idx="7">
                  <c:v>2004</c:v>
                </c:pt>
                <c:pt idx="8">
                  <c:v>2005</c:v>
                </c:pt>
                <c:pt idx="9">
                  <c:v>2006</c:v>
                </c:pt>
                <c:pt idx="10">
                  <c:v>2007</c:v>
                </c:pt>
                <c:pt idx="11">
                  <c:v>2008</c:v>
                </c:pt>
                <c:pt idx="12">
                  <c:v>2009</c:v>
                </c:pt>
                <c:pt idx="13">
                  <c:v>2010</c:v>
                </c:pt>
                <c:pt idx="14">
                  <c:v>2011</c:v>
                </c:pt>
                <c:pt idx="15">
                  <c:v>2012</c:v>
                </c:pt>
                <c:pt idx="16">
                  <c:v>2013</c:v>
                </c:pt>
                <c:pt idx="17">
                  <c:v>2014</c:v>
                </c:pt>
                <c:pt idx="18">
                  <c:v>2015</c:v>
                </c:pt>
                <c:pt idx="19">
                  <c:v>2016</c:v>
                </c:pt>
                <c:pt idx="20">
                  <c:v>2017</c:v>
                </c:pt>
                <c:pt idx="21">
                  <c:v>2018</c:v>
                </c:pt>
                <c:pt idx="22">
                  <c:v>2019</c:v>
                </c:pt>
              </c:strCache>
            </c:strRef>
          </c:cat>
          <c:val>
            <c:numRef>
              <c:f>Arkusz1!$G$2:$G$30</c:f>
              <c:numCache>
                <c:formatCode>0.0_)</c:formatCode>
                <c:ptCount val="23"/>
                <c:pt idx="0">
                  <c:v>-51.4</c:v>
                </c:pt>
                <c:pt idx="1">
                  <c:v>-55</c:v>
                </c:pt>
                <c:pt idx="2">
                  <c:v>-57.6</c:v>
                </c:pt>
                <c:pt idx="3">
                  <c:v>-60.1</c:v>
                </c:pt>
                <c:pt idx="4">
                  <c:v>-60.1</c:v>
                </c:pt>
                <c:pt idx="5">
                  <c:v>-64.599999999999994</c:v>
                </c:pt>
                <c:pt idx="6">
                  <c:v>-65.400000000000006</c:v>
                </c:pt>
                <c:pt idx="7">
                  <c:v>-58.8</c:v>
                </c:pt>
                <c:pt idx="8" formatCode="0.0">
                  <c:v>-54.6</c:v>
                </c:pt>
                <c:pt idx="9" formatCode="0.0">
                  <c:v>-48.3</c:v>
                </c:pt>
                <c:pt idx="10" formatCode="0.0">
                  <c:v>-40.700000000000003</c:v>
                </c:pt>
                <c:pt idx="11" formatCode="0.0">
                  <c:v>-37.200000000000003</c:v>
                </c:pt>
                <c:pt idx="12" formatCode="0.0">
                  <c:v>-37.1</c:v>
                </c:pt>
                <c:pt idx="13" formatCode="0.0">
                  <c:v>-32</c:v>
                </c:pt>
                <c:pt idx="14" formatCode="0.0">
                  <c:v>-36.1</c:v>
                </c:pt>
                <c:pt idx="15" formatCode="0.0">
                  <c:v>-36.9</c:v>
                </c:pt>
                <c:pt idx="16" formatCode="0.0">
                  <c:v>-36.1</c:v>
                </c:pt>
                <c:pt idx="17" formatCode="0.0">
                  <c:v>-30.5</c:v>
                </c:pt>
                <c:pt idx="18" formatCode="0.0">
                  <c:v>-26.3</c:v>
                </c:pt>
                <c:pt idx="19" formatCode="0.0">
                  <c:v>-18</c:v>
                </c:pt>
                <c:pt idx="20" formatCode="0.0">
                  <c:v>-10.6</c:v>
                </c:pt>
                <c:pt idx="21" formatCode="0.0">
                  <c:v>-7.5</c:v>
                </c:pt>
                <c:pt idx="22" formatCode="0.0">
                  <c:v>0.8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4-6D55-4F43-B77C-634C5FD2DC7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196410160"/>
        <c:axId val="-1196417776"/>
      </c:lineChart>
      <c:catAx>
        <c:axId val="-1196410160"/>
        <c:scaling>
          <c:orientation val="minMax"/>
        </c:scaling>
        <c:delete val="0"/>
        <c:axPos val="b"/>
        <c:numFmt formatCode="d/mm" sourceLinked="0"/>
        <c:majorTickMark val="in"/>
        <c:minorTickMark val="none"/>
        <c:tickLblPos val="low"/>
        <c:spPr>
          <a:noFill/>
          <a:ln w="6350" cap="flat" cmpd="sng" algn="ctr">
            <a:solidFill>
              <a:schemeClr val="tx1"/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700" b="0" i="0" u="none" strike="noStrike" kern="1200" baseline="0">
                <a:solidFill>
                  <a:schemeClr val="tx1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196417776"/>
        <c:crossesAt val="0"/>
        <c:auto val="0"/>
        <c:lblAlgn val="ctr"/>
        <c:lblOffset val="100"/>
        <c:tickLblSkip val="1"/>
        <c:noMultiLvlLbl val="0"/>
      </c:catAx>
      <c:valAx>
        <c:axId val="-11964177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_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1964101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6.6822253391625268E-4"/>
          <c:y val="0.86735319766516639"/>
          <c:w val="0.99511785645611706"/>
          <c:h val="0.13264680233483345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700">
          <a:solidFill>
            <a:sysClr val="windowText" lastClr="000000"/>
          </a:solidFill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3109060047300714E-2"/>
          <c:y val="3.5143675222415377E-2"/>
          <c:w val="0.92572481061659784"/>
          <c:h val="0.69522074916354304"/>
        </c:manualLayout>
      </c:layout>
      <c:barChart>
        <c:barDir val="bar"/>
        <c:grouping val="percentStacked"/>
        <c:varyColors val="0"/>
        <c:ser>
          <c:idx val="0"/>
          <c:order val="0"/>
          <c:tx>
            <c:strRef>
              <c:f>Arkusz1!$C$1</c:f>
              <c:strCache>
                <c:ptCount val="1"/>
                <c:pt idx="0">
                  <c:v>znaczny</c:v>
                </c:pt>
              </c:strCache>
            </c:strRef>
          </c:tx>
          <c:spPr>
            <a:solidFill>
              <a:srgbClr val="001D77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1-0686-4FF2-B204-52B5A94AC922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bg1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Arkusz1!$B$2</c:f>
              <c:strCache>
                <c:ptCount val="1"/>
                <c:pt idx="0">
                  <c:v>IV</c:v>
                </c:pt>
              </c:strCache>
            </c:strRef>
          </c:cat>
          <c:val>
            <c:numRef>
              <c:f>Arkusz1!$C$2</c:f>
              <c:numCache>
                <c:formatCode>0.0</c:formatCode>
                <c:ptCount val="1"/>
                <c:pt idx="0">
                  <c:v>58.1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C-0686-4FF2-B204-52B5A94AC922}"/>
            </c:ext>
          </c:extLst>
        </c:ser>
        <c:ser>
          <c:idx val="1"/>
          <c:order val="1"/>
          <c:tx>
            <c:strRef>
              <c:f>Arkusz1!$D$1</c:f>
              <c:strCache>
                <c:ptCount val="1"/>
                <c:pt idx="0">
                  <c:v>umiarkowany</c:v>
                </c:pt>
              </c:strCache>
            </c:strRef>
          </c:tx>
          <c:spPr>
            <a:solidFill>
              <a:srgbClr val="99A5C9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</c:dPt>
          <c:dLbls>
            <c:dLbl>
              <c:idx val="0"/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0686-4FF2-B204-52B5A94AC922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Arkusz1!$B$2</c:f>
              <c:strCache>
                <c:ptCount val="1"/>
                <c:pt idx="0">
                  <c:v>IV</c:v>
                </c:pt>
              </c:strCache>
            </c:strRef>
          </c:cat>
          <c:val>
            <c:numRef>
              <c:f>Arkusz1!$D$2</c:f>
              <c:numCache>
                <c:formatCode>0.0</c:formatCode>
                <c:ptCount val="1"/>
                <c:pt idx="0">
                  <c:v>37.270000000000003</c:v>
                </c:pt>
              </c:numCache>
            </c:numRef>
          </c:val>
        </c:ser>
        <c:ser>
          <c:idx val="2"/>
          <c:order val="2"/>
          <c:tx>
            <c:strRef>
              <c:f>Arkusz1!$E$1</c:f>
              <c:strCache>
                <c:ptCount val="1"/>
                <c:pt idx="0">
                  <c:v>żaden</c:v>
                </c:pt>
              </c:strCache>
            </c:strRef>
          </c:tx>
          <c:spPr>
            <a:solidFill>
              <a:srgbClr val="D9DADA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</c:dPt>
          <c:dLbls>
            <c:dLbl>
              <c:idx val="0"/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0686-4FF2-B204-52B5A94AC922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Arkusz1!$B$2</c:f>
              <c:strCache>
                <c:ptCount val="1"/>
                <c:pt idx="0">
                  <c:v>IV</c:v>
                </c:pt>
              </c:strCache>
            </c:strRef>
          </c:cat>
          <c:val>
            <c:numRef>
              <c:f>Arkusz1!$E$2</c:f>
              <c:numCache>
                <c:formatCode>0.0</c:formatCode>
                <c:ptCount val="1"/>
                <c:pt idx="0">
                  <c:v>4.63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100"/>
        <c:axId val="-1196414512"/>
        <c:axId val="-1196417232"/>
      </c:barChart>
      <c:valAx>
        <c:axId val="-119641723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196414512"/>
        <c:crosses val="autoZero"/>
        <c:crossBetween val="between"/>
      </c:valAx>
      <c:catAx>
        <c:axId val="-1196414512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196417232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700">
          <a:solidFill>
            <a:sysClr val="windowText" lastClr="000000"/>
          </a:solidFill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3109060047300714E-2"/>
          <c:y val="3.5143675222415377E-2"/>
          <c:w val="0.92572481061659784"/>
          <c:h val="0.69522074916354304"/>
        </c:manualLayout>
      </c:layout>
      <c:barChart>
        <c:barDir val="bar"/>
        <c:grouping val="percentStacked"/>
        <c:varyColors val="0"/>
        <c:ser>
          <c:idx val="0"/>
          <c:order val="0"/>
          <c:tx>
            <c:strRef>
              <c:f>Arkusz1!$C$1</c:f>
              <c:strCache>
                <c:ptCount val="1"/>
                <c:pt idx="0">
                  <c:v>zdecydowanie tak</c:v>
                </c:pt>
              </c:strCache>
            </c:strRef>
          </c:tx>
          <c:spPr>
            <a:solidFill>
              <a:srgbClr val="001D77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1-CA96-4F8B-A7F4-49536915A70E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bg1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Arkusz1!$B$2</c:f>
              <c:strCache>
                <c:ptCount val="1"/>
                <c:pt idx="0">
                  <c:v>IV 2020</c:v>
                </c:pt>
              </c:strCache>
            </c:strRef>
          </c:cat>
          <c:val>
            <c:numRef>
              <c:f>Arkusz1!$C$2</c:f>
              <c:numCache>
                <c:formatCode>0.0</c:formatCode>
                <c:ptCount val="1"/>
                <c:pt idx="0">
                  <c:v>19.059999999999999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CA96-4F8B-A7F4-49536915A70E}"/>
            </c:ext>
          </c:extLst>
        </c:ser>
        <c:ser>
          <c:idx val="1"/>
          <c:order val="1"/>
          <c:tx>
            <c:strRef>
              <c:f>Arkusz1!$D$1</c:f>
              <c:strCache>
                <c:ptCount val="1"/>
                <c:pt idx="0">
                  <c:v>możliwe</c:v>
                </c:pt>
              </c:strCache>
            </c:strRef>
          </c:tx>
          <c:spPr>
            <a:solidFill>
              <a:srgbClr val="6677AD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</c:dPt>
          <c:dLbls>
            <c:dLbl>
              <c:idx val="0"/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CA96-4F8B-A7F4-49536915A70E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Arkusz1!$B$2</c:f>
              <c:strCache>
                <c:ptCount val="1"/>
                <c:pt idx="0">
                  <c:v>IV 2020</c:v>
                </c:pt>
              </c:strCache>
            </c:strRef>
          </c:cat>
          <c:val>
            <c:numRef>
              <c:f>Arkusz1!$D$2</c:f>
              <c:numCache>
                <c:formatCode>0.0</c:formatCode>
                <c:ptCount val="1"/>
                <c:pt idx="0">
                  <c:v>28.97</c:v>
                </c:pt>
              </c:numCache>
            </c:numRef>
          </c:val>
        </c:ser>
        <c:ser>
          <c:idx val="2"/>
          <c:order val="2"/>
          <c:tx>
            <c:strRef>
              <c:f>Arkusz1!$E$1</c:f>
              <c:strCache>
                <c:ptCount val="1"/>
                <c:pt idx="0">
                  <c:v>raczej nie</c:v>
                </c:pt>
              </c:strCache>
            </c:strRef>
          </c:tx>
          <c:spPr>
            <a:solidFill>
              <a:srgbClr val="CCD2E4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</c:dPt>
          <c:dLbls>
            <c:dLbl>
              <c:idx val="0"/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CA96-4F8B-A7F4-49536915A70E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Arkusz1!$B$2</c:f>
              <c:strCache>
                <c:ptCount val="1"/>
                <c:pt idx="0">
                  <c:v>IV 2020</c:v>
                </c:pt>
              </c:strCache>
            </c:strRef>
          </c:cat>
          <c:val>
            <c:numRef>
              <c:f>Arkusz1!$E$2</c:f>
              <c:numCache>
                <c:formatCode>0.0</c:formatCode>
                <c:ptCount val="1"/>
                <c:pt idx="0">
                  <c:v>27.8</c:v>
                </c:pt>
              </c:numCache>
            </c:numRef>
          </c:val>
        </c:ser>
        <c:ser>
          <c:idx val="3"/>
          <c:order val="3"/>
          <c:tx>
            <c:strRef>
              <c:f>Arkusz1!$F$1</c:f>
              <c:strCache>
                <c:ptCount val="1"/>
                <c:pt idx="0">
                  <c:v>nie</c:v>
                </c:pt>
              </c:strCache>
            </c:strRef>
          </c:tx>
          <c:spPr>
            <a:solidFill>
              <a:srgbClr val="D9DADA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</c:dPt>
          <c:dLbls>
            <c:dLbl>
              <c:idx val="0"/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CA96-4F8B-A7F4-49536915A70E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Arkusz1!$B$2</c:f>
              <c:strCache>
                <c:ptCount val="1"/>
                <c:pt idx="0">
                  <c:v>IV 2020</c:v>
                </c:pt>
              </c:strCache>
            </c:strRef>
          </c:cat>
          <c:val>
            <c:numRef>
              <c:f>Arkusz1!$F$2</c:f>
              <c:numCache>
                <c:formatCode>0.0</c:formatCode>
                <c:ptCount val="1"/>
                <c:pt idx="0">
                  <c:v>19.899999999999999</c:v>
                </c:pt>
              </c:numCache>
            </c:numRef>
          </c:val>
        </c:ser>
        <c:ser>
          <c:idx val="4"/>
          <c:order val="4"/>
          <c:tx>
            <c:strRef>
              <c:f>Arkusz1!$G$1</c:f>
              <c:strCache>
                <c:ptCount val="1"/>
                <c:pt idx="0">
                  <c:v>nie mam zdania</c:v>
                </c:pt>
              </c:strCache>
            </c:strRef>
          </c:tx>
          <c:spPr>
            <a:solidFill>
              <a:srgbClr val="9D9E9E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</c:dPt>
          <c:dLbls>
            <c:dLbl>
              <c:idx val="0"/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CA96-4F8B-A7F4-49536915A70E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Arkusz1!$B$2</c:f>
              <c:strCache>
                <c:ptCount val="1"/>
                <c:pt idx="0">
                  <c:v>IV 2020</c:v>
                </c:pt>
              </c:strCache>
            </c:strRef>
          </c:cat>
          <c:val>
            <c:numRef>
              <c:f>Arkusz1!$G$2</c:f>
              <c:numCache>
                <c:formatCode>0.0</c:formatCode>
                <c:ptCount val="1"/>
                <c:pt idx="0">
                  <c:v>4.17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100"/>
        <c:axId val="-1196405808"/>
        <c:axId val="-1196413968"/>
      </c:barChart>
      <c:valAx>
        <c:axId val="-119641396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196405808"/>
        <c:crosses val="autoZero"/>
        <c:crossBetween val="between"/>
      </c:valAx>
      <c:catAx>
        <c:axId val="-1196405808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196413968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700">
          <a:solidFill>
            <a:sysClr val="windowText" lastClr="000000"/>
          </a:solidFill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3109060047300714E-2"/>
          <c:y val="3.5143675222415377E-2"/>
          <c:w val="0.92572481061659784"/>
          <c:h val="0.69522074916354304"/>
        </c:manualLayout>
      </c:layout>
      <c:barChart>
        <c:barDir val="bar"/>
        <c:grouping val="percentStacked"/>
        <c:varyColors val="0"/>
        <c:ser>
          <c:idx val="0"/>
          <c:order val="0"/>
          <c:tx>
            <c:strRef>
              <c:f>Arkusz1!$C$1</c:f>
              <c:strCache>
                <c:ptCount val="1"/>
                <c:pt idx="0">
                  <c:v>duże zagrożenie</c:v>
                </c:pt>
              </c:strCache>
            </c:strRef>
          </c:tx>
          <c:spPr>
            <a:solidFill>
              <a:srgbClr val="001D77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1-E0FA-4E8A-8E9A-7AAD9CDDA1E7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bg1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Arkusz1!$B$2</c:f>
              <c:strCache>
                <c:ptCount val="1"/>
                <c:pt idx="0">
                  <c:v>IV 2020</c:v>
                </c:pt>
              </c:strCache>
            </c:strRef>
          </c:cat>
          <c:val>
            <c:numRef>
              <c:f>Arkusz1!$C$2</c:f>
              <c:numCache>
                <c:formatCode>0.0</c:formatCode>
                <c:ptCount val="1"/>
                <c:pt idx="0">
                  <c:v>69.8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C-E0FA-4E8A-8E9A-7AAD9CDDA1E7}"/>
            </c:ext>
          </c:extLst>
        </c:ser>
        <c:ser>
          <c:idx val="1"/>
          <c:order val="1"/>
          <c:tx>
            <c:strRef>
              <c:f>Arkusz1!$D$1</c:f>
              <c:strCache>
                <c:ptCount val="1"/>
                <c:pt idx="0">
                  <c:v>przeciętne zagrożenie</c:v>
                </c:pt>
              </c:strCache>
            </c:strRef>
          </c:tx>
          <c:spPr>
            <a:solidFill>
              <a:srgbClr val="99A5C9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</c:dPt>
          <c:dLbls>
            <c:dLbl>
              <c:idx val="0"/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E0FA-4E8A-8E9A-7AAD9CDDA1E7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Arkusz1!$B$2</c:f>
              <c:strCache>
                <c:ptCount val="1"/>
                <c:pt idx="0">
                  <c:v>IV 2020</c:v>
                </c:pt>
              </c:strCache>
            </c:strRef>
          </c:cat>
          <c:val>
            <c:numRef>
              <c:f>Arkusz1!$D$2</c:f>
              <c:numCache>
                <c:formatCode>0.0</c:formatCode>
                <c:ptCount val="1"/>
                <c:pt idx="0">
                  <c:v>26.99</c:v>
                </c:pt>
              </c:numCache>
            </c:numRef>
          </c:val>
        </c:ser>
        <c:ser>
          <c:idx val="2"/>
          <c:order val="2"/>
          <c:tx>
            <c:strRef>
              <c:f>Arkusz1!$E$1</c:f>
              <c:strCache>
                <c:ptCount val="1"/>
                <c:pt idx="0">
                  <c:v>małe zagrożenie</c:v>
                </c:pt>
              </c:strCache>
            </c:strRef>
          </c:tx>
          <c:spPr>
            <a:solidFill>
              <a:srgbClr val="D9DADA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</c:dPt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800" b="0" i="0" u="none" strike="noStrike" kern="1200" baseline="0">
                      <a:solidFill>
                        <a:sysClr val="windowText" lastClr="000000"/>
                      </a:solidFill>
                      <a:latin typeface="Fira Sans" panose="020B0503050000020004" pitchFamily="34" charset="0"/>
                      <a:ea typeface="Fira Sans" panose="020B0503050000020004" pitchFamily="34" charset="0"/>
                      <a:cs typeface="+mn-cs"/>
                    </a:defRPr>
                  </a:pPr>
                  <a:endParaRPr lang="pl-PL"/>
                </a:p>
              </c:txPr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t" anchorCtr="0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Arkusz1!$B$2</c:f>
              <c:strCache>
                <c:ptCount val="1"/>
                <c:pt idx="0">
                  <c:v>IV 2020</c:v>
                </c:pt>
              </c:strCache>
            </c:strRef>
          </c:cat>
          <c:val>
            <c:numRef>
              <c:f>Arkusz1!$E$2</c:f>
              <c:numCache>
                <c:formatCode>0.0</c:formatCode>
                <c:ptCount val="1"/>
                <c:pt idx="0">
                  <c:v>2.95</c:v>
                </c:pt>
              </c:numCache>
            </c:numRef>
          </c:val>
        </c:ser>
        <c:ser>
          <c:idx val="3"/>
          <c:order val="3"/>
          <c:tx>
            <c:strRef>
              <c:f>Arkusz1!$F$1</c:f>
              <c:strCache>
                <c:ptCount val="1"/>
                <c:pt idx="0">
                  <c:v>brak zagrożenia</c:v>
                </c:pt>
              </c:strCache>
            </c:strRef>
          </c:tx>
          <c:spPr>
            <a:solidFill>
              <a:srgbClr val="9D9E9E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</c:dPt>
          <c:dLbls>
            <c:dLbl>
              <c:idx val="0"/>
              <c:layout>
                <c:manualLayout>
                  <c:x val="4.9584727903803812E-3"/>
                  <c:y val="3.7465940054495848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E0FA-4E8A-8E9A-7AAD9CDDA1E7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t" anchorCtr="0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Arkusz1!$B$2</c:f>
              <c:strCache>
                <c:ptCount val="1"/>
                <c:pt idx="0">
                  <c:v>IV 2020</c:v>
                </c:pt>
              </c:strCache>
            </c:strRef>
          </c:cat>
          <c:val>
            <c:numRef>
              <c:f>Arkusz1!$F$2</c:f>
              <c:numCache>
                <c:formatCode>0.0</c:formatCode>
                <c:ptCount val="1"/>
                <c:pt idx="0">
                  <c:v>0.2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100"/>
        <c:axId val="-1196403632"/>
        <c:axId val="-1196405264"/>
      </c:barChart>
      <c:catAx>
        <c:axId val="-1196403632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196405264"/>
        <c:crosses val="autoZero"/>
        <c:auto val="1"/>
        <c:lblAlgn val="ctr"/>
        <c:lblOffset val="100"/>
        <c:noMultiLvlLbl val="0"/>
      </c:catAx>
      <c:valAx>
        <c:axId val="-119640526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1964036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700">
          <a:solidFill>
            <a:sysClr val="windowText" lastClr="000000"/>
          </a:solidFill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3109060047300714E-2"/>
          <c:y val="3.5143675222415377E-2"/>
          <c:w val="0.92572481061659784"/>
          <c:h val="0.69522074916354304"/>
        </c:manualLayout>
      </c:layout>
      <c:barChart>
        <c:barDir val="bar"/>
        <c:grouping val="percentStacked"/>
        <c:varyColors val="0"/>
        <c:ser>
          <c:idx val="0"/>
          <c:order val="0"/>
          <c:tx>
            <c:strRef>
              <c:f>Arkusz1!$C$1</c:f>
              <c:strCache>
                <c:ptCount val="1"/>
                <c:pt idx="0">
                  <c:v>duże zagrożenie</c:v>
                </c:pt>
              </c:strCache>
            </c:strRef>
          </c:tx>
          <c:spPr>
            <a:solidFill>
              <a:srgbClr val="001D77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1-B054-4B9B-ABB4-5BB51D2DBAB2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bg1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Arkusz1!$B$2</c:f>
              <c:strCache>
                <c:ptCount val="1"/>
                <c:pt idx="0">
                  <c:v>IV 2020</c:v>
                </c:pt>
              </c:strCache>
            </c:strRef>
          </c:cat>
          <c:val>
            <c:numRef>
              <c:f>Arkusz1!$C$2</c:f>
              <c:numCache>
                <c:formatCode>0.0</c:formatCode>
                <c:ptCount val="1"/>
                <c:pt idx="0">
                  <c:v>50.73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B054-4B9B-ABB4-5BB51D2DBAB2}"/>
            </c:ext>
          </c:extLst>
        </c:ser>
        <c:ser>
          <c:idx val="1"/>
          <c:order val="1"/>
          <c:tx>
            <c:strRef>
              <c:f>Arkusz1!$D$1</c:f>
              <c:strCache>
                <c:ptCount val="1"/>
                <c:pt idx="0">
                  <c:v>przeciętne zagrożenie</c:v>
                </c:pt>
              </c:strCache>
            </c:strRef>
          </c:tx>
          <c:spPr>
            <a:solidFill>
              <a:srgbClr val="99A5C9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</c:dPt>
          <c:dLbls>
            <c:dLbl>
              <c:idx val="0"/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B054-4B9B-ABB4-5BB51D2DBAB2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Arkusz1!$B$2</c:f>
              <c:strCache>
                <c:ptCount val="1"/>
                <c:pt idx="0">
                  <c:v>IV 2020</c:v>
                </c:pt>
              </c:strCache>
            </c:strRef>
          </c:cat>
          <c:val>
            <c:numRef>
              <c:f>Arkusz1!$D$2</c:f>
              <c:numCache>
                <c:formatCode>0.0</c:formatCode>
                <c:ptCount val="1"/>
                <c:pt idx="0">
                  <c:v>38.65</c:v>
                </c:pt>
              </c:numCache>
            </c:numRef>
          </c:val>
        </c:ser>
        <c:ser>
          <c:idx val="2"/>
          <c:order val="2"/>
          <c:tx>
            <c:strRef>
              <c:f>Arkusz1!$E$1</c:f>
              <c:strCache>
                <c:ptCount val="1"/>
                <c:pt idx="0">
                  <c:v>małe zagrożenie</c:v>
                </c:pt>
              </c:strCache>
            </c:strRef>
          </c:tx>
          <c:spPr>
            <a:solidFill>
              <a:srgbClr val="D9DADA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</c:dPt>
          <c:dLbls>
            <c:dLbl>
              <c:idx val="0"/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B054-4B9B-ABB4-5BB51D2DBAB2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Arkusz1!$B$2</c:f>
              <c:strCache>
                <c:ptCount val="1"/>
                <c:pt idx="0">
                  <c:v>IV 2020</c:v>
                </c:pt>
              </c:strCache>
            </c:strRef>
          </c:cat>
          <c:val>
            <c:numRef>
              <c:f>Arkusz1!$E$2</c:f>
              <c:numCache>
                <c:formatCode>0.0</c:formatCode>
                <c:ptCount val="1"/>
                <c:pt idx="0">
                  <c:v>10.02</c:v>
                </c:pt>
              </c:numCache>
            </c:numRef>
          </c:val>
        </c:ser>
        <c:ser>
          <c:idx val="3"/>
          <c:order val="3"/>
          <c:tx>
            <c:strRef>
              <c:f>Arkusz1!$F$1</c:f>
              <c:strCache>
                <c:ptCount val="1"/>
                <c:pt idx="0">
                  <c:v>brak zagrożenia</c:v>
                </c:pt>
              </c:strCache>
            </c:strRef>
          </c:tx>
          <c:spPr>
            <a:solidFill>
              <a:srgbClr val="9D9E9E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</c:dPt>
          <c:dLbls>
            <c:dLbl>
              <c:idx val="0"/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B054-4B9B-ABB4-5BB51D2DBAB2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Arkusz1!$B$2</c:f>
              <c:strCache>
                <c:ptCount val="1"/>
                <c:pt idx="0">
                  <c:v>IV 2020</c:v>
                </c:pt>
              </c:strCache>
            </c:strRef>
          </c:cat>
          <c:val>
            <c:numRef>
              <c:f>Arkusz1!$F$2</c:f>
              <c:numCache>
                <c:formatCode>0.0</c:formatCode>
                <c:ptCount val="1"/>
                <c:pt idx="0">
                  <c:v>0.59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100"/>
        <c:axId val="-1196416688"/>
        <c:axId val="-1196404720"/>
      </c:barChart>
      <c:valAx>
        <c:axId val="-1196404720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196416688"/>
        <c:crosses val="autoZero"/>
        <c:crossBetween val="between"/>
      </c:valAx>
      <c:catAx>
        <c:axId val="-1196416688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196404720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700">
          <a:solidFill>
            <a:sysClr val="windowText" lastClr="000000"/>
          </a:solidFill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3109060047300714E-2"/>
          <c:y val="3.5143675222415377E-2"/>
          <c:w val="0.92572481061659784"/>
          <c:h val="0.69522074916354304"/>
        </c:manualLayout>
      </c:layout>
      <c:barChart>
        <c:barDir val="bar"/>
        <c:grouping val="percentStacked"/>
        <c:varyColors val="0"/>
        <c:ser>
          <c:idx val="0"/>
          <c:order val="0"/>
          <c:tx>
            <c:strRef>
              <c:f>Arkusz1!$C$1</c:f>
              <c:strCache>
                <c:ptCount val="1"/>
                <c:pt idx="0">
                  <c:v>duże zagrożenie</c:v>
                </c:pt>
              </c:strCache>
            </c:strRef>
          </c:tx>
          <c:spPr>
            <a:solidFill>
              <a:srgbClr val="001D77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1-AD08-48BD-B624-88C1E2C3ACB2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bg1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Arkusz1!$B$2</c:f>
              <c:strCache>
                <c:ptCount val="1"/>
                <c:pt idx="0">
                  <c:v>IV 2020</c:v>
                </c:pt>
              </c:strCache>
            </c:strRef>
          </c:cat>
          <c:val>
            <c:numRef>
              <c:f>Arkusz1!$C$2</c:f>
              <c:numCache>
                <c:formatCode>0.0</c:formatCode>
                <c:ptCount val="1"/>
                <c:pt idx="0">
                  <c:v>88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AD08-48BD-B624-88C1E2C3ACB2}"/>
            </c:ext>
          </c:extLst>
        </c:ser>
        <c:ser>
          <c:idx val="1"/>
          <c:order val="1"/>
          <c:tx>
            <c:strRef>
              <c:f>Arkusz1!$D$1</c:f>
              <c:strCache>
                <c:ptCount val="1"/>
                <c:pt idx="0">
                  <c:v>przeciętne zagrożenie</c:v>
                </c:pt>
              </c:strCache>
            </c:strRef>
          </c:tx>
          <c:spPr>
            <a:solidFill>
              <a:srgbClr val="99A5C9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</c:dPt>
          <c:dLbls>
            <c:dLbl>
              <c:idx val="0"/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AD08-48BD-B624-88C1E2C3ACB2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Arkusz1!$B$2</c:f>
              <c:strCache>
                <c:ptCount val="1"/>
                <c:pt idx="0">
                  <c:v>IV 2020</c:v>
                </c:pt>
              </c:strCache>
            </c:strRef>
          </c:cat>
          <c:val>
            <c:numRef>
              <c:f>Arkusz1!$D$2</c:f>
              <c:numCache>
                <c:formatCode>0.0</c:formatCode>
                <c:ptCount val="1"/>
                <c:pt idx="0">
                  <c:v>11.04</c:v>
                </c:pt>
              </c:numCache>
            </c:numRef>
          </c:val>
        </c:ser>
        <c:ser>
          <c:idx val="2"/>
          <c:order val="2"/>
          <c:tx>
            <c:strRef>
              <c:f>Arkusz1!$E$1</c:f>
              <c:strCache>
                <c:ptCount val="1"/>
                <c:pt idx="0">
                  <c:v>małe zagrożenie</c:v>
                </c:pt>
              </c:strCache>
            </c:strRef>
          </c:tx>
          <c:spPr>
            <a:solidFill>
              <a:srgbClr val="D9DADA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</c:dPt>
          <c:dLbls>
            <c:dLbl>
              <c:idx val="0"/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AD08-48BD-B624-88C1E2C3ACB2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ctr"/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Arkusz1!$B$2</c:f>
              <c:strCache>
                <c:ptCount val="1"/>
                <c:pt idx="0">
                  <c:v>IV 2020</c:v>
                </c:pt>
              </c:strCache>
            </c:strRef>
          </c:cat>
          <c:val>
            <c:numRef>
              <c:f>Arkusz1!$E$2</c:f>
              <c:numCache>
                <c:formatCode>0.0</c:formatCode>
                <c:ptCount val="1"/>
                <c:pt idx="0">
                  <c:v>0.91</c:v>
                </c:pt>
              </c:numCache>
            </c:numRef>
          </c:val>
        </c:ser>
        <c:ser>
          <c:idx val="3"/>
          <c:order val="3"/>
          <c:tx>
            <c:strRef>
              <c:f>Arkusz1!$F$1</c:f>
              <c:strCache>
                <c:ptCount val="1"/>
                <c:pt idx="0">
                  <c:v>brak zagrożenia</c:v>
                </c:pt>
              </c:strCache>
            </c:strRef>
          </c:tx>
          <c:spPr>
            <a:solidFill>
              <a:srgbClr val="9D9E9E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</c:dPt>
          <c:dLbls>
            <c:dLbl>
              <c:idx val="0"/>
              <c:layout>
                <c:manualLayout>
                  <c:x val="0"/>
                  <c:y val="0.24970276726954982"/>
                </c:manualLayout>
              </c:layout>
              <c:tx>
                <c:rich>
                  <a:bodyPr/>
                  <a:lstStyle/>
                  <a:p>
                    <a:fld id="{93C0EE32-BA48-43FB-B900-7A51F9083A36}" type="VALUE">
                      <a:rPr lang="en-US"/>
                      <a:pPr/>
                      <a:t>[WARTOŚĆ]</a:t>
                    </a:fld>
                    <a:endParaRPr lang="pl-PL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AD08-48BD-B624-88C1E2C3ACB2}"/>
                </c:ext>
                <c:ext xmlns:c15="http://schemas.microsoft.com/office/drawing/2012/chart" uri="{CE6537A1-D6FC-4f65-9D91-7224C49458BB}">
                  <c15:dlblFieldTable/>
                  <c15:showDataLabelsRange val="0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Arkusz1!$B$2</c:f>
              <c:strCache>
                <c:ptCount val="1"/>
                <c:pt idx="0">
                  <c:v>IV 2020</c:v>
                </c:pt>
              </c:strCache>
            </c:strRef>
          </c:cat>
          <c:val>
            <c:numRef>
              <c:f>Arkusz1!$F$2</c:f>
              <c:numCache>
                <c:formatCode>0.0</c:formatCode>
                <c:ptCount val="1"/>
                <c:pt idx="0">
                  <c:v>0.1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100"/>
        <c:axId val="-1196416144"/>
        <c:axId val="-1196404176"/>
      </c:barChart>
      <c:valAx>
        <c:axId val="-1196404176"/>
        <c:scaling>
          <c:orientation val="minMax"/>
          <c:min val="0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196416144"/>
        <c:crosses val="autoZero"/>
        <c:crossBetween val="between"/>
      </c:valAx>
      <c:catAx>
        <c:axId val="-1196416144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-1196404176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Fira Sans" panose="020B0503050000020004" pitchFamily="34" charset="0"/>
              <a:ea typeface="Fira Sans" panose="020B0503050000020004" pitchFamily="34" charset="0"/>
              <a:cs typeface="+mn-cs"/>
            </a:defRPr>
          </a:pPr>
          <a:endParaRPr lang="pl-PL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700">
          <a:solidFill>
            <a:sysClr val="windowText" lastClr="000000"/>
          </a:solidFill>
          <a:latin typeface="Fira Sans" panose="020B0503050000020004" pitchFamily="34" charset="0"/>
          <a:ea typeface="Fira Sans" panose="020B0503050000020004" pitchFamily="34" charset="0"/>
        </a:defRPr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0.07018</cdr:x>
      <cdr:y>0.75718</cdr:y>
    </cdr:from>
    <cdr:to>
      <cdr:x>0.36348</cdr:x>
      <cdr:y>0.82589</cdr:y>
    </cdr:to>
    <cdr:sp macro="" textlink="">
      <cdr:nvSpPr>
        <cdr:cNvPr id="2" name="Pole tekstowe 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359521" y="2973788"/>
          <a:ext cx="1502410" cy="269875"/>
        </a:xfrm>
        <a:prstGeom xmlns:a="http://schemas.openxmlformats.org/drawingml/2006/main" prst="rect">
          <a:avLst/>
        </a:prstGeom>
        <a:solidFill xmlns:a="http://schemas.openxmlformats.org/drawingml/2006/main">
          <a:srgbClr val="FFFFFF"/>
        </a:solidFill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rot="0" vert="horz" wrap="square" lIns="91440" tIns="45720" rIns="91440" bIns="45720" anchor="t" anchorCtr="0">
          <a:noAutofit/>
        </a:bodyPr>
        <a:lstStyle xmlns:a="http://schemas.openxmlformats.org/drawingml/2006/main"/>
        <a:p xmlns:a="http://schemas.openxmlformats.org/drawingml/2006/main">
          <a:pPr marL="0" marR="0" lvl="0" indent="0" defTabSz="914400" eaLnBrk="1" fontAlgn="auto" latinLnBrk="0" hangingPunct="1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tabLst/>
            <a:defRPr/>
          </a:pPr>
          <a:r>
            <a:rPr lang="pl-PL" sz="700">
              <a:solidFill>
                <a:schemeClr val="tx1"/>
              </a:solidFill>
              <a:effectLst/>
              <a:latin typeface="Fira Sans" panose="020B0503050000020004" pitchFamily="34" charset="0"/>
              <a:ea typeface="Fira Sans" panose="020B0503050000020004" pitchFamily="34" charset="0"/>
              <a:cs typeface="+mn-cs"/>
            </a:rPr>
            <a:t>** kwiecień, lipiec, październik</a:t>
          </a:r>
        </a:p>
        <a:p xmlns:a="http://schemas.openxmlformats.org/drawingml/2006/main">
          <a:endParaRPr lang="pl-PL"/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lejno_x015b__x0107_ xmlns="30d47203-49ec-4c8c-a442-62231931aab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1" ma:contentTypeDescription="Utwórz nowy dokument." ma:contentTypeScope="" ma:versionID="b20bbc3dded4abcf92e167189ff234f7">
  <xsd:schema xmlns:xsd="http://www.w3.org/2001/XMLSchema" xmlns:xs="http://www.w3.org/2001/XMLSchema" xmlns:p="http://schemas.microsoft.com/office/2006/metadata/properties" xmlns:ns2="30d47203-49ec-4c8c-a442-62231931aabb" targetNamespace="http://schemas.microsoft.com/office/2006/metadata/properties" ma:root="true" ma:fieldsID="c1fa5ad568066013d8ffcd1c33bb2164" ns2:_="">
    <xsd:import namespace="30d47203-49ec-4c8c-a442-62231931aabb"/>
    <xsd:element name="properties">
      <xsd:complexType>
        <xsd:sequence>
          <xsd:element name="documentManagement">
            <xsd:complexType>
              <xsd:all>
                <xsd:element ref="ns2:Kolejno_x015b__x0107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47203-49ec-4c8c-a442-62231931aabb" elementFormDefault="qualified">
    <xsd:import namespace="http://schemas.microsoft.com/office/2006/documentManagement/types"/>
    <xsd:import namespace="http://schemas.microsoft.com/office/infopath/2007/PartnerControls"/>
    <xsd:element name="Kolejno_x015b__x0107_" ma:index="8" nillable="true" ma:displayName="Kolejność" ma:decimals="0" ma:description="sortowanie plików" ma:internalName="Kolejno_x015b__x0107_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D39804-E15D-40D9-A3F2-808567566B96}">
  <ds:schemaRefs>
    <ds:schemaRef ds:uri="http://schemas.microsoft.com/office/2006/metadata/properties"/>
    <ds:schemaRef ds:uri="http://schemas.microsoft.com/office/infopath/2007/PartnerControls"/>
    <ds:schemaRef ds:uri="30d47203-49ec-4c8c-a442-62231931aabb"/>
  </ds:schemaRefs>
</ds:datastoreItem>
</file>

<file path=customXml/itemProps2.xml><?xml version="1.0" encoding="utf-8"?>
<ds:datastoreItem xmlns:ds="http://schemas.openxmlformats.org/officeDocument/2006/customXml" ds:itemID="{FCFCB642-C1E9-4590-A884-732586E763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F4DC58-EFEE-42A1-9591-F32E189D23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d47203-49ec-4c8c-a442-62231931aa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854A610-A46E-4B71-A627-926B54DA0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1802</Words>
  <Characters>10814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cp:lastPrinted>2020-04-22T12:10:00Z</cp:lastPrinted>
  <dcterms:created xsi:type="dcterms:W3CDTF">2020-04-23T09:55:00Z</dcterms:created>
  <dcterms:modified xsi:type="dcterms:W3CDTF">2020-04-23T09:55:00Z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