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RPr="003A3169" w:rsidRDefault="00530074" w:rsidP="00074DD8">
      <w:pPr>
        <w:pStyle w:val="tytuinformacji"/>
        <w:rPr>
          <w:shd w:val="clear" w:color="auto" w:fill="FFFFFF"/>
        </w:rPr>
      </w:pPr>
      <w:r w:rsidRPr="00530074">
        <w:rPr>
          <w:shd w:val="clear" w:color="auto" w:fill="FFFFFF"/>
        </w:rPr>
        <w:t>Koniunktura konsumencka</w:t>
      </w:r>
      <w:r w:rsidR="00074DD8" w:rsidRPr="00530074">
        <w:rPr>
          <w:shd w:val="clear" w:color="auto" w:fill="FFFFFF"/>
        </w:rPr>
        <w:t xml:space="preserve"> </w:t>
      </w:r>
      <w:r w:rsidRPr="00530074">
        <w:rPr>
          <w:shd w:val="clear" w:color="auto" w:fill="FFFFFF"/>
        </w:rPr>
        <w:t xml:space="preserve">– </w:t>
      </w:r>
      <w:r w:rsidR="00112723">
        <w:rPr>
          <w:shd w:val="clear" w:color="auto" w:fill="FFFFFF"/>
        </w:rPr>
        <w:t>styczeń 2020</w:t>
      </w:r>
      <w:r w:rsidRPr="00530074">
        <w:rPr>
          <w:shd w:val="clear" w:color="auto" w:fill="FFFFFF"/>
        </w:rPr>
        <w:t xml:space="preserve"> r.</w:t>
      </w:r>
    </w:p>
    <w:p w:rsidR="00393761" w:rsidRPr="003A3169" w:rsidRDefault="00393761" w:rsidP="00074DD8">
      <w:pPr>
        <w:pStyle w:val="tytuinformacji"/>
        <w:rPr>
          <w:sz w:val="32"/>
        </w:rPr>
      </w:pPr>
      <w:r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>
                <wp:simplePos x="0" y="0"/>
                <wp:positionH relativeFrom="column">
                  <wp:posOffset>5238750</wp:posOffset>
                </wp:positionH>
                <wp:positionV relativeFrom="paragraph">
                  <wp:posOffset>246380</wp:posOffset>
                </wp:positionV>
                <wp:extent cx="1725295" cy="1466850"/>
                <wp:effectExtent l="0" t="0" r="0" b="0"/>
                <wp:wrapTight wrapText="bothSides">
                  <wp:wrapPolygon edited="0">
                    <wp:start x="715" y="0"/>
                    <wp:lineTo x="715" y="21319"/>
                    <wp:lineTo x="20749" y="21319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466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0D6A" w:rsidRPr="00074DD8" w:rsidRDefault="007B0D6A" w:rsidP="00074DD8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5pt;margin-top:19.4pt;width:135.85pt;height:115.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" filled="f" stroked="f">
                <v:textbox>
                  <w:txbxContent>
                    <w:p w:rsidR="007B0D6A" w:rsidRPr="00074DD8" w:rsidRDefault="007B0D6A" w:rsidP="00074DD8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CF538E" w:rsidRPr="00CF538E" w:rsidRDefault="00B3501C" w:rsidP="00CF538E">
      <w:pPr>
        <w:pStyle w:val="tekstzboku"/>
        <w:rPr>
          <w:b/>
          <w:color w:val="auto"/>
          <w:sz w:val="19"/>
          <w:szCs w:val="19"/>
        </w:rPr>
      </w:pPr>
      <w:r w:rsidRPr="00CF538E">
        <w:rPr>
          <w:b/>
          <w:color w:val="auto"/>
          <w:sz w:val="19"/>
          <w:szCs w:val="19"/>
        </w:rPr>
        <w:t>W</w:t>
      </w:r>
      <w:r>
        <w:rPr>
          <w:b/>
          <w:color w:val="auto"/>
          <w:sz w:val="19"/>
          <w:szCs w:val="19"/>
        </w:rPr>
        <w:t xml:space="preserve"> </w:t>
      </w:r>
      <w:r w:rsidR="00112723">
        <w:rPr>
          <w:b/>
          <w:color w:val="auto"/>
          <w:sz w:val="19"/>
          <w:szCs w:val="19"/>
        </w:rPr>
        <w:t>styczniu</w:t>
      </w:r>
      <w:r>
        <w:rPr>
          <w:b/>
          <w:color w:val="auto"/>
          <w:sz w:val="19"/>
          <w:szCs w:val="19"/>
        </w:rPr>
        <w:t xml:space="preserve"> </w:t>
      </w:r>
      <w:r w:rsidR="00112723">
        <w:rPr>
          <w:b/>
          <w:color w:val="auto"/>
          <w:sz w:val="19"/>
          <w:szCs w:val="19"/>
        </w:rPr>
        <w:t>2020</w:t>
      </w:r>
      <w:r w:rsidRPr="00CF538E">
        <w:rPr>
          <w:b/>
          <w:color w:val="auto"/>
          <w:sz w:val="19"/>
          <w:szCs w:val="19"/>
        </w:rPr>
        <w:t xml:space="preserve"> r. odnotowano </w:t>
      </w:r>
      <w:r w:rsidR="00356C31">
        <w:rPr>
          <w:b/>
          <w:color w:val="auto"/>
          <w:sz w:val="19"/>
          <w:szCs w:val="19"/>
        </w:rPr>
        <w:t>niewielkie pogorszenie</w:t>
      </w:r>
      <w:r w:rsidRPr="00CF538E">
        <w:rPr>
          <w:b/>
          <w:color w:val="auto"/>
          <w:sz w:val="19"/>
          <w:szCs w:val="19"/>
        </w:rPr>
        <w:t xml:space="preserve"> </w:t>
      </w:r>
      <w:r w:rsidR="00356C31">
        <w:rPr>
          <w:b/>
          <w:color w:val="auto"/>
          <w:sz w:val="19"/>
          <w:szCs w:val="19"/>
        </w:rPr>
        <w:t xml:space="preserve">obecnych </w:t>
      </w:r>
      <w:r w:rsidRPr="00CF538E">
        <w:rPr>
          <w:b/>
          <w:color w:val="auto"/>
          <w:sz w:val="19"/>
          <w:szCs w:val="19"/>
        </w:rPr>
        <w:t>nastrojów konsumenckich</w:t>
      </w:r>
      <w:r w:rsidR="00823882">
        <w:rPr>
          <w:b/>
          <w:color w:val="auto"/>
          <w:sz w:val="19"/>
          <w:szCs w:val="19"/>
        </w:rPr>
        <w:t xml:space="preserve"> przy jednoczesnej nieznacznej poprawie przyszłych nastrojów konsumenckich</w:t>
      </w:r>
      <w:r w:rsidR="00356C31">
        <w:rPr>
          <w:b/>
          <w:color w:val="auto"/>
          <w:sz w:val="19"/>
          <w:szCs w:val="19"/>
        </w:rPr>
        <w:t xml:space="preserve"> </w:t>
      </w:r>
      <w:r w:rsidRPr="00CF538E">
        <w:rPr>
          <w:b/>
          <w:color w:val="auto"/>
          <w:sz w:val="19"/>
          <w:szCs w:val="19"/>
        </w:rPr>
        <w:t>w stosunku do poprzedniego miesiąca.</w:t>
      </w:r>
      <w:r w:rsidR="005B3A86" w:rsidRPr="00CF538E"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45720" distB="45720" distL="114300" distR="114300" simplePos="0" relativeHeight="251757568" behindDoc="0" locked="0" layoutInCell="1" allowOverlap="1" wp14:anchorId="7F4ACDF2" wp14:editId="73CBBA6B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045845"/>
                <wp:effectExtent l="0" t="0" r="0" b="190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0D6A" w:rsidRPr="00BC44E4" w:rsidRDefault="007B0D6A" w:rsidP="005B3A86">
                            <w:pPr>
                              <w:pStyle w:val="Akapitzlist"/>
                              <w:spacing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27A04EF4" wp14:editId="4C019FE3">
                                  <wp:extent cx="334800" cy="334800"/>
                                  <wp:effectExtent l="0" t="0" r="8255" b="8255"/>
                                  <wp:docPr id="18" name="Obraz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34800" cy="334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</w:rPr>
                              <w:t xml:space="preserve"> </w:t>
                            </w:r>
                            <w:r w:rsidRPr="00BD6D11">
                              <w:rPr>
                                <w:rFonts w:ascii="Fira Sans SemiBold" w:hAnsi="Fira Sans SemiBold"/>
                                <w:color w:val="FFFFFF" w:themeColor="background1"/>
                                <w:sz w:val="38"/>
                                <w:szCs w:val="38"/>
                              </w:rPr>
                              <w:t>0,6 p. proc.</w:t>
                            </w:r>
                          </w:p>
                          <w:p w:rsidR="007B0D6A" w:rsidRPr="00DD7916" w:rsidRDefault="007B0D6A" w:rsidP="005B3A86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Zmiana bieżącego</w:t>
                            </w:r>
                            <w:r w:rsidRPr="00DD7916">
                              <w:t xml:space="preserve"> wskaźnik</w:t>
                            </w:r>
                            <w:r>
                              <w:t>a</w:t>
                            </w:r>
                            <w:r w:rsidRPr="00DD7916">
                              <w:t xml:space="preserve"> ufności konsumenckiej (BWUK)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4ACDF2" id="_x0000_s1027" type="#_x0000_t202" style="position:absolute;margin-left:0;margin-top:6.55pt;width:2in;height:82.35pt;z-index:25175756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pL7KgIAACo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" fillcolor="#001d77" stroked="f">
                <v:textbox>
                  <w:txbxContent>
                    <w:p w:rsidR="007B0D6A" w:rsidRPr="00BC44E4" w:rsidRDefault="007B0D6A" w:rsidP="005B3A86">
                      <w:pPr>
                        <w:pStyle w:val="Akapitzlist"/>
                        <w:spacing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27A04EF4" wp14:editId="4C019FE3">
                            <wp:extent cx="334800" cy="334800"/>
                            <wp:effectExtent l="0" t="0" r="8255" b="8255"/>
                            <wp:docPr id="18" name="Obraz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34800" cy="33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22"/>
                        </w:rPr>
                        <w:t xml:space="preserve"> </w:t>
                      </w:r>
                      <w:r w:rsidRPr="00BD6D11">
                        <w:rPr>
                          <w:rFonts w:ascii="Fira Sans SemiBold" w:hAnsi="Fira Sans SemiBold"/>
                          <w:color w:val="FFFFFF" w:themeColor="background1"/>
                          <w:sz w:val="38"/>
                          <w:szCs w:val="38"/>
                        </w:rPr>
                        <w:t>0,6 p. proc.</w:t>
                      </w:r>
                    </w:p>
                    <w:p w:rsidR="007B0D6A" w:rsidRPr="00DD7916" w:rsidRDefault="007B0D6A" w:rsidP="005B3A86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Zmiana bieżącego</w:t>
                      </w:r>
                      <w:r w:rsidRPr="00DD7916">
                        <w:t xml:space="preserve"> wskaźnik</w:t>
                      </w:r>
                      <w:r>
                        <w:t>a</w:t>
                      </w:r>
                      <w:r w:rsidRPr="00DD7916">
                        <w:t xml:space="preserve"> ufności konsumenckiej (BWUK)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b/>
          <w:color w:val="auto"/>
          <w:sz w:val="19"/>
          <w:szCs w:val="19"/>
        </w:rPr>
        <w:t xml:space="preserve"> B</w:t>
      </w:r>
      <w:r w:rsidR="00D06B81">
        <w:rPr>
          <w:b/>
          <w:color w:val="auto"/>
          <w:sz w:val="19"/>
          <w:szCs w:val="19"/>
        </w:rPr>
        <w:t>ieżący wskaźnik ufności konsumenckiej</w:t>
      </w:r>
      <w:r w:rsidR="008663B7">
        <w:rPr>
          <w:b/>
          <w:color w:val="auto"/>
          <w:sz w:val="19"/>
          <w:szCs w:val="19"/>
        </w:rPr>
        <w:t xml:space="preserve"> (BWUK), syntetycznie </w:t>
      </w:r>
      <w:r w:rsidR="008663B7" w:rsidRPr="008663B7">
        <w:rPr>
          <w:b/>
          <w:color w:val="auto"/>
          <w:sz w:val="19"/>
          <w:szCs w:val="19"/>
        </w:rPr>
        <w:t>opisujący obecne tendencje konsumpcji indywidualnej</w:t>
      </w:r>
      <w:r w:rsidR="008663B7">
        <w:rPr>
          <w:b/>
          <w:color w:val="auto"/>
          <w:sz w:val="19"/>
          <w:szCs w:val="19"/>
        </w:rPr>
        <w:t>,</w:t>
      </w:r>
      <w:r w:rsidR="00D06B81">
        <w:rPr>
          <w:b/>
          <w:color w:val="auto"/>
          <w:sz w:val="19"/>
          <w:szCs w:val="19"/>
        </w:rPr>
        <w:t xml:space="preserve"> wyniósł </w:t>
      </w:r>
      <w:r w:rsidR="00C16216">
        <w:rPr>
          <w:b/>
          <w:color w:val="auto"/>
          <w:sz w:val="19"/>
          <w:szCs w:val="19"/>
        </w:rPr>
        <w:t>3,7</w:t>
      </w:r>
      <w:r w:rsidR="00D06B81" w:rsidRPr="00D06B81">
        <w:rPr>
          <w:b/>
          <w:color w:val="auto"/>
          <w:sz w:val="19"/>
          <w:szCs w:val="19"/>
        </w:rPr>
        <w:footnoteReference w:id="1"/>
      </w:r>
      <w:r w:rsidR="00C16216">
        <w:rPr>
          <w:b/>
          <w:color w:val="auto"/>
          <w:sz w:val="19"/>
          <w:szCs w:val="19"/>
        </w:rPr>
        <w:t xml:space="preserve">  i był o 0,6</w:t>
      </w:r>
      <w:r w:rsidR="00D06B81">
        <w:rPr>
          <w:b/>
          <w:color w:val="auto"/>
          <w:sz w:val="19"/>
          <w:szCs w:val="19"/>
        </w:rPr>
        <w:t xml:space="preserve"> p. proc. niższy w stosunku do poprzedniego miesiąca.</w:t>
      </w:r>
      <w:r w:rsidR="00CF538E" w:rsidRPr="00CF538E">
        <w:rPr>
          <w:b/>
          <w:color w:val="auto"/>
          <w:sz w:val="19"/>
          <w:szCs w:val="19"/>
        </w:rPr>
        <w:t xml:space="preserve"> </w:t>
      </w:r>
    </w:p>
    <w:p w:rsidR="00CF2E4C" w:rsidRDefault="00CF2E4C" w:rsidP="00F54C16">
      <w:pPr>
        <w:pStyle w:val="Nagwek1"/>
        <w:tabs>
          <w:tab w:val="left" w:pos="6330"/>
        </w:tabs>
      </w:pPr>
    </w:p>
    <w:p w:rsidR="00A217E6" w:rsidRDefault="00F54C16" w:rsidP="00F54C16">
      <w:pPr>
        <w:pStyle w:val="Nagwek1"/>
        <w:tabs>
          <w:tab w:val="left" w:pos="6330"/>
        </w:tabs>
      </w:pPr>
      <w:r>
        <w:tab/>
      </w:r>
    </w:p>
    <w:p w:rsidR="00C22105" w:rsidRPr="009A5A6D" w:rsidRDefault="009227A6" w:rsidP="00074DD8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383C7874" wp14:editId="02E5C35A">
                <wp:simplePos x="0" y="0"/>
                <wp:positionH relativeFrom="column">
                  <wp:posOffset>5230495</wp:posOffset>
                </wp:positionH>
                <wp:positionV relativeFrom="paragraph">
                  <wp:posOffset>158750</wp:posOffset>
                </wp:positionV>
                <wp:extent cx="1725295" cy="1021080"/>
                <wp:effectExtent l="0" t="0" r="0" b="0"/>
                <wp:wrapTight wrapText="bothSides">
                  <wp:wrapPolygon edited="0">
                    <wp:start x="715" y="0"/>
                    <wp:lineTo x="715" y="20955"/>
                    <wp:lineTo x="20749" y="20955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21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0D6A" w:rsidRPr="00380DFD" w:rsidRDefault="007B0D6A" w:rsidP="00273134">
                            <w:pPr>
                              <w:pStyle w:val="tekstzboku"/>
                            </w:pPr>
                            <w:r>
                              <w:t>Bieżący wskaźnik ufności konsumenckiej (BWUK) jest niższy o 0,6 p. proc. w stosunku do poprzedniego miesiąca</w:t>
                            </w:r>
                          </w:p>
                          <w:p w:rsidR="007B0D6A" w:rsidRPr="00D616D2" w:rsidRDefault="007B0D6A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3C7874" id="_x0000_s1028" type="#_x0000_t202" style="position:absolute;margin-left:411.85pt;margin-top:12.5pt;width:135.85pt;height:80.4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" filled="f" stroked="f">
                <v:textbox>
                  <w:txbxContent>
                    <w:p w:rsidR="007B0D6A" w:rsidRPr="00380DFD" w:rsidRDefault="007B0D6A" w:rsidP="00273134">
                      <w:pPr>
                        <w:pStyle w:val="tekstzboku"/>
                      </w:pPr>
                      <w:r>
                        <w:t>Bieżący wskaźnik ufności konsumenckiej (BWUK) jest niższy o 0,6 p. proc. w stosunku do poprzedniego miesiąca</w:t>
                      </w:r>
                    </w:p>
                    <w:p w:rsidR="007B0D6A" w:rsidRPr="00D616D2" w:rsidRDefault="007B0D6A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9A5A6D" w:rsidRPr="009A5A6D">
        <w:t>Bieżący wska</w:t>
      </w:r>
      <w:r w:rsidR="009A5A6D">
        <w:t>ź</w:t>
      </w:r>
      <w:r w:rsidR="006404CD">
        <w:t>nik ufności konsumenckiej</w:t>
      </w:r>
      <w:r w:rsidR="00A217E6">
        <w:t xml:space="preserve"> (BWUK) </w:t>
      </w:r>
      <w:r w:rsidR="009A5A6D" w:rsidRPr="009A5A6D">
        <w:t>w</w:t>
      </w:r>
      <w:r w:rsidR="00EE2896">
        <w:t xml:space="preserve"> </w:t>
      </w:r>
      <w:r w:rsidR="00112723">
        <w:t>styczniu</w:t>
      </w:r>
      <w:r w:rsidR="0046695F">
        <w:t xml:space="preserve"> </w:t>
      </w:r>
      <w:r w:rsidR="00112723">
        <w:t>2020</w:t>
      </w:r>
      <w:r w:rsidR="009A5A6D" w:rsidRPr="009A5A6D">
        <w:t xml:space="preserve"> r.</w:t>
      </w:r>
    </w:p>
    <w:p w:rsidR="00D26089" w:rsidRDefault="00D26089" w:rsidP="00D26089">
      <w:pPr>
        <w:spacing w:before="0"/>
        <w:rPr>
          <w:shd w:val="clear" w:color="auto" w:fill="FFFFFF"/>
        </w:rPr>
      </w:pPr>
      <w:r>
        <w:rPr>
          <w:shd w:val="clear" w:color="auto" w:fill="FFFFFF"/>
        </w:rPr>
        <w:t xml:space="preserve">Wśród składowych </w:t>
      </w:r>
      <w:r w:rsidR="00274ADF">
        <w:rPr>
          <w:shd w:val="clear" w:color="auto" w:fill="FFFFFF"/>
        </w:rPr>
        <w:t>wskaźnika</w:t>
      </w:r>
      <w:r>
        <w:rPr>
          <w:shd w:val="clear" w:color="auto" w:fill="FFFFFF"/>
        </w:rPr>
        <w:t xml:space="preserve"> niższą wartość odnotowano przede wszystkim</w:t>
      </w:r>
      <w:r w:rsidR="00194F85">
        <w:rPr>
          <w:shd w:val="clear" w:color="auto" w:fill="FFFFFF"/>
        </w:rPr>
        <w:t xml:space="preserve"> dla ocen obecnej</w:t>
      </w:r>
      <w:r>
        <w:rPr>
          <w:shd w:val="clear" w:color="auto" w:fill="FFFFFF"/>
        </w:rPr>
        <w:t xml:space="preserve"> sytuacji ekonomicznej kraju</w:t>
      </w:r>
      <w:r w:rsidR="007B0D6A">
        <w:rPr>
          <w:shd w:val="clear" w:color="auto" w:fill="FFFFFF"/>
        </w:rPr>
        <w:t xml:space="preserve"> oraz</w:t>
      </w:r>
      <w:r>
        <w:rPr>
          <w:shd w:val="clear" w:color="auto" w:fill="FFFFFF"/>
        </w:rPr>
        <w:t xml:space="preserve"> </w:t>
      </w:r>
      <w:r w:rsidR="007B0D6A">
        <w:rPr>
          <w:shd w:val="clear" w:color="auto" w:fill="FFFFFF"/>
        </w:rPr>
        <w:t>obecnej możliwości dokonywania ważnych zakupów (spadki odpowiednio o 1,9  i 1,8</w:t>
      </w:r>
      <w:r>
        <w:rPr>
          <w:shd w:val="clear" w:color="auto" w:fill="FFFFFF"/>
        </w:rPr>
        <w:t xml:space="preserve"> p. proc.). </w:t>
      </w:r>
      <w:r w:rsidR="007B0D6A">
        <w:rPr>
          <w:shd w:val="clear" w:color="auto" w:fill="FFFFFF"/>
        </w:rPr>
        <w:t>Największy wzrost</w:t>
      </w:r>
      <w:r>
        <w:rPr>
          <w:shd w:val="clear" w:color="auto" w:fill="FFFFFF"/>
        </w:rPr>
        <w:t xml:space="preserve"> </w:t>
      </w:r>
      <w:r w:rsidR="007B0D6A">
        <w:rPr>
          <w:shd w:val="clear" w:color="auto" w:fill="FFFFFF"/>
        </w:rPr>
        <w:t>(o 0,9</w:t>
      </w:r>
      <w:r>
        <w:rPr>
          <w:shd w:val="clear" w:color="auto" w:fill="FFFFFF"/>
        </w:rPr>
        <w:t xml:space="preserve"> p. proc.</w:t>
      </w:r>
      <w:r w:rsidR="007B0D6A">
        <w:rPr>
          <w:shd w:val="clear" w:color="auto" w:fill="FFFFFF"/>
        </w:rPr>
        <w:t>) odnotowano w przypadku oceny</w:t>
      </w:r>
      <w:r>
        <w:rPr>
          <w:shd w:val="clear" w:color="auto" w:fill="FFFFFF"/>
        </w:rPr>
        <w:t xml:space="preserve"> </w:t>
      </w:r>
      <w:r w:rsidR="007B0D6A">
        <w:rPr>
          <w:shd w:val="clear" w:color="auto" w:fill="FFFFFF"/>
        </w:rPr>
        <w:t>obecnej sytuacji finansowej gospodarstwa domowego</w:t>
      </w:r>
      <w:r>
        <w:rPr>
          <w:shd w:val="clear" w:color="auto" w:fill="FFFFFF"/>
        </w:rPr>
        <w:t>.</w:t>
      </w:r>
    </w:p>
    <w:p w:rsidR="00A06A63" w:rsidRPr="00396FC5" w:rsidRDefault="00A06A63" w:rsidP="00D26089">
      <w:pPr>
        <w:pStyle w:val="Default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W </w:t>
      </w:r>
      <w:r w:rsidR="009C2E5B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odniesieniu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do </w:t>
      </w:r>
      <w:r w:rsidR="00F370FD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stycznia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201</w:t>
      </w:r>
      <w:r w:rsidR="00F370FD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9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r. obecna war</w:t>
      </w:r>
      <w:r w:rsidR="00377B67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tość BWUK </w:t>
      </w:r>
      <w:r w:rsidR="00F3589E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jest</w:t>
      </w:r>
      <w:r w:rsidR="00377B67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 w:rsidR="00C16216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niższa</w:t>
      </w:r>
      <w:r w:rsidR="00377B67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o </w:t>
      </w:r>
      <w:r w:rsidR="00C16216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1</w:t>
      </w:r>
      <w:r w:rsidR="006E5948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,</w:t>
      </w:r>
      <w:r w:rsidR="00C16216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7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 </w:t>
      </w:r>
    </w:p>
    <w:p w:rsidR="00A06A63" w:rsidRDefault="00A06A63" w:rsidP="00D26089">
      <w:pPr>
        <w:spacing w:before="0" w:after="0"/>
        <w:rPr>
          <w:shd w:val="clear" w:color="auto" w:fill="FFFFFF"/>
        </w:rPr>
      </w:pPr>
    </w:p>
    <w:p w:rsidR="00C074FD" w:rsidRDefault="00C074FD" w:rsidP="00D06B81">
      <w:pPr>
        <w:pStyle w:val="Nagwek1"/>
        <w:spacing w:before="0"/>
      </w:pPr>
    </w:p>
    <w:p w:rsidR="00C074FD" w:rsidRPr="00396FC5" w:rsidRDefault="00C074FD" w:rsidP="00C074FD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1904E8F7" wp14:editId="6C6A03ED">
                <wp:simplePos x="0" y="0"/>
                <wp:positionH relativeFrom="column">
                  <wp:posOffset>5219065</wp:posOffset>
                </wp:positionH>
                <wp:positionV relativeFrom="paragraph">
                  <wp:posOffset>162560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0D6A" w:rsidRPr="00380DFD" w:rsidRDefault="007B0D6A" w:rsidP="00273134">
                            <w:pPr>
                              <w:pStyle w:val="tekstzboku"/>
                            </w:pPr>
                            <w:r w:rsidRPr="00380DFD">
                              <w:t xml:space="preserve">Wyprzedzający wskaźnik ufności konsumenckiej </w:t>
                            </w:r>
                            <w:r>
                              <w:t>(WWUK) wzrósł o 0,2 p. proc. w stosunku do poprzedniego miesiąca</w:t>
                            </w:r>
                          </w:p>
                          <w:p w:rsidR="007B0D6A" w:rsidRPr="00380DFD" w:rsidRDefault="007B0D6A" w:rsidP="00C074FD">
                            <w:pPr>
                              <w:pStyle w:val="tekstzboku"/>
                            </w:pPr>
                          </w:p>
                          <w:p w:rsidR="007B0D6A" w:rsidRPr="00D616D2" w:rsidRDefault="007B0D6A" w:rsidP="00C074F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04E8F7" id="Pole tekstowe 16" o:spid="_x0000_s1029" type="#_x0000_t202" style="position:absolute;margin-left:410.95pt;margin-top:12.8pt;width:135.85pt;height:77.6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" filled="f" stroked="f">
                <v:textbox>
                  <w:txbxContent>
                    <w:p w:rsidR="007B0D6A" w:rsidRPr="00380DFD" w:rsidRDefault="007B0D6A" w:rsidP="00273134">
                      <w:pPr>
                        <w:pStyle w:val="tekstzboku"/>
                      </w:pPr>
                      <w:r w:rsidRPr="00380DFD">
                        <w:t xml:space="preserve">Wyprzedzający wskaźnik ufności konsumenckiej </w:t>
                      </w:r>
                      <w:r>
                        <w:t>(WWUK) wzrósł o 0,2 p. proc. w stosunku do poprzedniego miesiąca</w:t>
                      </w:r>
                    </w:p>
                    <w:p w:rsidR="007B0D6A" w:rsidRPr="00380DFD" w:rsidRDefault="007B0D6A" w:rsidP="00C074FD">
                      <w:pPr>
                        <w:pStyle w:val="tekstzboku"/>
                      </w:pPr>
                    </w:p>
                    <w:p w:rsidR="007B0D6A" w:rsidRPr="00D616D2" w:rsidRDefault="007B0D6A" w:rsidP="00C074F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396FC5">
        <w:t xml:space="preserve">Wyprzedzający </w:t>
      </w:r>
      <w:r w:rsidRPr="009A5A6D">
        <w:t>wska</w:t>
      </w:r>
      <w:r>
        <w:t>ź</w:t>
      </w:r>
      <w:r w:rsidR="006404CD">
        <w:t>nik ufności konsumenckiej</w:t>
      </w:r>
      <w:r w:rsidR="00A217E6">
        <w:t xml:space="preserve"> (WWUK)</w:t>
      </w:r>
      <w:r w:rsidRPr="009A5A6D">
        <w:t xml:space="preserve"> w</w:t>
      </w:r>
      <w:r w:rsidR="00EE2896">
        <w:t xml:space="preserve"> </w:t>
      </w:r>
      <w:r w:rsidR="00112723">
        <w:t>styczniu 2020</w:t>
      </w:r>
      <w:r w:rsidRPr="009A5A6D">
        <w:t xml:space="preserve"> r.</w:t>
      </w:r>
    </w:p>
    <w:p w:rsidR="00BB1D75" w:rsidRDefault="00C074FD" w:rsidP="00273134">
      <w:pPr>
        <w:spacing w:after="0"/>
        <w:rPr>
          <w:shd w:val="clear" w:color="auto" w:fill="FFFFFF"/>
        </w:rPr>
      </w:pPr>
      <w:r w:rsidRPr="00396FC5">
        <w:rPr>
          <w:shd w:val="clear" w:color="auto" w:fill="FFFFFF"/>
        </w:rPr>
        <w:t>Wyprzedzający wskaźnik ufności konsumenckiej (WWUK), syntetycznie opisujący oczekiwane w najbliższych miesiącach tend</w:t>
      </w:r>
      <w:r w:rsidR="006C105E">
        <w:rPr>
          <w:shd w:val="clear" w:color="auto" w:fill="FFFFFF"/>
        </w:rPr>
        <w:t xml:space="preserve">encje konsumpcji indywidualnej, </w:t>
      </w:r>
      <w:r w:rsidR="007901A2">
        <w:rPr>
          <w:shd w:val="clear" w:color="auto" w:fill="FFFFFF"/>
        </w:rPr>
        <w:t>wzrósł</w:t>
      </w:r>
      <w:r w:rsidR="0090561C">
        <w:rPr>
          <w:shd w:val="clear" w:color="auto" w:fill="FFFFFF"/>
        </w:rPr>
        <w:t xml:space="preserve"> o </w:t>
      </w:r>
      <w:r w:rsidR="007901A2">
        <w:rPr>
          <w:shd w:val="clear" w:color="auto" w:fill="FFFFFF"/>
        </w:rPr>
        <w:t>0</w:t>
      </w:r>
      <w:r w:rsidR="00BD0145">
        <w:rPr>
          <w:shd w:val="clear" w:color="auto" w:fill="FFFFFF"/>
        </w:rPr>
        <w:t>,</w:t>
      </w:r>
      <w:r w:rsidR="007901A2">
        <w:rPr>
          <w:shd w:val="clear" w:color="auto" w:fill="FFFFFF"/>
        </w:rPr>
        <w:t>2</w:t>
      </w:r>
      <w:r w:rsidR="0090561C">
        <w:rPr>
          <w:shd w:val="clear" w:color="auto" w:fill="FFFFFF"/>
        </w:rPr>
        <w:t xml:space="preserve"> p. proc.</w:t>
      </w:r>
      <w:r w:rsidRPr="00396FC5">
        <w:rPr>
          <w:shd w:val="clear" w:color="auto" w:fill="FFFFFF"/>
        </w:rPr>
        <w:t xml:space="preserve"> w stosunku do poprzedniego miesiąca </w:t>
      </w:r>
      <w:r w:rsidR="00D62602">
        <w:rPr>
          <w:shd w:val="clear" w:color="auto" w:fill="FFFFFF"/>
        </w:rPr>
        <w:t xml:space="preserve">i ukształtował się na poziomie </w:t>
      </w:r>
      <w:r w:rsidR="001D4E28">
        <w:rPr>
          <w:shd w:val="clear" w:color="auto" w:fill="FFFFFF"/>
        </w:rPr>
        <w:t>-0</w:t>
      </w:r>
      <w:r w:rsidRPr="00396FC5">
        <w:rPr>
          <w:shd w:val="clear" w:color="auto" w:fill="FFFFFF"/>
        </w:rPr>
        <w:t>,</w:t>
      </w:r>
      <w:r w:rsidR="007901A2">
        <w:rPr>
          <w:shd w:val="clear" w:color="auto" w:fill="FFFFFF"/>
        </w:rPr>
        <w:t>6</w:t>
      </w:r>
      <w:r w:rsidR="00210F89" w:rsidRPr="00210F89">
        <w:rPr>
          <w:shd w:val="clear" w:color="auto" w:fill="FFFFFF"/>
          <w:vertAlign w:val="superscript"/>
        </w:rPr>
        <w:t>*</w:t>
      </w:r>
      <w:r w:rsidR="00BB1D75">
        <w:rPr>
          <w:shd w:val="clear" w:color="auto" w:fill="FFFFFF"/>
        </w:rPr>
        <w:t>.</w:t>
      </w:r>
      <w:r w:rsidR="00B72F68">
        <w:rPr>
          <w:shd w:val="clear" w:color="auto" w:fill="FFFFFF"/>
        </w:rPr>
        <w:t xml:space="preserve"> </w:t>
      </w:r>
    </w:p>
    <w:p w:rsidR="00D26089" w:rsidRDefault="00D26089" w:rsidP="00D26089">
      <w:pPr>
        <w:spacing w:before="0"/>
        <w:rPr>
          <w:shd w:val="clear" w:color="auto" w:fill="FFFFFF"/>
        </w:rPr>
      </w:pPr>
      <w:r>
        <w:rPr>
          <w:shd w:val="clear" w:color="auto" w:fill="FFFFFF"/>
        </w:rPr>
        <w:t xml:space="preserve">Na </w:t>
      </w:r>
      <w:r w:rsidR="007B0D6A">
        <w:rPr>
          <w:shd w:val="clear" w:color="auto" w:fill="FFFFFF"/>
        </w:rPr>
        <w:t>wzrost</w:t>
      </w:r>
      <w:r>
        <w:rPr>
          <w:shd w:val="clear" w:color="auto" w:fill="FFFFFF"/>
        </w:rPr>
        <w:t xml:space="preserve"> wartości </w:t>
      </w:r>
      <w:r w:rsidR="007B0D6A">
        <w:rPr>
          <w:shd w:val="clear" w:color="auto" w:fill="FFFFFF"/>
        </w:rPr>
        <w:t>wskaźnika w największym stopniu wpłynęła</w:t>
      </w:r>
      <w:r>
        <w:rPr>
          <w:shd w:val="clear" w:color="auto" w:fill="FFFFFF"/>
        </w:rPr>
        <w:t xml:space="preserve"> ocen</w:t>
      </w:r>
      <w:r w:rsidR="007B0D6A">
        <w:rPr>
          <w:shd w:val="clear" w:color="auto" w:fill="FFFFFF"/>
        </w:rPr>
        <w:t>a przyszłego poziomu bezrobocia</w:t>
      </w:r>
      <w:r>
        <w:rPr>
          <w:shd w:val="clear" w:color="auto" w:fill="FFFFFF"/>
        </w:rPr>
        <w:t xml:space="preserve"> (</w:t>
      </w:r>
      <w:r w:rsidR="007B0D6A">
        <w:rPr>
          <w:shd w:val="clear" w:color="auto" w:fill="FFFFFF"/>
        </w:rPr>
        <w:t>wzrost o 1</w:t>
      </w:r>
      <w:r>
        <w:rPr>
          <w:shd w:val="clear" w:color="auto" w:fill="FFFFFF"/>
        </w:rPr>
        <w:t>,9 p. proc.)</w:t>
      </w:r>
      <w:r w:rsidR="007B0D6A">
        <w:rPr>
          <w:shd w:val="clear" w:color="auto" w:fill="FFFFFF"/>
        </w:rPr>
        <w:t>.</w:t>
      </w:r>
      <w:r>
        <w:rPr>
          <w:shd w:val="clear" w:color="auto" w:fill="FFFFFF"/>
        </w:rPr>
        <w:t xml:space="preserve"> </w:t>
      </w:r>
      <w:r w:rsidR="00BB6A78">
        <w:rPr>
          <w:shd w:val="clear" w:color="auto" w:fill="FFFFFF"/>
        </w:rPr>
        <w:t>Pogorszenie</w:t>
      </w:r>
      <w:r w:rsidR="00BB6A78">
        <w:rPr>
          <w:shd w:val="clear" w:color="auto" w:fill="FFFFFF"/>
        </w:rPr>
        <w:t xml:space="preserve"> ocen odnotowano w przypadku dwóch składowych, przy czym większy </w:t>
      </w:r>
      <w:r w:rsidR="00BB6A78">
        <w:rPr>
          <w:shd w:val="clear" w:color="auto" w:fill="FFFFFF"/>
        </w:rPr>
        <w:t>spadek</w:t>
      </w:r>
      <w:r w:rsidR="00BB6A78">
        <w:rPr>
          <w:shd w:val="clear" w:color="auto" w:fill="FFFFFF"/>
        </w:rPr>
        <w:t xml:space="preserve"> (</w:t>
      </w:r>
      <w:r w:rsidR="00BB6A78">
        <w:rPr>
          <w:shd w:val="clear" w:color="auto" w:fill="FFFFFF"/>
        </w:rPr>
        <w:t>o 0,8</w:t>
      </w:r>
      <w:r w:rsidR="00BB6A78">
        <w:rPr>
          <w:shd w:val="clear" w:color="auto" w:fill="FFFFFF"/>
        </w:rPr>
        <w:t xml:space="preserve"> p. proc.) wystąpił </w:t>
      </w:r>
      <w:r w:rsidR="00BB6A78">
        <w:rPr>
          <w:shd w:val="clear" w:color="auto" w:fill="FFFFFF"/>
        </w:rPr>
        <w:t>dla</w:t>
      </w:r>
      <w:r w:rsidR="00BB6A78">
        <w:rPr>
          <w:shd w:val="clear" w:color="auto" w:fill="FFFFFF"/>
        </w:rPr>
        <w:t xml:space="preserve"> oceny </w:t>
      </w:r>
      <w:r w:rsidR="00BB6A78">
        <w:rPr>
          <w:shd w:val="clear" w:color="auto" w:fill="FFFFFF"/>
        </w:rPr>
        <w:t>przyszłej</w:t>
      </w:r>
      <w:r w:rsidR="00BB6A78">
        <w:rPr>
          <w:shd w:val="clear" w:color="auto" w:fill="FFFFFF"/>
        </w:rPr>
        <w:t xml:space="preserve"> sytuacji finansowej gospodarstwa domowego. </w:t>
      </w:r>
    </w:p>
    <w:p w:rsidR="00A06A63" w:rsidRPr="00655E7E" w:rsidRDefault="003C2E08" w:rsidP="00D26089">
      <w:pPr>
        <w:spacing w:before="0" w:after="0"/>
        <w:rPr>
          <w:shd w:val="clear" w:color="auto" w:fill="FFFFFF"/>
        </w:rPr>
      </w:pPr>
      <w:r>
        <w:rPr>
          <w:shd w:val="clear" w:color="auto" w:fill="FFFFFF"/>
        </w:rPr>
        <w:t xml:space="preserve"> </w:t>
      </w:r>
      <w:r w:rsidR="00A06A63" w:rsidRPr="00655E7E">
        <w:rPr>
          <w:shd w:val="clear" w:color="auto" w:fill="FFFFFF"/>
        </w:rPr>
        <w:t>W</w:t>
      </w:r>
      <w:r w:rsidR="00462C73">
        <w:rPr>
          <w:shd w:val="clear" w:color="auto" w:fill="FFFFFF"/>
        </w:rPr>
        <w:t xml:space="preserve"> </w:t>
      </w:r>
      <w:r w:rsidR="00F370FD">
        <w:rPr>
          <w:shd w:val="clear" w:color="auto" w:fill="FFFFFF"/>
        </w:rPr>
        <w:t>styczniu</w:t>
      </w:r>
      <w:r w:rsidR="00377B67">
        <w:rPr>
          <w:shd w:val="clear" w:color="auto" w:fill="FFFFFF"/>
        </w:rPr>
        <w:t xml:space="preserve"> br. WWUK osiągnął wartość</w:t>
      </w:r>
      <w:r w:rsidR="006537BC">
        <w:rPr>
          <w:shd w:val="clear" w:color="auto" w:fill="FFFFFF"/>
        </w:rPr>
        <w:t xml:space="preserve"> o </w:t>
      </w:r>
      <w:r w:rsidR="00356C31">
        <w:rPr>
          <w:shd w:val="clear" w:color="auto" w:fill="FFFFFF"/>
        </w:rPr>
        <w:t>2</w:t>
      </w:r>
      <w:r w:rsidR="006E5948">
        <w:rPr>
          <w:shd w:val="clear" w:color="auto" w:fill="FFFFFF"/>
        </w:rPr>
        <w:t>,</w:t>
      </w:r>
      <w:r w:rsidR="00356C31">
        <w:rPr>
          <w:shd w:val="clear" w:color="auto" w:fill="FFFFFF"/>
        </w:rPr>
        <w:t>8</w:t>
      </w:r>
      <w:r w:rsidR="007E58C7">
        <w:rPr>
          <w:shd w:val="clear" w:color="auto" w:fill="FFFFFF"/>
        </w:rPr>
        <w:t xml:space="preserve"> p. proc.</w:t>
      </w:r>
      <w:r w:rsidR="009C2E5B">
        <w:rPr>
          <w:shd w:val="clear" w:color="auto" w:fill="FFFFFF"/>
        </w:rPr>
        <w:t xml:space="preserve"> </w:t>
      </w:r>
      <w:r w:rsidR="00356C31">
        <w:rPr>
          <w:shd w:val="clear" w:color="auto" w:fill="FFFFFF"/>
        </w:rPr>
        <w:t>niższą</w:t>
      </w:r>
      <w:r w:rsidR="007E58C7">
        <w:rPr>
          <w:shd w:val="clear" w:color="auto" w:fill="FFFFFF"/>
        </w:rPr>
        <w:t xml:space="preserve"> niż</w:t>
      </w:r>
      <w:r w:rsidR="00F370FD">
        <w:rPr>
          <w:shd w:val="clear" w:color="auto" w:fill="FFFFFF"/>
        </w:rPr>
        <w:t xml:space="preserve"> w analogicznym miesiącu 2019</w:t>
      </w:r>
      <w:r w:rsidR="00A06A63">
        <w:rPr>
          <w:shd w:val="clear" w:color="auto" w:fill="FFFFFF"/>
        </w:rPr>
        <w:t> </w:t>
      </w:r>
      <w:r w:rsidR="00A06A63" w:rsidRPr="00655E7E">
        <w:rPr>
          <w:shd w:val="clear" w:color="auto" w:fill="FFFFFF"/>
        </w:rPr>
        <w:t xml:space="preserve">r. </w:t>
      </w:r>
    </w:p>
    <w:p w:rsidR="00A06A63" w:rsidRDefault="00A06A63" w:rsidP="003F6DBB">
      <w:pPr>
        <w:spacing w:before="0" w:after="0"/>
        <w:rPr>
          <w:shd w:val="clear" w:color="auto" w:fill="FFFFFF"/>
        </w:rPr>
      </w:pPr>
    </w:p>
    <w:p w:rsidR="00FB451B" w:rsidRDefault="00FB451B" w:rsidP="00FD69E9">
      <w:pPr>
        <w:jc w:val="both"/>
        <w:rPr>
          <w:rFonts w:cs="Arial"/>
          <w:i/>
          <w:spacing w:val="-2"/>
          <w:sz w:val="18"/>
          <w:szCs w:val="18"/>
        </w:rPr>
      </w:pPr>
    </w:p>
    <w:p w:rsidR="00B3501C" w:rsidRDefault="00B3501C" w:rsidP="00D06B81">
      <w:pPr>
        <w:jc w:val="both"/>
        <w:rPr>
          <w:rFonts w:cs="Arial"/>
          <w:spacing w:val="-2"/>
          <w:sz w:val="18"/>
          <w:szCs w:val="18"/>
        </w:rPr>
      </w:pPr>
    </w:p>
    <w:p w:rsidR="00F370FD" w:rsidRDefault="00F370FD" w:rsidP="00D06B81">
      <w:pPr>
        <w:jc w:val="both"/>
        <w:rPr>
          <w:rFonts w:cs="Arial"/>
          <w:spacing w:val="-2"/>
          <w:sz w:val="18"/>
          <w:szCs w:val="18"/>
        </w:rPr>
      </w:pPr>
    </w:p>
    <w:p w:rsidR="00E17DE6" w:rsidRDefault="00E17DE6" w:rsidP="00D06B81">
      <w:pPr>
        <w:jc w:val="both"/>
        <w:rPr>
          <w:rFonts w:cs="Arial"/>
          <w:spacing w:val="-2"/>
          <w:sz w:val="18"/>
          <w:szCs w:val="18"/>
        </w:rPr>
      </w:pPr>
    </w:p>
    <w:p w:rsidR="00F370FD" w:rsidRPr="00D06B81" w:rsidRDefault="00F370FD" w:rsidP="00D06B81">
      <w:pPr>
        <w:jc w:val="both"/>
        <w:rPr>
          <w:rFonts w:cs="Arial"/>
          <w:spacing w:val="-2"/>
          <w:sz w:val="18"/>
          <w:szCs w:val="18"/>
        </w:rPr>
      </w:pPr>
    </w:p>
    <w:tbl>
      <w:tblPr>
        <w:tblStyle w:val="Siatkatabelijasna"/>
        <w:tblpPr w:leftFromText="141" w:rightFromText="141" w:vertAnchor="text" w:horzAnchor="margin" w:tblpY="596"/>
        <w:tblW w:w="80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831"/>
        <w:gridCol w:w="599"/>
        <w:gridCol w:w="1107"/>
        <w:gridCol w:w="1105"/>
        <w:gridCol w:w="973"/>
        <w:gridCol w:w="1089"/>
        <w:gridCol w:w="1130"/>
        <w:gridCol w:w="1245"/>
      </w:tblGrid>
      <w:tr w:rsidR="00351316" w:rsidRPr="00FA5128" w:rsidTr="004E61ED">
        <w:trPr>
          <w:trHeight w:val="654"/>
        </w:trPr>
        <w:tc>
          <w:tcPr>
            <w:tcW w:w="1430" w:type="dxa"/>
            <w:gridSpan w:val="2"/>
            <w:tcBorders>
              <w:top w:val="nil"/>
            </w:tcBorders>
            <w:vAlign w:val="center"/>
          </w:tcPr>
          <w:p w:rsidR="00351316" w:rsidRPr="009C7251" w:rsidRDefault="00351316" w:rsidP="00A201E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lastRenderedPageBreak/>
              <w:t>Okres badania ankietowego</w:t>
            </w:r>
          </w:p>
        </w:tc>
        <w:tc>
          <w:tcPr>
            <w:tcW w:w="2212" w:type="dxa"/>
            <w:gridSpan w:val="2"/>
            <w:tcBorders>
              <w:top w:val="nil"/>
            </w:tcBorders>
            <w:vAlign w:val="center"/>
          </w:tcPr>
          <w:p w:rsidR="00351316" w:rsidRPr="00FA5128" w:rsidRDefault="00351316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Zmiany sytuacji finansowej gospodarstwa domowego  w:</w:t>
            </w:r>
          </w:p>
        </w:tc>
        <w:tc>
          <w:tcPr>
            <w:tcW w:w="2062" w:type="dxa"/>
            <w:gridSpan w:val="2"/>
            <w:tcBorders>
              <w:top w:val="nil"/>
            </w:tcBorders>
            <w:vAlign w:val="center"/>
          </w:tcPr>
          <w:p w:rsidR="00351316" w:rsidRPr="00FA5128" w:rsidRDefault="00351316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Zmiany ogólnej sytuacji ekonomicznej kraju w:</w:t>
            </w:r>
          </w:p>
        </w:tc>
        <w:tc>
          <w:tcPr>
            <w:tcW w:w="1130" w:type="dxa"/>
            <w:vMerge w:val="restart"/>
            <w:tcBorders>
              <w:top w:val="nil"/>
            </w:tcBorders>
            <w:vAlign w:val="center"/>
          </w:tcPr>
          <w:p w:rsidR="00351316" w:rsidRPr="00FA5128" w:rsidRDefault="00351316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Obecne dokonywanie ważnych zakupów</w:t>
            </w:r>
          </w:p>
        </w:tc>
        <w:tc>
          <w:tcPr>
            <w:tcW w:w="1245" w:type="dxa"/>
            <w:vMerge w:val="restart"/>
            <w:tcBorders>
              <w:top w:val="nil"/>
            </w:tcBorders>
            <w:vAlign w:val="center"/>
          </w:tcPr>
          <w:p w:rsidR="00351316" w:rsidRPr="00FA5128" w:rsidRDefault="00351316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Wskaźnik ufności konsumenckiej </w:t>
            </w:r>
            <w:r w:rsidRPr="00E37334">
              <w:rPr>
                <w:rFonts w:ascii="Fira Sans" w:hAnsi="Fira Sans"/>
                <w:color w:val="000000" w:themeColor="text1"/>
                <w:sz w:val="16"/>
                <w:szCs w:val="16"/>
              </w:rPr>
              <w:t>BWUK</w:t>
            </w:r>
          </w:p>
        </w:tc>
      </w:tr>
      <w:tr w:rsidR="00E37334" w:rsidRPr="00FA5128" w:rsidTr="004E61ED">
        <w:trPr>
          <w:trHeight w:val="628"/>
        </w:trPr>
        <w:tc>
          <w:tcPr>
            <w:tcW w:w="1430" w:type="dxa"/>
            <w:gridSpan w:val="2"/>
            <w:vMerge w:val="restart"/>
            <w:vAlign w:val="center"/>
          </w:tcPr>
          <w:p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:rsidR="00E37334" w:rsidRP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Rok     Kwartał </w:t>
            </w:r>
          </w:p>
          <w:p w:rsidR="00E37334" w:rsidRPr="009C7251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        </w:t>
            </w: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</w:t>
            </w: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Miesiąc</w:t>
            </w:r>
          </w:p>
        </w:tc>
        <w:tc>
          <w:tcPr>
            <w:tcW w:w="1107" w:type="dxa"/>
            <w:vAlign w:val="center"/>
          </w:tcPr>
          <w:p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ostatnich 12 miesiącach</w:t>
            </w:r>
          </w:p>
        </w:tc>
        <w:tc>
          <w:tcPr>
            <w:tcW w:w="1105" w:type="dxa"/>
            <w:vAlign w:val="center"/>
          </w:tcPr>
          <w:p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najbliższych 12 miesiącach</w:t>
            </w:r>
          </w:p>
        </w:tc>
        <w:tc>
          <w:tcPr>
            <w:tcW w:w="973" w:type="dxa"/>
            <w:vAlign w:val="center"/>
          </w:tcPr>
          <w:p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ostatnich 12 miesiącach</w:t>
            </w:r>
          </w:p>
        </w:tc>
        <w:tc>
          <w:tcPr>
            <w:tcW w:w="1089" w:type="dxa"/>
            <w:vAlign w:val="center"/>
          </w:tcPr>
          <w:p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najbliższych 12 miesiącach</w:t>
            </w:r>
          </w:p>
        </w:tc>
        <w:tc>
          <w:tcPr>
            <w:tcW w:w="1130" w:type="dxa"/>
            <w:vMerge/>
            <w:vAlign w:val="center"/>
          </w:tcPr>
          <w:p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  <w:tc>
          <w:tcPr>
            <w:tcW w:w="1245" w:type="dxa"/>
            <w:vMerge/>
            <w:vAlign w:val="center"/>
          </w:tcPr>
          <w:p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</w:tr>
      <w:tr w:rsidR="00E37334" w:rsidRPr="00FA5128" w:rsidTr="004E61ED">
        <w:trPr>
          <w:trHeight w:val="20"/>
        </w:trPr>
        <w:tc>
          <w:tcPr>
            <w:tcW w:w="1430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:rsidR="00E37334" w:rsidRPr="00FA5128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07" w:type="dxa"/>
            <w:tcBorders>
              <w:bottom w:val="single" w:sz="12" w:space="0" w:color="212492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a</w:t>
            </w:r>
          </w:p>
        </w:tc>
        <w:tc>
          <w:tcPr>
            <w:tcW w:w="1105" w:type="dxa"/>
            <w:tcBorders>
              <w:bottom w:val="single" w:sz="12" w:space="0" w:color="212492"/>
            </w:tcBorders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b</w:t>
            </w:r>
          </w:p>
        </w:tc>
        <w:tc>
          <w:tcPr>
            <w:tcW w:w="973" w:type="dxa"/>
            <w:tcBorders>
              <w:bottom w:val="single" w:sz="12" w:space="0" w:color="212492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c</w:t>
            </w:r>
          </w:p>
        </w:tc>
        <w:tc>
          <w:tcPr>
            <w:tcW w:w="1089" w:type="dxa"/>
            <w:tcBorders>
              <w:bottom w:val="single" w:sz="12" w:space="0" w:color="212492"/>
            </w:tcBorders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d</w:t>
            </w:r>
          </w:p>
        </w:tc>
        <w:tc>
          <w:tcPr>
            <w:tcW w:w="1130" w:type="dxa"/>
            <w:tcBorders>
              <w:bottom w:val="single" w:sz="12" w:space="0" w:color="212492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e</w:t>
            </w:r>
          </w:p>
        </w:tc>
        <w:tc>
          <w:tcPr>
            <w:tcW w:w="1245" w:type="dxa"/>
            <w:vMerge/>
            <w:tcBorders>
              <w:bottom w:val="single" w:sz="12" w:space="0" w:color="212492"/>
            </w:tcBorders>
            <w:vAlign w:val="center"/>
          </w:tcPr>
          <w:p w:rsidR="00E37334" w:rsidRPr="00FA5128" w:rsidRDefault="00E37334" w:rsidP="00A201E6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E37334" w:rsidRPr="00FA5128" w:rsidTr="004E61ED">
        <w:trPr>
          <w:trHeight w:val="114"/>
        </w:trPr>
        <w:tc>
          <w:tcPr>
            <w:tcW w:w="1430" w:type="dxa"/>
            <w:gridSpan w:val="2"/>
            <w:tcBorders>
              <w:top w:val="single" w:sz="12" w:space="0" w:color="212492"/>
              <w:bottom w:val="nil"/>
            </w:tcBorders>
            <w:vAlign w:val="center"/>
          </w:tcPr>
          <w:p w:rsidR="00E37334" w:rsidRPr="00FA5128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404" w:type="dxa"/>
            <w:gridSpan w:val="5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E37334" w:rsidRPr="00E37334" w:rsidRDefault="00E37334" w:rsidP="00A201E6">
            <w:pPr>
              <w:spacing w:before="0" w:after="0" w:line="14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s</w:t>
            </w:r>
            <w:r w:rsidRPr="00E37334">
              <w:rPr>
                <w:rFonts w:cs="Arial"/>
                <w:color w:val="000000" w:themeColor="text1"/>
                <w:sz w:val="16"/>
                <w:szCs w:val="16"/>
              </w:rPr>
              <w:t>aldo ocen w procentach</w:t>
            </w:r>
          </w:p>
        </w:tc>
        <w:tc>
          <w:tcPr>
            <w:tcW w:w="1245" w:type="dxa"/>
            <w:tcBorders>
              <w:top w:val="single" w:sz="12" w:space="0" w:color="212492"/>
              <w:bottom w:val="nil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E37334" w:rsidRPr="00FA5128" w:rsidTr="00AF2F1E">
        <w:trPr>
          <w:trHeight w:val="156"/>
        </w:trPr>
        <w:tc>
          <w:tcPr>
            <w:tcW w:w="1430" w:type="dxa"/>
            <w:gridSpan w:val="2"/>
            <w:tcBorders>
              <w:top w:val="nil"/>
              <w:bottom w:val="single" w:sz="4" w:space="0" w:color="001D77"/>
            </w:tcBorders>
            <w:vAlign w:val="center"/>
          </w:tcPr>
          <w:p w:rsidR="00E37334" w:rsidRPr="00FA5128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212492"/>
              <w:bottom w:val="single" w:sz="4" w:space="0" w:color="001D77"/>
              <w:right w:val="nil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05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F2F1E">
              <w:rPr>
                <w:rFonts w:cs="Arial"/>
                <w:b/>
                <w:color w:val="000000" w:themeColor="text1"/>
                <w:sz w:val="14"/>
                <w:szCs w:val="16"/>
              </w:rPr>
              <w:t>Lata</w:t>
            </w:r>
          </w:p>
        </w:tc>
        <w:tc>
          <w:tcPr>
            <w:tcW w:w="1089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30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1D77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351316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2006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-18,2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-6,1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-26,2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-13,0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-11,1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-14,9</w:t>
            </w:r>
          </w:p>
        </w:tc>
      </w:tr>
      <w:tr w:rsidR="00351316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2007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-10,9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-1,9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-17,7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-6,6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1,3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-7,1</w:t>
            </w:r>
          </w:p>
        </w:tc>
      </w:tr>
      <w:tr w:rsidR="00351316" w:rsidRPr="00FA5128" w:rsidTr="005F0D73">
        <w:trPr>
          <w:trHeight w:val="14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2008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-10,6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-4,5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-16,6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-9,7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1,2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-8,0</w:t>
            </w:r>
          </w:p>
        </w:tc>
      </w:tr>
      <w:tr w:rsidR="00351316" w:rsidRPr="00FA5128" w:rsidTr="005F0D73">
        <w:trPr>
          <w:trHeight w:val="124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2009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-18,1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-11,1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-40,0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-26,5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-16,1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-22,3</w:t>
            </w:r>
          </w:p>
        </w:tc>
      </w:tr>
      <w:tr w:rsidR="00351316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2010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-17,2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-8,2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-31,2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-18,9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-9,2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-16,9</w:t>
            </w:r>
          </w:p>
        </w:tc>
      </w:tr>
      <w:tr w:rsidR="00351316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2011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-22,4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-14,6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-41,5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-30,8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-15,9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-25,0</w:t>
            </w:r>
          </w:p>
        </w:tc>
      </w:tr>
      <w:tr w:rsidR="00351316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2012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-25,4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-18,5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-46,5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-38,0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-19,3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-29,5</w:t>
            </w:r>
          </w:p>
        </w:tc>
      </w:tr>
      <w:tr w:rsidR="005357E1" w:rsidRPr="00FA5128" w:rsidTr="005F0D73">
        <w:trPr>
          <w:trHeight w:val="9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2013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-21,9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-13,6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-45,2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-31,2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-21,6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-26,7</w:t>
            </w:r>
          </w:p>
        </w:tc>
      </w:tr>
      <w:tr w:rsidR="004E61ED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2014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-15,7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-7,3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-29,9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-18,4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-13,7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-17,0</w:t>
            </w:r>
          </w:p>
        </w:tc>
      </w:tr>
      <w:tr w:rsidR="005357E1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2015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-10,7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-2,8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-21,5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-11,4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-8,2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-10,9</w:t>
            </w:r>
          </w:p>
        </w:tc>
      </w:tr>
      <w:tr w:rsidR="004E61ED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2016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-3,9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0,9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-11,0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-9,4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-2,5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-5,2</w:t>
            </w:r>
          </w:p>
        </w:tc>
      </w:tr>
      <w:tr w:rsidR="005357E1" w:rsidRPr="00FA5128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2017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0,1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1,8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-1,8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9,2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2,4</w:t>
            </w:r>
          </w:p>
        </w:tc>
      </w:tr>
      <w:tr w:rsidR="00434891" w:rsidRPr="00FA5128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34891" w:rsidRPr="005357E1" w:rsidRDefault="0043489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2018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0,6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8,7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12,8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5,7</w:t>
            </w:r>
          </w:p>
        </w:tc>
      </w:tr>
      <w:tr w:rsidR="001D4E28" w:rsidRPr="00FA5128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D4E28" w:rsidRDefault="001D4E28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4,8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6,3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9,7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1,2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16,4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7,7</w:t>
            </w:r>
          </w:p>
        </w:tc>
      </w:tr>
      <w:tr w:rsidR="005357E1" w:rsidRPr="00FA5128" w:rsidTr="005F0D73">
        <w:trPr>
          <w:trHeight w:val="124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right w:val="nil"/>
            </w:tcBorders>
            <w:vAlign w:val="bottom"/>
          </w:tcPr>
          <w:p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</w:pPr>
            <w:r w:rsidRPr="005357E1"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Kwartały</w:t>
            </w:r>
          </w:p>
        </w:tc>
        <w:tc>
          <w:tcPr>
            <w:tcW w:w="1089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2E0EE3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E0EE3" w:rsidRDefault="002E0EE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E0EE3" w:rsidRDefault="002E0EE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974CCD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2,1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974CCD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5,8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974CCD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7,8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974CCD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2,2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974CCD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13,8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E0EE3" w:rsidRDefault="00974CCD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6,3</w:t>
            </w:r>
          </w:p>
        </w:tc>
      </w:tr>
      <w:tr w:rsidR="0013245A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13245A" w:rsidRDefault="0013245A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13245A" w:rsidRDefault="0013245A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3245A" w:rsidRDefault="001A6ED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6,0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3245A" w:rsidRDefault="001A6ED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7,5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3245A" w:rsidRDefault="001A6ED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9,6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3245A" w:rsidRDefault="001A6ED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2,3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3245A" w:rsidRDefault="001A6ED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16,4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13245A" w:rsidRDefault="001A6ED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8,4</w:t>
            </w:r>
          </w:p>
        </w:tc>
      </w:tr>
      <w:tr w:rsidR="00B51B63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B51B63" w:rsidRDefault="00B51B6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B51B63" w:rsidRDefault="00B51B6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51B63" w:rsidRDefault="00E67AE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51B63" w:rsidRDefault="00E67AE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7,1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51B63" w:rsidRDefault="00E67AE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12,1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51B63" w:rsidRDefault="00E67AE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2,6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51B63" w:rsidRDefault="00E67AE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18,0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51B63" w:rsidRDefault="00E67AE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9,1</w:t>
            </w:r>
          </w:p>
        </w:tc>
      </w:tr>
      <w:tr w:rsidR="001D4E28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1D4E28" w:rsidRDefault="001D4E28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1D4E28" w:rsidRDefault="001D4E28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IV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5,1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4,6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9,3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-2,5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17,4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1D4E28" w:rsidRDefault="001D4E2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6,8</w:t>
            </w:r>
          </w:p>
        </w:tc>
      </w:tr>
      <w:tr w:rsidR="005357E1" w:rsidRPr="00FA5128" w:rsidTr="004E61ED">
        <w:trPr>
          <w:trHeight w:val="28"/>
        </w:trPr>
        <w:tc>
          <w:tcPr>
            <w:tcW w:w="1430" w:type="dxa"/>
            <w:gridSpan w:val="2"/>
            <w:tcBorders>
              <w:left w:val="nil"/>
              <w:right w:val="nil"/>
            </w:tcBorders>
            <w:vAlign w:val="bottom"/>
          </w:tcPr>
          <w:p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</w:pPr>
            <w:r w:rsidRPr="005357E1"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Miesiące</w:t>
            </w:r>
          </w:p>
        </w:tc>
        <w:tc>
          <w:tcPr>
            <w:tcW w:w="1089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1D4E28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1D4E28" w:rsidRPr="004E61ED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1,6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6,9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0,6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14,9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5,4</w:t>
            </w:r>
          </w:p>
        </w:tc>
      </w:tr>
      <w:tr w:rsidR="001D4E28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1,5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5,3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11,9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5,5</w:t>
            </w:r>
          </w:p>
        </w:tc>
      </w:tr>
      <w:tr w:rsidR="001D4E28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7,7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11,1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4,2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14,5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8,2</w:t>
            </w:r>
          </w:p>
        </w:tc>
      </w:tr>
      <w:tr w:rsidR="001D4E28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6,0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7,1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15,4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7,2</w:t>
            </w:r>
          </w:p>
        </w:tc>
      </w:tr>
      <w:tr w:rsidR="001D4E28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9,9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16,7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8,3</w:t>
            </w:r>
          </w:p>
        </w:tc>
      </w:tr>
      <w:tr w:rsidR="001D4E28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7,5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7,7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12,0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3,9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17,1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9,6</w:t>
            </w:r>
          </w:p>
        </w:tc>
      </w:tr>
      <w:tr w:rsidR="001D4E28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11,9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16,2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9,0</w:t>
            </w:r>
          </w:p>
        </w:tc>
      </w:tr>
      <w:tr w:rsidR="001D4E28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08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4,4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10,7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2,2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18,5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8,2</w:t>
            </w:r>
          </w:p>
        </w:tc>
      </w:tr>
      <w:tr w:rsidR="001D4E28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09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13,7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19,4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10,2</w:t>
            </w:r>
          </w:p>
        </w:tc>
      </w:tr>
      <w:tr w:rsidR="001D4E28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6,6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12,1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18,2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9,3</w:t>
            </w:r>
          </w:p>
        </w:tc>
      </w:tr>
      <w:tr w:rsidR="001D4E28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5,5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10,0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-3,0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16,1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6,7</w:t>
            </w:r>
          </w:p>
        </w:tc>
      </w:tr>
      <w:tr w:rsidR="001D4E28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3,3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5,6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-7,9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17,9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4,3</w:t>
            </w:r>
          </w:p>
        </w:tc>
      </w:tr>
      <w:tr w:rsidR="006348AB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6348AB" w:rsidRDefault="006348AB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348AB" w:rsidRDefault="006348AB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348AB" w:rsidRDefault="00BD6D1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348AB" w:rsidRDefault="00BD6D1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348AB" w:rsidRDefault="00BD6D1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348AB" w:rsidRDefault="00BD6D1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348AB" w:rsidRDefault="00BD6D1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16,1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6348AB" w:rsidRDefault="00BD6D1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3,7</w:t>
            </w:r>
          </w:p>
        </w:tc>
      </w:tr>
      <w:tr w:rsidR="001D4E28" w:rsidRPr="00FA5128" w:rsidTr="004E61ED">
        <w:trPr>
          <w:trHeight w:val="28"/>
        </w:trPr>
        <w:tc>
          <w:tcPr>
            <w:tcW w:w="1430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:rsidR="001D4E28" w:rsidRPr="007443DC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1D4E28" w:rsidRPr="007443DC" w:rsidRDefault="001D4E28" w:rsidP="001D4E2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1D4E28" w:rsidRPr="007443DC" w:rsidRDefault="001D4E28" w:rsidP="001D4E2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1D4E28" w:rsidRPr="007443DC" w:rsidRDefault="001D4E28" w:rsidP="001D4E2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1D4E28" w:rsidRPr="007443DC" w:rsidRDefault="001D4E28" w:rsidP="001D4E2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1D4E28" w:rsidRPr="007443DC" w:rsidRDefault="001D4E28" w:rsidP="001D4E2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:rsidR="001D4E28" w:rsidRPr="007443DC" w:rsidRDefault="001D4E28" w:rsidP="001D4E2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</w:tbl>
    <w:p w:rsidR="004E61ED" w:rsidRPr="00BA3562" w:rsidRDefault="0093660E" w:rsidP="00C074FD">
      <w:pPr>
        <w:rPr>
          <w:b/>
          <w:spacing w:val="-2"/>
          <w:sz w:val="18"/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4256" behindDoc="1" locked="0" layoutInCell="1" allowOverlap="1" wp14:anchorId="5663F93B" wp14:editId="545D424B">
                <wp:simplePos x="0" y="0"/>
                <wp:positionH relativeFrom="column">
                  <wp:posOffset>5242560</wp:posOffset>
                </wp:positionH>
                <wp:positionV relativeFrom="paragraph">
                  <wp:posOffset>178625</wp:posOffset>
                </wp:positionV>
                <wp:extent cx="1725295" cy="1508125"/>
                <wp:effectExtent l="0" t="0" r="0" b="0"/>
                <wp:wrapTight wrapText="bothSides">
                  <wp:wrapPolygon edited="0">
                    <wp:start x="715" y="0"/>
                    <wp:lineTo x="715" y="21282"/>
                    <wp:lineTo x="20749" y="21282"/>
                    <wp:lineTo x="20749" y="0"/>
                    <wp:lineTo x="715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08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0D6A" w:rsidRPr="0093660E" w:rsidRDefault="007B0D6A" w:rsidP="00273134">
                            <w:pPr>
                              <w:pStyle w:val="tytuwykresu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</w:pPr>
                            <w:r w:rsidRPr="0093660E"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>Bieżący wskaźnik ufności konsumenckiej jest średnią sald ocen zmian sytuacji finansowej gospodarstwa domowego, zmian ogólnej sytuacji ekonomicznej kraju oraz obecn</w:t>
                            </w:r>
                            <w:r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>ego dokonywania ważnych zakupów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63F93B" id="Pole tekstowe 12" o:spid="_x0000_s1030" type="#_x0000_t202" style="position:absolute;margin-left:412.8pt;margin-top:14.05pt;width:135.85pt;height:118.75pt;z-index:-251572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" filled="f" stroked="f">
                <v:textbox>
                  <w:txbxContent>
                    <w:p w:rsidR="007B0D6A" w:rsidRPr="0093660E" w:rsidRDefault="007B0D6A" w:rsidP="00273134">
                      <w:pPr>
                        <w:pStyle w:val="tytuwykresu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</w:pPr>
                      <w:r w:rsidRPr="0093660E"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>Bieżący wskaźnik ufności konsumenckiej jest średnią sald ocen zmian sytuacji finansowej gospodarstwa domowego, zmian ogólnej sytuacji ekonomicznej kraju oraz obecn</w:t>
                      </w:r>
                      <w:r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>ego dokonywania ważnych zakupów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074FD" w:rsidRPr="005A36AA">
        <w:rPr>
          <w:b/>
          <w:spacing w:val="-2"/>
          <w:sz w:val="18"/>
          <w:shd w:val="clear" w:color="auto" w:fill="FFFFFF"/>
        </w:rPr>
        <w:t>Tablica</w:t>
      </w:r>
      <w:r w:rsidR="00C074FD" w:rsidRPr="0057036A">
        <w:rPr>
          <w:b/>
          <w:spacing w:val="-2"/>
          <w:sz w:val="18"/>
          <w:shd w:val="clear" w:color="auto" w:fill="FFFFFF"/>
        </w:rPr>
        <w:t xml:space="preserve"> 1. </w:t>
      </w:r>
      <w:r w:rsidR="00A217E6">
        <w:rPr>
          <w:b/>
          <w:spacing w:val="-2"/>
          <w:sz w:val="18"/>
          <w:shd w:val="clear" w:color="auto" w:fill="FFFFFF"/>
        </w:rPr>
        <w:t>Bieżący</w:t>
      </w:r>
      <w:r w:rsidR="005A36AA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wskaźnik</w:t>
      </w:r>
      <w:r w:rsidR="005A36AA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ufności</w:t>
      </w:r>
      <w:r w:rsidR="005A36AA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konsumenckiej</w:t>
      </w:r>
    </w:p>
    <w:p w:rsidR="00712785" w:rsidRDefault="00712785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:rsidR="00FD7BD2" w:rsidRDefault="005F4EA6" w:rsidP="00072F74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53472" behindDoc="0" locked="0" layoutInCell="1" allowOverlap="1" wp14:anchorId="266F90A3" wp14:editId="210C8B98">
            <wp:simplePos x="0" y="0"/>
            <wp:positionH relativeFrom="margin">
              <wp:align>right</wp:align>
            </wp:positionH>
            <wp:positionV relativeFrom="margin">
              <wp:posOffset>379095</wp:posOffset>
            </wp:positionV>
            <wp:extent cx="5122545" cy="3911600"/>
            <wp:effectExtent l="0" t="0" r="1905" b="0"/>
            <wp:wrapSquare wrapText="bothSides"/>
            <wp:docPr id="25" name="Wykres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5906" w:rsidRPr="00C15772">
        <w:t xml:space="preserve">Wykres </w:t>
      </w:r>
      <w:r w:rsidR="00074DD8" w:rsidRPr="00C15772">
        <w:t>1</w:t>
      </w:r>
      <w:r w:rsidR="008F4441" w:rsidRPr="00C15772">
        <w:t>.</w:t>
      </w:r>
      <w:r w:rsidR="00074DD8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Bieżący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 ufności konsumenckiej</w:t>
      </w:r>
      <w:r w:rsidR="00C15772" w:rsidRPr="00C15772">
        <w:rPr>
          <w:shd w:val="clear" w:color="auto" w:fill="FFFFFF"/>
        </w:rPr>
        <w:t xml:space="preserve"> </w:t>
      </w:r>
      <w:r w:rsidR="00C15772">
        <w:rPr>
          <w:shd w:val="clear" w:color="auto" w:fill="FFFFFF"/>
        </w:rPr>
        <w:t xml:space="preserve">(BWUK) </w:t>
      </w:r>
      <w:r w:rsidR="00A217E6">
        <w:rPr>
          <w:shd w:val="clear" w:color="auto" w:fill="FFFFFF"/>
        </w:rPr>
        <w:t>oraz jego wartości składowe</w:t>
      </w:r>
      <w:r w:rsidR="00072F74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według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miesięcy w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latach</w:t>
      </w:r>
      <w:r w:rsidR="00F370FD">
        <w:rPr>
          <w:shd w:val="clear" w:color="auto" w:fill="FFFFFF"/>
        </w:rPr>
        <w:t xml:space="preserve"> 2017–2020</w:t>
      </w:r>
    </w:p>
    <w:p w:rsidR="00FD7BD2" w:rsidRPr="00FD7BD2" w:rsidRDefault="00FD7BD2" w:rsidP="00FD7BD2"/>
    <w:p w:rsidR="00053B77" w:rsidRDefault="007A7B28" w:rsidP="00053B77">
      <w:pPr>
        <w:pStyle w:val="tytuwykresu"/>
        <w:ind w:left="851" w:hanging="851"/>
        <w:rPr>
          <w:shd w:val="clear" w:color="auto" w:fill="FFFFFF"/>
        </w:rPr>
      </w:pPr>
      <w:r w:rsidRPr="007A7B28">
        <w:rPr>
          <w:noProof/>
          <w:szCs w:val="18"/>
          <w:lang w:eastAsia="pl-PL"/>
        </w:rPr>
        <w:drawing>
          <wp:anchor distT="0" distB="0" distL="114300" distR="114300" simplePos="0" relativeHeight="251755520" behindDoc="0" locked="0" layoutInCell="1" allowOverlap="1" wp14:anchorId="176742D5" wp14:editId="6F7B90FC">
            <wp:simplePos x="0" y="0"/>
            <wp:positionH relativeFrom="margin">
              <wp:align>right</wp:align>
            </wp:positionH>
            <wp:positionV relativeFrom="margin">
              <wp:posOffset>4672965</wp:posOffset>
            </wp:positionV>
            <wp:extent cx="5122545" cy="4269740"/>
            <wp:effectExtent l="0" t="0" r="1905" b="0"/>
            <wp:wrapSquare wrapText="bothSides"/>
            <wp:docPr id="26" name="Wykres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3B77" w:rsidRPr="00C15772">
        <w:t xml:space="preserve">Wykres </w:t>
      </w:r>
      <w:r w:rsidR="00053B77">
        <w:t>2</w:t>
      </w:r>
      <w:r w:rsidR="00053B77" w:rsidRPr="00C15772">
        <w:t>.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Bieżący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ufności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konsumenckiej</w:t>
      </w:r>
      <w:r w:rsidR="00053B77">
        <w:rPr>
          <w:shd w:val="clear" w:color="auto" w:fill="FFFFFF"/>
        </w:rPr>
        <w:t xml:space="preserve"> (BWUK) </w:t>
      </w:r>
      <w:r w:rsidR="00A217E6">
        <w:rPr>
          <w:shd w:val="clear" w:color="auto" w:fill="FFFFFF"/>
        </w:rPr>
        <w:t>oraz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jego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wartości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składowe według lat</w:t>
      </w:r>
    </w:p>
    <w:p w:rsidR="00B35A63" w:rsidRDefault="00FD7BD2" w:rsidP="00A866F2">
      <w:pPr>
        <w:tabs>
          <w:tab w:val="left" w:pos="3218"/>
        </w:tabs>
      </w:pPr>
      <w:r>
        <w:tab/>
      </w:r>
    </w:p>
    <w:tbl>
      <w:tblPr>
        <w:tblStyle w:val="Siatkatabelijasna"/>
        <w:tblpPr w:leftFromText="141" w:rightFromText="141" w:vertAnchor="text" w:horzAnchor="margin" w:tblpY="596"/>
        <w:tblW w:w="80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709"/>
        <w:gridCol w:w="639"/>
        <w:gridCol w:w="1346"/>
        <w:gridCol w:w="1417"/>
        <w:gridCol w:w="1559"/>
        <w:gridCol w:w="1276"/>
        <w:gridCol w:w="1098"/>
      </w:tblGrid>
      <w:tr w:rsidR="00A866F2" w:rsidRPr="00FA5128" w:rsidTr="002A3665">
        <w:trPr>
          <w:trHeight w:val="631"/>
        </w:trPr>
        <w:tc>
          <w:tcPr>
            <w:tcW w:w="1348" w:type="dxa"/>
            <w:gridSpan w:val="2"/>
            <w:vMerge w:val="restart"/>
            <w:tcBorders>
              <w:top w:val="nil"/>
            </w:tcBorders>
            <w:vAlign w:val="center"/>
          </w:tcPr>
          <w:p w:rsidR="00A866F2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lastRenderedPageBreak/>
              <w:t>Okres badania ankietowego</w:t>
            </w:r>
          </w:p>
          <w:p w:rsidR="00A866F2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:rsidR="00A866F2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:rsidR="00A866F2" w:rsidRPr="00E37334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Rok     Kwartał </w:t>
            </w:r>
          </w:p>
          <w:p w:rsidR="00A866F2" w:rsidRPr="009C7251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        </w:t>
            </w: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</w:t>
            </w: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Miesiąc</w:t>
            </w:r>
          </w:p>
        </w:tc>
        <w:tc>
          <w:tcPr>
            <w:tcW w:w="1346" w:type="dxa"/>
            <w:tcBorders>
              <w:top w:val="nil"/>
              <w:bottom w:val="single" w:sz="4" w:space="0" w:color="212492"/>
            </w:tcBorders>
            <w:vAlign w:val="center"/>
          </w:tcPr>
          <w:p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Zmiany sytuacji finansowej gospodarstwa domowego  </w:t>
            </w:r>
          </w:p>
        </w:tc>
        <w:tc>
          <w:tcPr>
            <w:tcW w:w="1417" w:type="dxa"/>
            <w:tcBorders>
              <w:top w:val="nil"/>
              <w:bottom w:val="single" w:sz="4" w:space="0" w:color="212492"/>
            </w:tcBorders>
            <w:vAlign w:val="center"/>
          </w:tcPr>
          <w:p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Zmiany ogólnej sytuacji ekonomicznej kraju</w:t>
            </w:r>
          </w:p>
        </w:tc>
        <w:tc>
          <w:tcPr>
            <w:tcW w:w="1559" w:type="dxa"/>
            <w:tcBorders>
              <w:top w:val="nil"/>
              <w:bottom w:val="single" w:sz="4" w:space="0" w:color="212492"/>
            </w:tcBorders>
            <w:vAlign w:val="center"/>
          </w:tcPr>
          <w:p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Zmiany poziomu bezrobocia (ze znakiem przeciwnym)</w:t>
            </w:r>
          </w:p>
        </w:tc>
        <w:tc>
          <w:tcPr>
            <w:tcW w:w="1276" w:type="dxa"/>
            <w:tcBorders>
              <w:top w:val="nil"/>
              <w:bottom w:val="single" w:sz="4" w:space="0" w:color="212492"/>
            </w:tcBorders>
            <w:vAlign w:val="center"/>
          </w:tcPr>
          <w:p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Oszczędzanie pieniędzy</w:t>
            </w:r>
          </w:p>
        </w:tc>
        <w:tc>
          <w:tcPr>
            <w:tcW w:w="1098" w:type="dxa"/>
            <w:vMerge w:val="restart"/>
            <w:tcBorders>
              <w:top w:val="nil"/>
            </w:tcBorders>
            <w:vAlign w:val="center"/>
          </w:tcPr>
          <w:p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Wskaźnik ufności konsumenckiej W</w:t>
            </w:r>
            <w:r w:rsidRPr="00E37334">
              <w:rPr>
                <w:rFonts w:ascii="Fira Sans" w:hAnsi="Fira Sans"/>
                <w:color w:val="000000" w:themeColor="text1"/>
                <w:sz w:val="16"/>
                <w:szCs w:val="16"/>
              </w:rPr>
              <w:t>WUK</w:t>
            </w:r>
          </w:p>
        </w:tc>
      </w:tr>
      <w:tr w:rsidR="00A866F2" w:rsidRPr="00FA5128" w:rsidTr="002A3665">
        <w:trPr>
          <w:trHeight w:val="20"/>
        </w:trPr>
        <w:tc>
          <w:tcPr>
            <w:tcW w:w="1348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:rsidR="00A866F2" w:rsidRPr="00FA5128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346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b</w:t>
            </w:r>
          </w:p>
        </w:tc>
        <w:tc>
          <w:tcPr>
            <w:tcW w:w="1417" w:type="dxa"/>
            <w:tcBorders>
              <w:top w:val="single" w:sz="4" w:space="0" w:color="212492"/>
              <w:bottom w:val="single" w:sz="12" w:space="0" w:color="212492"/>
            </w:tcBorders>
          </w:tcPr>
          <w:p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d</w:t>
            </w:r>
          </w:p>
        </w:tc>
        <w:tc>
          <w:tcPr>
            <w:tcW w:w="1559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f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12" w:space="0" w:color="212492"/>
            </w:tcBorders>
          </w:tcPr>
          <w:p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g</w:t>
            </w:r>
          </w:p>
        </w:tc>
        <w:tc>
          <w:tcPr>
            <w:tcW w:w="1098" w:type="dxa"/>
            <w:vMerge/>
            <w:tcBorders>
              <w:bottom w:val="single" w:sz="12" w:space="0" w:color="212492"/>
            </w:tcBorders>
            <w:vAlign w:val="center"/>
          </w:tcPr>
          <w:p w:rsidR="00A866F2" w:rsidRPr="00FA5128" w:rsidRDefault="00A866F2" w:rsidP="00FC64E0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2A3665" w:rsidRPr="00FA5128" w:rsidTr="002A3665">
        <w:trPr>
          <w:trHeight w:val="168"/>
        </w:trPr>
        <w:tc>
          <w:tcPr>
            <w:tcW w:w="1348" w:type="dxa"/>
            <w:gridSpan w:val="2"/>
            <w:tcBorders>
              <w:top w:val="nil"/>
              <w:bottom w:val="nil"/>
            </w:tcBorders>
            <w:vAlign w:val="center"/>
          </w:tcPr>
          <w:p w:rsidR="002A3665" w:rsidRPr="00FA5128" w:rsidRDefault="002A3665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598" w:type="dxa"/>
            <w:gridSpan w:val="4"/>
            <w:tcBorders>
              <w:top w:val="single" w:sz="12" w:space="0" w:color="212492"/>
              <w:bottom w:val="single" w:sz="4" w:space="0" w:color="001D77"/>
              <w:right w:val="single" w:sz="4" w:space="0" w:color="212492"/>
            </w:tcBorders>
            <w:vAlign w:val="center"/>
          </w:tcPr>
          <w:p w:rsidR="002A3665" w:rsidRPr="00FA5128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2A3665">
              <w:rPr>
                <w:rFonts w:cs="Arial"/>
                <w:color w:val="000000" w:themeColor="text1"/>
                <w:sz w:val="16"/>
                <w:szCs w:val="16"/>
              </w:rPr>
              <w:t>saldo ocen w procentach</w:t>
            </w:r>
          </w:p>
        </w:tc>
        <w:tc>
          <w:tcPr>
            <w:tcW w:w="1098" w:type="dxa"/>
            <w:tcBorders>
              <w:top w:val="nil"/>
              <w:left w:val="single" w:sz="4" w:space="0" w:color="212492"/>
              <w:bottom w:val="nil"/>
            </w:tcBorders>
            <w:vAlign w:val="center"/>
          </w:tcPr>
          <w:p w:rsidR="002A3665" w:rsidRPr="00FA5128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C63004" w:rsidRPr="00FA5128" w:rsidTr="00AF2F1E">
        <w:trPr>
          <w:trHeight w:val="126"/>
        </w:trPr>
        <w:tc>
          <w:tcPr>
            <w:tcW w:w="1348" w:type="dxa"/>
            <w:gridSpan w:val="2"/>
            <w:tcBorders>
              <w:top w:val="nil"/>
              <w:bottom w:val="single" w:sz="4" w:space="0" w:color="212492"/>
            </w:tcBorders>
            <w:vAlign w:val="center"/>
          </w:tcPr>
          <w:p w:rsidR="00C63004" w:rsidRPr="00FA5128" w:rsidRDefault="00C63004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:rsidR="00C63004" w:rsidRPr="00FA5128" w:rsidRDefault="00C63004" w:rsidP="00C63004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F2F1E">
              <w:rPr>
                <w:rFonts w:cs="Arial"/>
                <w:b/>
                <w:color w:val="000000" w:themeColor="text1"/>
                <w:sz w:val="14"/>
                <w:szCs w:val="16"/>
              </w:rPr>
              <w:t>Lata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212492"/>
            </w:tcBorders>
            <w:vAlign w:val="center"/>
          </w:tcPr>
          <w:p w:rsidR="00C63004" w:rsidRPr="00FA5128" w:rsidRDefault="00C63004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2A3665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-13,0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-48,3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-18,5</w:t>
            </w:r>
          </w:p>
        </w:tc>
      </w:tr>
      <w:tr w:rsidR="002A3665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-6,6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17,6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-40,7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-7,9</w:t>
            </w:r>
          </w:p>
        </w:tc>
      </w:tr>
      <w:tr w:rsidR="002A3665" w:rsidRPr="00FA5128" w:rsidTr="00C63004">
        <w:trPr>
          <w:trHeight w:val="14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-9,7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5,1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-11,6</w:t>
            </w:r>
          </w:p>
        </w:tc>
      </w:tr>
      <w:tr w:rsidR="002A3665" w:rsidRPr="00FA5128" w:rsidTr="00C63004">
        <w:trPr>
          <w:trHeight w:val="124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-26,5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-54,6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-32,5</w:t>
            </w:r>
          </w:p>
        </w:tc>
      </w:tr>
      <w:tr w:rsidR="002A3665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2010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-8,2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-34,4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-32,0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-23,5</w:t>
            </w:r>
          </w:p>
        </w:tc>
      </w:tr>
      <w:tr w:rsidR="002A3665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-14,6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-30,8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-37,0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-29,8</w:t>
            </w:r>
          </w:p>
        </w:tc>
      </w:tr>
      <w:tr w:rsidR="002A3665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-38,0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-53,3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-36,9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-36,7</w:t>
            </w:r>
          </w:p>
        </w:tc>
      </w:tr>
      <w:tr w:rsidR="002A3665" w:rsidRPr="00FA5128" w:rsidTr="00C63004">
        <w:trPr>
          <w:trHeight w:val="9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2013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-13,6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-31,2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-53,7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-33,7</w:t>
            </w:r>
          </w:p>
        </w:tc>
      </w:tr>
      <w:tr w:rsidR="00C63004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2014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-7,3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-31,1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-30,5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-21,8</w:t>
            </w:r>
          </w:p>
        </w:tc>
      </w:tr>
      <w:tr w:rsidR="002A3665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-19,7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-26,3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-15,1</w:t>
            </w:r>
          </w:p>
        </w:tc>
      </w:tr>
      <w:tr w:rsidR="00C63004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0,9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-9,4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-7,8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-8,6</w:t>
            </w:r>
          </w:p>
        </w:tc>
      </w:tr>
      <w:tr w:rsidR="002A3665" w:rsidRPr="00FA5128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8,5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-10,6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-0,3</w:t>
            </w:r>
          </w:p>
        </w:tc>
      </w:tr>
      <w:tr w:rsidR="00BA728E" w:rsidRPr="00FA5128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Pr="005357E1" w:rsidRDefault="00BA728E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2,9</w:t>
            </w:r>
          </w:p>
        </w:tc>
      </w:tr>
      <w:tr w:rsidR="00730701" w:rsidRPr="00FA5128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30701" w:rsidRDefault="00730701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4,0</w:t>
            </w:r>
          </w:p>
        </w:tc>
      </w:tr>
      <w:tr w:rsidR="00C63004" w:rsidRPr="00FA5128" w:rsidTr="00AF2F1E">
        <w:trPr>
          <w:trHeight w:val="124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right w:val="nil"/>
            </w:tcBorders>
            <w:vAlign w:val="bottom"/>
          </w:tcPr>
          <w:p w:rsidR="00C63004" w:rsidRPr="007443DC" w:rsidRDefault="00C63004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C63004" w:rsidRPr="007443DC" w:rsidRDefault="00C63004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5357E1"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Kwartały</w:t>
            </w:r>
          </w:p>
        </w:tc>
        <w:tc>
          <w:tcPr>
            <w:tcW w:w="1098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C63004" w:rsidRPr="007443DC" w:rsidRDefault="00C6300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2E0EE3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E0EE3" w:rsidRDefault="002E0EE3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:rsidR="002E0EE3" w:rsidRDefault="002E0EE3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DB2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DB2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DB2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DB2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-2,7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E0EE3" w:rsidRDefault="00DB2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3,4</w:t>
            </w:r>
          </w:p>
        </w:tc>
      </w:tr>
      <w:tr w:rsidR="0013245A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13245A" w:rsidRDefault="0013245A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:rsidR="0013245A" w:rsidRDefault="0013245A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3245A" w:rsidRDefault="003E667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3245A" w:rsidRDefault="003E667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2,3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3245A" w:rsidRDefault="003E667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3245A" w:rsidRDefault="003E667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13245A" w:rsidRDefault="003E667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5,3</w:t>
            </w:r>
          </w:p>
        </w:tc>
      </w:tr>
      <w:tr w:rsidR="003C6EFB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3C6EFB" w:rsidRDefault="003C6EFB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:rsidR="003C6EFB" w:rsidRDefault="003C6EFB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3C6EFB" w:rsidRDefault="0053646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3C6EFB" w:rsidRDefault="0053646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2,6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3C6EFB" w:rsidRDefault="0053646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3C6EFB" w:rsidRDefault="0053646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3C6EFB" w:rsidRDefault="0053646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5,6</w:t>
            </w:r>
          </w:p>
        </w:tc>
      </w:tr>
      <w:tr w:rsidR="00730701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730701" w:rsidRDefault="00730701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:rsidR="00730701" w:rsidRDefault="00730701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IV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</w:t>
            </w:r>
            <w:r w:rsidR="003D0689">
              <w:rPr>
                <w:rFonts w:cs="Arial"/>
                <w:sz w:val="14"/>
                <w:szCs w:val="20"/>
              </w:rPr>
              <w:t>,</w:t>
            </w:r>
            <w:r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1,7</w:t>
            </w:r>
          </w:p>
        </w:tc>
      </w:tr>
      <w:tr w:rsidR="00AF2F1E" w:rsidRPr="00FA5128" w:rsidTr="00FC64E0">
        <w:trPr>
          <w:trHeight w:val="28"/>
        </w:trPr>
        <w:tc>
          <w:tcPr>
            <w:tcW w:w="1348" w:type="dxa"/>
            <w:gridSpan w:val="2"/>
            <w:tcBorders>
              <w:left w:val="nil"/>
              <w:right w:val="nil"/>
            </w:tcBorders>
            <w:vAlign w:val="center"/>
          </w:tcPr>
          <w:p w:rsidR="00AF2F1E" w:rsidRPr="007443DC" w:rsidRDefault="00AF2F1E" w:rsidP="00AF2F1E">
            <w:pPr>
              <w:pStyle w:val="Tekstprzypisudolnego"/>
              <w:spacing w:before="0"/>
              <w:contextualSpacing/>
              <w:jc w:val="center"/>
              <w:rPr>
                <w:rFonts w:cs="Arial"/>
                <w:sz w:val="14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:rsidR="00AF2F1E" w:rsidRPr="007443DC" w:rsidRDefault="00AF2F1E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5357E1"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Miesiące</w:t>
            </w:r>
          </w:p>
        </w:tc>
        <w:tc>
          <w:tcPr>
            <w:tcW w:w="1098" w:type="dxa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:rsidR="00AF2F1E" w:rsidRPr="007443DC" w:rsidRDefault="00AF2F1E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71278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712785" w:rsidRPr="004E61ED" w:rsidRDefault="0071278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12785" w:rsidRDefault="0071278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12785" w:rsidRDefault="002D428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12785" w:rsidRDefault="002D428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0,6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12785" w:rsidRDefault="002D428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12785" w:rsidRDefault="002D428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-1,6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712785" w:rsidRDefault="002D428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2,2</w:t>
            </w:r>
          </w:p>
        </w:tc>
      </w:tr>
      <w:tr w:rsidR="00B413B9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B413B9" w:rsidRDefault="00B413B9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3B9" w:rsidRDefault="00B413B9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3B9" w:rsidRDefault="00F344C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3B9" w:rsidRDefault="00F344C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3B9" w:rsidRDefault="00F344C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3B9" w:rsidRDefault="00F344C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413B9" w:rsidRDefault="00F344C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3,2</w:t>
            </w:r>
          </w:p>
        </w:tc>
      </w:tr>
      <w:tr w:rsidR="0079582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795825" w:rsidRDefault="0079582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95825" w:rsidRDefault="0079582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95825" w:rsidRDefault="00AB323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7,7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95825" w:rsidRDefault="00AB323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95825" w:rsidRDefault="00AB323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95825" w:rsidRDefault="00AB323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795825" w:rsidRDefault="00AB323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4,7</w:t>
            </w:r>
          </w:p>
        </w:tc>
      </w:tr>
      <w:tr w:rsidR="002E0EE3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E0EE3" w:rsidRDefault="002E0EE3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2E0EE3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335B4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335B4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335B4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335B4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E0EE3" w:rsidRDefault="00335B4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3,5</w:t>
            </w:r>
          </w:p>
        </w:tc>
      </w:tr>
      <w:tr w:rsidR="00D36D38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D36D38" w:rsidRDefault="00D36D38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D36D38" w:rsidRDefault="00D36D38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D36D38" w:rsidRDefault="00E5349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D36D38" w:rsidRDefault="00E5349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D36D38" w:rsidRDefault="00E5349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10,0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D36D38" w:rsidRDefault="00E5349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D36D38" w:rsidRDefault="00E5349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4,9</w:t>
            </w:r>
          </w:p>
        </w:tc>
      </w:tr>
      <w:tr w:rsidR="0013245A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13245A" w:rsidRDefault="0013245A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3245A" w:rsidRDefault="0013245A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3245A" w:rsidRDefault="00826E3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7,7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3245A" w:rsidRDefault="00826E3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3245A" w:rsidRDefault="00826E3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15,3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3245A" w:rsidRDefault="00826E3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13245A" w:rsidRDefault="00826E3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7,5</w:t>
            </w:r>
          </w:p>
        </w:tc>
      </w:tr>
      <w:tr w:rsidR="00E87266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E87266" w:rsidRDefault="00E87266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87266" w:rsidRDefault="00E87266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87266" w:rsidRDefault="00E8726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87266" w:rsidRDefault="00E8726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87266" w:rsidRDefault="00E8726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87266" w:rsidRDefault="00E8726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E87266" w:rsidRDefault="00E8726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5,9</w:t>
            </w:r>
          </w:p>
        </w:tc>
      </w:tr>
      <w:tr w:rsidR="00780119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780119" w:rsidRDefault="00780119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80119" w:rsidRDefault="00780119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80119" w:rsidRDefault="007801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4,4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80119" w:rsidRDefault="007801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80119" w:rsidRDefault="007801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80119" w:rsidRDefault="007801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780119" w:rsidRDefault="007801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3,9</w:t>
            </w:r>
          </w:p>
        </w:tc>
      </w:tr>
      <w:tr w:rsidR="003C6EFB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3C6EFB" w:rsidRDefault="003C6EFB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3C6EFB" w:rsidRDefault="003C6EFB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3C6EFB" w:rsidRDefault="00E67AE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3C6EFB" w:rsidRDefault="00E67AE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3C6EFB" w:rsidRDefault="00E67AE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3C6EFB" w:rsidRDefault="00E67AE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3C6EFB" w:rsidRDefault="00E67AE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7,0</w:t>
            </w:r>
          </w:p>
        </w:tc>
      </w:tr>
      <w:tr w:rsidR="00F54C16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F54C16" w:rsidRDefault="00F54C16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F54C16" w:rsidRDefault="00F54C16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F54C16" w:rsidRDefault="006C35F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F54C16" w:rsidRDefault="006C35F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F54C16" w:rsidRDefault="006C35F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F54C16" w:rsidRDefault="006C35F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F54C16" w:rsidRDefault="006C35F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3,6</w:t>
            </w:r>
          </w:p>
        </w:tc>
      </w:tr>
      <w:tr w:rsidR="00D77FEA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D77FEA" w:rsidRDefault="00D77FEA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D77FEA" w:rsidRDefault="00D77FEA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D77FEA" w:rsidRDefault="00AA3BA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D77FEA" w:rsidRDefault="00AA3BA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-3,0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D77FEA" w:rsidRDefault="00AA3BA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2,9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D77FEA" w:rsidRDefault="00AA3BA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D77FEA" w:rsidRDefault="00AA3BA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2,2</w:t>
            </w:r>
          </w:p>
        </w:tc>
      </w:tr>
      <w:tr w:rsidR="00730701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730701" w:rsidRDefault="00730701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30701" w:rsidRDefault="00730701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-0,8</w:t>
            </w:r>
          </w:p>
        </w:tc>
      </w:tr>
      <w:tr w:rsidR="006348AB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6348AB" w:rsidRDefault="006348AB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348AB" w:rsidRDefault="006348AB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348AB" w:rsidRDefault="00CE6A4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348AB" w:rsidRDefault="00CE6A4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348AB" w:rsidRDefault="00CE6A4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348AB" w:rsidRDefault="00CE6A4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6348AB" w:rsidRDefault="00CE6A4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-0,6</w:t>
            </w:r>
          </w:p>
        </w:tc>
      </w:tr>
      <w:tr w:rsidR="002A3665" w:rsidRPr="00FA5128" w:rsidTr="00A866F2">
        <w:trPr>
          <w:trHeight w:val="28"/>
        </w:trPr>
        <w:tc>
          <w:tcPr>
            <w:tcW w:w="1348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:rsidR="00E41497" w:rsidRPr="007443DC" w:rsidRDefault="00E41497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34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</w:tbl>
    <w:p w:rsidR="004E61ED" w:rsidRDefault="0093660E" w:rsidP="00A866F2">
      <w:pPr>
        <w:ind w:left="851" w:hanging="851"/>
        <w:rPr>
          <w:b/>
          <w:spacing w:val="-2"/>
          <w:sz w:val="18"/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6BD52DDD" wp14:editId="6C4D5CD0">
                <wp:simplePos x="0" y="0"/>
                <wp:positionH relativeFrom="column">
                  <wp:posOffset>5242560</wp:posOffset>
                </wp:positionH>
                <wp:positionV relativeFrom="paragraph">
                  <wp:posOffset>310325</wp:posOffset>
                </wp:positionV>
                <wp:extent cx="1725295" cy="1579245"/>
                <wp:effectExtent l="0" t="0" r="0" b="1905"/>
                <wp:wrapTight wrapText="bothSides">
                  <wp:wrapPolygon edited="0">
                    <wp:start x="715" y="0"/>
                    <wp:lineTo x="715" y="21366"/>
                    <wp:lineTo x="20749" y="21366"/>
                    <wp:lineTo x="20749" y="0"/>
                    <wp:lineTo x="715" y="0"/>
                  </wp:wrapPolygon>
                </wp:wrapTight>
                <wp:docPr id="13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792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0D6A" w:rsidRPr="0093660E" w:rsidRDefault="007B0D6A" w:rsidP="00273134">
                            <w:pPr>
                              <w:spacing w:before="0" w:after="160" w:line="259" w:lineRule="aut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9366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Wyprzedzający wskaźnik ufności konsumenckiej jest średnią sald ocen zmian sytuacji finansowej gospodarstwa domowego, ogólnej sytuacji ekonomicznej kraju, trendów poziomu bezrobocia (ze znakiem przeciwnym) i oszczędzania pienięd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zy w najbliższych 12 miesiącach</w:t>
                            </w:r>
                          </w:p>
                          <w:p w:rsidR="007B0D6A" w:rsidRPr="0093660E" w:rsidRDefault="007B0D6A" w:rsidP="0093660E">
                            <w:pPr>
                              <w:pStyle w:val="tytuwykresu"/>
                              <w:jc w:val="both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D52DDD" id="Pole tekstowe 13" o:spid="_x0000_s1031" type="#_x0000_t202" style="position:absolute;left:0;text-align:left;margin-left:412.8pt;margin-top:24.45pt;width:135.85pt;height:124.35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" filled="f" stroked="f">
                <v:textbox>
                  <w:txbxContent>
                    <w:p w:rsidR="007B0D6A" w:rsidRPr="0093660E" w:rsidRDefault="007B0D6A" w:rsidP="00273134">
                      <w:pPr>
                        <w:spacing w:before="0" w:after="160" w:line="259" w:lineRule="aut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9366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Wyprzedzający wskaźnik ufności konsumenckiej jest średnią sald ocen zmian sytuacji finansowej gospodarstwa domowego, ogólnej sytuacji ekonomicznej kraju, trendów poziomu bezrobocia (ze znakiem przeciwnym) i oszczędzania pienięd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zy w najbliższych 12 miesiącach</w:t>
                      </w:r>
                    </w:p>
                    <w:p w:rsidR="007B0D6A" w:rsidRPr="0093660E" w:rsidRDefault="007B0D6A" w:rsidP="0093660E">
                      <w:pPr>
                        <w:pStyle w:val="tytuwykresu"/>
                        <w:jc w:val="both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4E61ED" w:rsidRPr="005A36AA">
        <w:rPr>
          <w:b/>
          <w:spacing w:val="-2"/>
          <w:sz w:val="18"/>
          <w:shd w:val="clear" w:color="auto" w:fill="FFFFFF"/>
        </w:rPr>
        <w:t>Tablica</w:t>
      </w:r>
      <w:r w:rsidR="004E61ED">
        <w:rPr>
          <w:b/>
          <w:spacing w:val="-2"/>
          <w:sz w:val="18"/>
          <w:shd w:val="clear" w:color="auto" w:fill="FFFFFF"/>
        </w:rPr>
        <w:t xml:space="preserve"> 2</w:t>
      </w:r>
      <w:r w:rsidR="004E61ED" w:rsidRPr="0057036A">
        <w:rPr>
          <w:b/>
          <w:spacing w:val="-2"/>
          <w:sz w:val="18"/>
          <w:shd w:val="clear" w:color="auto" w:fill="FFFFFF"/>
        </w:rPr>
        <w:t xml:space="preserve">. </w:t>
      </w:r>
      <w:r w:rsidR="00A217E6">
        <w:rPr>
          <w:b/>
          <w:spacing w:val="-2"/>
          <w:sz w:val="18"/>
          <w:shd w:val="clear" w:color="auto" w:fill="FFFFFF"/>
        </w:rPr>
        <w:t>Wyprzedzający</w:t>
      </w:r>
      <w:r w:rsidR="004E61ED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wskaźnik</w:t>
      </w:r>
      <w:r w:rsidR="00A217E6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ufności</w:t>
      </w:r>
      <w:r w:rsidR="00A217E6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konsumenckiej</w:t>
      </w:r>
    </w:p>
    <w:p w:rsidR="00712785" w:rsidRDefault="00712785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:rsidR="00C562B2" w:rsidRDefault="007F4E3D" w:rsidP="00C562B2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47328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474980</wp:posOffset>
            </wp:positionV>
            <wp:extent cx="5122545" cy="3832225"/>
            <wp:effectExtent l="0" t="0" r="1905" b="0"/>
            <wp:wrapSquare wrapText="bothSides"/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2B2" w:rsidRPr="00C15772">
        <w:t xml:space="preserve">Wykres </w:t>
      </w:r>
      <w:r w:rsidR="00C562B2">
        <w:t>3</w:t>
      </w:r>
      <w:r w:rsidR="00C562B2" w:rsidRPr="00C15772">
        <w:t>.</w:t>
      </w:r>
      <w:r w:rsidR="00C562B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Wyprzedzający</w:t>
      </w:r>
      <w:r w:rsidR="00C562B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 ufności konsumenckiej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(WWUK) oraz jego wartości składowe według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miesięcy w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latach</w:t>
      </w:r>
      <w:r w:rsidR="00F370FD">
        <w:rPr>
          <w:shd w:val="clear" w:color="auto" w:fill="FFFFFF"/>
        </w:rPr>
        <w:t xml:space="preserve"> 2017–2020</w:t>
      </w:r>
    </w:p>
    <w:p w:rsidR="00C562B2" w:rsidRPr="00FD7BD2" w:rsidRDefault="00C562B2" w:rsidP="00C562B2"/>
    <w:p w:rsidR="00C562B2" w:rsidRDefault="003B3271" w:rsidP="00C562B2">
      <w:pPr>
        <w:pStyle w:val="tytuwykresu"/>
        <w:ind w:left="851" w:hanging="851"/>
        <w:rPr>
          <w:shd w:val="clear" w:color="auto" w:fill="FFFFFF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51424" behindDoc="0" locked="0" layoutInCell="1" allowOverlap="1">
                <wp:simplePos x="0" y="0"/>
                <wp:positionH relativeFrom="column">
                  <wp:posOffset>337047</wp:posOffset>
                </wp:positionH>
                <wp:positionV relativeFrom="paragraph">
                  <wp:posOffset>3452495</wp:posOffset>
                </wp:positionV>
                <wp:extent cx="1502410" cy="269875"/>
                <wp:effectExtent l="0" t="0" r="2540" b="0"/>
                <wp:wrapSquare wrapText="bothSides"/>
                <wp:docPr id="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2410" cy="26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0D6A" w:rsidRPr="003B3271" w:rsidRDefault="007B0D6A" w:rsidP="003B3271">
                            <w:pPr>
                              <w:spacing w:before="0" w:after="0"/>
                              <w:rPr>
                                <w:sz w:val="14"/>
                              </w:rPr>
                            </w:pPr>
                            <w:r w:rsidRPr="003B3271">
                              <w:rPr>
                                <w:sz w:val="14"/>
                              </w:rPr>
                              <w:t>** kwiecień, lipiec, październik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26.55pt;margin-top:271.85pt;width:118.3pt;height:21.25pt;z-index:2517514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" stroked="f">
                <v:textbox>
                  <w:txbxContent>
                    <w:p w:rsidR="007B0D6A" w:rsidRPr="003B3271" w:rsidRDefault="007B0D6A" w:rsidP="003B3271">
                      <w:pPr>
                        <w:spacing w:before="0" w:after="0"/>
                        <w:rPr>
                          <w:sz w:val="14"/>
                        </w:rPr>
                      </w:pPr>
                      <w:r w:rsidRPr="003B3271">
                        <w:rPr>
                          <w:sz w:val="14"/>
                        </w:rPr>
                        <w:t>** kwiecień, lipiec, październik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41AC1">
        <w:rPr>
          <w:noProof/>
          <w:lang w:eastAsia="pl-PL"/>
        </w:rPr>
        <w:drawing>
          <wp:anchor distT="0" distB="0" distL="114300" distR="114300" simplePos="0" relativeHeight="251749376" behindDoc="0" locked="0" layoutInCell="1" allowOverlap="1" wp14:anchorId="6A496C9D" wp14:editId="1DD8A87E">
            <wp:simplePos x="0" y="0"/>
            <wp:positionH relativeFrom="margin">
              <wp:align>right</wp:align>
            </wp:positionH>
            <wp:positionV relativeFrom="margin">
              <wp:posOffset>4935220</wp:posOffset>
            </wp:positionV>
            <wp:extent cx="5122545" cy="3927475"/>
            <wp:effectExtent l="0" t="0" r="1905" b="0"/>
            <wp:wrapSquare wrapText="bothSides"/>
            <wp:docPr id="15" name="Wykres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2B2" w:rsidRPr="00C15772">
        <w:t xml:space="preserve">Wykres </w:t>
      </w:r>
      <w:r w:rsidR="00C562B2">
        <w:t>4</w:t>
      </w:r>
      <w:r w:rsidR="00C562B2" w:rsidRPr="00C15772">
        <w:t>.</w:t>
      </w:r>
      <w:r w:rsidR="00C562B2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Wyprzedzający</w:t>
      </w:r>
      <w:r w:rsidR="00C562B2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wskaźnik</w:t>
      </w:r>
      <w:r w:rsidR="00F87A89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ufności</w:t>
      </w:r>
      <w:r w:rsidR="00F87A89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konsumenckiej (WWUK) oraz jego wartości składowe według lat</w:t>
      </w:r>
    </w:p>
    <w:p w:rsidR="00CF6348" w:rsidRDefault="00CF6348" w:rsidP="00C562B2">
      <w:pPr>
        <w:pStyle w:val="tytuwykresu"/>
        <w:ind w:left="851" w:hanging="851"/>
        <w:rPr>
          <w:shd w:val="clear" w:color="auto" w:fill="FFFFFF"/>
        </w:rPr>
      </w:pPr>
    </w:p>
    <w:p w:rsidR="00CF6348" w:rsidRDefault="00CF6348" w:rsidP="00C562B2">
      <w:pPr>
        <w:pStyle w:val="tytuwykresu"/>
        <w:ind w:left="851" w:hanging="851"/>
        <w:rPr>
          <w:shd w:val="clear" w:color="auto" w:fill="FFFFFF"/>
        </w:rPr>
      </w:pPr>
    </w:p>
    <w:p w:rsidR="00CF6348" w:rsidRPr="00CF6348" w:rsidRDefault="00CF6348" w:rsidP="00CF6348">
      <w:pPr>
        <w:rPr>
          <w:lang w:eastAsia="pl-PL"/>
        </w:rPr>
      </w:pPr>
    </w:p>
    <w:p w:rsidR="00694AF0" w:rsidRPr="00001C5B" w:rsidRDefault="00694AF0" w:rsidP="00E76D26">
      <w:pPr>
        <w:rPr>
          <w:sz w:val="18"/>
        </w:rPr>
        <w:sectPr w:rsidR="00694AF0" w:rsidRPr="00001C5B" w:rsidSect="009950DE">
          <w:headerReference w:type="default" r:id="rId16"/>
          <w:footerReference w:type="default" r:id="rId17"/>
          <w:headerReference w:type="first" r:id="rId18"/>
          <w:footerReference w:type="first" r:id="rId19"/>
          <w:footnotePr>
            <w:numFmt w:val="chicago"/>
          </w:footnotePr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3"/>
        <w:gridCol w:w="3824"/>
      </w:tblGrid>
      <w:tr w:rsidR="00076F85" w:rsidRPr="008F3638" w:rsidTr="007B0D6A">
        <w:trPr>
          <w:trHeight w:val="1912"/>
        </w:trPr>
        <w:tc>
          <w:tcPr>
            <w:tcW w:w="4379" w:type="dxa"/>
          </w:tcPr>
          <w:p w:rsidR="00076F85" w:rsidRPr="008F3638" w:rsidRDefault="00076F85" w:rsidP="00076F85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076F85" w:rsidRDefault="00076F85" w:rsidP="00076F85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Łodzi</w:t>
            </w:r>
          </w:p>
          <w:p w:rsidR="00076F85" w:rsidRDefault="00076F85" w:rsidP="00076F85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956F30">
              <w:rPr>
                <w:rFonts w:cs="Arial"/>
                <w:b/>
                <w:color w:val="000000" w:themeColor="text1"/>
                <w:sz w:val="20"/>
              </w:rPr>
              <w:t xml:space="preserve">Dyrektor </w:t>
            </w:r>
            <w:r w:rsidRPr="00076F85">
              <w:rPr>
                <w:rFonts w:cs="Arial"/>
                <w:b/>
                <w:color w:val="000000" w:themeColor="text1"/>
                <w:sz w:val="20"/>
              </w:rPr>
              <w:t xml:space="preserve">dr Piotr Ryszard </w:t>
            </w:r>
            <w:proofErr w:type="spellStart"/>
            <w:r w:rsidRPr="00076F85">
              <w:rPr>
                <w:rFonts w:cs="Arial"/>
                <w:b/>
                <w:color w:val="000000" w:themeColor="text1"/>
                <w:sz w:val="20"/>
              </w:rPr>
              <w:t>Cmela</w:t>
            </w:r>
            <w:proofErr w:type="spellEnd"/>
          </w:p>
          <w:p w:rsidR="00076F85" w:rsidRPr="008F3638" w:rsidRDefault="00076F85" w:rsidP="00076F85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4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2 </w:t>
            </w:r>
            <w:r w:rsidR="00B05C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684 56 11</w:t>
            </w:r>
          </w:p>
          <w:p w:rsidR="00076F85" w:rsidRPr="008F3638" w:rsidRDefault="00076F85" w:rsidP="00076F85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942" w:type="dxa"/>
          </w:tcPr>
          <w:p w:rsidR="00076F85" w:rsidRPr="008F3638" w:rsidRDefault="00076F85" w:rsidP="00076F85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076F85" w:rsidRPr="008F3638" w:rsidRDefault="00076F85" w:rsidP="00076F85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</w:t>
            </w:r>
            <w:r w:rsidRPr="008F082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 xml:space="preserve"> Banaszek</w:t>
            </w:r>
          </w:p>
          <w:p w:rsidR="00076F85" w:rsidRPr="008F3638" w:rsidRDefault="00076F85" w:rsidP="00076F85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695 255 011</w:t>
            </w:r>
          </w:p>
          <w:p w:rsidR="00076F85" w:rsidRPr="008F3638" w:rsidRDefault="00076F85" w:rsidP="00076F85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:rsidR="00076F85" w:rsidRDefault="00076F85" w:rsidP="00076F85">
      <w:pPr>
        <w:rPr>
          <w:sz w:val="20"/>
        </w:rPr>
      </w:pPr>
    </w:p>
    <w:p w:rsidR="00076F85" w:rsidRDefault="00076F85" w:rsidP="00076F85">
      <w:pPr>
        <w:rPr>
          <w:sz w:val="18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76F85" w:rsidTr="007B0D6A">
        <w:trPr>
          <w:trHeight w:val="610"/>
        </w:trPr>
        <w:tc>
          <w:tcPr>
            <w:tcW w:w="2721" w:type="pct"/>
            <w:vMerge w:val="restart"/>
          </w:tcPr>
          <w:p w:rsidR="00076F85" w:rsidRPr="00C91687" w:rsidRDefault="00076F85" w:rsidP="00076F85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076F85" w:rsidRPr="00C91687" w:rsidRDefault="00076F85" w:rsidP="00076F85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22 608 34 91, 22</w:t>
            </w:r>
            <w:r w:rsidRPr="00C91687">
              <w:rPr>
                <w:sz w:val="20"/>
              </w:rPr>
              <w:t xml:space="preserve"> 608 38 04 </w:t>
            </w:r>
          </w:p>
          <w:p w:rsidR="00076F85" w:rsidRPr="00076F85" w:rsidRDefault="00076F85" w:rsidP="00076F85">
            <w:pPr>
              <w:rPr>
                <w:sz w:val="18"/>
                <w:lang w:val="en-US"/>
              </w:rPr>
            </w:pPr>
            <w:r w:rsidRPr="00076F85">
              <w:rPr>
                <w:b/>
                <w:sz w:val="20"/>
                <w:lang w:val="en-US"/>
              </w:rPr>
              <w:t>e-mail:</w:t>
            </w:r>
            <w:r w:rsidRPr="00076F85">
              <w:rPr>
                <w:sz w:val="20"/>
                <w:lang w:val="en-US"/>
              </w:rPr>
              <w:t xml:space="preserve"> </w:t>
            </w:r>
            <w:hyperlink r:id="rId20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76F85" w:rsidRPr="00076F85" w:rsidRDefault="00076F85" w:rsidP="00076F85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9616" behindDoc="0" locked="0" layoutInCell="1" allowOverlap="1" wp14:anchorId="74BC94A0" wp14:editId="019EC2C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076F85" w:rsidRDefault="00076F85" w:rsidP="00076F85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76F85" w:rsidTr="007B0D6A">
        <w:trPr>
          <w:trHeight w:val="436"/>
        </w:trPr>
        <w:tc>
          <w:tcPr>
            <w:tcW w:w="2721" w:type="pct"/>
            <w:vMerge/>
            <w:vAlign w:val="center"/>
          </w:tcPr>
          <w:p w:rsidR="00076F85" w:rsidRDefault="00076F85" w:rsidP="00076F85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76F85" w:rsidRDefault="00076F85" w:rsidP="00076F85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1664" behindDoc="0" locked="0" layoutInCell="1" allowOverlap="1" wp14:anchorId="42A206B5" wp14:editId="5CE8281E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76F85" w:rsidRDefault="00076F85" w:rsidP="00076F85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76F85" w:rsidTr="007B0D6A">
        <w:trPr>
          <w:trHeight w:val="436"/>
        </w:trPr>
        <w:tc>
          <w:tcPr>
            <w:tcW w:w="2721" w:type="pct"/>
            <w:vMerge/>
            <w:vAlign w:val="center"/>
          </w:tcPr>
          <w:p w:rsidR="00076F85" w:rsidRDefault="00076F85" w:rsidP="00076F85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76F85" w:rsidRDefault="00076F85" w:rsidP="00076F85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anchorId="5157EE73" wp14:editId="35638CAB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76F85" w:rsidRDefault="00076F85" w:rsidP="00076F85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:rsidR="00D261A2" w:rsidRPr="003308DB" w:rsidRDefault="001448A7" w:rsidP="00E76D26">
      <w:pPr>
        <w:rPr>
          <w:sz w:val="18"/>
          <w:lang w:val="en-US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65029F7C" wp14:editId="30AD5002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0D6A" w:rsidRDefault="007B0D6A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7B0D6A" w:rsidRPr="00C51D06" w:rsidRDefault="007B0D6A" w:rsidP="00AB6D25">
                            <w:pPr>
                              <w:rPr>
                                <w:b/>
                              </w:rPr>
                            </w:pPr>
                            <w:r w:rsidRPr="00C51D06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7B0D6A" w:rsidRPr="00AD0C67" w:rsidRDefault="007B0D6A" w:rsidP="009942D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4" w:history="1">
                              <w:r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Koniunktura w przetwórstwie przemysłowym, budownictwie, handlu i usługach w grudniu 2019 roku</w:t>
                              </w:r>
                            </w:hyperlink>
                          </w:p>
                          <w:p w:rsidR="007B0D6A" w:rsidRPr="00AD0C67" w:rsidRDefault="007B0D6A" w:rsidP="009942D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5" w:history="1">
                              <w:r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Biuletyn Statystyc</w:t>
                              </w:r>
                              <w:r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z</w:t>
                              </w:r>
                              <w:r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ny Nr 11/2019</w:t>
                              </w:r>
                            </w:hyperlink>
                          </w:p>
                          <w:p w:rsidR="007B0D6A" w:rsidRPr="00C51D06" w:rsidRDefault="007B0D6A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7B0D6A" w:rsidRPr="00655E7E" w:rsidRDefault="007B0D6A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655E7E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7B0D6A" w:rsidRPr="00AD0C67" w:rsidRDefault="007B0D6A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6" w:history="1">
                              <w:r w:rsidRPr="00AD0C6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Warunki Życia Ludności</w:t>
                              </w:r>
                            </w:hyperlink>
                            <w:bookmarkStart w:id="0" w:name="_GoBack"/>
                            <w:bookmarkEnd w:id="0"/>
                          </w:p>
                          <w:p w:rsidR="007B0D6A" w:rsidRPr="00C267CA" w:rsidRDefault="007B0D6A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029F7C" id="_x0000_s1033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CkZifXPwIAAHMEAAAO&#10;AAAAAAAAAAAAAAAAAC4CAABkcnMvZTJvRG9jLnhtbFBLAQItABQABgAIAAAAIQBuwDF83wAAAAkB&#10;AAAPAAAAAAAAAAAAAAAAAJkEAABkcnMvZG93bnJldi54bWxQSwUGAAAAAAQABADzAAAApQUAAAAA&#10;" fillcolor="#f2f2f2 [3052]" strokecolor="white [3212]">
                <v:textbox>
                  <w:txbxContent>
                    <w:p w:rsidR="007B0D6A" w:rsidRDefault="007B0D6A" w:rsidP="00AB6D25">
                      <w:pPr>
                        <w:rPr>
                          <w:b/>
                        </w:rPr>
                      </w:pPr>
                    </w:p>
                    <w:p w:rsidR="007B0D6A" w:rsidRPr="00C51D06" w:rsidRDefault="007B0D6A" w:rsidP="00AB6D25">
                      <w:pPr>
                        <w:rPr>
                          <w:b/>
                        </w:rPr>
                      </w:pPr>
                      <w:r w:rsidRPr="00C51D06">
                        <w:rPr>
                          <w:b/>
                        </w:rPr>
                        <w:t>Powiązane opracowania</w:t>
                      </w:r>
                    </w:p>
                    <w:p w:rsidR="007B0D6A" w:rsidRPr="00AD0C67" w:rsidRDefault="007B0D6A" w:rsidP="009942D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27" w:history="1">
                        <w:r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Koniunktura w przetwórstwie przemysłowym, budownictwie, handlu i usługach w grudniu 2019 roku</w:t>
                        </w:r>
                      </w:hyperlink>
                    </w:p>
                    <w:p w:rsidR="007B0D6A" w:rsidRPr="00AD0C67" w:rsidRDefault="007B0D6A" w:rsidP="009942D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28" w:history="1">
                        <w:r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Biuletyn Statystyc</w:t>
                        </w:r>
                        <w:r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z</w:t>
                        </w:r>
                        <w:r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ny Nr 11/2019</w:t>
                        </w:r>
                      </w:hyperlink>
                    </w:p>
                    <w:p w:rsidR="007B0D6A" w:rsidRPr="00C51D06" w:rsidRDefault="007B0D6A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7B0D6A" w:rsidRPr="00655E7E" w:rsidRDefault="007B0D6A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655E7E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7B0D6A" w:rsidRPr="00AD0C67" w:rsidRDefault="007B0D6A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29" w:history="1">
                        <w:r w:rsidRPr="00AD0C6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Dziedzinowa Baza Wiedzy Warunki Życia Ludności</w:t>
                        </w:r>
                      </w:hyperlink>
                      <w:bookmarkStart w:id="1" w:name="_GoBack"/>
                      <w:bookmarkEnd w:id="1"/>
                    </w:p>
                    <w:p w:rsidR="007B0D6A" w:rsidRPr="00C267CA" w:rsidRDefault="007B0D6A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3308DB" w:rsidSect="003B18B6">
      <w:headerReference w:type="default" r:id="rId30"/>
      <w:footerReference w:type="default" r:id="rId3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0BA8" w:rsidRDefault="007E0BA8" w:rsidP="000662E2">
      <w:pPr>
        <w:spacing w:after="0" w:line="240" w:lineRule="auto"/>
      </w:pPr>
      <w:r>
        <w:separator/>
      </w:r>
    </w:p>
  </w:endnote>
  <w:endnote w:type="continuationSeparator" w:id="0">
    <w:p w:rsidR="007E0BA8" w:rsidRDefault="007E0BA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EA47C67C-F54F-4035-8A17-4DF54DA5A806}"/>
    <w:embedBold r:id="rId2" w:fontKey="{F9FDE37D-DED1-4207-B7E9-C4D45586DA4C}"/>
    <w:embedItalic r:id="rId3" w:fontKey="{6D579FC4-CA8A-4C34-A1C2-F75B249A217D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C7379A39-4D49-4D7F-A284-C5B55211D406}"/>
    <w:embedBold r:id="rId5" w:fontKey="{B4314C24-CAEB-4125-9BDE-5AE780F780D3}"/>
    <w:embedItalic r:id="rId6" w:fontKey="{FDEB7A17-EEDE-4EDF-B989-900CC3937B1B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8B3909D5-C20D-4A3B-8240-CF0F9C175362}"/>
    <w:embedBold r:id="rId8" w:fontKey="{F3E0F558-59D9-4404-AA71-C0EAE885ECC2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A85AB4F8-3BF2-469D-B9D7-FCD8720191C2}"/>
    <w:embedItalic r:id="rId10" w:fontKey="{8B5BF5D9-E0A6-432F-AEA4-1708ABDC5CEF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A73202D8-3B85-49C6-A363-3B8F927A68DE}"/>
  </w:font>
  <w:font w:name="Fira Sans Extra Condensed SemiB">
    <w:charset w:val="EE"/>
    <w:family w:val="swiss"/>
    <w:pitch w:val="variable"/>
    <w:sig w:usb0="600002FF" w:usb1="00000001" w:usb2="00000000" w:usb3="00000000" w:csb0="0000019F" w:csb1="00000000"/>
    <w:embedRegular r:id="rId12" w:fontKey="{C54CAF91-1F39-4446-84F0-7C16DBB383EC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95213403"/>
      <w:docPartObj>
        <w:docPartGallery w:val="Page Numbers (Bottom of Page)"/>
        <w:docPartUnique/>
      </w:docPartObj>
    </w:sdtPr>
    <w:sdtContent>
      <w:p w:rsidR="007B0D6A" w:rsidRDefault="007B0D6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2254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Fira Sans" w:hAnsi="Fira Sans" w:cstheme="minorBidi"/>
        <w:color w:val="auto"/>
        <w:sz w:val="19"/>
        <w:szCs w:val="22"/>
      </w:rPr>
      <w:id w:val="1499692559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7B0D6A" w:rsidRPr="00A518FC" w:rsidRDefault="007B0D6A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:rsidR="007B0D6A" w:rsidRPr="00A518FC" w:rsidRDefault="007B0D6A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 w:rsidR="00F02254">
          <w:rPr>
            <w:noProof/>
            <w:sz w:val="16"/>
            <w:szCs w:val="16"/>
          </w:rPr>
          <w:t>1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Content>
      <w:p w:rsidR="007B0D6A" w:rsidRDefault="007B0D6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2254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0BA8" w:rsidRDefault="007E0BA8" w:rsidP="000662E2">
      <w:pPr>
        <w:spacing w:after="0" w:line="240" w:lineRule="auto"/>
      </w:pPr>
      <w:r>
        <w:separator/>
      </w:r>
    </w:p>
  </w:footnote>
  <w:footnote w:type="continuationSeparator" w:id="0">
    <w:p w:rsidR="007E0BA8" w:rsidRDefault="007E0BA8" w:rsidP="000662E2">
      <w:pPr>
        <w:spacing w:after="0" w:line="240" w:lineRule="auto"/>
      </w:pPr>
      <w:r>
        <w:continuationSeparator/>
      </w:r>
    </w:p>
  </w:footnote>
  <w:footnote w:id="1">
    <w:p w:rsidR="007B0D6A" w:rsidRDefault="007B0D6A" w:rsidP="00D06B8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518FC">
        <w:rPr>
          <w:rFonts w:cs="Fira Sans"/>
          <w:sz w:val="16"/>
          <w:szCs w:val="16"/>
        </w:rPr>
        <w:t xml:space="preserve">Obydwa wskaźniki ufności konsumenckiej mogą przyjmować wartości od –100 do +100. Wartość dodatnia oznacza przewagę liczebną konsumentów nastawionych optymistycznie nad konsumentami nastawionymi pesymistycznie, natomiast wartość ujemna oznacza przewagę liczebną konsumentów nastawionych pesymistycznie nad konsumentami nastawionymi optymistycznie. </w:t>
      </w:r>
      <w:r w:rsidRPr="00A518FC">
        <w:rPr>
          <w:noProof/>
          <w:sz w:val="16"/>
          <w:szCs w:val="16"/>
        </w:rPr>
        <w:t>W</w:t>
      </w:r>
      <w:r>
        <w:rPr>
          <w:noProof/>
          <w:sz w:val="16"/>
          <w:szCs w:val="16"/>
        </w:rPr>
        <w:t xml:space="preserve"> styczniu 2020 r. przeprowadzono 1204 wywiady </w:t>
      </w:r>
      <w:r w:rsidRPr="00A518FC">
        <w:rPr>
          <w:noProof/>
          <w:sz w:val="16"/>
          <w:szCs w:val="16"/>
        </w:rPr>
        <w:t>w okresie 0</w:t>
      </w:r>
      <w:r>
        <w:rPr>
          <w:noProof/>
          <w:sz w:val="16"/>
          <w:szCs w:val="16"/>
        </w:rPr>
        <w:t>7-16.01.2020 r. (w tym 66</w:t>
      </w:r>
      <w:r w:rsidRPr="00A518FC">
        <w:rPr>
          <w:noProof/>
          <w:sz w:val="16"/>
          <w:szCs w:val="16"/>
        </w:rPr>
        <w:t xml:space="preserve"> metodą CATI – wywiadu telefonicznego wspomaganego komputerowo).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D6A" w:rsidRDefault="007B0D6A">
    <w:pPr>
      <w:pStyle w:val="Nagwek"/>
    </w:pPr>
  </w:p>
  <w:p w:rsidR="007B0D6A" w:rsidRDefault="007B0D6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ADAE8A4" wp14:editId="0B1BA157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3D10F4F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D6A" w:rsidRDefault="007B0D6A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09EB41A1" wp14:editId="214175D6">
          <wp:extent cx="1153274" cy="720000"/>
          <wp:effectExtent l="0" t="0" r="0" b="4445"/>
          <wp:docPr id="19" name="Obraz 19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A6F80E9" wp14:editId="72B1336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7B0D6A" w:rsidRPr="003C6C8D" w:rsidRDefault="007B0D6A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A6F80E9"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7B0D6A" w:rsidRPr="003C6C8D" w:rsidRDefault="007B0D6A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22D3DA2" wp14:editId="3CA2341D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6DAABA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:rsidR="007B0D6A" w:rsidRDefault="007B0D6A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0608F51" wp14:editId="6366C388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0D6A" w:rsidRPr="00C97596" w:rsidRDefault="007B0D6A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23.01.2020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608F51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7B0D6A" w:rsidRPr="00C97596" w:rsidRDefault="007B0D6A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23.01.2020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D6A" w:rsidRDefault="007B0D6A">
    <w:pPr>
      <w:pStyle w:val="Nagwek"/>
    </w:pPr>
  </w:p>
  <w:p w:rsidR="007B0D6A" w:rsidRDefault="007B0D6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8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59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ACF487E"/>
    <w:multiLevelType w:val="hybridMultilevel"/>
    <w:tmpl w:val="8FB6CCC2"/>
    <w:lvl w:ilvl="0" w:tplc="D08E87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8E43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70CB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0478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5694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1A11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6872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DA8D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C07D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E3D4E0D"/>
    <w:multiLevelType w:val="hybridMultilevel"/>
    <w:tmpl w:val="0D5CF88A"/>
    <w:lvl w:ilvl="0" w:tplc="4D10BA6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A6C5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D4A1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807B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DCE1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5E24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66F1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382D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AB5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4DB7"/>
    <w:rsid w:val="000152F5"/>
    <w:rsid w:val="00034768"/>
    <w:rsid w:val="00040B33"/>
    <w:rsid w:val="00041798"/>
    <w:rsid w:val="0004582E"/>
    <w:rsid w:val="000470AA"/>
    <w:rsid w:val="00047B35"/>
    <w:rsid w:val="00050829"/>
    <w:rsid w:val="00051607"/>
    <w:rsid w:val="00051E07"/>
    <w:rsid w:val="00053B77"/>
    <w:rsid w:val="00057CA1"/>
    <w:rsid w:val="000662E2"/>
    <w:rsid w:val="00066883"/>
    <w:rsid w:val="00072F74"/>
    <w:rsid w:val="00074DD8"/>
    <w:rsid w:val="00075F14"/>
    <w:rsid w:val="00076F85"/>
    <w:rsid w:val="000806E2"/>
    <w:rsid w:val="000806F7"/>
    <w:rsid w:val="00082E10"/>
    <w:rsid w:val="00086288"/>
    <w:rsid w:val="00087858"/>
    <w:rsid w:val="00092075"/>
    <w:rsid w:val="00092223"/>
    <w:rsid w:val="00094173"/>
    <w:rsid w:val="00096100"/>
    <w:rsid w:val="00097840"/>
    <w:rsid w:val="000A2240"/>
    <w:rsid w:val="000A296E"/>
    <w:rsid w:val="000A65A9"/>
    <w:rsid w:val="000B0727"/>
    <w:rsid w:val="000B0D27"/>
    <w:rsid w:val="000B5253"/>
    <w:rsid w:val="000B747E"/>
    <w:rsid w:val="000C135D"/>
    <w:rsid w:val="000C5F1F"/>
    <w:rsid w:val="000C7931"/>
    <w:rsid w:val="000D0352"/>
    <w:rsid w:val="000D1D43"/>
    <w:rsid w:val="000D225C"/>
    <w:rsid w:val="000D29F7"/>
    <w:rsid w:val="000D2A5C"/>
    <w:rsid w:val="000E0918"/>
    <w:rsid w:val="000E2680"/>
    <w:rsid w:val="000E3CBF"/>
    <w:rsid w:val="000E60B4"/>
    <w:rsid w:val="000E615F"/>
    <w:rsid w:val="000F55BC"/>
    <w:rsid w:val="001011C3"/>
    <w:rsid w:val="001070E2"/>
    <w:rsid w:val="00107A73"/>
    <w:rsid w:val="00110D87"/>
    <w:rsid w:val="00112723"/>
    <w:rsid w:val="00113C04"/>
    <w:rsid w:val="00114DB9"/>
    <w:rsid w:val="0011502A"/>
    <w:rsid w:val="00116087"/>
    <w:rsid w:val="001174F6"/>
    <w:rsid w:val="0012106E"/>
    <w:rsid w:val="00124C75"/>
    <w:rsid w:val="001258BC"/>
    <w:rsid w:val="00130296"/>
    <w:rsid w:val="00131F96"/>
    <w:rsid w:val="0013245A"/>
    <w:rsid w:val="00133BFC"/>
    <w:rsid w:val="001423B6"/>
    <w:rsid w:val="00142BFC"/>
    <w:rsid w:val="001448A7"/>
    <w:rsid w:val="00146621"/>
    <w:rsid w:val="0015506A"/>
    <w:rsid w:val="00162325"/>
    <w:rsid w:val="00162C4B"/>
    <w:rsid w:val="00163353"/>
    <w:rsid w:val="0016456B"/>
    <w:rsid w:val="001646FD"/>
    <w:rsid w:val="00171469"/>
    <w:rsid w:val="00173149"/>
    <w:rsid w:val="00181035"/>
    <w:rsid w:val="00181CBC"/>
    <w:rsid w:val="001825B1"/>
    <w:rsid w:val="00183CE4"/>
    <w:rsid w:val="00192832"/>
    <w:rsid w:val="00194F85"/>
    <w:rsid w:val="001951DA"/>
    <w:rsid w:val="00197987"/>
    <w:rsid w:val="00197B94"/>
    <w:rsid w:val="001A0AD3"/>
    <w:rsid w:val="001A671B"/>
    <w:rsid w:val="001A6ED5"/>
    <w:rsid w:val="001A7D81"/>
    <w:rsid w:val="001B5A4C"/>
    <w:rsid w:val="001C1E98"/>
    <w:rsid w:val="001C2D33"/>
    <w:rsid w:val="001C3269"/>
    <w:rsid w:val="001C32FE"/>
    <w:rsid w:val="001C42EB"/>
    <w:rsid w:val="001C6EBA"/>
    <w:rsid w:val="001C7BD5"/>
    <w:rsid w:val="001D1DB4"/>
    <w:rsid w:val="001D2AA0"/>
    <w:rsid w:val="001D4E28"/>
    <w:rsid w:val="001D5FC6"/>
    <w:rsid w:val="001D7E17"/>
    <w:rsid w:val="001F19A3"/>
    <w:rsid w:val="001F2A20"/>
    <w:rsid w:val="00205B38"/>
    <w:rsid w:val="00210F89"/>
    <w:rsid w:val="002115FD"/>
    <w:rsid w:val="00213881"/>
    <w:rsid w:val="00214086"/>
    <w:rsid w:val="00216D8F"/>
    <w:rsid w:val="00217B26"/>
    <w:rsid w:val="002220A6"/>
    <w:rsid w:val="0022352C"/>
    <w:rsid w:val="002253F4"/>
    <w:rsid w:val="00227C24"/>
    <w:rsid w:val="002331F6"/>
    <w:rsid w:val="00236A55"/>
    <w:rsid w:val="00236A7C"/>
    <w:rsid w:val="00240B8D"/>
    <w:rsid w:val="00255158"/>
    <w:rsid w:val="002570E8"/>
    <w:rsid w:val="002574F9"/>
    <w:rsid w:val="00262B61"/>
    <w:rsid w:val="00262E7F"/>
    <w:rsid w:val="00267A8F"/>
    <w:rsid w:val="00273134"/>
    <w:rsid w:val="00274ADF"/>
    <w:rsid w:val="00276811"/>
    <w:rsid w:val="00276A4D"/>
    <w:rsid w:val="00276FE7"/>
    <w:rsid w:val="00277159"/>
    <w:rsid w:val="00282699"/>
    <w:rsid w:val="002830B9"/>
    <w:rsid w:val="00284618"/>
    <w:rsid w:val="00285ED8"/>
    <w:rsid w:val="002926DF"/>
    <w:rsid w:val="0029516C"/>
    <w:rsid w:val="002964C3"/>
    <w:rsid w:val="00296697"/>
    <w:rsid w:val="002971E7"/>
    <w:rsid w:val="002A3665"/>
    <w:rsid w:val="002B0472"/>
    <w:rsid w:val="002B2112"/>
    <w:rsid w:val="002B21C8"/>
    <w:rsid w:val="002B6B12"/>
    <w:rsid w:val="002C458A"/>
    <w:rsid w:val="002C58BA"/>
    <w:rsid w:val="002D4281"/>
    <w:rsid w:val="002D5918"/>
    <w:rsid w:val="002D77BE"/>
    <w:rsid w:val="002E0940"/>
    <w:rsid w:val="002E0EE3"/>
    <w:rsid w:val="002E14C1"/>
    <w:rsid w:val="002E3621"/>
    <w:rsid w:val="002E6140"/>
    <w:rsid w:val="002E6985"/>
    <w:rsid w:val="002E6D6C"/>
    <w:rsid w:val="002E71B6"/>
    <w:rsid w:val="002F027A"/>
    <w:rsid w:val="002F22D2"/>
    <w:rsid w:val="002F5124"/>
    <w:rsid w:val="002F77C8"/>
    <w:rsid w:val="0030476F"/>
    <w:rsid w:val="00304F22"/>
    <w:rsid w:val="00306C7C"/>
    <w:rsid w:val="00310165"/>
    <w:rsid w:val="00320B84"/>
    <w:rsid w:val="003222A9"/>
    <w:rsid w:val="00322EDD"/>
    <w:rsid w:val="00326E56"/>
    <w:rsid w:val="003308DB"/>
    <w:rsid w:val="00331879"/>
    <w:rsid w:val="00332320"/>
    <w:rsid w:val="003346B1"/>
    <w:rsid w:val="003350E9"/>
    <w:rsid w:val="00335B46"/>
    <w:rsid w:val="00340D65"/>
    <w:rsid w:val="00341AC1"/>
    <w:rsid w:val="00345AB6"/>
    <w:rsid w:val="0034608E"/>
    <w:rsid w:val="00347D72"/>
    <w:rsid w:val="00351316"/>
    <w:rsid w:val="0035420B"/>
    <w:rsid w:val="00356C31"/>
    <w:rsid w:val="00357611"/>
    <w:rsid w:val="0036042D"/>
    <w:rsid w:val="00360663"/>
    <w:rsid w:val="00361619"/>
    <w:rsid w:val="00361B86"/>
    <w:rsid w:val="003632BA"/>
    <w:rsid w:val="00363703"/>
    <w:rsid w:val="00365786"/>
    <w:rsid w:val="00367237"/>
    <w:rsid w:val="003701DE"/>
    <w:rsid w:val="0037077F"/>
    <w:rsid w:val="00372411"/>
    <w:rsid w:val="00373882"/>
    <w:rsid w:val="003740B0"/>
    <w:rsid w:val="00377B67"/>
    <w:rsid w:val="00380064"/>
    <w:rsid w:val="00380DFD"/>
    <w:rsid w:val="003843DB"/>
    <w:rsid w:val="00384F1C"/>
    <w:rsid w:val="00386E30"/>
    <w:rsid w:val="00391C97"/>
    <w:rsid w:val="00393761"/>
    <w:rsid w:val="00393F64"/>
    <w:rsid w:val="00394115"/>
    <w:rsid w:val="00396FC5"/>
    <w:rsid w:val="00397D18"/>
    <w:rsid w:val="003A0714"/>
    <w:rsid w:val="003A1B36"/>
    <w:rsid w:val="003A3169"/>
    <w:rsid w:val="003B1454"/>
    <w:rsid w:val="003B18B6"/>
    <w:rsid w:val="003B3271"/>
    <w:rsid w:val="003C019D"/>
    <w:rsid w:val="003C1941"/>
    <w:rsid w:val="003C2E08"/>
    <w:rsid w:val="003C59E0"/>
    <w:rsid w:val="003C5D47"/>
    <w:rsid w:val="003C6C8D"/>
    <w:rsid w:val="003C6EFB"/>
    <w:rsid w:val="003C7383"/>
    <w:rsid w:val="003C78F1"/>
    <w:rsid w:val="003D01F8"/>
    <w:rsid w:val="003D0689"/>
    <w:rsid w:val="003D4D7F"/>
    <w:rsid w:val="003D4F95"/>
    <w:rsid w:val="003D57EF"/>
    <w:rsid w:val="003D5F42"/>
    <w:rsid w:val="003D60A9"/>
    <w:rsid w:val="003E5F73"/>
    <w:rsid w:val="003E6677"/>
    <w:rsid w:val="003F153D"/>
    <w:rsid w:val="003F404F"/>
    <w:rsid w:val="003F450F"/>
    <w:rsid w:val="003F4C97"/>
    <w:rsid w:val="003F514B"/>
    <w:rsid w:val="003F6DBB"/>
    <w:rsid w:val="003F7FE6"/>
    <w:rsid w:val="00400193"/>
    <w:rsid w:val="004013C9"/>
    <w:rsid w:val="00401F1A"/>
    <w:rsid w:val="00406761"/>
    <w:rsid w:val="00407D88"/>
    <w:rsid w:val="004151AC"/>
    <w:rsid w:val="004212E7"/>
    <w:rsid w:val="0042446D"/>
    <w:rsid w:val="004266E2"/>
    <w:rsid w:val="00427BF8"/>
    <w:rsid w:val="00431318"/>
    <w:rsid w:val="00431C02"/>
    <w:rsid w:val="00434891"/>
    <w:rsid w:val="00436D99"/>
    <w:rsid w:val="00437395"/>
    <w:rsid w:val="004414F9"/>
    <w:rsid w:val="0044211B"/>
    <w:rsid w:val="004423BF"/>
    <w:rsid w:val="00445047"/>
    <w:rsid w:val="00450D53"/>
    <w:rsid w:val="00452AE6"/>
    <w:rsid w:val="00454AB8"/>
    <w:rsid w:val="00460614"/>
    <w:rsid w:val="00462C73"/>
    <w:rsid w:val="004631AB"/>
    <w:rsid w:val="00463E39"/>
    <w:rsid w:val="004657FC"/>
    <w:rsid w:val="00465D66"/>
    <w:rsid w:val="00465EE5"/>
    <w:rsid w:val="00466732"/>
    <w:rsid w:val="0046695F"/>
    <w:rsid w:val="004733F6"/>
    <w:rsid w:val="00474E69"/>
    <w:rsid w:val="004750B3"/>
    <w:rsid w:val="00475774"/>
    <w:rsid w:val="00475BA8"/>
    <w:rsid w:val="0047601B"/>
    <w:rsid w:val="00477386"/>
    <w:rsid w:val="00477E44"/>
    <w:rsid w:val="00483BB4"/>
    <w:rsid w:val="00486E1D"/>
    <w:rsid w:val="0049621B"/>
    <w:rsid w:val="00496F49"/>
    <w:rsid w:val="0049754B"/>
    <w:rsid w:val="004A104D"/>
    <w:rsid w:val="004A2D43"/>
    <w:rsid w:val="004B0AE4"/>
    <w:rsid w:val="004B194F"/>
    <w:rsid w:val="004B2FF7"/>
    <w:rsid w:val="004B587A"/>
    <w:rsid w:val="004B707D"/>
    <w:rsid w:val="004B7496"/>
    <w:rsid w:val="004C1895"/>
    <w:rsid w:val="004C2109"/>
    <w:rsid w:val="004C515F"/>
    <w:rsid w:val="004C5E33"/>
    <w:rsid w:val="004C6D40"/>
    <w:rsid w:val="004C78A8"/>
    <w:rsid w:val="004D268C"/>
    <w:rsid w:val="004D4078"/>
    <w:rsid w:val="004D6152"/>
    <w:rsid w:val="004E312A"/>
    <w:rsid w:val="004E464A"/>
    <w:rsid w:val="004E61ED"/>
    <w:rsid w:val="004E6889"/>
    <w:rsid w:val="004F0C3C"/>
    <w:rsid w:val="004F177F"/>
    <w:rsid w:val="004F24C3"/>
    <w:rsid w:val="004F56E4"/>
    <w:rsid w:val="004F57F5"/>
    <w:rsid w:val="004F63FC"/>
    <w:rsid w:val="004F7BB4"/>
    <w:rsid w:val="00500308"/>
    <w:rsid w:val="00500D94"/>
    <w:rsid w:val="00503CEF"/>
    <w:rsid w:val="00504868"/>
    <w:rsid w:val="005049F9"/>
    <w:rsid w:val="00505A92"/>
    <w:rsid w:val="00505EA2"/>
    <w:rsid w:val="0051042A"/>
    <w:rsid w:val="00510941"/>
    <w:rsid w:val="00510D9A"/>
    <w:rsid w:val="0051777B"/>
    <w:rsid w:val="005203F1"/>
    <w:rsid w:val="00521BC3"/>
    <w:rsid w:val="005249E0"/>
    <w:rsid w:val="00525DC6"/>
    <w:rsid w:val="0052620B"/>
    <w:rsid w:val="00526FE9"/>
    <w:rsid w:val="00527156"/>
    <w:rsid w:val="00527458"/>
    <w:rsid w:val="00530074"/>
    <w:rsid w:val="00531FE8"/>
    <w:rsid w:val="00533632"/>
    <w:rsid w:val="005336B5"/>
    <w:rsid w:val="00534B5E"/>
    <w:rsid w:val="005357E1"/>
    <w:rsid w:val="00536467"/>
    <w:rsid w:val="0053753D"/>
    <w:rsid w:val="00541E6E"/>
    <w:rsid w:val="00542145"/>
    <w:rsid w:val="0054251F"/>
    <w:rsid w:val="00542EAD"/>
    <w:rsid w:val="005479B1"/>
    <w:rsid w:val="005520D8"/>
    <w:rsid w:val="00555B7A"/>
    <w:rsid w:val="00555E43"/>
    <w:rsid w:val="00555F04"/>
    <w:rsid w:val="00556C55"/>
    <w:rsid w:val="00556CF1"/>
    <w:rsid w:val="00561BB7"/>
    <w:rsid w:val="005626C0"/>
    <w:rsid w:val="00562D79"/>
    <w:rsid w:val="00562F4D"/>
    <w:rsid w:val="0057036A"/>
    <w:rsid w:val="005762A7"/>
    <w:rsid w:val="00581651"/>
    <w:rsid w:val="00581CD2"/>
    <w:rsid w:val="005856AC"/>
    <w:rsid w:val="00586EB0"/>
    <w:rsid w:val="005916D7"/>
    <w:rsid w:val="005930D9"/>
    <w:rsid w:val="00597C1D"/>
    <w:rsid w:val="005A36AA"/>
    <w:rsid w:val="005A3A95"/>
    <w:rsid w:val="005A3ED2"/>
    <w:rsid w:val="005A653B"/>
    <w:rsid w:val="005A698C"/>
    <w:rsid w:val="005A730E"/>
    <w:rsid w:val="005B2AAE"/>
    <w:rsid w:val="005B3A86"/>
    <w:rsid w:val="005B5D8A"/>
    <w:rsid w:val="005C433F"/>
    <w:rsid w:val="005C5FBD"/>
    <w:rsid w:val="005D6D73"/>
    <w:rsid w:val="005E0799"/>
    <w:rsid w:val="005E0B91"/>
    <w:rsid w:val="005E4C0B"/>
    <w:rsid w:val="005F0D73"/>
    <w:rsid w:val="005F40EF"/>
    <w:rsid w:val="005F41C9"/>
    <w:rsid w:val="005F4C4B"/>
    <w:rsid w:val="005F4EA6"/>
    <w:rsid w:val="005F5A80"/>
    <w:rsid w:val="005F6626"/>
    <w:rsid w:val="00600F7B"/>
    <w:rsid w:val="006044FF"/>
    <w:rsid w:val="0060556B"/>
    <w:rsid w:val="00607CC5"/>
    <w:rsid w:val="0061571C"/>
    <w:rsid w:val="00617810"/>
    <w:rsid w:val="00621090"/>
    <w:rsid w:val="00621808"/>
    <w:rsid w:val="0062592E"/>
    <w:rsid w:val="006265B8"/>
    <w:rsid w:val="00633014"/>
    <w:rsid w:val="0063437B"/>
    <w:rsid w:val="006348AB"/>
    <w:rsid w:val="006404CD"/>
    <w:rsid w:val="0064135C"/>
    <w:rsid w:val="006456D4"/>
    <w:rsid w:val="006508EE"/>
    <w:rsid w:val="00651FDC"/>
    <w:rsid w:val="006537BC"/>
    <w:rsid w:val="00654B4D"/>
    <w:rsid w:val="00655E7E"/>
    <w:rsid w:val="00656AE2"/>
    <w:rsid w:val="00657E03"/>
    <w:rsid w:val="00661090"/>
    <w:rsid w:val="00661ECB"/>
    <w:rsid w:val="006623F1"/>
    <w:rsid w:val="00663D48"/>
    <w:rsid w:val="00664D0E"/>
    <w:rsid w:val="00665EB3"/>
    <w:rsid w:val="00666F48"/>
    <w:rsid w:val="006673CA"/>
    <w:rsid w:val="00672418"/>
    <w:rsid w:val="00673C26"/>
    <w:rsid w:val="00676474"/>
    <w:rsid w:val="006765B6"/>
    <w:rsid w:val="006812AF"/>
    <w:rsid w:val="0068327D"/>
    <w:rsid w:val="00691D5B"/>
    <w:rsid w:val="00694AF0"/>
    <w:rsid w:val="00695B50"/>
    <w:rsid w:val="006962BC"/>
    <w:rsid w:val="00696B93"/>
    <w:rsid w:val="006A4686"/>
    <w:rsid w:val="006A745A"/>
    <w:rsid w:val="006B0D09"/>
    <w:rsid w:val="006B0E9E"/>
    <w:rsid w:val="006B4CE8"/>
    <w:rsid w:val="006B509A"/>
    <w:rsid w:val="006B5AE4"/>
    <w:rsid w:val="006B60E1"/>
    <w:rsid w:val="006C105E"/>
    <w:rsid w:val="006C154F"/>
    <w:rsid w:val="006C35F4"/>
    <w:rsid w:val="006C4C37"/>
    <w:rsid w:val="006C62EA"/>
    <w:rsid w:val="006C6C8B"/>
    <w:rsid w:val="006D1507"/>
    <w:rsid w:val="006D4054"/>
    <w:rsid w:val="006D5FA7"/>
    <w:rsid w:val="006D6C0E"/>
    <w:rsid w:val="006E0142"/>
    <w:rsid w:val="006E02EC"/>
    <w:rsid w:val="006E449A"/>
    <w:rsid w:val="006E5948"/>
    <w:rsid w:val="006F05D5"/>
    <w:rsid w:val="006F6C7D"/>
    <w:rsid w:val="006F7B71"/>
    <w:rsid w:val="007004AD"/>
    <w:rsid w:val="00707207"/>
    <w:rsid w:val="00707637"/>
    <w:rsid w:val="00707CA9"/>
    <w:rsid w:val="00710607"/>
    <w:rsid w:val="00711590"/>
    <w:rsid w:val="00712785"/>
    <w:rsid w:val="00712B2A"/>
    <w:rsid w:val="0071553E"/>
    <w:rsid w:val="00715683"/>
    <w:rsid w:val="007211B1"/>
    <w:rsid w:val="007220B9"/>
    <w:rsid w:val="00724A5A"/>
    <w:rsid w:val="00724C09"/>
    <w:rsid w:val="00730701"/>
    <w:rsid w:val="007316C5"/>
    <w:rsid w:val="00733E2E"/>
    <w:rsid w:val="0074121C"/>
    <w:rsid w:val="00743028"/>
    <w:rsid w:val="007443DC"/>
    <w:rsid w:val="00744F8A"/>
    <w:rsid w:val="00745D81"/>
    <w:rsid w:val="00746187"/>
    <w:rsid w:val="0076254F"/>
    <w:rsid w:val="00764E2D"/>
    <w:rsid w:val="00775052"/>
    <w:rsid w:val="00776AD6"/>
    <w:rsid w:val="00780119"/>
    <w:rsid w:val="007801F5"/>
    <w:rsid w:val="00780EB6"/>
    <w:rsid w:val="00781AED"/>
    <w:rsid w:val="007820A2"/>
    <w:rsid w:val="00783CA4"/>
    <w:rsid w:val="007842FB"/>
    <w:rsid w:val="0078476F"/>
    <w:rsid w:val="00785650"/>
    <w:rsid w:val="00786124"/>
    <w:rsid w:val="007901A2"/>
    <w:rsid w:val="0079514B"/>
    <w:rsid w:val="00795825"/>
    <w:rsid w:val="0079706E"/>
    <w:rsid w:val="0079799F"/>
    <w:rsid w:val="007A0DC8"/>
    <w:rsid w:val="007A2DC1"/>
    <w:rsid w:val="007A7B28"/>
    <w:rsid w:val="007B0D6A"/>
    <w:rsid w:val="007B34B7"/>
    <w:rsid w:val="007B7753"/>
    <w:rsid w:val="007C070C"/>
    <w:rsid w:val="007C3F8C"/>
    <w:rsid w:val="007C4853"/>
    <w:rsid w:val="007D1F0E"/>
    <w:rsid w:val="007D3319"/>
    <w:rsid w:val="007D335D"/>
    <w:rsid w:val="007D569B"/>
    <w:rsid w:val="007D57F9"/>
    <w:rsid w:val="007D5BFA"/>
    <w:rsid w:val="007D6F6F"/>
    <w:rsid w:val="007E0BA8"/>
    <w:rsid w:val="007E3314"/>
    <w:rsid w:val="007E4B03"/>
    <w:rsid w:val="007E58C7"/>
    <w:rsid w:val="007F324B"/>
    <w:rsid w:val="007F4E3D"/>
    <w:rsid w:val="007F677C"/>
    <w:rsid w:val="00800949"/>
    <w:rsid w:val="00801B02"/>
    <w:rsid w:val="0080234D"/>
    <w:rsid w:val="008024D9"/>
    <w:rsid w:val="0080553C"/>
    <w:rsid w:val="00805B46"/>
    <w:rsid w:val="008063C9"/>
    <w:rsid w:val="008118C7"/>
    <w:rsid w:val="00812A08"/>
    <w:rsid w:val="00813134"/>
    <w:rsid w:val="00817BBB"/>
    <w:rsid w:val="0082137A"/>
    <w:rsid w:val="0082262A"/>
    <w:rsid w:val="0082320B"/>
    <w:rsid w:val="00823882"/>
    <w:rsid w:val="0082543E"/>
    <w:rsid w:val="00825DC2"/>
    <w:rsid w:val="00826E3B"/>
    <w:rsid w:val="00834AD3"/>
    <w:rsid w:val="00836863"/>
    <w:rsid w:val="00843795"/>
    <w:rsid w:val="00844BF7"/>
    <w:rsid w:val="00847F0F"/>
    <w:rsid w:val="00852330"/>
    <w:rsid w:val="0085237B"/>
    <w:rsid w:val="00852448"/>
    <w:rsid w:val="0085474D"/>
    <w:rsid w:val="008636BC"/>
    <w:rsid w:val="008663B7"/>
    <w:rsid w:val="00866947"/>
    <w:rsid w:val="008822CB"/>
    <w:rsid w:val="0088258A"/>
    <w:rsid w:val="008837AF"/>
    <w:rsid w:val="00886332"/>
    <w:rsid w:val="00886CAB"/>
    <w:rsid w:val="0088758F"/>
    <w:rsid w:val="00887A82"/>
    <w:rsid w:val="008908A3"/>
    <w:rsid w:val="00891516"/>
    <w:rsid w:val="00891FF7"/>
    <w:rsid w:val="008931C4"/>
    <w:rsid w:val="008934C4"/>
    <w:rsid w:val="008942E6"/>
    <w:rsid w:val="00896F40"/>
    <w:rsid w:val="00897772"/>
    <w:rsid w:val="008979AA"/>
    <w:rsid w:val="008A1D0D"/>
    <w:rsid w:val="008A26D9"/>
    <w:rsid w:val="008A2F86"/>
    <w:rsid w:val="008A3E99"/>
    <w:rsid w:val="008B2416"/>
    <w:rsid w:val="008B77C0"/>
    <w:rsid w:val="008C0A59"/>
    <w:rsid w:val="008C0C29"/>
    <w:rsid w:val="008C2B4B"/>
    <w:rsid w:val="008D066B"/>
    <w:rsid w:val="008D0ED7"/>
    <w:rsid w:val="008D4B7E"/>
    <w:rsid w:val="008D61B1"/>
    <w:rsid w:val="008E39CE"/>
    <w:rsid w:val="008E3D66"/>
    <w:rsid w:val="008E75B8"/>
    <w:rsid w:val="008F3638"/>
    <w:rsid w:val="008F4441"/>
    <w:rsid w:val="008F6F31"/>
    <w:rsid w:val="008F74DF"/>
    <w:rsid w:val="0090176A"/>
    <w:rsid w:val="00903394"/>
    <w:rsid w:val="0090561C"/>
    <w:rsid w:val="00906B4E"/>
    <w:rsid w:val="00907522"/>
    <w:rsid w:val="009127BA"/>
    <w:rsid w:val="0091301E"/>
    <w:rsid w:val="00914E6D"/>
    <w:rsid w:val="009227A6"/>
    <w:rsid w:val="00923642"/>
    <w:rsid w:val="00924F4C"/>
    <w:rsid w:val="00931755"/>
    <w:rsid w:val="00933EC1"/>
    <w:rsid w:val="0093660E"/>
    <w:rsid w:val="00942142"/>
    <w:rsid w:val="009508AE"/>
    <w:rsid w:val="009530DB"/>
    <w:rsid w:val="00953676"/>
    <w:rsid w:val="009540D5"/>
    <w:rsid w:val="009551C9"/>
    <w:rsid w:val="009570BF"/>
    <w:rsid w:val="009601C9"/>
    <w:rsid w:val="00967DF8"/>
    <w:rsid w:val="009705EE"/>
    <w:rsid w:val="00974CCD"/>
    <w:rsid w:val="00977927"/>
    <w:rsid w:val="0098135C"/>
    <w:rsid w:val="0098156A"/>
    <w:rsid w:val="00991BAC"/>
    <w:rsid w:val="009942D1"/>
    <w:rsid w:val="009950DE"/>
    <w:rsid w:val="00997879"/>
    <w:rsid w:val="009A283D"/>
    <w:rsid w:val="009A2905"/>
    <w:rsid w:val="009A5A6D"/>
    <w:rsid w:val="009A6EA0"/>
    <w:rsid w:val="009B171E"/>
    <w:rsid w:val="009C1335"/>
    <w:rsid w:val="009C162D"/>
    <w:rsid w:val="009C1AB2"/>
    <w:rsid w:val="009C2E5B"/>
    <w:rsid w:val="009C7251"/>
    <w:rsid w:val="009D0AC9"/>
    <w:rsid w:val="009D10D8"/>
    <w:rsid w:val="009D207F"/>
    <w:rsid w:val="009D3DE0"/>
    <w:rsid w:val="009E2D0F"/>
    <w:rsid w:val="009E2E91"/>
    <w:rsid w:val="009F096D"/>
    <w:rsid w:val="009F1339"/>
    <w:rsid w:val="009F1EF8"/>
    <w:rsid w:val="009F5774"/>
    <w:rsid w:val="009F5AAF"/>
    <w:rsid w:val="009F7114"/>
    <w:rsid w:val="009F71F6"/>
    <w:rsid w:val="00A01C97"/>
    <w:rsid w:val="00A0582E"/>
    <w:rsid w:val="00A06A63"/>
    <w:rsid w:val="00A10177"/>
    <w:rsid w:val="00A139F5"/>
    <w:rsid w:val="00A16CF0"/>
    <w:rsid w:val="00A201E6"/>
    <w:rsid w:val="00A217E6"/>
    <w:rsid w:val="00A21E81"/>
    <w:rsid w:val="00A2214D"/>
    <w:rsid w:val="00A2414C"/>
    <w:rsid w:val="00A33D0D"/>
    <w:rsid w:val="00A35C72"/>
    <w:rsid w:val="00A365F4"/>
    <w:rsid w:val="00A419DD"/>
    <w:rsid w:val="00A46DAE"/>
    <w:rsid w:val="00A46DF7"/>
    <w:rsid w:val="00A479C0"/>
    <w:rsid w:val="00A47D09"/>
    <w:rsid w:val="00A47D7C"/>
    <w:rsid w:val="00A47D80"/>
    <w:rsid w:val="00A518FC"/>
    <w:rsid w:val="00A53132"/>
    <w:rsid w:val="00A563F2"/>
    <w:rsid w:val="00A566E8"/>
    <w:rsid w:val="00A62353"/>
    <w:rsid w:val="00A638B0"/>
    <w:rsid w:val="00A64D42"/>
    <w:rsid w:val="00A6713B"/>
    <w:rsid w:val="00A77879"/>
    <w:rsid w:val="00A810F9"/>
    <w:rsid w:val="00A81127"/>
    <w:rsid w:val="00A821F3"/>
    <w:rsid w:val="00A84C04"/>
    <w:rsid w:val="00A866F2"/>
    <w:rsid w:val="00A86ECC"/>
    <w:rsid w:val="00A86FCC"/>
    <w:rsid w:val="00A907FE"/>
    <w:rsid w:val="00A953B9"/>
    <w:rsid w:val="00AA3BAC"/>
    <w:rsid w:val="00AA5262"/>
    <w:rsid w:val="00AA57A3"/>
    <w:rsid w:val="00AA630E"/>
    <w:rsid w:val="00AA676A"/>
    <w:rsid w:val="00AA710D"/>
    <w:rsid w:val="00AA724B"/>
    <w:rsid w:val="00AB1B71"/>
    <w:rsid w:val="00AB2C3E"/>
    <w:rsid w:val="00AB3236"/>
    <w:rsid w:val="00AB458F"/>
    <w:rsid w:val="00AB6D25"/>
    <w:rsid w:val="00AC1A44"/>
    <w:rsid w:val="00AC2AC4"/>
    <w:rsid w:val="00AC3B8D"/>
    <w:rsid w:val="00AC5371"/>
    <w:rsid w:val="00AC6F33"/>
    <w:rsid w:val="00AC77DC"/>
    <w:rsid w:val="00AD0C67"/>
    <w:rsid w:val="00AD5152"/>
    <w:rsid w:val="00AD58FC"/>
    <w:rsid w:val="00AD7676"/>
    <w:rsid w:val="00AE06C8"/>
    <w:rsid w:val="00AE2D4B"/>
    <w:rsid w:val="00AE40F9"/>
    <w:rsid w:val="00AE4F99"/>
    <w:rsid w:val="00AE6789"/>
    <w:rsid w:val="00AE6EF2"/>
    <w:rsid w:val="00AF2F1E"/>
    <w:rsid w:val="00AF3780"/>
    <w:rsid w:val="00AF4C9F"/>
    <w:rsid w:val="00B00C09"/>
    <w:rsid w:val="00B05C6D"/>
    <w:rsid w:val="00B11B69"/>
    <w:rsid w:val="00B12FBA"/>
    <w:rsid w:val="00B14952"/>
    <w:rsid w:val="00B15CA4"/>
    <w:rsid w:val="00B217DB"/>
    <w:rsid w:val="00B27B18"/>
    <w:rsid w:val="00B27B58"/>
    <w:rsid w:val="00B27D3E"/>
    <w:rsid w:val="00B31E5A"/>
    <w:rsid w:val="00B330DE"/>
    <w:rsid w:val="00B34DB1"/>
    <w:rsid w:val="00B3501C"/>
    <w:rsid w:val="00B35A63"/>
    <w:rsid w:val="00B403A1"/>
    <w:rsid w:val="00B412A3"/>
    <w:rsid w:val="00B413B9"/>
    <w:rsid w:val="00B4483E"/>
    <w:rsid w:val="00B46A9F"/>
    <w:rsid w:val="00B51B63"/>
    <w:rsid w:val="00B521B0"/>
    <w:rsid w:val="00B57890"/>
    <w:rsid w:val="00B6033B"/>
    <w:rsid w:val="00B61820"/>
    <w:rsid w:val="00B61924"/>
    <w:rsid w:val="00B63591"/>
    <w:rsid w:val="00B6506A"/>
    <w:rsid w:val="00B653AB"/>
    <w:rsid w:val="00B65F9E"/>
    <w:rsid w:val="00B66B19"/>
    <w:rsid w:val="00B7120E"/>
    <w:rsid w:val="00B722C7"/>
    <w:rsid w:val="00B72F68"/>
    <w:rsid w:val="00B733EE"/>
    <w:rsid w:val="00B73F74"/>
    <w:rsid w:val="00B749B9"/>
    <w:rsid w:val="00B77A19"/>
    <w:rsid w:val="00B81262"/>
    <w:rsid w:val="00B81EBE"/>
    <w:rsid w:val="00B82545"/>
    <w:rsid w:val="00B85DBF"/>
    <w:rsid w:val="00B86BCA"/>
    <w:rsid w:val="00B914E9"/>
    <w:rsid w:val="00B9163F"/>
    <w:rsid w:val="00B91D7C"/>
    <w:rsid w:val="00B91FEC"/>
    <w:rsid w:val="00B93207"/>
    <w:rsid w:val="00B956EE"/>
    <w:rsid w:val="00B95B90"/>
    <w:rsid w:val="00BA2BA1"/>
    <w:rsid w:val="00BA3562"/>
    <w:rsid w:val="00BA4A0F"/>
    <w:rsid w:val="00BA6359"/>
    <w:rsid w:val="00BA728E"/>
    <w:rsid w:val="00BA76A2"/>
    <w:rsid w:val="00BB1D75"/>
    <w:rsid w:val="00BB4DF0"/>
    <w:rsid w:val="00BB4EA0"/>
    <w:rsid w:val="00BB4F09"/>
    <w:rsid w:val="00BB6A78"/>
    <w:rsid w:val="00BC2DDB"/>
    <w:rsid w:val="00BC44E4"/>
    <w:rsid w:val="00BD0145"/>
    <w:rsid w:val="00BD1E7E"/>
    <w:rsid w:val="00BD2828"/>
    <w:rsid w:val="00BD4E33"/>
    <w:rsid w:val="00BD5CAF"/>
    <w:rsid w:val="00BD6D11"/>
    <w:rsid w:val="00BE3159"/>
    <w:rsid w:val="00BE54BD"/>
    <w:rsid w:val="00BF0508"/>
    <w:rsid w:val="00BF36EE"/>
    <w:rsid w:val="00BF419C"/>
    <w:rsid w:val="00BF54F8"/>
    <w:rsid w:val="00BF61D5"/>
    <w:rsid w:val="00C030DE"/>
    <w:rsid w:val="00C03F01"/>
    <w:rsid w:val="00C074FD"/>
    <w:rsid w:val="00C10115"/>
    <w:rsid w:val="00C15772"/>
    <w:rsid w:val="00C16216"/>
    <w:rsid w:val="00C16AEC"/>
    <w:rsid w:val="00C22105"/>
    <w:rsid w:val="00C23026"/>
    <w:rsid w:val="00C244B6"/>
    <w:rsid w:val="00C25087"/>
    <w:rsid w:val="00C267CA"/>
    <w:rsid w:val="00C3702F"/>
    <w:rsid w:val="00C42F6A"/>
    <w:rsid w:val="00C4500A"/>
    <w:rsid w:val="00C517C0"/>
    <w:rsid w:val="00C51D06"/>
    <w:rsid w:val="00C558C4"/>
    <w:rsid w:val="00C562B2"/>
    <w:rsid w:val="00C563F1"/>
    <w:rsid w:val="00C566A9"/>
    <w:rsid w:val="00C56813"/>
    <w:rsid w:val="00C60D38"/>
    <w:rsid w:val="00C62895"/>
    <w:rsid w:val="00C63004"/>
    <w:rsid w:val="00C63B7B"/>
    <w:rsid w:val="00C64240"/>
    <w:rsid w:val="00C64A37"/>
    <w:rsid w:val="00C67462"/>
    <w:rsid w:val="00C7158E"/>
    <w:rsid w:val="00C717C9"/>
    <w:rsid w:val="00C7250B"/>
    <w:rsid w:val="00C7346B"/>
    <w:rsid w:val="00C77050"/>
    <w:rsid w:val="00C77C0E"/>
    <w:rsid w:val="00C8063E"/>
    <w:rsid w:val="00C81487"/>
    <w:rsid w:val="00C90369"/>
    <w:rsid w:val="00C91687"/>
    <w:rsid w:val="00C924A8"/>
    <w:rsid w:val="00C940E7"/>
    <w:rsid w:val="00C945FE"/>
    <w:rsid w:val="00C96FAA"/>
    <w:rsid w:val="00C97A04"/>
    <w:rsid w:val="00CA0641"/>
    <w:rsid w:val="00CA107B"/>
    <w:rsid w:val="00CA40BD"/>
    <w:rsid w:val="00CA484D"/>
    <w:rsid w:val="00CA495C"/>
    <w:rsid w:val="00CA4FB6"/>
    <w:rsid w:val="00CA5C53"/>
    <w:rsid w:val="00CB1737"/>
    <w:rsid w:val="00CB1BA1"/>
    <w:rsid w:val="00CC0AFE"/>
    <w:rsid w:val="00CC28D0"/>
    <w:rsid w:val="00CC5415"/>
    <w:rsid w:val="00CC72A6"/>
    <w:rsid w:val="00CC739E"/>
    <w:rsid w:val="00CD178A"/>
    <w:rsid w:val="00CD217B"/>
    <w:rsid w:val="00CD2907"/>
    <w:rsid w:val="00CD49BB"/>
    <w:rsid w:val="00CD58B7"/>
    <w:rsid w:val="00CE5EF2"/>
    <w:rsid w:val="00CE6A48"/>
    <w:rsid w:val="00CF2E4C"/>
    <w:rsid w:val="00CF4099"/>
    <w:rsid w:val="00CF50AE"/>
    <w:rsid w:val="00CF538E"/>
    <w:rsid w:val="00CF6348"/>
    <w:rsid w:val="00CF648E"/>
    <w:rsid w:val="00D00796"/>
    <w:rsid w:val="00D01C12"/>
    <w:rsid w:val="00D029DF"/>
    <w:rsid w:val="00D05126"/>
    <w:rsid w:val="00D06B81"/>
    <w:rsid w:val="00D078D8"/>
    <w:rsid w:val="00D12F08"/>
    <w:rsid w:val="00D16D48"/>
    <w:rsid w:val="00D21BB8"/>
    <w:rsid w:val="00D23581"/>
    <w:rsid w:val="00D24390"/>
    <w:rsid w:val="00D24C05"/>
    <w:rsid w:val="00D26089"/>
    <w:rsid w:val="00D261A2"/>
    <w:rsid w:val="00D36D38"/>
    <w:rsid w:val="00D54347"/>
    <w:rsid w:val="00D60211"/>
    <w:rsid w:val="00D60A84"/>
    <w:rsid w:val="00D616D2"/>
    <w:rsid w:val="00D62602"/>
    <w:rsid w:val="00D63B5F"/>
    <w:rsid w:val="00D70EF7"/>
    <w:rsid w:val="00D734C2"/>
    <w:rsid w:val="00D77FEA"/>
    <w:rsid w:val="00D8019B"/>
    <w:rsid w:val="00D8397C"/>
    <w:rsid w:val="00D86250"/>
    <w:rsid w:val="00D90CB4"/>
    <w:rsid w:val="00D94BFD"/>
    <w:rsid w:val="00D94EED"/>
    <w:rsid w:val="00D95F99"/>
    <w:rsid w:val="00D96026"/>
    <w:rsid w:val="00D96A34"/>
    <w:rsid w:val="00D97CB4"/>
    <w:rsid w:val="00DA0438"/>
    <w:rsid w:val="00DA15B6"/>
    <w:rsid w:val="00DA6528"/>
    <w:rsid w:val="00DA70BC"/>
    <w:rsid w:val="00DA7C1C"/>
    <w:rsid w:val="00DB147A"/>
    <w:rsid w:val="00DB1B7A"/>
    <w:rsid w:val="00DB299B"/>
    <w:rsid w:val="00DC0BD7"/>
    <w:rsid w:val="00DC22C3"/>
    <w:rsid w:val="00DC6708"/>
    <w:rsid w:val="00DC7F3C"/>
    <w:rsid w:val="00DD01DA"/>
    <w:rsid w:val="00DD1F1F"/>
    <w:rsid w:val="00DD3036"/>
    <w:rsid w:val="00DD7916"/>
    <w:rsid w:val="00DF5320"/>
    <w:rsid w:val="00DF7BC7"/>
    <w:rsid w:val="00E01436"/>
    <w:rsid w:val="00E03B38"/>
    <w:rsid w:val="00E045BD"/>
    <w:rsid w:val="00E0762C"/>
    <w:rsid w:val="00E1149B"/>
    <w:rsid w:val="00E135B1"/>
    <w:rsid w:val="00E165BE"/>
    <w:rsid w:val="00E1667E"/>
    <w:rsid w:val="00E17B77"/>
    <w:rsid w:val="00E17DE6"/>
    <w:rsid w:val="00E20041"/>
    <w:rsid w:val="00E20CBE"/>
    <w:rsid w:val="00E212A3"/>
    <w:rsid w:val="00E23337"/>
    <w:rsid w:val="00E2483C"/>
    <w:rsid w:val="00E259EA"/>
    <w:rsid w:val="00E32061"/>
    <w:rsid w:val="00E37334"/>
    <w:rsid w:val="00E41497"/>
    <w:rsid w:val="00E42FF9"/>
    <w:rsid w:val="00E4714C"/>
    <w:rsid w:val="00E47168"/>
    <w:rsid w:val="00E5101C"/>
    <w:rsid w:val="00E51AEB"/>
    <w:rsid w:val="00E522A7"/>
    <w:rsid w:val="00E53494"/>
    <w:rsid w:val="00E53693"/>
    <w:rsid w:val="00E53C71"/>
    <w:rsid w:val="00E54452"/>
    <w:rsid w:val="00E57ABD"/>
    <w:rsid w:val="00E64BE7"/>
    <w:rsid w:val="00E664C5"/>
    <w:rsid w:val="00E66983"/>
    <w:rsid w:val="00E671A2"/>
    <w:rsid w:val="00E67AEE"/>
    <w:rsid w:val="00E76D26"/>
    <w:rsid w:val="00E77E1D"/>
    <w:rsid w:val="00E806E2"/>
    <w:rsid w:val="00E827EF"/>
    <w:rsid w:val="00E832ED"/>
    <w:rsid w:val="00E87266"/>
    <w:rsid w:val="00E9568F"/>
    <w:rsid w:val="00EA3120"/>
    <w:rsid w:val="00EA69E1"/>
    <w:rsid w:val="00EB1390"/>
    <w:rsid w:val="00EB2C71"/>
    <w:rsid w:val="00EB4340"/>
    <w:rsid w:val="00EB556D"/>
    <w:rsid w:val="00EB5A7D"/>
    <w:rsid w:val="00EB6548"/>
    <w:rsid w:val="00EC1105"/>
    <w:rsid w:val="00EC4537"/>
    <w:rsid w:val="00EC4894"/>
    <w:rsid w:val="00EC4951"/>
    <w:rsid w:val="00EC6435"/>
    <w:rsid w:val="00EC73CA"/>
    <w:rsid w:val="00EC76B9"/>
    <w:rsid w:val="00ED1949"/>
    <w:rsid w:val="00ED297A"/>
    <w:rsid w:val="00ED55C0"/>
    <w:rsid w:val="00ED682B"/>
    <w:rsid w:val="00EE2896"/>
    <w:rsid w:val="00EE36CB"/>
    <w:rsid w:val="00EE41D5"/>
    <w:rsid w:val="00EE4780"/>
    <w:rsid w:val="00EE4970"/>
    <w:rsid w:val="00EE5223"/>
    <w:rsid w:val="00EE5EC4"/>
    <w:rsid w:val="00EE746E"/>
    <w:rsid w:val="00EF6C6B"/>
    <w:rsid w:val="00F0121F"/>
    <w:rsid w:val="00F0170D"/>
    <w:rsid w:val="00F02254"/>
    <w:rsid w:val="00F037A4"/>
    <w:rsid w:val="00F06326"/>
    <w:rsid w:val="00F071AC"/>
    <w:rsid w:val="00F108B4"/>
    <w:rsid w:val="00F13C31"/>
    <w:rsid w:val="00F154DB"/>
    <w:rsid w:val="00F15F6E"/>
    <w:rsid w:val="00F27C8F"/>
    <w:rsid w:val="00F32323"/>
    <w:rsid w:val="00F32749"/>
    <w:rsid w:val="00F327B3"/>
    <w:rsid w:val="00F344CD"/>
    <w:rsid w:val="00F3589E"/>
    <w:rsid w:val="00F359FA"/>
    <w:rsid w:val="00F370FD"/>
    <w:rsid w:val="00F37172"/>
    <w:rsid w:val="00F40194"/>
    <w:rsid w:val="00F4096A"/>
    <w:rsid w:val="00F43964"/>
    <w:rsid w:val="00F4477E"/>
    <w:rsid w:val="00F45AD8"/>
    <w:rsid w:val="00F46013"/>
    <w:rsid w:val="00F47274"/>
    <w:rsid w:val="00F478EF"/>
    <w:rsid w:val="00F47E33"/>
    <w:rsid w:val="00F54466"/>
    <w:rsid w:val="00F54C16"/>
    <w:rsid w:val="00F65B91"/>
    <w:rsid w:val="00F6684A"/>
    <w:rsid w:val="00F6773E"/>
    <w:rsid w:val="00F67D8F"/>
    <w:rsid w:val="00F726A7"/>
    <w:rsid w:val="00F729F3"/>
    <w:rsid w:val="00F73110"/>
    <w:rsid w:val="00F76B91"/>
    <w:rsid w:val="00F802BE"/>
    <w:rsid w:val="00F80E93"/>
    <w:rsid w:val="00F82CF5"/>
    <w:rsid w:val="00F85252"/>
    <w:rsid w:val="00F86024"/>
    <w:rsid w:val="00F8611A"/>
    <w:rsid w:val="00F87A89"/>
    <w:rsid w:val="00FA0634"/>
    <w:rsid w:val="00FA1F77"/>
    <w:rsid w:val="00FA4875"/>
    <w:rsid w:val="00FA5128"/>
    <w:rsid w:val="00FA5F55"/>
    <w:rsid w:val="00FA5F62"/>
    <w:rsid w:val="00FA623A"/>
    <w:rsid w:val="00FB42D4"/>
    <w:rsid w:val="00FB451B"/>
    <w:rsid w:val="00FB5906"/>
    <w:rsid w:val="00FB5C58"/>
    <w:rsid w:val="00FB762F"/>
    <w:rsid w:val="00FC0725"/>
    <w:rsid w:val="00FC0EC4"/>
    <w:rsid w:val="00FC2AED"/>
    <w:rsid w:val="00FC64E0"/>
    <w:rsid w:val="00FD0641"/>
    <w:rsid w:val="00FD30CF"/>
    <w:rsid w:val="00FD4F5A"/>
    <w:rsid w:val="00FD5EA7"/>
    <w:rsid w:val="00FD69E9"/>
    <w:rsid w:val="00FD7BD2"/>
    <w:rsid w:val="00FE08F1"/>
    <w:rsid w:val="00FE5525"/>
    <w:rsid w:val="00FE6DF6"/>
    <w:rsid w:val="00FF1913"/>
    <w:rsid w:val="00FF198D"/>
    <w:rsid w:val="00FF1B51"/>
    <w:rsid w:val="00FF28AA"/>
    <w:rsid w:val="00FF48BB"/>
    <w:rsid w:val="00FF4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3A31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827EF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F15F6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hart" Target="charts/chart2.xml"/><Relationship Id="rId18" Type="http://schemas.openxmlformats.org/officeDocument/2006/relationships/header" Target="header2.xml"/><Relationship Id="rId26" Type="http://schemas.openxmlformats.org/officeDocument/2006/relationships/hyperlink" Target="http://swaid.stat.gov.pl/SitePagesDBW/WarunkiZyciaLudnosci.aspx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5.png"/><Relationship Id="rId7" Type="http://schemas.openxmlformats.org/officeDocument/2006/relationships/settings" Target="settings.xml"/><Relationship Id="rId12" Type="http://schemas.openxmlformats.org/officeDocument/2006/relationships/chart" Target="charts/chart1.xml"/><Relationship Id="rId17" Type="http://schemas.openxmlformats.org/officeDocument/2006/relationships/footer" Target="footer1.xml"/><Relationship Id="rId25" Type="http://schemas.openxmlformats.org/officeDocument/2006/relationships/hyperlink" Target="https://stat.gov.pl/obszary-tematyczne/inne-opracowania/informacje-o-sytuacji-spoleczno-gospodarczej/biuletyn-statystyczny-nr-112019,4,94.html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waid.stat.gov.pl/SitePagesDBW/WarunkiZyciaLudnosci.aspx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s://stat.gov.pl/obszary-tematyczne/koniunktura/koniunktura/koniunktura-w-przetworstwie-przemyslowym-budownictwie-handlu-i-uslugach-w-grudniu-2019-roku,3,85.html" TargetMode="External"/><Relationship Id="rId32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chart" Target="charts/chart4.xml"/><Relationship Id="rId23" Type="http://schemas.openxmlformats.org/officeDocument/2006/relationships/image" Target="media/image7.png"/><Relationship Id="rId28" Type="http://schemas.openxmlformats.org/officeDocument/2006/relationships/hyperlink" Target="https://stat.gov.pl/obszary-tematyczne/inne-opracowania/informacje-o-sytuacji-spoleczno-gospodarczej/biuletyn-statystyczny-nr-112019,4,94.html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3.xml"/><Relationship Id="rId22" Type="http://schemas.openxmlformats.org/officeDocument/2006/relationships/image" Target="media/image6.png"/><Relationship Id="rId27" Type="http://schemas.openxmlformats.org/officeDocument/2006/relationships/hyperlink" Target="https://stat.gov.pl/obszary-tematyczne/koniunktura/koniunktura/koniunktura-w-przetworstwie-przemyslowym-budownictwie-handlu-i-uslugach-w-grudniu-2019-roku,3,85.html" TargetMode="External"/><Relationship Id="rId30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2.xlsx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1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Arkusz1!$A$2:$B$85</c15:sqref>
                  </c15:fullRef>
                </c:ext>
              </c:extLst>
              <c:f>Arkusz1!$A$26:$B$62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Arkusz1!$C$2:$C$85</c15:sqref>
                  </c15:fullRef>
                </c:ext>
              </c:extLst>
              <c:f>Arkusz1!$C$26:$C$62</c:f>
              <c:numCache>
                <c:formatCode>0.0</c:formatCode>
                <c:ptCount val="37"/>
                <c:pt idx="0">
                  <c:v>-1.2</c:v>
                </c:pt>
                <c:pt idx="1">
                  <c:v>-1.9</c:v>
                </c:pt>
                <c:pt idx="2">
                  <c:v>-2</c:v>
                </c:pt>
                <c:pt idx="3">
                  <c:v>-0.8</c:v>
                </c:pt>
                <c:pt idx="4">
                  <c:v>3.1</c:v>
                </c:pt>
                <c:pt idx="5">
                  <c:v>4.8</c:v>
                </c:pt>
                <c:pt idx="6">
                  <c:v>4</c:v>
                </c:pt>
                <c:pt idx="7">
                  <c:v>5.7</c:v>
                </c:pt>
                <c:pt idx="8">
                  <c:v>5</c:v>
                </c:pt>
                <c:pt idx="9">
                  <c:v>4.5999999999999996</c:v>
                </c:pt>
                <c:pt idx="10">
                  <c:v>5.4</c:v>
                </c:pt>
                <c:pt idx="11">
                  <c:v>2.1</c:v>
                </c:pt>
                <c:pt idx="12">
                  <c:v>6.2</c:v>
                </c:pt>
                <c:pt idx="13">
                  <c:v>6.2</c:v>
                </c:pt>
                <c:pt idx="14" formatCode="0.0_)">
                  <c:v>5.4</c:v>
                </c:pt>
                <c:pt idx="15" formatCode="0.0_)">
                  <c:v>7.8</c:v>
                </c:pt>
                <c:pt idx="16">
                  <c:v>5.9</c:v>
                </c:pt>
                <c:pt idx="17">
                  <c:v>6.1</c:v>
                </c:pt>
                <c:pt idx="18">
                  <c:v>5.2</c:v>
                </c:pt>
                <c:pt idx="19">
                  <c:v>6.2</c:v>
                </c:pt>
                <c:pt idx="20">
                  <c:v>6.9</c:v>
                </c:pt>
                <c:pt idx="21">
                  <c:v>6.1</c:v>
                </c:pt>
                <c:pt idx="22">
                  <c:v>5.2</c:v>
                </c:pt>
                <c:pt idx="23">
                  <c:v>1.1000000000000001</c:v>
                </c:pt>
                <c:pt idx="24">
                  <c:v>5.4</c:v>
                </c:pt>
                <c:pt idx="25">
                  <c:v>5.5</c:v>
                </c:pt>
                <c:pt idx="26">
                  <c:v>8.1999999999999993</c:v>
                </c:pt>
                <c:pt idx="27">
                  <c:v>7.2</c:v>
                </c:pt>
                <c:pt idx="28">
                  <c:v>8.3000000000000007</c:v>
                </c:pt>
                <c:pt idx="29">
                  <c:v>9.6</c:v>
                </c:pt>
                <c:pt idx="30">
                  <c:v>9</c:v>
                </c:pt>
                <c:pt idx="31">
                  <c:v>8.1999999999999993</c:v>
                </c:pt>
                <c:pt idx="32">
                  <c:v>10.199999999999999</c:v>
                </c:pt>
                <c:pt idx="33">
                  <c:v>9.3000000000000007</c:v>
                </c:pt>
                <c:pt idx="34">
                  <c:v>6.7</c:v>
                </c:pt>
                <c:pt idx="35">
                  <c:v>4.3</c:v>
                </c:pt>
                <c:pt idx="36">
                  <c:v>3.7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11951360"/>
        <c:axId val="511952144"/>
      </c:barChart>
      <c:lineChart>
        <c:grouping val="standard"/>
        <c:varyColors val="0"/>
        <c:ser>
          <c:idx val="5"/>
          <c:order val="1"/>
          <c:tx>
            <c:strRef>
              <c:f>Arkusz1!$D$1</c:f>
              <c:strCache>
                <c:ptCount val="1"/>
                <c:pt idx="0">
                  <c:v>Zmiana syt. gosp. dom. w ostatnich 12 miesiącach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Arkusz1!$A$2:$B$85</c15:sqref>
                  </c15:fullRef>
                </c:ext>
              </c:extLst>
              <c:f>Arkusz1!$A$26:$B$62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Arkusz1!$D$2:$D$85</c15:sqref>
                  </c15:fullRef>
                </c:ext>
              </c:extLst>
              <c:f>Arkusz1!$D$26:$D$62</c:f>
              <c:numCache>
                <c:formatCode>0.0</c:formatCode>
                <c:ptCount val="37"/>
                <c:pt idx="0">
                  <c:v>-1.2</c:v>
                </c:pt>
                <c:pt idx="1">
                  <c:v>-0.9</c:v>
                </c:pt>
                <c:pt idx="2">
                  <c:v>-0.2</c:v>
                </c:pt>
                <c:pt idx="3">
                  <c:v>0.5</c:v>
                </c:pt>
                <c:pt idx="4">
                  <c:v>0.8</c:v>
                </c:pt>
                <c:pt idx="5">
                  <c:v>2.2999999999999998</c:v>
                </c:pt>
                <c:pt idx="6">
                  <c:v>-0.3</c:v>
                </c:pt>
                <c:pt idx="7">
                  <c:v>2</c:v>
                </c:pt>
                <c:pt idx="8">
                  <c:v>0.6</c:v>
                </c:pt>
                <c:pt idx="9">
                  <c:v>-0.3</c:v>
                </c:pt>
                <c:pt idx="10">
                  <c:v>0.2</c:v>
                </c:pt>
                <c:pt idx="11">
                  <c:v>-2.4</c:v>
                </c:pt>
                <c:pt idx="12">
                  <c:v>1.5</c:v>
                </c:pt>
                <c:pt idx="13">
                  <c:v>0.1</c:v>
                </c:pt>
                <c:pt idx="14" formatCode="0.0_)">
                  <c:v>-2.9</c:v>
                </c:pt>
                <c:pt idx="15" formatCode="0.0_)">
                  <c:v>2.4</c:v>
                </c:pt>
                <c:pt idx="16">
                  <c:v>0.7</c:v>
                </c:pt>
                <c:pt idx="17">
                  <c:v>-0.6</c:v>
                </c:pt>
                <c:pt idx="18">
                  <c:v>1</c:v>
                </c:pt>
                <c:pt idx="19">
                  <c:v>2.9</c:v>
                </c:pt>
                <c:pt idx="20">
                  <c:v>1.2</c:v>
                </c:pt>
                <c:pt idx="21">
                  <c:v>-0.2</c:v>
                </c:pt>
                <c:pt idx="22">
                  <c:v>1.9</c:v>
                </c:pt>
                <c:pt idx="23">
                  <c:v>-1.3</c:v>
                </c:pt>
                <c:pt idx="24">
                  <c:v>1.6</c:v>
                </c:pt>
                <c:pt idx="25">
                  <c:v>1.5</c:v>
                </c:pt>
                <c:pt idx="26">
                  <c:v>3.2</c:v>
                </c:pt>
                <c:pt idx="27">
                  <c:v>6</c:v>
                </c:pt>
                <c:pt idx="28">
                  <c:v>4.4000000000000004</c:v>
                </c:pt>
                <c:pt idx="29">
                  <c:v>7.5</c:v>
                </c:pt>
                <c:pt idx="30">
                  <c:v>5.4</c:v>
                </c:pt>
                <c:pt idx="31">
                  <c:v>5.4</c:v>
                </c:pt>
                <c:pt idx="32">
                  <c:v>6.9</c:v>
                </c:pt>
                <c:pt idx="33">
                  <c:v>6.6</c:v>
                </c:pt>
                <c:pt idx="34">
                  <c:v>5.5</c:v>
                </c:pt>
                <c:pt idx="35">
                  <c:v>3.3</c:v>
                </c:pt>
                <c:pt idx="36">
                  <c:v>4.2</c:v>
                </c:pt>
              </c:numCache>
            </c:numRef>
          </c:val>
          <c:smooth val="0"/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Arkusz1!$A$2:$B$85</c15:sqref>
                  </c15:fullRef>
                </c:ext>
              </c:extLst>
              <c:f>Arkusz1!$A$26:$B$62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Arkusz1!$E$2:$E$85</c15:sqref>
                  </c15:fullRef>
                </c:ext>
              </c:extLst>
              <c:f>Arkusz1!$E$26:$E$62</c:f>
              <c:numCache>
                <c:formatCode>0.0</c:formatCode>
                <c:ptCount val="37"/>
                <c:pt idx="0">
                  <c:v>2.9</c:v>
                </c:pt>
                <c:pt idx="1">
                  <c:v>2.2000000000000002</c:v>
                </c:pt>
                <c:pt idx="2">
                  <c:v>1.6</c:v>
                </c:pt>
                <c:pt idx="3">
                  <c:v>2</c:v>
                </c:pt>
                <c:pt idx="4">
                  <c:v>2.8</c:v>
                </c:pt>
                <c:pt idx="5">
                  <c:v>2.9</c:v>
                </c:pt>
                <c:pt idx="6">
                  <c:v>3.6</c:v>
                </c:pt>
                <c:pt idx="7">
                  <c:v>4.3</c:v>
                </c:pt>
                <c:pt idx="8">
                  <c:v>4</c:v>
                </c:pt>
                <c:pt idx="9">
                  <c:v>1.6</c:v>
                </c:pt>
                <c:pt idx="10">
                  <c:v>5</c:v>
                </c:pt>
                <c:pt idx="11">
                  <c:v>0.2</c:v>
                </c:pt>
                <c:pt idx="12">
                  <c:v>5.2</c:v>
                </c:pt>
                <c:pt idx="13">
                  <c:v>2.8</c:v>
                </c:pt>
                <c:pt idx="14" formatCode="0.0_)">
                  <c:v>4.2</c:v>
                </c:pt>
                <c:pt idx="15" formatCode="0.0_)">
                  <c:v>5.7</c:v>
                </c:pt>
                <c:pt idx="16">
                  <c:v>3.5</c:v>
                </c:pt>
                <c:pt idx="17">
                  <c:v>3.8</c:v>
                </c:pt>
                <c:pt idx="18">
                  <c:v>3.6</c:v>
                </c:pt>
                <c:pt idx="19">
                  <c:v>4</c:v>
                </c:pt>
                <c:pt idx="20">
                  <c:v>3.1</c:v>
                </c:pt>
                <c:pt idx="21">
                  <c:v>4.7</c:v>
                </c:pt>
                <c:pt idx="22">
                  <c:v>4</c:v>
                </c:pt>
                <c:pt idx="23">
                  <c:v>-1</c:v>
                </c:pt>
                <c:pt idx="24">
                  <c:v>2.8</c:v>
                </c:pt>
                <c:pt idx="25">
                  <c:v>6.9</c:v>
                </c:pt>
                <c:pt idx="26">
                  <c:v>7.7</c:v>
                </c:pt>
                <c:pt idx="27">
                  <c:v>7.9</c:v>
                </c:pt>
                <c:pt idx="28">
                  <c:v>7</c:v>
                </c:pt>
                <c:pt idx="29">
                  <c:v>7.7</c:v>
                </c:pt>
                <c:pt idx="30">
                  <c:v>8.9</c:v>
                </c:pt>
                <c:pt idx="31">
                  <c:v>4.4000000000000004</c:v>
                </c:pt>
                <c:pt idx="32">
                  <c:v>8</c:v>
                </c:pt>
                <c:pt idx="33">
                  <c:v>5.9</c:v>
                </c:pt>
                <c:pt idx="34">
                  <c:v>5</c:v>
                </c:pt>
                <c:pt idx="35">
                  <c:v>2.8</c:v>
                </c:pt>
                <c:pt idx="36">
                  <c:v>2</c:v>
                </c:pt>
              </c:numCache>
            </c:numRef>
          </c:val>
          <c:smooth val="0"/>
        </c:ser>
        <c:ser>
          <c:idx val="6"/>
          <c:order val="3"/>
          <c:tx>
            <c:strRef>
              <c:f>Arkusz1!$F$1</c:f>
              <c:strCache>
                <c:ptCount val="1"/>
                <c:pt idx="0">
                  <c:v>Zmiana syt. kraju w ostatnich 12 miesiącach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Arkusz1!$A$2:$B$85</c15:sqref>
                  </c15:fullRef>
                </c:ext>
              </c:extLst>
              <c:f>Arkusz1!$A$26:$B$62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Arkusz1!$F$2:$F$85</c15:sqref>
                  </c15:fullRef>
                </c:ext>
              </c:extLst>
              <c:f>Arkusz1!$F$26:$F$62</c:f>
              <c:numCache>
                <c:formatCode>0.0</c:formatCode>
                <c:ptCount val="37"/>
                <c:pt idx="0">
                  <c:v>-4.2</c:v>
                </c:pt>
                <c:pt idx="1">
                  <c:v>-4.8</c:v>
                </c:pt>
                <c:pt idx="2">
                  <c:v>-6.4</c:v>
                </c:pt>
                <c:pt idx="3">
                  <c:v>-3.8</c:v>
                </c:pt>
                <c:pt idx="4">
                  <c:v>0.2</c:v>
                </c:pt>
                <c:pt idx="5">
                  <c:v>3.8</c:v>
                </c:pt>
                <c:pt idx="6">
                  <c:v>4.5999999999999996</c:v>
                </c:pt>
                <c:pt idx="7">
                  <c:v>6.3</c:v>
                </c:pt>
                <c:pt idx="8">
                  <c:v>6.2</c:v>
                </c:pt>
                <c:pt idx="9">
                  <c:v>8.5</c:v>
                </c:pt>
                <c:pt idx="10">
                  <c:v>6.9</c:v>
                </c:pt>
                <c:pt idx="11">
                  <c:v>4</c:v>
                </c:pt>
                <c:pt idx="12">
                  <c:v>8.9</c:v>
                </c:pt>
                <c:pt idx="13">
                  <c:v>9</c:v>
                </c:pt>
                <c:pt idx="14" formatCode="0.0_)">
                  <c:v>9.5</c:v>
                </c:pt>
                <c:pt idx="15" formatCode="0.0_)">
                  <c:v>13.2</c:v>
                </c:pt>
                <c:pt idx="16">
                  <c:v>6.7</c:v>
                </c:pt>
                <c:pt idx="17">
                  <c:v>9.5</c:v>
                </c:pt>
                <c:pt idx="18">
                  <c:v>9.8000000000000007</c:v>
                </c:pt>
                <c:pt idx="19">
                  <c:v>8</c:v>
                </c:pt>
                <c:pt idx="20">
                  <c:v>10.8</c:v>
                </c:pt>
                <c:pt idx="21">
                  <c:v>7</c:v>
                </c:pt>
                <c:pt idx="22">
                  <c:v>6.7</c:v>
                </c:pt>
                <c:pt idx="23">
                  <c:v>4.9000000000000004</c:v>
                </c:pt>
                <c:pt idx="24">
                  <c:v>6.9</c:v>
                </c:pt>
                <c:pt idx="25">
                  <c:v>5.3</c:v>
                </c:pt>
                <c:pt idx="26">
                  <c:v>11.1</c:v>
                </c:pt>
                <c:pt idx="27">
                  <c:v>7.1</c:v>
                </c:pt>
                <c:pt idx="28">
                  <c:v>9.9</c:v>
                </c:pt>
                <c:pt idx="29">
                  <c:v>12</c:v>
                </c:pt>
                <c:pt idx="30">
                  <c:v>11.9</c:v>
                </c:pt>
                <c:pt idx="31">
                  <c:v>10.7</c:v>
                </c:pt>
                <c:pt idx="32">
                  <c:v>13.7</c:v>
                </c:pt>
                <c:pt idx="33">
                  <c:v>12.1</c:v>
                </c:pt>
                <c:pt idx="34">
                  <c:v>10</c:v>
                </c:pt>
                <c:pt idx="35">
                  <c:v>5.6</c:v>
                </c:pt>
                <c:pt idx="36">
                  <c:v>3.7</c:v>
                </c:pt>
              </c:numCache>
            </c:numRef>
          </c:val>
          <c:smooth val="0"/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Arkusz1!$A$2:$B$85</c15:sqref>
                  </c15:fullRef>
                </c:ext>
              </c:extLst>
              <c:f>Arkusz1!$A$26:$B$62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Arkusz1!$G$2:$G$85</c15:sqref>
                  </c15:fullRef>
                </c:ext>
              </c:extLst>
              <c:f>Arkusz1!$G$26:$G$62</c:f>
              <c:numCache>
                <c:formatCode>0.0</c:formatCode>
                <c:ptCount val="37"/>
                <c:pt idx="0">
                  <c:v>-10.1</c:v>
                </c:pt>
                <c:pt idx="1">
                  <c:v>-9.1999999999999993</c:v>
                </c:pt>
                <c:pt idx="2">
                  <c:v>-8.3000000000000007</c:v>
                </c:pt>
                <c:pt idx="3">
                  <c:v>-7.2</c:v>
                </c:pt>
                <c:pt idx="4">
                  <c:v>-1.4</c:v>
                </c:pt>
                <c:pt idx="5">
                  <c:v>1.8</c:v>
                </c:pt>
                <c:pt idx="6">
                  <c:v>1.9</c:v>
                </c:pt>
                <c:pt idx="7">
                  <c:v>2.7</c:v>
                </c:pt>
                <c:pt idx="8">
                  <c:v>0.8</c:v>
                </c:pt>
                <c:pt idx="9">
                  <c:v>3.4</c:v>
                </c:pt>
                <c:pt idx="10">
                  <c:v>3.8</c:v>
                </c:pt>
                <c:pt idx="11">
                  <c:v>0.3</c:v>
                </c:pt>
                <c:pt idx="12">
                  <c:v>4</c:v>
                </c:pt>
                <c:pt idx="13">
                  <c:v>6.3</c:v>
                </c:pt>
                <c:pt idx="14" formatCode="0.0_)">
                  <c:v>3.2</c:v>
                </c:pt>
                <c:pt idx="15" formatCode="0.0_)">
                  <c:v>6</c:v>
                </c:pt>
                <c:pt idx="16">
                  <c:v>3.8</c:v>
                </c:pt>
                <c:pt idx="17">
                  <c:v>3.8</c:v>
                </c:pt>
                <c:pt idx="18">
                  <c:v>1.2</c:v>
                </c:pt>
                <c:pt idx="19">
                  <c:v>1.9</c:v>
                </c:pt>
                <c:pt idx="20">
                  <c:v>4.4000000000000004</c:v>
                </c:pt>
                <c:pt idx="21">
                  <c:v>1.5</c:v>
                </c:pt>
                <c:pt idx="22">
                  <c:v>2.7</c:v>
                </c:pt>
                <c:pt idx="23">
                  <c:v>-4.8</c:v>
                </c:pt>
                <c:pt idx="24">
                  <c:v>0.6</c:v>
                </c:pt>
                <c:pt idx="25">
                  <c:v>1.8</c:v>
                </c:pt>
                <c:pt idx="26">
                  <c:v>4.2</c:v>
                </c:pt>
                <c:pt idx="27">
                  <c:v>-0.5</c:v>
                </c:pt>
                <c:pt idx="28">
                  <c:v>3.5</c:v>
                </c:pt>
                <c:pt idx="29">
                  <c:v>3.9</c:v>
                </c:pt>
                <c:pt idx="30">
                  <c:v>2.8</c:v>
                </c:pt>
                <c:pt idx="31">
                  <c:v>2.2000000000000002</c:v>
                </c:pt>
                <c:pt idx="32">
                  <c:v>2.8</c:v>
                </c:pt>
                <c:pt idx="33">
                  <c:v>3.4</c:v>
                </c:pt>
                <c:pt idx="34">
                  <c:v>-3</c:v>
                </c:pt>
                <c:pt idx="35">
                  <c:v>-7.9</c:v>
                </c:pt>
                <c:pt idx="36">
                  <c:v>-7.7</c:v>
                </c:pt>
              </c:numCache>
            </c:numRef>
          </c:val>
          <c:smooth val="0"/>
        </c:ser>
        <c:ser>
          <c:idx val="4"/>
          <c:order val="5"/>
          <c:tx>
            <c:strRef>
              <c:f>Arkusz1!$H$1</c:f>
              <c:strCache>
                <c:ptCount val="1"/>
                <c:pt idx="0">
                  <c:v>Obecne dokonyw. ważnych zakupów</c:v>
                </c:pt>
              </c:strCache>
            </c:strRef>
          </c:tx>
          <c:spPr>
            <a:ln w="28575" cap="rnd">
              <a:solidFill>
                <a:schemeClr val="tx1">
                  <a:alpha val="7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7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Arkusz1!$A$2:$B$85</c15:sqref>
                  </c15:fullRef>
                </c:ext>
              </c:extLst>
              <c:f>Arkusz1!$A$26:$B$62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Arkusz1!$H$2:$H$85</c15:sqref>
                  </c15:fullRef>
                </c:ext>
              </c:extLst>
              <c:f>Arkusz1!$H$26:$H$62</c:f>
              <c:numCache>
                <c:formatCode>0.0</c:formatCode>
                <c:ptCount val="37"/>
                <c:pt idx="0">
                  <c:v>6.6</c:v>
                </c:pt>
                <c:pt idx="1">
                  <c:v>3.4</c:v>
                </c:pt>
                <c:pt idx="2">
                  <c:v>3.3</c:v>
                </c:pt>
                <c:pt idx="3">
                  <c:v>4.7</c:v>
                </c:pt>
                <c:pt idx="4">
                  <c:v>12.9</c:v>
                </c:pt>
                <c:pt idx="5">
                  <c:v>13.2</c:v>
                </c:pt>
                <c:pt idx="6">
                  <c:v>10.3</c:v>
                </c:pt>
                <c:pt idx="7">
                  <c:v>13</c:v>
                </c:pt>
                <c:pt idx="8">
                  <c:v>13.2</c:v>
                </c:pt>
                <c:pt idx="9">
                  <c:v>10</c:v>
                </c:pt>
                <c:pt idx="10">
                  <c:v>11</c:v>
                </c:pt>
                <c:pt idx="11">
                  <c:v>8.4</c:v>
                </c:pt>
                <c:pt idx="12">
                  <c:v>11.4</c:v>
                </c:pt>
                <c:pt idx="13">
                  <c:v>13</c:v>
                </c:pt>
                <c:pt idx="14">
                  <c:v>12.7</c:v>
                </c:pt>
                <c:pt idx="15">
                  <c:v>11.9</c:v>
                </c:pt>
                <c:pt idx="16">
                  <c:v>14.9</c:v>
                </c:pt>
                <c:pt idx="17">
                  <c:v>14.2</c:v>
                </c:pt>
                <c:pt idx="18">
                  <c:v>10.3</c:v>
                </c:pt>
                <c:pt idx="19">
                  <c:v>14.2</c:v>
                </c:pt>
                <c:pt idx="20">
                  <c:v>15.2</c:v>
                </c:pt>
                <c:pt idx="21">
                  <c:v>17.5</c:v>
                </c:pt>
                <c:pt idx="22">
                  <c:v>10.6</c:v>
                </c:pt>
                <c:pt idx="23">
                  <c:v>7.5</c:v>
                </c:pt>
                <c:pt idx="24">
                  <c:v>14.9</c:v>
                </c:pt>
                <c:pt idx="25">
                  <c:v>11.9</c:v>
                </c:pt>
                <c:pt idx="26">
                  <c:v>14.5</c:v>
                </c:pt>
                <c:pt idx="27">
                  <c:v>15.4</c:v>
                </c:pt>
                <c:pt idx="28">
                  <c:v>16.7</c:v>
                </c:pt>
                <c:pt idx="29">
                  <c:v>17.100000000000001</c:v>
                </c:pt>
                <c:pt idx="30">
                  <c:v>16.2</c:v>
                </c:pt>
                <c:pt idx="31">
                  <c:v>18.5</c:v>
                </c:pt>
                <c:pt idx="32">
                  <c:v>19.399999999999999</c:v>
                </c:pt>
                <c:pt idx="33">
                  <c:v>18.2</c:v>
                </c:pt>
                <c:pt idx="34">
                  <c:v>16.100000000000001</c:v>
                </c:pt>
                <c:pt idx="35">
                  <c:v>17.899999999999999</c:v>
                </c:pt>
                <c:pt idx="36">
                  <c:v>16.100000000000001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11951360"/>
        <c:axId val="511952144"/>
      </c:lineChart>
      <c:catAx>
        <c:axId val="511951360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11952144"/>
        <c:crossesAt val="0"/>
        <c:auto val="1"/>
        <c:lblAlgn val="ctr"/>
        <c:lblOffset val="100"/>
        <c:tickLblSkip val="1"/>
        <c:noMultiLvlLbl val="0"/>
      </c:catAx>
      <c:valAx>
        <c:axId val="5119521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119513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3178335136222992"/>
          <c:w val="0.99511785645611706"/>
          <c:h val="0.168216586563043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0546769232871537E-2"/>
          <c:y val="0.12403682659834088"/>
          <c:w val="0.91936996161087892"/>
          <c:h val="0.59331270756533183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Arkusz1!$C$1</c:f>
              <c:strCache>
                <c:ptCount val="1"/>
                <c:pt idx="0">
                  <c:v>BWUK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Arkusz1!$C$2:$C$30</c:f>
              <c:numCache>
                <c:formatCode>0.0_)</c:formatCode>
                <c:ptCount val="23"/>
                <c:pt idx="0">
                  <c:v>-13.8</c:v>
                </c:pt>
                <c:pt idx="1">
                  <c:v>-20.8</c:v>
                </c:pt>
                <c:pt idx="2">
                  <c:v>-30</c:v>
                </c:pt>
                <c:pt idx="3">
                  <c:v>-33.700000000000003</c:v>
                </c:pt>
                <c:pt idx="4">
                  <c:v>-35.5</c:v>
                </c:pt>
                <c:pt idx="5">
                  <c:v>-37.5</c:v>
                </c:pt>
                <c:pt idx="6">
                  <c:v>-35.799999999999997</c:v>
                </c:pt>
                <c:pt idx="7">
                  <c:v>-31.8</c:v>
                </c:pt>
                <c:pt idx="8" formatCode="0.0">
                  <c:v>-22.1</c:v>
                </c:pt>
                <c:pt idx="9" formatCode="0.0">
                  <c:v>-14.9</c:v>
                </c:pt>
                <c:pt idx="10" formatCode="0.0">
                  <c:v>-7.1</c:v>
                </c:pt>
                <c:pt idx="11" formatCode="0.0">
                  <c:v>-8</c:v>
                </c:pt>
                <c:pt idx="12" formatCode="0.0">
                  <c:v>-22.3</c:v>
                </c:pt>
                <c:pt idx="13" formatCode="0.0">
                  <c:v>-16.899999999999999</c:v>
                </c:pt>
                <c:pt idx="14" formatCode="0.0">
                  <c:v>-25</c:v>
                </c:pt>
                <c:pt idx="15" formatCode="0.0">
                  <c:v>-29.5</c:v>
                </c:pt>
                <c:pt idx="16" formatCode="0.0">
                  <c:v>-26.7</c:v>
                </c:pt>
                <c:pt idx="17" formatCode="0.0">
                  <c:v>-17</c:v>
                </c:pt>
                <c:pt idx="18" formatCode="0.0">
                  <c:v>-10.9</c:v>
                </c:pt>
                <c:pt idx="19" formatCode="0.0">
                  <c:v>-5.2</c:v>
                </c:pt>
                <c:pt idx="20" formatCode="0.0">
                  <c:v>2.4</c:v>
                </c:pt>
                <c:pt idx="21" formatCode="0.0">
                  <c:v>5.7</c:v>
                </c:pt>
                <c:pt idx="22" formatCode="0.0">
                  <c:v>7.7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14077240"/>
        <c:axId val="314079200"/>
      </c:barChart>
      <c:lineChart>
        <c:grouping val="standard"/>
        <c:varyColors val="0"/>
        <c:ser>
          <c:idx val="4"/>
          <c:order val="1"/>
          <c:tx>
            <c:strRef>
              <c:f>Arkusz1!$D$1</c:f>
              <c:strCache>
                <c:ptCount val="1"/>
                <c:pt idx="0">
                  <c:v>Zmiana syt. gosp. dom. w ostatnich 12 miesiącach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Arkusz1!$D$2:$D$30</c:f>
              <c:numCache>
                <c:formatCode>0.0_)</c:formatCode>
                <c:ptCount val="23"/>
                <c:pt idx="0">
                  <c:v>-21.6</c:v>
                </c:pt>
                <c:pt idx="1">
                  <c:v>-28.6</c:v>
                </c:pt>
                <c:pt idx="2">
                  <c:v>-36.299999999999997</c:v>
                </c:pt>
                <c:pt idx="3">
                  <c:v>-40.6</c:v>
                </c:pt>
                <c:pt idx="4">
                  <c:v>-39.700000000000003</c:v>
                </c:pt>
                <c:pt idx="5">
                  <c:v>-39.6</c:v>
                </c:pt>
                <c:pt idx="6">
                  <c:v>-38.1</c:v>
                </c:pt>
                <c:pt idx="7">
                  <c:v>-33.1</c:v>
                </c:pt>
                <c:pt idx="8" formatCode="0.0">
                  <c:v>-27</c:v>
                </c:pt>
                <c:pt idx="9" formatCode="0.0">
                  <c:v>-18.2</c:v>
                </c:pt>
                <c:pt idx="10" formatCode="0.0">
                  <c:v>-10.9</c:v>
                </c:pt>
                <c:pt idx="11" formatCode="0.0">
                  <c:v>-10.6</c:v>
                </c:pt>
                <c:pt idx="12" formatCode="0.0">
                  <c:v>-18.100000000000001</c:v>
                </c:pt>
                <c:pt idx="13" formatCode="0.0">
                  <c:v>-17.2</c:v>
                </c:pt>
                <c:pt idx="14" formatCode="0.0">
                  <c:v>-22.4</c:v>
                </c:pt>
                <c:pt idx="15" formatCode="0.0">
                  <c:v>-25.4</c:v>
                </c:pt>
                <c:pt idx="16" formatCode="0.0">
                  <c:v>-21.9</c:v>
                </c:pt>
                <c:pt idx="17" formatCode="0.0">
                  <c:v>-15.7</c:v>
                </c:pt>
                <c:pt idx="18" formatCode="0.0">
                  <c:v>-10.7</c:v>
                </c:pt>
                <c:pt idx="19" formatCode="0.0">
                  <c:v>-3.9</c:v>
                </c:pt>
                <c:pt idx="20" formatCode="0.0">
                  <c:v>0.1</c:v>
                </c:pt>
                <c:pt idx="21" formatCode="0.0">
                  <c:v>0.6</c:v>
                </c:pt>
                <c:pt idx="22" formatCode="0.0">
                  <c:v>4.8</c:v>
                </c:pt>
              </c:numCache>
            </c:numRef>
          </c:val>
          <c:smooth val="0"/>
        </c:ser>
        <c:ser>
          <c:idx val="0"/>
          <c:order val="2"/>
          <c:tx>
            <c:strRef>
              <c:f>Arkusz1!$E$1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Arkusz1!$E$2:$E$30</c:f>
              <c:numCache>
                <c:formatCode>0.0_)</c:formatCode>
                <c:ptCount val="23"/>
                <c:pt idx="0">
                  <c:v>-11</c:v>
                </c:pt>
                <c:pt idx="1">
                  <c:v>-19.2</c:v>
                </c:pt>
                <c:pt idx="2">
                  <c:v>-25.3</c:v>
                </c:pt>
                <c:pt idx="3">
                  <c:v>-26.8</c:v>
                </c:pt>
                <c:pt idx="4">
                  <c:v>-25.8</c:v>
                </c:pt>
                <c:pt idx="5">
                  <c:v>-27.8</c:v>
                </c:pt>
                <c:pt idx="6">
                  <c:v>-24.5</c:v>
                </c:pt>
                <c:pt idx="7">
                  <c:v>-22.3</c:v>
                </c:pt>
                <c:pt idx="8" formatCode="0.0">
                  <c:v>-12</c:v>
                </c:pt>
                <c:pt idx="9" formatCode="0.0">
                  <c:v>-6.1</c:v>
                </c:pt>
                <c:pt idx="10" formatCode="0.0">
                  <c:v>-1.9</c:v>
                </c:pt>
                <c:pt idx="11" formatCode="0.0">
                  <c:v>-4.5</c:v>
                </c:pt>
                <c:pt idx="12" formatCode="0.0">
                  <c:v>-11.1</c:v>
                </c:pt>
                <c:pt idx="13" formatCode="0.0">
                  <c:v>-8.1999999999999993</c:v>
                </c:pt>
                <c:pt idx="14" formatCode="0.0">
                  <c:v>-14.6</c:v>
                </c:pt>
                <c:pt idx="15" formatCode="0.0">
                  <c:v>-18.5</c:v>
                </c:pt>
                <c:pt idx="16" formatCode="0.0">
                  <c:v>-13.6</c:v>
                </c:pt>
                <c:pt idx="17" formatCode="0.0">
                  <c:v>-7.3</c:v>
                </c:pt>
                <c:pt idx="18" formatCode="0.0">
                  <c:v>-2.8</c:v>
                </c:pt>
                <c:pt idx="19" formatCode="0.0">
                  <c:v>0.9</c:v>
                </c:pt>
                <c:pt idx="20" formatCode="0.0">
                  <c:v>2.8</c:v>
                </c:pt>
                <c:pt idx="21" formatCode="0.0">
                  <c:v>3.6</c:v>
                </c:pt>
                <c:pt idx="22" formatCode="0.0">
                  <c:v>6.3</c:v>
                </c:pt>
              </c:numCache>
            </c:numRef>
          </c:val>
          <c:smooth val="0"/>
        </c:ser>
        <c:ser>
          <c:idx val="5"/>
          <c:order val="3"/>
          <c:tx>
            <c:strRef>
              <c:f>Arkusz1!$F$1</c:f>
              <c:strCache>
                <c:ptCount val="1"/>
                <c:pt idx="0">
                  <c:v>Zmiana syt. kraju w ostatnich 12 miesiącach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Arkusz1!$F$2:$F$30</c:f>
              <c:numCache>
                <c:formatCode>0.0_)</c:formatCode>
                <c:ptCount val="23"/>
                <c:pt idx="0">
                  <c:v>-12.8</c:v>
                </c:pt>
                <c:pt idx="1">
                  <c:v>-22.3</c:v>
                </c:pt>
                <c:pt idx="2">
                  <c:v>-37.9</c:v>
                </c:pt>
                <c:pt idx="3">
                  <c:v>-45.8</c:v>
                </c:pt>
                <c:pt idx="4">
                  <c:v>-51.8</c:v>
                </c:pt>
                <c:pt idx="5">
                  <c:v>-52.9</c:v>
                </c:pt>
                <c:pt idx="6">
                  <c:v>-51.7</c:v>
                </c:pt>
                <c:pt idx="7">
                  <c:v>-49.5</c:v>
                </c:pt>
                <c:pt idx="8" formatCode="0.0">
                  <c:v>-38.5</c:v>
                </c:pt>
                <c:pt idx="9" formatCode="0.0">
                  <c:v>-26.2</c:v>
                </c:pt>
                <c:pt idx="10" formatCode="0.0">
                  <c:v>-17.7</c:v>
                </c:pt>
                <c:pt idx="11" formatCode="0.0">
                  <c:v>-16.600000000000001</c:v>
                </c:pt>
                <c:pt idx="12" formatCode="0.0">
                  <c:v>-40</c:v>
                </c:pt>
                <c:pt idx="13" formatCode="0.0">
                  <c:v>-31.2</c:v>
                </c:pt>
                <c:pt idx="14" formatCode="0.0">
                  <c:v>-41.5</c:v>
                </c:pt>
                <c:pt idx="15" formatCode="0.0">
                  <c:v>-46.5</c:v>
                </c:pt>
                <c:pt idx="16" formatCode="0.0">
                  <c:v>-45.2</c:v>
                </c:pt>
                <c:pt idx="17" formatCode="0.0">
                  <c:v>-29.9</c:v>
                </c:pt>
                <c:pt idx="18" formatCode="0.0">
                  <c:v>-21.5</c:v>
                </c:pt>
                <c:pt idx="19" formatCode="0.0">
                  <c:v>-11</c:v>
                </c:pt>
                <c:pt idx="20" formatCode="0.0">
                  <c:v>1.8</c:v>
                </c:pt>
                <c:pt idx="21" formatCode="0.0">
                  <c:v>8.6999999999999993</c:v>
                </c:pt>
                <c:pt idx="22" formatCode="0.0">
                  <c:v>9.6999999999999993</c:v>
                </c:pt>
              </c:numCache>
            </c:numRef>
          </c:val>
          <c:smooth val="0"/>
        </c:ser>
        <c:ser>
          <c:idx val="1"/>
          <c:order val="4"/>
          <c:tx>
            <c:strRef>
              <c:f>Arkusz1!$G$1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Arkusz1!$G$2:$G$30</c:f>
              <c:numCache>
                <c:formatCode>0.0_)</c:formatCode>
                <c:ptCount val="23"/>
                <c:pt idx="0">
                  <c:v>-10</c:v>
                </c:pt>
                <c:pt idx="1">
                  <c:v>-17</c:v>
                </c:pt>
                <c:pt idx="2">
                  <c:v>-29.7</c:v>
                </c:pt>
                <c:pt idx="3">
                  <c:v>-29.5</c:v>
                </c:pt>
                <c:pt idx="4">
                  <c:v>-32.200000000000003</c:v>
                </c:pt>
                <c:pt idx="5">
                  <c:v>-35.1</c:v>
                </c:pt>
                <c:pt idx="6">
                  <c:v>-35.200000000000003</c:v>
                </c:pt>
                <c:pt idx="7">
                  <c:v>-30.8</c:v>
                </c:pt>
                <c:pt idx="8" formatCode="0.0">
                  <c:v>-16.7</c:v>
                </c:pt>
                <c:pt idx="9" formatCode="0.0">
                  <c:v>-13</c:v>
                </c:pt>
                <c:pt idx="10" formatCode="0.0">
                  <c:v>-6.6</c:v>
                </c:pt>
                <c:pt idx="11" formatCode="0.0">
                  <c:v>-9.6999999999999993</c:v>
                </c:pt>
                <c:pt idx="12" formatCode="0.0">
                  <c:v>-26.5</c:v>
                </c:pt>
                <c:pt idx="13" formatCode="0.0">
                  <c:v>-18.899999999999999</c:v>
                </c:pt>
                <c:pt idx="14" formatCode="0.0">
                  <c:v>-30.8</c:v>
                </c:pt>
                <c:pt idx="15" formatCode="0.0">
                  <c:v>-38</c:v>
                </c:pt>
                <c:pt idx="16" formatCode="0.0">
                  <c:v>-31.2</c:v>
                </c:pt>
                <c:pt idx="17" formatCode="0.0">
                  <c:v>-18.399999999999999</c:v>
                </c:pt>
                <c:pt idx="18" formatCode="0.0">
                  <c:v>-11.4</c:v>
                </c:pt>
                <c:pt idx="19" formatCode="0.0">
                  <c:v>-9.4</c:v>
                </c:pt>
                <c:pt idx="20" formatCode="0.0">
                  <c:v>-1.8</c:v>
                </c:pt>
                <c:pt idx="21" formatCode="0.0">
                  <c:v>2.8</c:v>
                </c:pt>
                <c:pt idx="22" formatCode="0.0">
                  <c:v>1.2</c:v>
                </c:pt>
              </c:numCache>
            </c:numRef>
          </c:val>
          <c:smooth val="0"/>
        </c:ser>
        <c:ser>
          <c:idx val="2"/>
          <c:order val="5"/>
          <c:tx>
            <c:strRef>
              <c:f>Arkusz1!$H$1</c:f>
              <c:strCache>
                <c:ptCount val="1"/>
                <c:pt idx="0">
                  <c:v>Obecne dokonyw. ważnych zakupów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Arkusz1!$H$2:$H$30</c:f>
              <c:numCache>
                <c:formatCode>0.0_)</c:formatCode>
                <c:ptCount val="23"/>
                <c:pt idx="0">
                  <c:v>-13.4</c:v>
                </c:pt>
                <c:pt idx="1">
                  <c:v>-16.600000000000001</c:v>
                </c:pt>
                <c:pt idx="2">
                  <c:v>-21</c:v>
                </c:pt>
                <c:pt idx="3">
                  <c:v>-25.8</c:v>
                </c:pt>
                <c:pt idx="4">
                  <c:v>-27.8</c:v>
                </c:pt>
                <c:pt idx="5">
                  <c:v>-32.1</c:v>
                </c:pt>
                <c:pt idx="6">
                  <c:v>-29.4</c:v>
                </c:pt>
                <c:pt idx="7">
                  <c:v>-23.3</c:v>
                </c:pt>
                <c:pt idx="8" formatCode="0.0">
                  <c:v>-16.399999999999999</c:v>
                </c:pt>
                <c:pt idx="9" formatCode="0.0">
                  <c:v>-11.1</c:v>
                </c:pt>
                <c:pt idx="10" formatCode="0.0">
                  <c:v>1.3</c:v>
                </c:pt>
                <c:pt idx="11" formatCode="0.0">
                  <c:v>1.2</c:v>
                </c:pt>
                <c:pt idx="12" formatCode="0.0">
                  <c:v>-16.100000000000001</c:v>
                </c:pt>
                <c:pt idx="13" formatCode="0.0">
                  <c:v>-9.1999999999999993</c:v>
                </c:pt>
                <c:pt idx="14" formatCode="0.0">
                  <c:v>-15.9</c:v>
                </c:pt>
                <c:pt idx="15" formatCode="0.0">
                  <c:v>-19.3</c:v>
                </c:pt>
                <c:pt idx="16" formatCode="0.0">
                  <c:v>-21.6</c:v>
                </c:pt>
                <c:pt idx="17" formatCode="0.0">
                  <c:v>-13.7</c:v>
                </c:pt>
                <c:pt idx="18" formatCode="0.0">
                  <c:v>-8.1999999999999993</c:v>
                </c:pt>
                <c:pt idx="19" formatCode="0.0">
                  <c:v>-2.5</c:v>
                </c:pt>
                <c:pt idx="20" formatCode="0.0">
                  <c:v>9.1999999999999993</c:v>
                </c:pt>
                <c:pt idx="21" formatCode="General">
                  <c:v>12.8</c:v>
                </c:pt>
                <c:pt idx="22" formatCode="General">
                  <c:v>16.399999999999999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14077240"/>
        <c:axId val="314079200"/>
      </c:lineChart>
      <c:catAx>
        <c:axId val="314077240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14079200"/>
        <c:crossesAt val="0"/>
        <c:auto val="0"/>
        <c:lblAlgn val="ctr"/>
        <c:lblOffset val="100"/>
        <c:tickLblSkip val="1"/>
        <c:noMultiLvlLbl val="0"/>
      </c:catAx>
      <c:valAx>
        <c:axId val="3140792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140772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6735319766516639"/>
          <c:w val="0.9993317774660837"/>
          <c:h val="0.132646802334833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2.85158100059365E-2"/>
          <c:w val="0.92572481061659784"/>
          <c:h val="0.69522074916354304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WWUK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Arkusz1!$A$2:$B$85</c15:sqref>
                  </c15:fullRef>
                </c:ext>
              </c:extLst>
              <c:f>Arkusz1!$A$26:$B$62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Arkusz1!$C$2:$C$85</c15:sqref>
                  </c15:fullRef>
                </c:ext>
              </c:extLst>
              <c:f>Arkusz1!$C$26:$C$62</c:f>
              <c:numCache>
                <c:formatCode>0.0</c:formatCode>
                <c:ptCount val="37"/>
                <c:pt idx="0">
                  <c:v>-4.4000000000000004</c:v>
                </c:pt>
                <c:pt idx="1">
                  <c:v>-3.6</c:v>
                </c:pt>
                <c:pt idx="2">
                  <c:v>-4.2</c:v>
                </c:pt>
                <c:pt idx="3">
                  <c:v>-3.1</c:v>
                </c:pt>
                <c:pt idx="4">
                  <c:v>0.6</c:v>
                </c:pt>
                <c:pt idx="5">
                  <c:v>1.8</c:v>
                </c:pt>
                <c:pt idx="6">
                  <c:v>1.3</c:v>
                </c:pt>
                <c:pt idx="7">
                  <c:v>2.7</c:v>
                </c:pt>
                <c:pt idx="8">
                  <c:v>0.8</c:v>
                </c:pt>
                <c:pt idx="9">
                  <c:v>1.6</c:v>
                </c:pt>
                <c:pt idx="10">
                  <c:v>3.4</c:v>
                </c:pt>
                <c:pt idx="11">
                  <c:v>-0.2</c:v>
                </c:pt>
                <c:pt idx="12">
                  <c:v>4.3</c:v>
                </c:pt>
                <c:pt idx="13">
                  <c:v>4.2</c:v>
                </c:pt>
                <c:pt idx="14">
                  <c:v>2.9</c:v>
                </c:pt>
                <c:pt idx="15">
                  <c:v>5.7</c:v>
                </c:pt>
                <c:pt idx="16">
                  <c:v>2.8</c:v>
                </c:pt>
                <c:pt idx="17">
                  <c:v>4</c:v>
                </c:pt>
                <c:pt idx="18">
                  <c:v>2.4</c:v>
                </c:pt>
                <c:pt idx="19">
                  <c:v>2.4</c:v>
                </c:pt>
                <c:pt idx="20">
                  <c:v>3.1</c:v>
                </c:pt>
                <c:pt idx="21">
                  <c:v>1.3</c:v>
                </c:pt>
                <c:pt idx="22">
                  <c:v>3.4</c:v>
                </c:pt>
                <c:pt idx="23">
                  <c:v>-1.8</c:v>
                </c:pt>
                <c:pt idx="24">
                  <c:v>2.2000000000000002</c:v>
                </c:pt>
                <c:pt idx="25">
                  <c:v>3.2</c:v>
                </c:pt>
                <c:pt idx="26">
                  <c:v>4.7</c:v>
                </c:pt>
                <c:pt idx="27">
                  <c:v>3.5</c:v>
                </c:pt>
                <c:pt idx="28">
                  <c:v>4.9000000000000004</c:v>
                </c:pt>
                <c:pt idx="29">
                  <c:v>7.5</c:v>
                </c:pt>
                <c:pt idx="30">
                  <c:v>5.9</c:v>
                </c:pt>
                <c:pt idx="31">
                  <c:v>3.9</c:v>
                </c:pt>
                <c:pt idx="32">
                  <c:v>7</c:v>
                </c:pt>
                <c:pt idx="33">
                  <c:v>3.6</c:v>
                </c:pt>
                <c:pt idx="34">
                  <c:v>2.2000000000000002</c:v>
                </c:pt>
                <c:pt idx="35">
                  <c:v>-0.8</c:v>
                </c:pt>
                <c:pt idx="36">
                  <c:v>-0.6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14079592"/>
        <c:axId val="314078416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Arkusz1!$A$2:$B$85</c15:sqref>
                  </c15:fullRef>
                </c:ext>
              </c:extLst>
              <c:f>Arkusz1!$A$26:$B$62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Arkusz1!$D$2:$D$85</c15:sqref>
                  </c15:fullRef>
                </c:ext>
              </c:extLst>
              <c:f>Arkusz1!$D$26:$D$62</c:f>
              <c:numCache>
                <c:formatCode>0.0</c:formatCode>
                <c:ptCount val="37"/>
                <c:pt idx="0">
                  <c:v>2.9</c:v>
                </c:pt>
                <c:pt idx="1">
                  <c:v>2.2000000000000002</c:v>
                </c:pt>
                <c:pt idx="2">
                  <c:v>1.6</c:v>
                </c:pt>
                <c:pt idx="3">
                  <c:v>2</c:v>
                </c:pt>
                <c:pt idx="4">
                  <c:v>2.8</c:v>
                </c:pt>
                <c:pt idx="5">
                  <c:v>2.9</c:v>
                </c:pt>
                <c:pt idx="6">
                  <c:v>3.6</c:v>
                </c:pt>
                <c:pt idx="7">
                  <c:v>4.3</c:v>
                </c:pt>
                <c:pt idx="8">
                  <c:v>4</c:v>
                </c:pt>
                <c:pt idx="9">
                  <c:v>1.6</c:v>
                </c:pt>
                <c:pt idx="10">
                  <c:v>5</c:v>
                </c:pt>
                <c:pt idx="11">
                  <c:v>0.2</c:v>
                </c:pt>
                <c:pt idx="12">
                  <c:v>5.2</c:v>
                </c:pt>
                <c:pt idx="13">
                  <c:v>2.8</c:v>
                </c:pt>
                <c:pt idx="14">
                  <c:v>4.2</c:v>
                </c:pt>
                <c:pt idx="15">
                  <c:v>5.7</c:v>
                </c:pt>
                <c:pt idx="16">
                  <c:v>3.5</c:v>
                </c:pt>
                <c:pt idx="17">
                  <c:v>3.8</c:v>
                </c:pt>
                <c:pt idx="18">
                  <c:v>3.6</c:v>
                </c:pt>
                <c:pt idx="19">
                  <c:v>4</c:v>
                </c:pt>
                <c:pt idx="20">
                  <c:v>3.1</c:v>
                </c:pt>
                <c:pt idx="21">
                  <c:v>4.7</c:v>
                </c:pt>
                <c:pt idx="22">
                  <c:v>4</c:v>
                </c:pt>
                <c:pt idx="23">
                  <c:v>-1</c:v>
                </c:pt>
                <c:pt idx="24">
                  <c:v>2.8</c:v>
                </c:pt>
                <c:pt idx="25">
                  <c:v>6.9</c:v>
                </c:pt>
                <c:pt idx="26">
                  <c:v>7.7</c:v>
                </c:pt>
                <c:pt idx="27">
                  <c:v>7.9</c:v>
                </c:pt>
                <c:pt idx="28">
                  <c:v>7</c:v>
                </c:pt>
                <c:pt idx="29">
                  <c:v>7.7</c:v>
                </c:pt>
                <c:pt idx="30">
                  <c:v>8.9</c:v>
                </c:pt>
                <c:pt idx="31">
                  <c:v>4.4000000000000004</c:v>
                </c:pt>
                <c:pt idx="32">
                  <c:v>8</c:v>
                </c:pt>
                <c:pt idx="33">
                  <c:v>5.9</c:v>
                </c:pt>
                <c:pt idx="34">
                  <c:v>5</c:v>
                </c:pt>
                <c:pt idx="35">
                  <c:v>2.8</c:v>
                </c:pt>
                <c:pt idx="36">
                  <c:v>2</c:v>
                </c:pt>
              </c:numCache>
            </c:numRef>
          </c:val>
          <c:smooth val="0"/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Arkusz1!$A$2:$B$85</c15:sqref>
                  </c15:fullRef>
                </c:ext>
              </c:extLst>
              <c:f>Arkusz1!$A$26:$B$62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Arkusz1!$E$2:$E$85</c15:sqref>
                  </c15:fullRef>
                </c:ext>
              </c:extLst>
              <c:f>Arkusz1!$E$26:$E$62</c:f>
              <c:numCache>
                <c:formatCode>0.0</c:formatCode>
                <c:ptCount val="37"/>
                <c:pt idx="0">
                  <c:v>-10.1</c:v>
                </c:pt>
                <c:pt idx="1">
                  <c:v>-9.1999999999999993</c:v>
                </c:pt>
                <c:pt idx="2">
                  <c:v>-8.3000000000000007</c:v>
                </c:pt>
                <c:pt idx="3">
                  <c:v>-7.2</c:v>
                </c:pt>
                <c:pt idx="4">
                  <c:v>-1.4</c:v>
                </c:pt>
                <c:pt idx="5">
                  <c:v>1.8</c:v>
                </c:pt>
                <c:pt idx="6">
                  <c:v>1.9</c:v>
                </c:pt>
                <c:pt idx="7">
                  <c:v>2.7</c:v>
                </c:pt>
                <c:pt idx="8">
                  <c:v>0.8</c:v>
                </c:pt>
                <c:pt idx="9">
                  <c:v>3.4</c:v>
                </c:pt>
                <c:pt idx="10">
                  <c:v>3.8</c:v>
                </c:pt>
                <c:pt idx="11">
                  <c:v>0.3</c:v>
                </c:pt>
                <c:pt idx="12">
                  <c:v>4</c:v>
                </c:pt>
                <c:pt idx="13">
                  <c:v>6.3</c:v>
                </c:pt>
                <c:pt idx="14">
                  <c:v>3.2</c:v>
                </c:pt>
                <c:pt idx="15">
                  <c:v>6</c:v>
                </c:pt>
                <c:pt idx="16">
                  <c:v>3.8</c:v>
                </c:pt>
                <c:pt idx="17">
                  <c:v>3.8</c:v>
                </c:pt>
                <c:pt idx="18">
                  <c:v>1.2</c:v>
                </c:pt>
                <c:pt idx="19">
                  <c:v>1.9</c:v>
                </c:pt>
                <c:pt idx="20">
                  <c:v>4.4000000000000004</c:v>
                </c:pt>
                <c:pt idx="21">
                  <c:v>1.5</c:v>
                </c:pt>
                <c:pt idx="22">
                  <c:v>2.7</c:v>
                </c:pt>
                <c:pt idx="23">
                  <c:v>-4.8</c:v>
                </c:pt>
                <c:pt idx="24">
                  <c:v>0.6</c:v>
                </c:pt>
                <c:pt idx="25">
                  <c:v>1.8</c:v>
                </c:pt>
                <c:pt idx="26">
                  <c:v>4.2</c:v>
                </c:pt>
                <c:pt idx="27">
                  <c:v>-0.5</c:v>
                </c:pt>
                <c:pt idx="28">
                  <c:v>3.5</c:v>
                </c:pt>
                <c:pt idx="29">
                  <c:v>3.9</c:v>
                </c:pt>
                <c:pt idx="30">
                  <c:v>2.8</c:v>
                </c:pt>
                <c:pt idx="31">
                  <c:v>2.2000000000000002</c:v>
                </c:pt>
                <c:pt idx="32">
                  <c:v>2.8</c:v>
                </c:pt>
                <c:pt idx="33">
                  <c:v>3.4</c:v>
                </c:pt>
                <c:pt idx="34">
                  <c:v>-3</c:v>
                </c:pt>
                <c:pt idx="35">
                  <c:v>-7.9</c:v>
                </c:pt>
                <c:pt idx="36">
                  <c:v>-7.7</c:v>
                </c:pt>
              </c:numCache>
            </c:numRef>
          </c:val>
          <c:smooth val="0"/>
        </c:ser>
        <c:ser>
          <c:idx val="2"/>
          <c:order val="3"/>
          <c:tx>
            <c:strRef>
              <c:f>Arkusz1!$F$1</c:f>
              <c:strCache>
                <c:ptCount val="1"/>
                <c:pt idx="0">
                  <c:v>Zmiana poziomu bezrobocia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Arkusz1!$A$2:$B$85</c15:sqref>
                  </c15:fullRef>
                </c:ext>
              </c:extLst>
              <c:f>Arkusz1!$A$26:$B$62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Arkusz1!$F$2:$F$85</c15:sqref>
                  </c15:fullRef>
                </c:ext>
              </c:extLst>
              <c:f>Arkusz1!$F$26:$F$62</c:f>
              <c:numCache>
                <c:formatCode>0.0</c:formatCode>
                <c:ptCount val="37"/>
                <c:pt idx="0">
                  <c:v>-0.1</c:v>
                </c:pt>
                <c:pt idx="1">
                  <c:v>4.4000000000000004</c:v>
                </c:pt>
                <c:pt idx="2">
                  <c:v>4.9000000000000004</c:v>
                </c:pt>
                <c:pt idx="3">
                  <c:v>5.9</c:v>
                </c:pt>
                <c:pt idx="4">
                  <c:v>11</c:v>
                </c:pt>
                <c:pt idx="5">
                  <c:v>11.7</c:v>
                </c:pt>
                <c:pt idx="6">
                  <c:v>10.1</c:v>
                </c:pt>
                <c:pt idx="7">
                  <c:v>11</c:v>
                </c:pt>
                <c:pt idx="8">
                  <c:v>10.199999999999999</c:v>
                </c:pt>
                <c:pt idx="9">
                  <c:v>9.1999999999999993</c:v>
                </c:pt>
                <c:pt idx="10">
                  <c:v>13.5</c:v>
                </c:pt>
                <c:pt idx="11">
                  <c:v>10.8</c:v>
                </c:pt>
                <c:pt idx="12">
                  <c:v>13.6</c:v>
                </c:pt>
                <c:pt idx="13">
                  <c:v>14.1</c:v>
                </c:pt>
                <c:pt idx="14">
                  <c:v>13.4</c:v>
                </c:pt>
                <c:pt idx="15">
                  <c:v>18</c:v>
                </c:pt>
                <c:pt idx="16">
                  <c:v>14.2</c:v>
                </c:pt>
                <c:pt idx="17">
                  <c:v>13.7</c:v>
                </c:pt>
                <c:pt idx="18">
                  <c:v>14.1</c:v>
                </c:pt>
                <c:pt idx="19">
                  <c:v>12.3</c:v>
                </c:pt>
                <c:pt idx="20">
                  <c:v>11.9</c:v>
                </c:pt>
                <c:pt idx="21">
                  <c:v>8.3000000000000007</c:v>
                </c:pt>
                <c:pt idx="22">
                  <c:v>9.4</c:v>
                </c:pt>
                <c:pt idx="23">
                  <c:v>7.6</c:v>
                </c:pt>
                <c:pt idx="24">
                  <c:v>7.2</c:v>
                </c:pt>
                <c:pt idx="25">
                  <c:v>7.6</c:v>
                </c:pt>
                <c:pt idx="26">
                  <c:v>9.8000000000000007</c:v>
                </c:pt>
                <c:pt idx="27">
                  <c:v>8.1</c:v>
                </c:pt>
                <c:pt idx="28">
                  <c:v>10</c:v>
                </c:pt>
                <c:pt idx="29">
                  <c:v>15.3</c:v>
                </c:pt>
                <c:pt idx="30">
                  <c:v>10.3</c:v>
                </c:pt>
                <c:pt idx="31">
                  <c:v>8.6999999999999993</c:v>
                </c:pt>
                <c:pt idx="32">
                  <c:v>9.8000000000000007</c:v>
                </c:pt>
                <c:pt idx="33">
                  <c:v>2.5</c:v>
                </c:pt>
                <c:pt idx="34">
                  <c:v>2.9</c:v>
                </c:pt>
                <c:pt idx="35">
                  <c:v>0.5</c:v>
                </c:pt>
                <c:pt idx="36">
                  <c:v>2.4</c:v>
                </c:pt>
              </c:numCache>
            </c:numRef>
          </c:val>
          <c:smooth val="0"/>
        </c:ser>
        <c:ser>
          <c:idx val="5"/>
          <c:order val="4"/>
          <c:tx>
            <c:strRef>
              <c:f>Arkusz1!$G$1</c:f>
              <c:strCache>
                <c:ptCount val="1"/>
                <c:pt idx="0">
                  <c:v>Oszczędzanie pieniędzy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Arkusz1!$A$2:$B$85</c15:sqref>
                  </c15:fullRef>
                </c:ext>
              </c:extLst>
              <c:f>Arkusz1!$A$26:$B$62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Arkusz1!$G$2:$G$85</c15:sqref>
                  </c15:fullRef>
                </c:ext>
              </c:extLst>
              <c:f>Arkusz1!$G$26:$G$62</c:f>
              <c:numCache>
                <c:formatCode>0.0</c:formatCode>
                <c:ptCount val="37"/>
                <c:pt idx="0">
                  <c:v>-10.1</c:v>
                </c:pt>
                <c:pt idx="1">
                  <c:v>-11.8</c:v>
                </c:pt>
                <c:pt idx="2">
                  <c:v>-15</c:v>
                </c:pt>
                <c:pt idx="3">
                  <c:v>-12.9</c:v>
                </c:pt>
                <c:pt idx="4">
                  <c:v>-10</c:v>
                </c:pt>
                <c:pt idx="5">
                  <c:v>-9.4</c:v>
                </c:pt>
                <c:pt idx="6">
                  <c:v>-10.5</c:v>
                </c:pt>
                <c:pt idx="7">
                  <c:v>-7.3</c:v>
                </c:pt>
                <c:pt idx="8">
                  <c:v>-11.7</c:v>
                </c:pt>
                <c:pt idx="9">
                  <c:v>-8</c:v>
                </c:pt>
                <c:pt idx="10">
                  <c:v>-8.8000000000000007</c:v>
                </c:pt>
                <c:pt idx="11">
                  <c:v>-12</c:v>
                </c:pt>
                <c:pt idx="12">
                  <c:v>-5.8</c:v>
                </c:pt>
                <c:pt idx="13">
                  <c:v>-6.4</c:v>
                </c:pt>
                <c:pt idx="14">
                  <c:v>-9.1999999999999993</c:v>
                </c:pt>
                <c:pt idx="15">
                  <c:v>-6.9</c:v>
                </c:pt>
                <c:pt idx="16">
                  <c:v>-10.199999999999999</c:v>
                </c:pt>
                <c:pt idx="17">
                  <c:v>-5.2</c:v>
                </c:pt>
                <c:pt idx="18">
                  <c:v>-9.4</c:v>
                </c:pt>
                <c:pt idx="19">
                  <c:v>-8.6999999999999993</c:v>
                </c:pt>
                <c:pt idx="20">
                  <c:v>-7.2</c:v>
                </c:pt>
                <c:pt idx="21">
                  <c:v>-9.3000000000000007</c:v>
                </c:pt>
                <c:pt idx="22">
                  <c:v>-2.6</c:v>
                </c:pt>
                <c:pt idx="23">
                  <c:v>-9</c:v>
                </c:pt>
                <c:pt idx="24">
                  <c:v>-1.6</c:v>
                </c:pt>
                <c:pt idx="25">
                  <c:v>-3.4</c:v>
                </c:pt>
                <c:pt idx="26">
                  <c:v>-3.1</c:v>
                </c:pt>
                <c:pt idx="27">
                  <c:v>-1.4</c:v>
                </c:pt>
                <c:pt idx="28">
                  <c:v>-0.8</c:v>
                </c:pt>
                <c:pt idx="29">
                  <c:v>3.1</c:v>
                </c:pt>
                <c:pt idx="30">
                  <c:v>1.7</c:v>
                </c:pt>
                <c:pt idx="31">
                  <c:v>0.4</c:v>
                </c:pt>
                <c:pt idx="32">
                  <c:v>7.5</c:v>
                </c:pt>
                <c:pt idx="33">
                  <c:v>2.6</c:v>
                </c:pt>
                <c:pt idx="34">
                  <c:v>3.9</c:v>
                </c:pt>
                <c:pt idx="35">
                  <c:v>1.2</c:v>
                </c:pt>
                <c:pt idx="36">
                  <c:v>1.1000000000000001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14079592"/>
        <c:axId val="314078416"/>
      </c:lineChart>
      <c:catAx>
        <c:axId val="314079592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14078416"/>
        <c:crossesAt val="0"/>
        <c:auto val="1"/>
        <c:lblAlgn val="ctr"/>
        <c:lblOffset val="100"/>
        <c:tickLblSkip val="1"/>
        <c:noMultiLvlLbl val="0"/>
      </c:catAx>
      <c:valAx>
        <c:axId val="3140784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140795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4503937007874019"/>
          <c:w val="0.9993317774660837"/>
          <c:h val="0.1549606299212598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216712591104619E-2"/>
          <c:y val="3.182981166293733E-2"/>
          <c:w val="0.92505522157443221"/>
          <c:h val="0.68551983144386652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WWUK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Arkusz1!$C$2:$C$30</c:f>
              <c:numCache>
                <c:formatCode>0.0_)</c:formatCode>
                <c:ptCount val="23"/>
                <c:pt idx="0">
                  <c:v>-21.85</c:v>
                </c:pt>
                <c:pt idx="1">
                  <c:v>-29.625</c:v>
                </c:pt>
                <c:pt idx="2">
                  <c:v>-41.424999999999997</c:v>
                </c:pt>
                <c:pt idx="3">
                  <c:v>-44.6</c:v>
                </c:pt>
                <c:pt idx="4">
                  <c:v>-46.524999999999999</c:v>
                </c:pt>
                <c:pt idx="5">
                  <c:v>-47.825000000000003</c:v>
                </c:pt>
                <c:pt idx="6">
                  <c:v>-44.8</c:v>
                </c:pt>
                <c:pt idx="7">
                  <c:v>-35.700000000000003</c:v>
                </c:pt>
                <c:pt idx="8" formatCode="0.0">
                  <c:v>-27.2</c:v>
                </c:pt>
                <c:pt idx="9" formatCode="0.0">
                  <c:v>-18.5</c:v>
                </c:pt>
                <c:pt idx="10" formatCode="0.0">
                  <c:v>-7.9</c:v>
                </c:pt>
                <c:pt idx="11" formatCode="0.0">
                  <c:v>-11.6</c:v>
                </c:pt>
                <c:pt idx="12" formatCode="0.0">
                  <c:v>-32.5</c:v>
                </c:pt>
                <c:pt idx="13" formatCode="0.0">
                  <c:v>-23.5</c:v>
                </c:pt>
                <c:pt idx="14" formatCode="0.0">
                  <c:v>-29.8</c:v>
                </c:pt>
                <c:pt idx="15" formatCode="0.0">
                  <c:v>-36.700000000000003</c:v>
                </c:pt>
                <c:pt idx="16" formatCode="0.0">
                  <c:v>-33.700000000000003</c:v>
                </c:pt>
                <c:pt idx="17" formatCode="0.0">
                  <c:v>-21.8</c:v>
                </c:pt>
                <c:pt idx="18" formatCode="0.0">
                  <c:v>-15.1</c:v>
                </c:pt>
                <c:pt idx="19" formatCode="0.0">
                  <c:v>-8.6</c:v>
                </c:pt>
                <c:pt idx="20" formatCode="0.0">
                  <c:v>-0.3</c:v>
                </c:pt>
                <c:pt idx="21" formatCode="0.0">
                  <c:v>2.9</c:v>
                </c:pt>
                <c:pt idx="22" formatCode="0.0">
                  <c:v>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14080768"/>
        <c:axId val="105117160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Arkusz1!$D$2:$D$30</c:f>
              <c:numCache>
                <c:formatCode>0.0_)</c:formatCode>
                <c:ptCount val="23"/>
                <c:pt idx="0">
                  <c:v>-11</c:v>
                </c:pt>
                <c:pt idx="1">
                  <c:v>-19.2</c:v>
                </c:pt>
                <c:pt idx="2">
                  <c:v>-25.3</c:v>
                </c:pt>
                <c:pt idx="3">
                  <c:v>-26.8</c:v>
                </c:pt>
                <c:pt idx="4">
                  <c:v>-25.8</c:v>
                </c:pt>
                <c:pt idx="5">
                  <c:v>-27.8</c:v>
                </c:pt>
                <c:pt idx="6">
                  <c:v>-24.5</c:v>
                </c:pt>
                <c:pt idx="7">
                  <c:v>-22.3</c:v>
                </c:pt>
                <c:pt idx="8" formatCode="0.0">
                  <c:v>-12</c:v>
                </c:pt>
                <c:pt idx="9" formatCode="0.0">
                  <c:v>-6.1</c:v>
                </c:pt>
                <c:pt idx="10" formatCode="0.0">
                  <c:v>-1.9</c:v>
                </c:pt>
                <c:pt idx="11" formatCode="0.0">
                  <c:v>-4.5</c:v>
                </c:pt>
                <c:pt idx="12" formatCode="0.0">
                  <c:v>-11.1</c:v>
                </c:pt>
                <c:pt idx="13" formatCode="0.0">
                  <c:v>-8.1999999999999993</c:v>
                </c:pt>
                <c:pt idx="14" formatCode="0.0">
                  <c:v>-14.6</c:v>
                </c:pt>
                <c:pt idx="15" formatCode="0.0">
                  <c:v>-18.5</c:v>
                </c:pt>
                <c:pt idx="16" formatCode="0.0">
                  <c:v>-13.6</c:v>
                </c:pt>
                <c:pt idx="17" formatCode="0.0">
                  <c:v>-7.3</c:v>
                </c:pt>
                <c:pt idx="18" formatCode="0.0">
                  <c:v>-2.8</c:v>
                </c:pt>
                <c:pt idx="19" formatCode="0.0">
                  <c:v>0.9</c:v>
                </c:pt>
                <c:pt idx="20" formatCode="0.0">
                  <c:v>2.8</c:v>
                </c:pt>
                <c:pt idx="21" formatCode="0.0">
                  <c:v>3.6</c:v>
                </c:pt>
                <c:pt idx="22" formatCode="0.0">
                  <c:v>6.3</c:v>
                </c:pt>
              </c:numCache>
            </c:numRef>
          </c:val>
          <c:smooth val="0"/>
        </c:ser>
        <c:ser>
          <c:idx val="5"/>
          <c:order val="2"/>
          <c:tx>
            <c:strRef>
              <c:f>Arkusz1!$E$1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Arkusz1!$E$2:$E$30</c:f>
              <c:numCache>
                <c:formatCode>0.0_)</c:formatCode>
                <c:ptCount val="23"/>
                <c:pt idx="0">
                  <c:v>-10</c:v>
                </c:pt>
                <c:pt idx="1">
                  <c:v>-17</c:v>
                </c:pt>
                <c:pt idx="2">
                  <c:v>-29.7</c:v>
                </c:pt>
                <c:pt idx="3">
                  <c:v>-29.5</c:v>
                </c:pt>
                <c:pt idx="4">
                  <c:v>-32.200000000000003</c:v>
                </c:pt>
                <c:pt idx="5">
                  <c:v>-35.1</c:v>
                </c:pt>
                <c:pt idx="6">
                  <c:v>-35.200000000000003</c:v>
                </c:pt>
                <c:pt idx="7">
                  <c:v>-30.8</c:v>
                </c:pt>
                <c:pt idx="8" formatCode="0.0">
                  <c:v>-16.7</c:v>
                </c:pt>
                <c:pt idx="9" formatCode="0.0">
                  <c:v>-13</c:v>
                </c:pt>
                <c:pt idx="10" formatCode="0.0">
                  <c:v>-6.6</c:v>
                </c:pt>
                <c:pt idx="11" formatCode="0.0">
                  <c:v>-9.6999999999999993</c:v>
                </c:pt>
                <c:pt idx="12" formatCode="0.0">
                  <c:v>-26.5</c:v>
                </c:pt>
                <c:pt idx="13" formatCode="0.0">
                  <c:v>-18.899999999999999</c:v>
                </c:pt>
                <c:pt idx="14" formatCode="0.0">
                  <c:v>-30.8</c:v>
                </c:pt>
                <c:pt idx="15" formatCode="0.0">
                  <c:v>-38</c:v>
                </c:pt>
                <c:pt idx="16" formatCode="0.0">
                  <c:v>-31.2</c:v>
                </c:pt>
                <c:pt idx="17" formatCode="0.0">
                  <c:v>-18.399999999999999</c:v>
                </c:pt>
                <c:pt idx="18" formatCode="0.0">
                  <c:v>-11.4</c:v>
                </c:pt>
                <c:pt idx="19" formatCode="0.0">
                  <c:v>-9.4</c:v>
                </c:pt>
                <c:pt idx="20" formatCode="0.0">
                  <c:v>-1.8</c:v>
                </c:pt>
                <c:pt idx="21" formatCode="0.0">
                  <c:v>2.8</c:v>
                </c:pt>
                <c:pt idx="22" formatCode="0.0">
                  <c:v>1.2</c:v>
                </c:pt>
              </c:numCache>
            </c:numRef>
          </c:val>
          <c:smooth val="0"/>
        </c:ser>
        <c:ser>
          <c:idx val="1"/>
          <c:order val="3"/>
          <c:tx>
            <c:strRef>
              <c:f>Arkusz1!$F$1</c:f>
              <c:strCache>
                <c:ptCount val="1"/>
                <c:pt idx="0">
                  <c:v>Zmiana poziomu bezrobocia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Arkusz1!$F$2:$F$30</c:f>
              <c:numCache>
                <c:formatCode>0.0_)</c:formatCode>
                <c:ptCount val="23"/>
                <c:pt idx="0">
                  <c:v>-15</c:v>
                </c:pt>
                <c:pt idx="1">
                  <c:v>-27.3</c:v>
                </c:pt>
                <c:pt idx="2">
                  <c:v>-53.1</c:v>
                </c:pt>
                <c:pt idx="3">
                  <c:v>-62</c:v>
                </c:pt>
                <c:pt idx="4">
                  <c:v>-68</c:v>
                </c:pt>
                <c:pt idx="5">
                  <c:v>-63.8</c:v>
                </c:pt>
                <c:pt idx="6">
                  <c:v>-54.1</c:v>
                </c:pt>
                <c:pt idx="7">
                  <c:v>-30.3</c:v>
                </c:pt>
                <c:pt idx="8" formatCode="0.0">
                  <c:v>-24.8</c:v>
                </c:pt>
                <c:pt idx="9" formatCode="0.0">
                  <c:v>-6.3</c:v>
                </c:pt>
                <c:pt idx="10" formatCode="0.0">
                  <c:v>17.600000000000001</c:v>
                </c:pt>
                <c:pt idx="11" formatCode="0.0">
                  <c:v>5.0999999999999996</c:v>
                </c:pt>
                <c:pt idx="12" formatCode="0.0">
                  <c:v>-54.6</c:v>
                </c:pt>
                <c:pt idx="13" formatCode="0.0">
                  <c:v>-34.4</c:v>
                </c:pt>
                <c:pt idx="14" formatCode="0.0">
                  <c:v>-37</c:v>
                </c:pt>
                <c:pt idx="15" formatCode="0.0">
                  <c:v>-53.3</c:v>
                </c:pt>
                <c:pt idx="16" formatCode="0.0">
                  <c:v>-53.7</c:v>
                </c:pt>
                <c:pt idx="17" formatCode="0.0">
                  <c:v>-31.1</c:v>
                </c:pt>
                <c:pt idx="18" formatCode="0.0">
                  <c:v>-19.7</c:v>
                </c:pt>
                <c:pt idx="19" formatCode="0.0">
                  <c:v>-7.8</c:v>
                </c:pt>
                <c:pt idx="20" formatCode="0.0">
                  <c:v>8.5</c:v>
                </c:pt>
                <c:pt idx="21" formatCode="0.0">
                  <c:v>12.6</c:v>
                </c:pt>
                <c:pt idx="22" formatCode="0.0">
                  <c:v>7.7</c:v>
                </c:pt>
              </c:numCache>
            </c:numRef>
          </c:val>
          <c:smooth val="0"/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Oszczędzanie pieniędzy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Arkusz1!$G$2:$G$30</c:f>
              <c:numCache>
                <c:formatCode>0.0_)</c:formatCode>
                <c:ptCount val="23"/>
                <c:pt idx="0">
                  <c:v>-51.4</c:v>
                </c:pt>
                <c:pt idx="1">
                  <c:v>-55</c:v>
                </c:pt>
                <c:pt idx="2">
                  <c:v>-57.6</c:v>
                </c:pt>
                <c:pt idx="3">
                  <c:v>-60.1</c:v>
                </c:pt>
                <c:pt idx="4">
                  <c:v>-60.1</c:v>
                </c:pt>
                <c:pt idx="5">
                  <c:v>-64.599999999999994</c:v>
                </c:pt>
                <c:pt idx="6">
                  <c:v>-65.400000000000006</c:v>
                </c:pt>
                <c:pt idx="7">
                  <c:v>-58.8</c:v>
                </c:pt>
                <c:pt idx="8" formatCode="0.0">
                  <c:v>-54.6</c:v>
                </c:pt>
                <c:pt idx="9" formatCode="0.0">
                  <c:v>-48.3</c:v>
                </c:pt>
                <c:pt idx="10" formatCode="0.0">
                  <c:v>-40.700000000000003</c:v>
                </c:pt>
                <c:pt idx="11" formatCode="0.0">
                  <c:v>-37.200000000000003</c:v>
                </c:pt>
                <c:pt idx="12" formatCode="0.0">
                  <c:v>-37.1</c:v>
                </c:pt>
                <c:pt idx="13" formatCode="0.0">
                  <c:v>-32</c:v>
                </c:pt>
                <c:pt idx="14" formatCode="0.0">
                  <c:v>-36.1</c:v>
                </c:pt>
                <c:pt idx="15" formatCode="0.0">
                  <c:v>-36.9</c:v>
                </c:pt>
                <c:pt idx="16" formatCode="0.0">
                  <c:v>-36.1</c:v>
                </c:pt>
                <c:pt idx="17" formatCode="0.0">
                  <c:v>-30.5</c:v>
                </c:pt>
                <c:pt idx="18" formatCode="0.0">
                  <c:v>-26.3</c:v>
                </c:pt>
                <c:pt idx="19" formatCode="0.0">
                  <c:v>-18</c:v>
                </c:pt>
                <c:pt idx="20" formatCode="0.0">
                  <c:v>-10.6</c:v>
                </c:pt>
                <c:pt idx="21" formatCode="0.0">
                  <c:v>-7.5</c:v>
                </c:pt>
                <c:pt idx="22" formatCode="0.0">
                  <c:v>0.8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14080768"/>
        <c:axId val="105117160"/>
      </c:lineChart>
      <c:catAx>
        <c:axId val="314080768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05117160"/>
        <c:crossesAt val="0"/>
        <c:auto val="0"/>
        <c:lblAlgn val="ctr"/>
        <c:lblOffset val="100"/>
        <c:tickLblSkip val="1"/>
        <c:noMultiLvlLbl val="0"/>
      </c:catAx>
      <c:valAx>
        <c:axId val="1051171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140807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6735319766516639"/>
          <c:w val="0.99511785645611706"/>
          <c:h val="0.132646802334833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0.07018</cdr:x>
      <cdr:y>0.75718</cdr:y>
    </cdr:from>
    <cdr:to>
      <cdr:x>0.36348</cdr:x>
      <cdr:y>0.82589</cdr:y>
    </cdr:to>
    <cdr:sp macro="" textlink="">
      <cdr:nvSpPr>
        <cdr:cNvPr id="2" name="Pole tekstowe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59521" y="2973788"/>
          <a:ext cx="1502410" cy="269875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noAutofit/>
        </a:bodyPr>
        <a:lstStyle xmlns:a="http://schemas.openxmlformats.org/drawingml/2006/main"/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pl-PL" sz="7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** kwiecień, lipiec, październik</a:t>
          </a:r>
        </a:p>
        <a:p xmlns:a="http://schemas.openxmlformats.org/drawingml/2006/main">
          <a:endParaRPr lang="pl-PL"/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2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09AD4EF-3BAE-4C1D-90C4-CCEBE2F2A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320</TotalTime>
  <Pages>6</Pages>
  <Words>766</Words>
  <Characters>4597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Urząd Statystyczny</Company>
  <LinksUpToDate>false</LinksUpToDate>
  <CharactersWithSpaces>5353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Koniunktura konsumencka - styczeń 2020 roku</dc:title>
  <dc:subject>Koniunktura konsumencka - styczeń 2020 roku</dc:subject>
  <dc:creator>Główny Urząd Statystyczny</dc:creator>
  <cp:keywords>koniunktura konsumencka; badanie koniunktury konsumenckiej; nastroje konsumenckie; badanie kondycji gospodarstw domowych; wskaźnik ufności konsumenckiej</cp:keywords>
  <dc:description/>
  <cp:lastPrinted>2019-12-17T12:11:00Z</cp:lastPrinted>
  <dcterms:created xsi:type="dcterms:W3CDTF">2019-12-17T12:57:00Z</dcterms:created>
  <dcterms:modified xsi:type="dcterms:W3CDTF">2020-01-20T11:36:00Z</dcterms:modified>
  <cp:category>Koniunktura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