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14:paraId="00F8F375" w14:textId="328825B2"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797C36">
        <w:rPr>
          <w:shd w:val="clear" w:color="auto" w:fill="FFFFFF"/>
        </w:rPr>
        <w:t>lipcu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024EB36B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6C5E4773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97C3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89,1</w:t>
                            </w:r>
                          </w:p>
                          <w:p w14:paraId="7991620A" w14:textId="17D895A5"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797C36">
                              <w:rPr>
                                <w:sz w:val="20"/>
                              </w:rPr>
                              <w:t>lipcem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6C5E4773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2FC03E45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97C3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89,1</w:t>
                      </w:r>
                    </w:p>
                    <w:p w14:paraId="7991620A" w14:textId="17D895A5"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797C36">
                        <w:rPr>
                          <w:sz w:val="20"/>
                        </w:rPr>
                        <w:t>lipcem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797C36">
        <w:rPr>
          <w:b/>
          <w:noProof/>
          <w:szCs w:val="19"/>
          <w:lang w:eastAsia="pl-PL"/>
        </w:rPr>
        <w:t>lipcu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797C36">
        <w:rPr>
          <w:b/>
          <w:noProof/>
          <w:szCs w:val="19"/>
          <w:lang w:eastAsia="pl-PL"/>
        </w:rPr>
        <w:t>10,9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</w:t>
      </w:r>
      <w:r w:rsidR="00797C36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 </w:t>
      </w:r>
      <w:r w:rsidR="00797C36">
        <w:rPr>
          <w:b/>
          <w:noProof/>
          <w:szCs w:val="19"/>
          <w:lang w:eastAsia="pl-PL"/>
        </w:rPr>
        <w:t>6,6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797C36">
        <w:rPr>
          <w:b/>
          <w:noProof/>
          <w:szCs w:val="19"/>
          <w:lang w:eastAsia="pl-PL"/>
        </w:rPr>
        <w:t>niższa</w:t>
      </w:r>
      <w:r w:rsidR="00DB7139">
        <w:rPr>
          <w:b/>
          <w:noProof/>
          <w:szCs w:val="19"/>
          <w:lang w:eastAsia="pl-PL"/>
        </w:rPr>
        <w:t xml:space="preserve">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797C36">
        <w:rPr>
          <w:b/>
          <w:noProof/>
          <w:szCs w:val="19"/>
          <w:lang w:eastAsia="pl-PL"/>
        </w:rPr>
        <w:t>3,6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797C36">
        <w:rPr>
          <w:b/>
          <w:noProof/>
          <w:szCs w:val="19"/>
          <w:lang w:eastAsia="pl-PL"/>
        </w:rPr>
        <w:t xml:space="preserve">czerwca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454219" w:rsidRPr="00FB48CC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797C36">
        <w:rPr>
          <w:b/>
          <w:noProof/>
          <w:szCs w:val="19"/>
          <w:lang w:eastAsia="pl-PL"/>
        </w:rPr>
        <w:t>5,8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14:paraId="09AABD8A" w14:textId="77777777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14:paraId="0679C982" w14:textId="77777777"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09343D12" w14:textId="6AF19037" w:rsidR="00EB15D1" w:rsidRPr="00263373" w:rsidRDefault="00B97ED9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3417A1E6" w14:textId="5986E04C" w:rsidR="00EB15D1" w:rsidRPr="00263373" w:rsidRDefault="001F0CBF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14:paraId="0BD466B6" w14:textId="77777777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76360775" w14:textId="77777777"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11C919C7" w14:textId="50366D70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6AEEADF3" w14:textId="53114B69" w:rsidR="00EB15D1" w:rsidRPr="00263373" w:rsidRDefault="00B97ED9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61942821" w14:textId="2657A5B1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14:paraId="3F858696" w14:textId="77777777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6E751D18" w14:textId="77777777"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1DEA1EC7" w14:textId="39EB9324" w:rsidR="00EB15D1" w:rsidRPr="00263373" w:rsidRDefault="00797C36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9AB71EA" w14:textId="26EEFA55" w:rsidR="00EB15D1" w:rsidRPr="00263373" w:rsidRDefault="00797C36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89,1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013DEBA3" w14:textId="066C03EF" w:rsidR="00EB15D1" w:rsidRPr="00263373" w:rsidRDefault="00797C36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99,6</w:t>
            </w:r>
          </w:p>
        </w:tc>
      </w:tr>
      <w:tr w:rsidR="00EB15D1" w:rsidRPr="00263373" w14:paraId="701C5E6E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088EF1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0489541" w14:textId="3731A92D" w:rsidR="00EB15D1" w:rsidRPr="00263373" w:rsidRDefault="00797C36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92,9</w:t>
            </w:r>
          </w:p>
        </w:tc>
        <w:tc>
          <w:tcPr>
            <w:tcW w:w="1418" w:type="dxa"/>
            <w:vAlign w:val="center"/>
          </w:tcPr>
          <w:p w14:paraId="1B92A0EE" w14:textId="45FD6BBD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92,4</w:t>
            </w:r>
          </w:p>
        </w:tc>
        <w:tc>
          <w:tcPr>
            <w:tcW w:w="1397" w:type="dxa"/>
            <w:vAlign w:val="center"/>
          </w:tcPr>
          <w:p w14:paraId="63347FEC" w14:textId="341C58BE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</w:tr>
      <w:tr w:rsidR="00EB15D1" w:rsidRPr="00263373" w14:paraId="70F26433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B5F947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CCEEE98" w14:textId="6DF86977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1418" w:type="dxa"/>
            <w:vAlign w:val="center"/>
          </w:tcPr>
          <w:p w14:paraId="59A42FDC" w14:textId="788EE868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83,1</w:t>
            </w:r>
          </w:p>
        </w:tc>
        <w:tc>
          <w:tcPr>
            <w:tcW w:w="1397" w:type="dxa"/>
            <w:vAlign w:val="center"/>
          </w:tcPr>
          <w:p w14:paraId="0ACCE178" w14:textId="18DB25E0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</w:tr>
      <w:tr w:rsidR="00EB15D1" w:rsidRPr="00263373" w14:paraId="4CBE18C5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1DFAEDCB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3E814290" w14:textId="19E38FAA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1418" w:type="dxa"/>
            <w:vAlign w:val="center"/>
          </w:tcPr>
          <w:p w14:paraId="7FE36287" w14:textId="74A798DC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97,1</w:t>
            </w:r>
          </w:p>
        </w:tc>
        <w:tc>
          <w:tcPr>
            <w:tcW w:w="1397" w:type="dxa"/>
            <w:vAlign w:val="center"/>
          </w:tcPr>
          <w:p w14:paraId="5147DB8A" w14:textId="45831AB1" w:rsidR="00EB15D1" w:rsidRPr="00263373" w:rsidRDefault="00797C3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</w:tr>
    </w:tbl>
    <w:p w14:paraId="33C91D07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77777777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00D8CAB4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17E50EB8" w:rsidR="000336B2" w:rsidRDefault="006108ED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9C454F8" wp14:editId="52F03C63">
                <wp:simplePos x="0" y="0"/>
                <wp:positionH relativeFrom="page">
                  <wp:posOffset>5680075</wp:posOffset>
                </wp:positionH>
                <wp:positionV relativeFrom="paragraph">
                  <wp:posOffset>107950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CAB2" w14:textId="3F6F2D21" w:rsidR="00F87E28" w:rsidRPr="00E510EB" w:rsidRDefault="00F87E28" w:rsidP="00F87E28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lipcem 2019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14:paraId="25A98544" w14:textId="2D93A286" w:rsidR="00637CED" w:rsidRPr="00E510EB" w:rsidRDefault="00637CED" w:rsidP="002A0E8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54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25pt;margin-top:8.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" filled="f" stroked="f">
                <v:textbox>
                  <w:txbxContent>
                    <w:p w14:paraId="13CECAB2" w14:textId="3F6F2D21" w:rsidR="00F87E28" w:rsidRPr="00E510EB" w:rsidRDefault="00F87E28" w:rsidP="00F87E28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>
                        <w:t>lipcem</w:t>
                      </w:r>
                      <w:r>
                        <w:t xml:space="preserve"> 2019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14:paraId="25A98544" w14:textId="2D93A286" w:rsidR="00637CED" w:rsidRPr="00E510EB" w:rsidRDefault="00637CED" w:rsidP="002A0E8C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C2A32A" w14:textId="7EF80BDB" w:rsidR="000336B2" w:rsidRPr="000336B2" w:rsidRDefault="000336B2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797C36">
        <w:rPr>
          <w:shd w:val="clear" w:color="auto" w:fill="FFFFFF"/>
        </w:rPr>
        <w:t>lipca</w:t>
      </w:r>
      <w:r>
        <w:rPr>
          <w:shd w:val="clear" w:color="auto" w:fill="FFFFFF"/>
        </w:rPr>
        <w:t xml:space="preserve"> ub. roku </w:t>
      </w:r>
      <w:r w:rsidR="005C0495">
        <w:rPr>
          <w:shd w:val="clear" w:color="auto" w:fill="FFFFFF"/>
        </w:rPr>
        <w:t>zmniejszenie</w:t>
      </w:r>
      <w:r>
        <w:rPr>
          <w:shd w:val="clear" w:color="auto" w:fill="FFFFFF"/>
        </w:rPr>
        <w:t xml:space="preserve"> </w:t>
      </w:r>
      <w:r w:rsidRPr="000336B2">
        <w:rPr>
          <w:shd w:val="clear" w:color="auto" w:fill="FFFFFF"/>
        </w:rPr>
        <w:t xml:space="preserve">wartości produkcji budowlano-montażowej </w:t>
      </w:r>
      <w:r w:rsidR="005C0495">
        <w:rPr>
          <w:shd w:val="clear" w:color="auto" w:fill="FFFFFF"/>
        </w:rPr>
        <w:t xml:space="preserve">zaobserwowano </w:t>
      </w:r>
      <w:r w:rsidR="00124B3F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jednostek </w:t>
      </w:r>
      <w:r w:rsidR="005C0495">
        <w:rPr>
          <w:shd w:val="clear" w:color="auto" w:fill="FFFFFF"/>
        </w:rPr>
        <w:t>wykonujących roboty bud</w:t>
      </w:r>
      <w:r w:rsidR="00124B3F">
        <w:rPr>
          <w:shd w:val="clear" w:color="auto" w:fill="FFFFFF"/>
        </w:rPr>
        <w:t xml:space="preserve">owlane specjalistyczne (o 2,9%), </w:t>
      </w:r>
      <w:r w:rsidR="005C0495">
        <w:rPr>
          <w:shd w:val="clear" w:color="auto" w:fill="FFFFFF"/>
        </w:rPr>
        <w:t xml:space="preserve">zajmujących się budową budynków (o 7,6%) </w:t>
      </w:r>
      <w:r w:rsidR="00797C36">
        <w:rPr>
          <w:shd w:val="clear" w:color="auto" w:fill="FFFFFF"/>
        </w:rPr>
        <w:t>oraz</w:t>
      </w:r>
      <w:r w:rsidR="005C0495">
        <w:rPr>
          <w:shd w:val="clear" w:color="auto" w:fill="FFFFFF"/>
        </w:rPr>
        <w:t xml:space="preserve"> realizujących budowę obiektów inżynierii lądowej i wodnej (o 16,9%)</w:t>
      </w:r>
      <w:r w:rsidR="00797C36">
        <w:rPr>
          <w:shd w:val="clear" w:color="auto" w:fill="FFFFFF"/>
        </w:rPr>
        <w:t>.</w:t>
      </w:r>
    </w:p>
    <w:p w14:paraId="02B6BBE6" w14:textId="2BFEE9CF" w:rsidR="00F14936" w:rsidRDefault="002E69E4" w:rsidP="002E69E4">
      <w:pPr>
        <w:rPr>
          <w:shd w:val="clear" w:color="auto" w:fill="FFFFFF"/>
        </w:rPr>
      </w:pPr>
      <w:r w:rsidRPr="0098037B">
        <w:rPr>
          <w:shd w:val="clear" w:color="auto" w:fill="FFFFFF"/>
        </w:rPr>
        <w:lastRenderedPageBreak/>
        <w:t>W porównaniu z</w:t>
      </w:r>
      <w:r w:rsidR="009076D2">
        <w:rPr>
          <w:shd w:val="clear" w:color="auto" w:fill="FFFFFF"/>
        </w:rPr>
        <w:t xml:space="preserve"> czerwcem</w:t>
      </w:r>
      <w:r w:rsidRPr="0098037B">
        <w:rPr>
          <w:shd w:val="clear" w:color="auto" w:fill="FFFFFF"/>
        </w:rPr>
        <w:t xml:space="preserve"> </w:t>
      </w:r>
      <w:r w:rsidR="00201244" w:rsidRPr="0098037B">
        <w:rPr>
          <w:shd w:val="clear" w:color="auto" w:fill="FFFFFF"/>
        </w:rPr>
        <w:t>2020 roku</w:t>
      </w:r>
      <w:r w:rsidRPr="0098037B">
        <w:rPr>
          <w:shd w:val="clear" w:color="auto" w:fill="FFFFFF"/>
        </w:rPr>
        <w:t xml:space="preserve"> </w:t>
      </w:r>
      <w:r w:rsidR="00481C29" w:rsidRPr="0098037B">
        <w:rPr>
          <w:shd w:val="clear" w:color="auto" w:fill="FFFFFF"/>
        </w:rPr>
        <w:t>z</w:t>
      </w:r>
      <w:r w:rsidR="009076D2">
        <w:rPr>
          <w:shd w:val="clear" w:color="auto" w:fill="FFFFFF"/>
        </w:rPr>
        <w:t>mniejszenie</w:t>
      </w:r>
      <w:r w:rsidR="00252D6C" w:rsidRPr="0098037B">
        <w:rPr>
          <w:shd w:val="clear" w:color="auto" w:fill="FFFFFF"/>
        </w:rPr>
        <w:t xml:space="preserve"> wartości </w:t>
      </w:r>
      <w:r w:rsidRPr="0098037B">
        <w:rPr>
          <w:shd w:val="clear" w:color="auto" w:fill="FFFFFF"/>
        </w:rPr>
        <w:t xml:space="preserve">robót zanotowano </w:t>
      </w:r>
      <w:r w:rsidR="006108ED">
        <w:rPr>
          <w:shd w:val="clear" w:color="auto" w:fill="FFFFFF"/>
        </w:rPr>
        <w:t>we wszystkich działach budownictwa</w:t>
      </w:r>
      <w:r w:rsidR="00124B3F">
        <w:rPr>
          <w:shd w:val="clear" w:color="auto" w:fill="FFFFFF"/>
        </w:rPr>
        <w:t>,</w:t>
      </w:r>
      <w:r w:rsidR="006108ED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w</w:t>
      </w:r>
      <w:r w:rsidR="00F14936" w:rsidRPr="0098037B">
        <w:rPr>
          <w:shd w:val="clear" w:color="auto" w:fill="FFFFFF"/>
        </w:rPr>
        <w:t xml:space="preserve"> jednostkach wykonujących roboty specjalistyczne </w:t>
      </w:r>
      <w:r w:rsidR="00F14936">
        <w:rPr>
          <w:shd w:val="clear" w:color="auto" w:fill="FFFFFF"/>
        </w:rPr>
        <w:t>–</w:t>
      </w:r>
      <w:r w:rsidR="00F14936" w:rsidRPr="0098037B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1,8</w:t>
      </w:r>
      <w:r w:rsidR="00F14936" w:rsidRPr="0098037B">
        <w:rPr>
          <w:shd w:val="clear" w:color="auto" w:fill="FFFFFF"/>
        </w:rPr>
        <w:t>%</w:t>
      </w:r>
      <w:r w:rsidR="00F14936">
        <w:rPr>
          <w:shd w:val="clear" w:color="auto" w:fill="FFFFFF"/>
        </w:rPr>
        <w:t>,</w:t>
      </w:r>
      <w:r w:rsidR="00F14936" w:rsidRPr="00F14936">
        <w:rPr>
          <w:shd w:val="clear" w:color="auto" w:fill="FFFFFF"/>
        </w:rPr>
        <w:t xml:space="preserve"> </w:t>
      </w:r>
      <w:r w:rsidR="00F14936" w:rsidRPr="0098037B">
        <w:rPr>
          <w:shd w:val="clear" w:color="auto" w:fill="FFFFFF"/>
        </w:rPr>
        <w:t xml:space="preserve">specjalizujących się we wznoszeniu obiektów inżynierii lądowej i wodnej </w:t>
      </w:r>
      <w:r w:rsidR="00F14936">
        <w:rPr>
          <w:shd w:val="clear" w:color="auto" w:fill="FFFFFF"/>
        </w:rPr>
        <w:t>–</w:t>
      </w:r>
      <w:r w:rsidR="00F14936" w:rsidRPr="0098037B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2,0</w:t>
      </w:r>
      <w:r w:rsidR="00F14936" w:rsidRPr="0098037B">
        <w:rPr>
          <w:shd w:val="clear" w:color="auto" w:fill="FFFFFF"/>
        </w:rPr>
        <w:t>%</w:t>
      </w:r>
      <w:r w:rsidR="00124B3F">
        <w:rPr>
          <w:shd w:val="clear" w:color="auto" w:fill="FFFFFF"/>
        </w:rPr>
        <w:t>,</w:t>
      </w:r>
      <w:r w:rsidR="00F14936" w:rsidRPr="009076D2">
        <w:rPr>
          <w:shd w:val="clear" w:color="auto" w:fill="FFFFFF"/>
        </w:rPr>
        <w:t xml:space="preserve"> </w:t>
      </w:r>
      <w:r w:rsidR="00F14936" w:rsidRPr="0098037B">
        <w:rPr>
          <w:shd w:val="clear" w:color="auto" w:fill="FFFFFF"/>
        </w:rPr>
        <w:t xml:space="preserve">realizujących prace związane z budową budynków </w:t>
      </w:r>
      <w:r w:rsidR="00F14936">
        <w:rPr>
          <w:shd w:val="clear" w:color="auto" w:fill="FFFFFF"/>
        </w:rPr>
        <w:t>–</w:t>
      </w:r>
      <w:r w:rsidR="00F14936" w:rsidRPr="0098037B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7,1</w:t>
      </w:r>
      <w:r w:rsidR="00F14936" w:rsidRPr="0098037B">
        <w:rPr>
          <w:shd w:val="clear" w:color="auto" w:fill="FFFFFF"/>
        </w:rPr>
        <w:t>%</w:t>
      </w:r>
      <w:r w:rsidR="00F14936">
        <w:rPr>
          <w:shd w:val="clear" w:color="auto" w:fill="FFFFFF"/>
        </w:rPr>
        <w:t>.</w:t>
      </w:r>
    </w:p>
    <w:p w14:paraId="013FDA2D" w14:textId="167D2E64" w:rsidR="00DD4878" w:rsidRPr="004E5AD4" w:rsidRDefault="00500B0B" w:rsidP="00FB48CC">
      <w:pPr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W okresie styczeń-</w:t>
      </w:r>
      <w:r w:rsidR="009076D2">
        <w:rPr>
          <w:shd w:val="clear" w:color="auto" w:fill="FFFFFF"/>
        </w:rPr>
        <w:t>lipiec</w:t>
      </w:r>
      <w:r w:rsidR="00DD4878"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="00DD4878"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="00124B3F">
        <w:rPr>
          <w:shd w:val="clear" w:color="auto" w:fill="FFFFFF"/>
        </w:rPr>
        <w:t xml:space="preserve">zwiększenie </w:t>
      </w:r>
      <w:r w:rsidR="00DD4878" w:rsidRPr="00FB48CC">
        <w:rPr>
          <w:shd w:val="clear" w:color="auto" w:fill="FFFFFF"/>
        </w:rPr>
        <w:t xml:space="preserve">wartości </w:t>
      </w:r>
      <w:r w:rsidR="00124B3F" w:rsidRPr="00FB48CC">
        <w:rPr>
          <w:shd w:val="clear" w:color="auto" w:fill="FFFFFF"/>
        </w:rPr>
        <w:t>(</w:t>
      </w:r>
      <w:r w:rsidR="00124B3F">
        <w:rPr>
          <w:shd w:val="clear" w:color="auto" w:fill="FFFFFF"/>
        </w:rPr>
        <w:t>o 1,1</w:t>
      </w:r>
      <w:r w:rsidR="00124B3F" w:rsidRPr="00FB48CC">
        <w:rPr>
          <w:shd w:val="clear" w:color="auto" w:fill="FFFFFF"/>
        </w:rPr>
        <w:t xml:space="preserve">%) </w:t>
      </w:r>
      <w:r w:rsidR="00DD4878" w:rsidRPr="00FB48CC">
        <w:rPr>
          <w:shd w:val="clear" w:color="auto" w:fill="FFFFFF"/>
        </w:rPr>
        <w:t>produkcji budowlano-montażowej wystąpił</w:t>
      </w:r>
      <w:r w:rsidR="00124B3F">
        <w:rPr>
          <w:shd w:val="clear" w:color="auto" w:fill="FFFFFF"/>
        </w:rPr>
        <w:t>o</w:t>
      </w:r>
      <w:r w:rsidR="00DD4878" w:rsidRPr="00FB48CC">
        <w:rPr>
          <w:shd w:val="clear" w:color="auto" w:fill="FFFFFF"/>
        </w:rPr>
        <w:t xml:space="preserve"> w przedsiębiorstwach</w:t>
      </w:r>
      <w:r w:rsidR="009076D2" w:rsidRPr="009076D2">
        <w:rPr>
          <w:shd w:val="clear" w:color="auto" w:fill="FFFFFF"/>
        </w:rPr>
        <w:t xml:space="preserve"> </w:t>
      </w:r>
      <w:r w:rsidR="009076D2">
        <w:rPr>
          <w:shd w:val="clear" w:color="auto" w:fill="FFFFFF"/>
        </w:rPr>
        <w:t>zajmujących</w:t>
      </w:r>
      <w:r w:rsidR="009076D2" w:rsidRPr="00FB48CC">
        <w:rPr>
          <w:shd w:val="clear" w:color="auto" w:fill="FFFFFF"/>
        </w:rPr>
        <w:t xml:space="preserve"> się wykonywaniem robót specjalistycznych</w:t>
      </w:r>
      <w:r w:rsidR="009076D2">
        <w:rPr>
          <w:shd w:val="clear" w:color="auto" w:fill="FFFFFF"/>
        </w:rPr>
        <w:t>.</w:t>
      </w:r>
      <w:r w:rsidR="00093744" w:rsidRPr="00FB48CC">
        <w:rPr>
          <w:shd w:val="clear" w:color="auto" w:fill="FFFFFF"/>
        </w:rPr>
        <w:t xml:space="preserve"> </w:t>
      </w:r>
      <w:r w:rsidR="000336B2">
        <w:rPr>
          <w:shd w:val="clear" w:color="auto" w:fill="FFFFFF"/>
        </w:rPr>
        <w:t>Jednostki</w:t>
      </w:r>
      <w:r w:rsidR="009076D2">
        <w:rPr>
          <w:shd w:val="clear" w:color="auto" w:fill="FFFFFF"/>
        </w:rPr>
        <w:t xml:space="preserve">, </w:t>
      </w:r>
      <w:r w:rsidR="009076D2" w:rsidRPr="00FB48CC">
        <w:rPr>
          <w:shd w:val="clear" w:color="auto" w:fill="FFFFFF"/>
        </w:rPr>
        <w:t>których podstawowym rodzajem działalności była</w:t>
      </w:r>
      <w:r w:rsidR="009076D2">
        <w:rPr>
          <w:shd w:val="clear" w:color="auto" w:fill="FFFFFF"/>
        </w:rPr>
        <w:t xml:space="preserve"> </w:t>
      </w:r>
      <w:r w:rsidR="009076D2" w:rsidRPr="00FB48CC">
        <w:rPr>
          <w:shd w:val="clear" w:color="auto" w:fill="FFFFFF"/>
        </w:rPr>
        <w:t>budowa obiektów inżynierii lądowej i wodnej</w:t>
      </w:r>
      <w:r w:rsidR="009076D2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 xml:space="preserve">oraz budowa budynków </w:t>
      </w:r>
      <w:r w:rsidR="009076D2">
        <w:rPr>
          <w:shd w:val="clear" w:color="auto" w:fill="FFFFFF"/>
        </w:rPr>
        <w:t xml:space="preserve">zanotowały spadek odpowiednio o </w:t>
      </w:r>
      <w:r w:rsidR="00F14936">
        <w:rPr>
          <w:shd w:val="clear" w:color="auto" w:fill="FFFFFF"/>
        </w:rPr>
        <w:t>0,6</w:t>
      </w:r>
      <w:r w:rsidR="009076D2">
        <w:rPr>
          <w:shd w:val="clear" w:color="auto" w:fill="FFFFFF"/>
        </w:rPr>
        <w:t>%</w:t>
      </w:r>
      <w:r w:rsidR="00F14936">
        <w:rPr>
          <w:shd w:val="clear" w:color="auto" w:fill="FFFFFF"/>
        </w:rPr>
        <w:t xml:space="preserve"> i 1,4</w:t>
      </w:r>
      <w:r w:rsidR="009076D2">
        <w:rPr>
          <w:shd w:val="clear" w:color="auto" w:fill="FFFFFF"/>
        </w:rPr>
        <w:t>%.</w:t>
      </w:r>
    </w:p>
    <w:p w14:paraId="09A1A6AD" w14:textId="1EFCF6B4" w:rsidR="0058201E" w:rsidRPr="00CC31E2" w:rsidRDefault="0058201E" w:rsidP="0058201E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Wartość produkcji budowlano-montażowej obejmująca rob</w:t>
      </w:r>
      <w:r w:rsidR="00F93125" w:rsidRPr="00CC31E2">
        <w:rPr>
          <w:shd w:val="clear" w:color="auto" w:fill="FFFFFF"/>
        </w:rPr>
        <w:t>oty inwestycyjne</w:t>
      </w:r>
      <w:r w:rsidR="002A5E02" w:rsidRPr="00CC31E2">
        <w:rPr>
          <w:shd w:val="clear" w:color="auto" w:fill="FFFFFF"/>
        </w:rPr>
        <w:t xml:space="preserve"> </w:t>
      </w:r>
      <w:r w:rsidR="00F93125" w:rsidRPr="00CC31E2">
        <w:rPr>
          <w:shd w:val="clear" w:color="auto" w:fill="FFFFFF"/>
        </w:rPr>
        <w:t xml:space="preserve">w </w:t>
      </w:r>
      <w:r w:rsidR="00AB7EB5">
        <w:rPr>
          <w:shd w:val="clear" w:color="auto" w:fill="FFFFFF"/>
        </w:rPr>
        <w:t>lipcu</w:t>
      </w:r>
      <w:r w:rsidR="006F4DCB" w:rsidRPr="00CC31E2">
        <w:rPr>
          <w:shd w:val="clear" w:color="auto" w:fill="FFFFFF"/>
        </w:rPr>
        <w:t xml:space="preserve"> </w:t>
      </w:r>
      <w:r w:rsidR="00755047" w:rsidRPr="00CC31E2">
        <w:rPr>
          <w:shd w:val="clear" w:color="auto" w:fill="FFFFFF"/>
        </w:rPr>
        <w:t>b</w:t>
      </w:r>
      <w:r w:rsidR="004F0D67" w:rsidRPr="00CC31E2">
        <w:rPr>
          <w:shd w:val="clear" w:color="auto" w:fill="FFFFFF"/>
        </w:rPr>
        <w:t>r</w:t>
      </w:r>
      <w:r w:rsidR="00F93125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była </w:t>
      </w:r>
      <w:r w:rsidR="00C66D64" w:rsidRPr="00CC31E2">
        <w:rPr>
          <w:shd w:val="clear" w:color="auto" w:fill="FFFFFF"/>
        </w:rPr>
        <w:t>niższa</w:t>
      </w:r>
      <w:r w:rsidR="00C45DBB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 xml:space="preserve">o </w:t>
      </w:r>
      <w:r w:rsidR="00AB7EB5">
        <w:rPr>
          <w:shd w:val="clear" w:color="auto" w:fill="FFFFFF"/>
        </w:rPr>
        <w:t>12,1</w:t>
      </w:r>
      <w:r w:rsidRPr="00CC31E2">
        <w:rPr>
          <w:shd w:val="clear" w:color="auto" w:fill="FFFFFF"/>
        </w:rPr>
        <w:t xml:space="preserve">% w porównaniu z analogicznym miesiącem </w:t>
      </w:r>
      <w:r w:rsidR="00755047" w:rsidRPr="00CC31E2">
        <w:rPr>
          <w:shd w:val="clear" w:color="auto" w:fill="FFFFFF"/>
        </w:rPr>
        <w:t>poprzedniego</w:t>
      </w:r>
      <w:r w:rsidR="00B520A4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>roku (</w:t>
      </w:r>
      <w:r w:rsidR="00372330" w:rsidRPr="00CC31E2">
        <w:rPr>
          <w:shd w:val="clear" w:color="auto" w:fill="FFFFFF"/>
        </w:rPr>
        <w:t xml:space="preserve">w 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B520A4" w:rsidRPr="00CC31E2">
        <w:rPr>
          <w:shd w:val="clear" w:color="auto" w:fill="FFFFFF"/>
        </w:rPr>
        <w:t xml:space="preserve"> </w:t>
      </w:r>
      <w:r w:rsidR="00195207" w:rsidRPr="00CC31E2">
        <w:rPr>
          <w:shd w:val="clear" w:color="auto" w:fill="FFFFFF"/>
        </w:rPr>
        <w:t>r</w:t>
      </w:r>
      <w:r w:rsidR="00087DF6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wzrost</w:t>
      </w:r>
      <w:r w:rsidR="00CC31E2" w:rsidRPr="00CC31E2">
        <w:rPr>
          <w:shd w:val="clear" w:color="auto" w:fill="FFFFFF"/>
        </w:rPr>
        <w:t xml:space="preserve"> o </w:t>
      </w:r>
      <w:r w:rsidR="00AB7EB5">
        <w:rPr>
          <w:shd w:val="clear" w:color="auto" w:fill="FFFFFF"/>
        </w:rPr>
        <w:t>6,6</w:t>
      </w:r>
      <w:r w:rsidRPr="00CC31E2">
        <w:rPr>
          <w:shd w:val="clear" w:color="auto" w:fill="FFFFFF"/>
        </w:rPr>
        <w:t>%)</w:t>
      </w:r>
      <w:r w:rsidR="00672930" w:rsidRPr="00CC31E2">
        <w:rPr>
          <w:shd w:val="clear" w:color="auto" w:fill="FFFFFF"/>
        </w:rPr>
        <w:t>, natomiast</w:t>
      </w:r>
      <w:r w:rsidR="00C45DBB" w:rsidRPr="00CC31E2">
        <w:rPr>
          <w:shd w:val="clear" w:color="auto" w:fill="FFFFFF"/>
        </w:rPr>
        <w:t xml:space="preserve"> wartość robót o charakterze remontowym </w:t>
      </w:r>
      <w:r w:rsidR="00672930" w:rsidRPr="00CC31E2">
        <w:rPr>
          <w:shd w:val="clear" w:color="auto" w:fill="FFFFFF"/>
        </w:rPr>
        <w:t>zmniejszyła</w:t>
      </w:r>
      <w:r w:rsidR="00755047" w:rsidRPr="00CC31E2">
        <w:rPr>
          <w:shd w:val="clear" w:color="auto" w:fill="FFFFFF"/>
        </w:rPr>
        <w:t xml:space="preserve"> się</w:t>
      </w:r>
      <w:r w:rsidR="00CF0581" w:rsidRPr="00CC31E2">
        <w:rPr>
          <w:shd w:val="clear" w:color="auto" w:fill="FFFFFF"/>
        </w:rPr>
        <w:t xml:space="preserve"> o </w:t>
      </w:r>
      <w:r w:rsidR="00AB7EB5">
        <w:rPr>
          <w:shd w:val="clear" w:color="auto" w:fill="FFFFFF"/>
        </w:rPr>
        <w:t>9,0</w:t>
      </w:r>
      <w:r w:rsidR="00C45DBB" w:rsidRPr="00CC31E2">
        <w:rPr>
          <w:shd w:val="clear" w:color="auto" w:fill="FFFFFF"/>
        </w:rPr>
        <w:t>% (</w:t>
      </w:r>
      <w:r w:rsidR="00372330" w:rsidRPr="00CC31E2">
        <w:rPr>
          <w:shd w:val="clear" w:color="auto" w:fill="FFFFFF"/>
        </w:rPr>
        <w:t>w 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FB48CC" w:rsidRPr="00CC31E2">
        <w:rPr>
          <w:shd w:val="clear" w:color="auto" w:fill="FFFFFF"/>
        </w:rPr>
        <w:t> </w:t>
      </w:r>
      <w:r w:rsidR="00087DF6" w:rsidRPr="00CC31E2">
        <w:rPr>
          <w:shd w:val="clear" w:color="auto" w:fill="FFFFFF"/>
        </w:rPr>
        <w:t>r.</w:t>
      </w:r>
      <w:r w:rsidR="00B520A4" w:rsidRPr="00CC31E2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wzrost</w:t>
      </w:r>
      <w:r w:rsidR="00AB7EB5" w:rsidRPr="00CC31E2">
        <w:rPr>
          <w:shd w:val="clear" w:color="auto" w:fill="FFFFFF"/>
        </w:rPr>
        <w:t xml:space="preserve"> o </w:t>
      </w:r>
      <w:r w:rsidR="00AB7EB5">
        <w:rPr>
          <w:shd w:val="clear" w:color="auto" w:fill="FFFFFF"/>
        </w:rPr>
        <w:t>6,6%</w:t>
      </w:r>
      <w:r w:rsidR="00DE5635" w:rsidRPr="00CC31E2">
        <w:rPr>
          <w:shd w:val="clear" w:color="auto" w:fill="FFFFFF"/>
        </w:rPr>
        <w:t>)</w:t>
      </w:r>
      <w:r w:rsidR="000C5DC8" w:rsidRPr="00CC31E2">
        <w:rPr>
          <w:shd w:val="clear" w:color="auto" w:fill="FFFFFF"/>
        </w:rPr>
        <w:t>.</w:t>
      </w:r>
    </w:p>
    <w:p w14:paraId="1983E26A" w14:textId="71192F2F" w:rsidR="00B97457" w:rsidRPr="00CC31E2" w:rsidRDefault="00087DF6" w:rsidP="0058201E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 okresie styczeń-</w:t>
      </w:r>
      <w:r w:rsidR="00AB7EB5">
        <w:rPr>
          <w:shd w:val="clear" w:color="auto" w:fill="FFFFFF"/>
        </w:rPr>
        <w:t>lipiec</w:t>
      </w:r>
      <w:r w:rsidRPr="00CC31E2">
        <w:rPr>
          <w:shd w:val="clear" w:color="auto" w:fill="FFFFFF"/>
        </w:rPr>
        <w:t xml:space="preserve"> 2020 roku</w:t>
      </w:r>
      <w:r w:rsidR="00F87E28">
        <w:rPr>
          <w:shd w:val="clear" w:color="auto" w:fill="FFFFFF"/>
        </w:rPr>
        <w:t xml:space="preserve"> wartość</w:t>
      </w:r>
      <w:r w:rsidR="00B97457" w:rsidRPr="00CC31E2">
        <w:rPr>
          <w:shd w:val="clear" w:color="auto" w:fill="FFFFFF"/>
        </w:rPr>
        <w:t xml:space="preserve"> robót inwestycyjnych</w:t>
      </w:r>
      <w:r w:rsidR="0098037B">
        <w:rPr>
          <w:color w:val="FF0000"/>
          <w:shd w:val="clear" w:color="auto" w:fill="FFFFFF"/>
        </w:rPr>
        <w:t xml:space="preserve"> </w:t>
      </w:r>
      <w:r w:rsidR="00F87E28">
        <w:rPr>
          <w:shd w:val="clear" w:color="auto" w:fill="FFFFFF"/>
        </w:rPr>
        <w:t>była</w:t>
      </w:r>
      <w:r w:rsidR="00AB7EB5">
        <w:rPr>
          <w:shd w:val="clear" w:color="auto" w:fill="FFFFFF"/>
        </w:rPr>
        <w:t xml:space="preserve"> </w:t>
      </w:r>
      <w:r w:rsidR="00F87E28">
        <w:rPr>
          <w:shd w:val="clear" w:color="auto" w:fill="FFFFFF"/>
        </w:rPr>
        <w:t>na podobnym poziomie</w:t>
      </w:r>
      <w:r w:rsidR="00124B3F">
        <w:rPr>
          <w:shd w:val="clear" w:color="auto" w:fill="FFFFFF"/>
        </w:rPr>
        <w:t xml:space="preserve"> jak w analogicznym okresie 2019r.,</w:t>
      </w:r>
      <w:r w:rsidR="00B97457" w:rsidRPr="00CC31E2">
        <w:rPr>
          <w:shd w:val="clear" w:color="auto" w:fill="FFFFFF"/>
        </w:rPr>
        <w:t xml:space="preserve"> </w:t>
      </w:r>
      <w:r w:rsidR="00C66D64" w:rsidRPr="00CC31E2">
        <w:rPr>
          <w:shd w:val="clear" w:color="auto" w:fill="FFFFFF"/>
        </w:rPr>
        <w:t xml:space="preserve">zaś </w:t>
      </w:r>
      <w:r w:rsidR="00AB7EB5">
        <w:rPr>
          <w:shd w:val="clear" w:color="auto" w:fill="FFFFFF"/>
        </w:rPr>
        <w:t xml:space="preserve">robót </w:t>
      </w:r>
      <w:r w:rsidR="00C66D64" w:rsidRPr="00CC31E2">
        <w:rPr>
          <w:shd w:val="clear" w:color="auto" w:fill="FFFFFF"/>
        </w:rPr>
        <w:t>remontowych</w:t>
      </w:r>
      <w:r w:rsidR="00AB7EB5">
        <w:rPr>
          <w:shd w:val="clear" w:color="auto" w:fill="FFFFFF"/>
        </w:rPr>
        <w:t xml:space="preserve"> spadła o</w:t>
      </w:r>
      <w:r w:rsidR="00C66D64" w:rsidRPr="00CC31E2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1,3</w:t>
      </w:r>
      <w:r w:rsidR="00C66D64" w:rsidRPr="00CC31E2">
        <w:rPr>
          <w:shd w:val="clear" w:color="auto" w:fill="FFFFFF"/>
        </w:rPr>
        <w:t xml:space="preserve">% </w:t>
      </w:r>
      <w:r w:rsidR="00B97457" w:rsidRPr="00CC31E2">
        <w:rPr>
          <w:shd w:val="clear" w:color="auto" w:fill="FFFFFF"/>
        </w:rPr>
        <w:t xml:space="preserve">(wobec wzrostów analogicznych robót o </w:t>
      </w:r>
      <w:r w:rsidR="00AB7EB5">
        <w:rPr>
          <w:shd w:val="clear" w:color="auto" w:fill="FFFFFF"/>
        </w:rPr>
        <w:t>8,0</w:t>
      </w:r>
      <w:r w:rsidR="00B97457" w:rsidRPr="00CC31E2">
        <w:rPr>
          <w:shd w:val="clear" w:color="auto" w:fill="FFFFFF"/>
        </w:rPr>
        <w:t xml:space="preserve">% i </w:t>
      </w:r>
      <w:r w:rsidR="00AB7EB5">
        <w:rPr>
          <w:shd w:val="clear" w:color="auto" w:fill="FFFFFF"/>
        </w:rPr>
        <w:t>4,8</w:t>
      </w:r>
      <w:r w:rsidR="00B97457" w:rsidRPr="00CC31E2">
        <w:rPr>
          <w:shd w:val="clear" w:color="auto" w:fill="FFFFFF"/>
        </w:rPr>
        <w:t>% w 201</w:t>
      </w:r>
      <w:r w:rsidR="0087466B" w:rsidRPr="00CC31E2">
        <w:rPr>
          <w:shd w:val="clear" w:color="auto" w:fill="FFFFFF"/>
        </w:rPr>
        <w:t>9</w:t>
      </w:r>
      <w:r w:rsidR="00B97457" w:rsidRPr="00CC31E2">
        <w:rPr>
          <w:shd w:val="clear" w:color="auto" w:fill="FFFFFF"/>
        </w:rPr>
        <w:t xml:space="preserve"> r.).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08C4ABD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E91EBAC" w14:textId="12FF9B13" w:rsidR="00195207" w:rsidRPr="00F000E3" w:rsidRDefault="00195207" w:rsidP="0019520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E04B83" w:rsidRPr="00F000E3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lipcu</w:t>
      </w:r>
      <w:r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AB7EB5">
        <w:rPr>
          <w:shd w:val="clear" w:color="auto" w:fill="FFFFFF"/>
        </w:rPr>
        <w:t>116,8</w:t>
      </w:r>
      <w:r w:rsidR="004D448A" w:rsidRPr="00F000E3">
        <w:rPr>
          <w:shd w:val="clear" w:color="auto" w:fill="FFFFFF"/>
        </w:rPr>
        <w:t>.</w:t>
      </w:r>
    </w:p>
    <w:p w14:paraId="6F0B0E9B" w14:textId="4F6A0527" w:rsidR="00F873CA" w:rsidRPr="00F000E3" w:rsidRDefault="00C03ED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>Po wyeliminowaniu wpływu czynników o charakterze sezonowym</w:t>
      </w:r>
      <w:r w:rsidR="00C378F5" w:rsidRPr="00F000E3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produkcja budowlano-montażowa ukształtowała się na poziomie </w:t>
      </w:r>
      <w:r w:rsidR="00307162" w:rsidRPr="00F000E3">
        <w:rPr>
          <w:shd w:val="clear" w:color="auto" w:fill="FFFFFF"/>
        </w:rPr>
        <w:t>niższym</w:t>
      </w:r>
      <w:r w:rsidRPr="00F000E3">
        <w:rPr>
          <w:shd w:val="clear" w:color="auto" w:fill="FFFFFF"/>
        </w:rPr>
        <w:t xml:space="preserve"> o </w:t>
      </w:r>
      <w:r w:rsidR="00F14936">
        <w:rPr>
          <w:shd w:val="clear" w:color="auto" w:fill="FFFFFF"/>
        </w:rPr>
        <w:t>8,5</w:t>
      </w:r>
      <w:r w:rsidR="00175867" w:rsidRPr="00F000E3">
        <w:rPr>
          <w:shd w:val="clear" w:color="auto" w:fill="FFFFFF"/>
        </w:rPr>
        <w:t xml:space="preserve">% w porównaniu z </w:t>
      </w:r>
      <w:r w:rsidRPr="00F000E3">
        <w:rPr>
          <w:shd w:val="clear" w:color="auto" w:fill="FFFFFF"/>
        </w:rPr>
        <w:t>analogicznym miesiącem</w:t>
      </w:r>
      <w:r w:rsidR="005D29CF"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ub.</w:t>
      </w:r>
      <w:r w:rsidR="005C43CC" w:rsidRPr="00F000E3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r</w:t>
      </w:r>
      <w:r w:rsidR="005C43CC" w:rsidRPr="00F000E3">
        <w:rPr>
          <w:shd w:val="clear" w:color="auto" w:fill="FFFFFF"/>
        </w:rPr>
        <w:t>oku</w:t>
      </w:r>
      <w:r w:rsidRPr="00F000E3">
        <w:rPr>
          <w:shd w:val="clear" w:color="auto" w:fill="FFFFFF"/>
        </w:rPr>
        <w:t xml:space="preserve"> </w:t>
      </w:r>
      <w:r w:rsidR="004B2465" w:rsidRPr="00F000E3">
        <w:rPr>
          <w:shd w:val="clear" w:color="auto" w:fill="FFFFFF"/>
        </w:rPr>
        <w:t>i</w:t>
      </w:r>
      <w:r w:rsidRPr="00F000E3">
        <w:rPr>
          <w:shd w:val="clear" w:color="auto" w:fill="FFFFFF"/>
        </w:rPr>
        <w:t xml:space="preserve"> o </w:t>
      </w:r>
      <w:r w:rsidR="00F14936">
        <w:rPr>
          <w:shd w:val="clear" w:color="auto" w:fill="FFFFFF"/>
        </w:rPr>
        <w:t>3,6</w:t>
      </w:r>
      <w:r w:rsidR="00F72FDF" w:rsidRPr="00F000E3">
        <w:rPr>
          <w:shd w:val="clear" w:color="auto" w:fill="FFFFFF"/>
        </w:rPr>
        <w:t>%</w:t>
      </w:r>
      <w:r w:rsidR="003927F2" w:rsidRPr="00F000E3">
        <w:rPr>
          <w:shd w:val="clear" w:color="auto" w:fill="FFFFFF"/>
        </w:rPr>
        <w:t xml:space="preserve"> </w:t>
      </w:r>
      <w:r w:rsidR="0058011B" w:rsidRPr="00F000E3">
        <w:rPr>
          <w:shd w:val="clear" w:color="auto" w:fill="FFFFFF"/>
        </w:rPr>
        <w:t xml:space="preserve">niższym </w:t>
      </w:r>
      <w:r w:rsidRPr="00F000E3">
        <w:rPr>
          <w:shd w:val="clear" w:color="auto" w:fill="FFFFFF"/>
        </w:rPr>
        <w:t>w p</w:t>
      </w:r>
      <w:r w:rsidR="00186D53" w:rsidRPr="00F000E3">
        <w:rPr>
          <w:shd w:val="clear" w:color="auto" w:fill="FFFFFF"/>
        </w:rPr>
        <w:t>orównaniu z</w:t>
      </w:r>
      <w:r w:rsidR="00200E3D" w:rsidRPr="00F000E3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czerwcem</w:t>
      </w:r>
      <w:r w:rsidR="00C65C91" w:rsidRPr="00F000E3">
        <w:rPr>
          <w:shd w:val="clear" w:color="auto" w:fill="FFFFFF"/>
        </w:rPr>
        <w:t xml:space="preserve"> </w:t>
      </w:r>
      <w:r w:rsidR="005D29CF" w:rsidRPr="00F000E3">
        <w:rPr>
          <w:shd w:val="clear" w:color="auto" w:fill="FFFFFF"/>
        </w:rPr>
        <w:t>20</w:t>
      </w:r>
      <w:r w:rsidR="00B352FD" w:rsidRPr="00F000E3">
        <w:rPr>
          <w:shd w:val="clear" w:color="auto" w:fill="FFFFFF"/>
        </w:rPr>
        <w:t>20</w:t>
      </w:r>
      <w:r w:rsidR="000E0F88" w:rsidRPr="00F000E3">
        <w:rPr>
          <w:shd w:val="clear" w:color="auto" w:fill="FFFFFF"/>
        </w:rPr>
        <w:t xml:space="preserve"> </w:t>
      </w:r>
      <w:r w:rsidR="00823857" w:rsidRPr="00F000E3">
        <w:rPr>
          <w:shd w:val="clear" w:color="auto" w:fill="FFFFFF"/>
        </w:rPr>
        <w:t>roku</w:t>
      </w:r>
      <w:r w:rsidR="00186D53" w:rsidRPr="00F000E3">
        <w:rPr>
          <w:noProof/>
          <w:spacing w:val="-2"/>
          <w:szCs w:val="19"/>
          <w:lang w:eastAsia="pl-PL"/>
        </w:rPr>
        <w:t>.</w:t>
      </w:r>
    </w:p>
    <w:p w14:paraId="1BF67238" w14:textId="77777777" w:rsidR="008B6250" w:rsidRDefault="008B6250" w:rsidP="00B76497"/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bookmarkStart w:id="0" w:name="_GoBack"/>
      <w:bookmarkEnd w:id="0"/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BE4BAB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BE4BA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BE4BA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BE4BA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BE4BA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BE4BA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BE4BA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BE4BA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BE4BA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BE4BAB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4A543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4A5438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9778F" w14:textId="77777777" w:rsidR="008F1896" w:rsidRDefault="008F1896" w:rsidP="00E76D26">
      <w:pPr>
        <w:rPr>
          <w:sz w:val="18"/>
        </w:rPr>
      </w:pPr>
    </w:p>
    <w:p w14:paraId="4A2C84F6" w14:textId="77777777" w:rsidR="008F1896" w:rsidRPr="00F10D0A" w:rsidRDefault="008F1896" w:rsidP="00E76D26"/>
    <w:p w14:paraId="28F5AD4E" w14:textId="77777777" w:rsidR="00C9338B" w:rsidRDefault="00C9338B" w:rsidP="00E76D26">
      <w:pPr>
        <w:rPr>
          <w:sz w:val="18"/>
        </w:rPr>
      </w:pPr>
    </w:p>
    <w:p w14:paraId="74065E4D" w14:textId="77777777" w:rsidR="00C9338B" w:rsidRPr="00C9338B" w:rsidRDefault="00C9338B" w:rsidP="00C9338B">
      <w:pPr>
        <w:rPr>
          <w:sz w:val="18"/>
        </w:rPr>
      </w:pPr>
    </w:p>
    <w:p w14:paraId="335CAF6D" w14:textId="77777777" w:rsidR="00C9338B" w:rsidRPr="00C9338B" w:rsidRDefault="00C9338B" w:rsidP="00C9338B">
      <w:pPr>
        <w:rPr>
          <w:sz w:val="18"/>
        </w:rPr>
      </w:pPr>
    </w:p>
    <w:p w14:paraId="05C2C164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54BBD" w14:textId="77777777" w:rsidR="00BE4BAB" w:rsidRDefault="00BE4BAB" w:rsidP="000662E2">
      <w:pPr>
        <w:spacing w:after="0" w:line="240" w:lineRule="auto"/>
      </w:pPr>
      <w:r>
        <w:separator/>
      </w:r>
    </w:p>
  </w:endnote>
  <w:endnote w:type="continuationSeparator" w:id="0">
    <w:p w14:paraId="3A7DAD74" w14:textId="77777777" w:rsidR="00BE4BAB" w:rsidRDefault="00BE4B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50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AEFA" w14:textId="77777777" w:rsidR="00BE4BAB" w:rsidRDefault="00BE4BAB" w:rsidP="000662E2">
      <w:pPr>
        <w:spacing w:after="0" w:line="240" w:lineRule="auto"/>
      </w:pPr>
      <w:r>
        <w:separator/>
      </w:r>
    </w:p>
  </w:footnote>
  <w:footnote w:type="continuationSeparator" w:id="0">
    <w:p w14:paraId="48CD4D52" w14:textId="77777777" w:rsidR="00BE4BAB" w:rsidRDefault="00BE4BAB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56C5393B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B61DA9">
        <w:rPr>
          <w:sz w:val="16"/>
          <w:shd w:val="clear" w:color="auto" w:fill="FFFFFF"/>
        </w:rPr>
        <w:t>cz</w:t>
      </w:r>
      <w:r w:rsidR="007332A5">
        <w:rPr>
          <w:sz w:val="16"/>
          <w:shd w:val="clear" w:color="auto" w:fill="FFFFFF"/>
        </w:rPr>
        <w:t>erwcu</w:t>
      </w:r>
      <w:r w:rsidRPr="00FB48CC">
        <w:rPr>
          <w:sz w:val="16"/>
          <w:shd w:val="clear" w:color="auto" w:fill="FFFFFF"/>
        </w:rPr>
        <w:t xml:space="preserve"> oraz meldunkowych w </w:t>
      </w:r>
      <w:r w:rsidR="007332A5">
        <w:rPr>
          <w:sz w:val="16"/>
          <w:shd w:val="clear" w:color="auto" w:fill="FFFFFF"/>
        </w:rPr>
        <w:t>lipcu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2FC8F7B6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7332A5">
        <w:rPr>
          <w:sz w:val="16"/>
          <w:shd w:val="clear" w:color="auto" w:fill="FFFFFF"/>
        </w:rPr>
        <w:t>lipca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3AC2A61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2174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14936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23AC2A61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2174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14936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64F1"/>
    <w:rsid w:val="00740E45"/>
    <w:rsid w:val="00741770"/>
    <w:rsid w:val="00741C70"/>
    <w:rsid w:val="00746187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250"/>
    <w:rsid w:val="008B6A2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076D2"/>
    <w:rsid w:val="0091162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B7EB5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2D0B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4BAB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A5CEC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131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15616560"/>
        <c:axId val="-915610576"/>
      </c:lineChart>
      <c:catAx>
        <c:axId val="-91561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15610576"/>
        <c:crossesAt val="100"/>
        <c:auto val="1"/>
        <c:lblAlgn val="ctr"/>
        <c:lblOffset val="100"/>
        <c:noMultiLvlLbl val="0"/>
      </c:catAx>
      <c:valAx>
        <c:axId val="-91561057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1561656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84F1E-9B04-4115-88CC-F5B13EC1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2020-06-17T10:25:00Z</cp:lastPrinted>
  <dcterms:created xsi:type="dcterms:W3CDTF">2020-08-18T06:13:00Z</dcterms:created>
  <dcterms:modified xsi:type="dcterms:W3CDTF">2020-08-19T12:47:00Z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