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1C06F481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bookmarkStart w:id="0" w:name="_GoBack"/>
      <w:bookmarkEnd w:id="0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F5779">
        <w:rPr>
          <w:color w:val="auto"/>
          <w:szCs w:val="40"/>
          <w:shd w:val="clear" w:color="auto" w:fill="FFFFFF"/>
        </w:rPr>
        <w:t>X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4E180482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1F0B52B3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B65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106,1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1F0B52B3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B65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106,1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8C5E1B">
        <w:t xml:space="preserve">okresie </w:t>
      </w:r>
      <w:r w:rsidR="00BB658F">
        <w:t>dziesięciu</w:t>
      </w:r>
      <w:r w:rsidR="006B6660">
        <w:t xml:space="preserve"> miesięcy</w:t>
      </w:r>
      <w:r w:rsidR="00754F6C" w:rsidRPr="00194201">
        <w:t xml:space="preserve">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</w:t>
      </w:r>
      <w:r w:rsidR="00A536C6">
        <w:t>natomiast</w:t>
      </w:r>
      <w:r w:rsidR="008B0F20" w:rsidRPr="00C11F28">
        <w:t xml:space="preserve">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92E00A7">
                <wp:simplePos x="0" y="0"/>
                <wp:positionH relativeFrom="page">
                  <wp:posOffset>5636895</wp:posOffset>
                </wp:positionH>
                <wp:positionV relativeFrom="paragraph">
                  <wp:posOffset>125730</wp:posOffset>
                </wp:positionV>
                <wp:extent cx="1748790" cy="810895"/>
                <wp:effectExtent l="0" t="0" r="0" b="0"/>
                <wp:wrapTight wrapText="bothSides">
                  <wp:wrapPolygon edited="0">
                    <wp:start x="706" y="0"/>
                    <wp:lineTo x="706" y="20805"/>
                    <wp:lineTo x="20706" y="20805"/>
                    <wp:lineTo x="20706" y="0"/>
                    <wp:lineTo x="70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3257D701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Dewelo</w:t>
                            </w:r>
                            <w:r w:rsidR="00754ABB">
                              <w:t>perzy oddali do użytkowania 64,</w:t>
                            </w:r>
                            <w:r w:rsidR="00212664">
                              <w:t>7</w:t>
                            </w:r>
                            <w:r w:rsidRPr="00B453BB">
                              <w:t>% ogó</w:t>
                            </w:r>
                            <w:r w:rsidR="003912E0">
                              <w:t xml:space="preserve">lnej liczby mieszkań, tj. o </w:t>
                            </w:r>
                            <w:r w:rsidR="00133241">
                              <w:t>1,9</w:t>
                            </w:r>
                            <w:r w:rsidRPr="00B453BB">
                              <w:t xml:space="preserve"> p. proc. więcej niż w ub. roku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3.85pt;margin-top:9.9pt;width:137.7pt;height:63.8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ynEQ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" filled="f" stroked="f">
                <v:textbox>
                  <w:txbxContent>
                    <w:p w14:paraId="6327FDC5" w14:textId="3257D701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Dewelo</w:t>
                      </w:r>
                      <w:r w:rsidR="00754ABB">
                        <w:t>perzy oddali do użytkowania 64,</w:t>
                      </w:r>
                      <w:r w:rsidR="00212664">
                        <w:t>7</w:t>
                      </w:r>
                      <w:r w:rsidRPr="00B453BB">
                        <w:t>% ogó</w:t>
                      </w:r>
                      <w:r w:rsidR="003912E0">
                        <w:t xml:space="preserve">lnej liczby mieszkań, tj. o </w:t>
                      </w:r>
                      <w:r w:rsidR="00133241">
                        <w:t>1,9</w:t>
                      </w:r>
                      <w:r w:rsidRPr="00B453BB">
                        <w:t xml:space="preserve"> p. proc. więcej niż w ub. roku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29F84670" w:rsidR="004D107E" w:rsidRPr="00FC230E" w:rsidRDefault="00B453BB" w:rsidP="00DD4E61">
      <w:pPr>
        <w:rPr>
          <w:shd w:val="clear" w:color="auto" w:fill="FFFFFF"/>
        </w:rPr>
      </w:pPr>
      <w:r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418C589">
                <wp:simplePos x="0" y="0"/>
                <wp:positionH relativeFrom="page">
                  <wp:posOffset>5632450</wp:posOffset>
                </wp:positionH>
                <wp:positionV relativeFrom="paragraph">
                  <wp:posOffset>1153018</wp:posOffset>
                </wp:positionV>
                <wp:extent cx="1780540" cy="910590"/>
                <wp:effectExtent l="0" t="0" r="0" b="3810"/>
                <wp:wrapTight wrapText="bothSides">
                  <wp:wrapPolygon edited="0">
                    <wp:start x="693" y="0"/>
                    <wp:lineTo x="693" y="21238"/>
                    <wp:lineTo x="20799" y="21238"/>
                    <wp:lineTo x="20799" y="0"/>
                    <wp:lineTo x="693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15D10A59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779E9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9" type="#_x0000_t202" style="position:absolute;margin-left:443.5pt;margin-top:90.8pt;width:140.2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" filled="f" stroked="f">
                <v:textbox>
                  <w:txbxContent>
                    <w:p w14:paraId="3C6912FA" w14:textId="15D10A59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7EAE"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4DE5C248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6819F3">
        <w:rPr>
          <w:shd w:val="clear" w:color="auto" w:fill="FFFFFF"/>
        </w:rPr>
        <w:t>Według wstępnych danych, w okresie styczeń-</w:t>
      </w:r>
      <w:r w:rsidR="00BB658F">
        <w:rPr>
          <w:shd w:val="clear" w:color="auto" w:fill="FFFFFF"/>
        </w:rPr>
        <w:t xml:space="preserve">październik </w:t>
      </w:r>
      <w:r w:rsidR="00A536C6" w:rsidRPr="006819F3">
        <w:rPr>
          <w:shd w:val="clear" w:color="auto" w:fill="FFFFFF"/>
        </w:rPr>
        <w:t xml:space="preserve">2020 r. oddano do użytkowania </w:t>
      </w:r>
      <w:r w:rsidR="00BB658F">
        <w:rPr>
          <w:shd w:val="clear" w:color="auto" w:fill="FFFFFF"/>
        </w:rPr>
        <w:t>176,4</w:t>
      </w:r>
      <w:r w:rsidR="00A536C6" w:rsidRPr="006819F3">
        <w:t> tys</w:t>
      </w:r>
      <w:r w:rsidR="003912E0">
        <w:rPr>
          <w:shd w:val="clear" w:color="auto" w:fill="FFFFFF"/>
        </w:rPr>
        <w:t xml:space="preserve">. mieszkań, tj. o </w:t>
      </w:r>
      <w:r w:rsidR="00BB658F">
        <w:rPr>
          <w:shd w:val="clear" w:color="auto" w:fill="FFFFFF"/>
        </w:rPr>
        <w:t>6,1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przed rokiem. </w:t>
      </w:r>
      <w:r w:rsidR="00A536C6" w:rsidRPr="006819F3">
        <w:rPr>
          <w:b/>
          <w:shd w:val="clear" w:color="auto" w:fill="FFFFFF"/>
        </w:rPr>
        <w:t>Deweloperzy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przekazali do eksploatacji </w:t>
      </w:r>
      <w:r w:rsidR="00133241">
        <w:rPr>
          <w:shd w:val="clear" w:color="auto" w:fill="FFFFFF"/>
        </w:rPr>
        <w:t>114,1</w:t>
      </w:r>
      <w:r w:rsidR="00A536C6" w:rsidRPr="006819F3">
        <w:rPr>
          <w:shd w:val="clear" w:color="auto" w:fill="FFFFFF"/>
        </w:rPr>
        <w:t xml:space="preserve"> tys. </w:t>
      </w:r>
      <w:r w:rsidR="00A536C6" w:rsidRPr="003C3ACD">
        <w:rPr>
          <w:color w:val="000000" w:themeColor="text1"/>
          <w:shd w:val="clear" w:color="auto" w:fill="FFFFFF"/>
        </w:rPr>
        <w:t>mieszkań</w:t>
      </w:r>
      <w:r w:rsidR="00C92E8E" w:rsidRPr="003C3ACD">
        <w:rPr>
          <w:color w:val="000000" w:themeColor="text1"/>
          <w:shd w:val="clear" w:color="auto" w:fill="FFFFFF"/>
        </w:rPr>
        <w:t xml:space="preserve"> -</w:t>
      </w:r>
      <w:r w:rsidR="00A536C6" w:rsidRPr="003C3ACD">
        <w:rPr>
          <w:color w:val="000000" w:themeColor="text1"/>
          <w:shd w:val="clear" w:color="auto" w:fill="FFFFFF"/>
        </w:rPr>
        <w:t xml:space="preserve"> </w:t>
      </w:r>
      <w:r w:rsidR="00C92E8E" w:rsidRPr="003C3ACD">
        <w:rPr>
          <w:color w:val="000000" w:themeColor="text1"/>
          <w:shd w:val="clear" w:color="auto" w:fill="FFFFFF"/>
        </w:rPr>
        <w:t xml:space="preserve">o </w:t>
      </w:r>
      <w:r w:rsidR="00133241">
        <w:rPr>
          <w:color w:val="000000" w:themeColor="text1"/>
          <w:shd w:val="clear" w:color="auto" w:fill="FFFFFF"/>
        </w:rPr>
        <w:t>9,3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w analogicznym okresie 2019 r., natomiast </w:t>
      </w:r>
      <w:r w:rsidR="00A536C6" w:rsidRPr="006819F3">
        <w:rPr>
          <w:b/>
          <w:shd w:val="clear" w:color="auto" w:fill="FFFFFF"/>
        </w:rPr>
        <w:t>inwestorzy</w:t>
      </w:r>
      <w:r w:rsidR="00A536C6" w:rsidRPr="006819F3">
        <w:rPr>
          <w:shd w:val="clear" w:color="auto" w:fill="FFFFFF"/>
        </w:rPr>
        <w:t xml:space="preserve"> </w:t>
      </w:r>
      <w:r w:rsidR="00A536C6" w:rsidRPr="00FC230E">
        <w:rPr>
          <w:b/>
          <w:shd w:val="clear" w:color="auto" w:fill="FFFFFF"/>
        </w:rPr>
        <w:t xml:space="preserve">indywidualni </w:t>
      </w:r>
      <w:r w:rsidR="00A536C6" w:rsidRPr="00FC230E">
        <w:rPr>
          <w:shd w:val="clear" w:color="auto" w:fill="FFFFFF"/>
        </w:rPr>
        <w:t xml:space="preserve">– </w:t>
      </w:r>
      <w:r w:rsidR="00133241" w:rsidRPr="00FC230E">
        <w:rPr>
          <w:shd w:val="clear" w:color="auto" w:fill="FFFFFF"/>
        </w:rPr>
        <w:t>59,3</w:t>
      </w:r>
      <w:r w:rsidR="00677AFF" w:rsidRPr="00FC230E">
        <w:rPr>
          <w:shd w:val="clear" w:color="auto" w:fill="FFFFFF"/>
        </w:rPr>
        <w:t xml:space="preserve"> </w:t>
      </w:r>
      <w:r w:rsidR="00A536C6" w:rsidRPr="00FC230E">
        <w:rPr>
          <w:shd w:val="clear" w:color="auto" w:fill="FFFFFF"/>
        </w:rPr>
        <w:t xml:space="preserve">tys. mieszkań, tj. o </w:t>
      </w:r>
      <w:r w:rsidR="00133241" w:rsidRPr="00FC230E">
        <w:rPr>
          <w:shd w:val="clear" w:color="auto" w:fill="FFFFFF"/>
        </w:rPr>
        <w:t>5,4</w:t>
      </w:r>
      <w:r w:rsidR="00C92E8E" w:rsidRPr="00FC230E">
        <w:rPr>
          <w:color w:val="000000" w:themeColor="text1"/>
          <w:shd w:val="clear" w:color="auto" w:fill="FFFFFF"/>
        </w:rPr>
        <w:t>%</w:t>
      </w:r>
      <w:r w:rsidR="00C92E8E" w:rsidRPr="00FC230E">
        <w:rPr>
          <w:color w:val="FF0000"/>
          <w:shd w:val="clear" w:color="auto" w:fill="FFFFFF"/>
        </w:rPr>
        <w:t xml:space="preserve"> </w:t>
      </w:r>
      <w:r w:rsidR="002C74C5" w:rsidRPr="00FC230E">
        <w:rPr>
          <w:shd w:val="clear" w:color="auto" w:fill="FFFFFF"/>
        </w:rPr>
        <w:t>więcej</w:t>
      </w:r>
      <w:r w:rsidR="00F83328" w:rsidRPr="00FC230E">
        <w:rPr>
          <w:shd w:val="clear" w:color="auto" w:fill="FFFFFF"/>
        </w:rPr>
        <w:t xml:space="preserve">. </w:t>
      </w:r>
      <w:r w:rsidR="00A536C6" w:rsidRPr="00FC230E">
        <w:rPr>
          <w:shd w:val="clear" w:color="auto" w:fill="FFFFFF"/>
        </w:rPr>
        <w:t>W  ramach tych form budownictwa wybudowano łącznie 98,</w:t>
      </w:r>
      <w:r w:rsidR="00212664" w:rsidRPr="00FC230E">
        <w:rPr>
          <w:shd w:val="clear" w:color="auto" w:fill="FFFFFF"/>
        </w:rPr>
        <w:t>3</w:t>
      </w:r>
      <w:r w:rsidR="00A536C6" w:rsidRPr="00FC230E">
        <w:rPr>
          <w:shd w:val="clear" w:color="auto" w:fill="FFFFFF"/>
        </w:rPr>
        <w:t>% ogółu mieszkań oddanych do użytkowania (odpowiednio 64</w:t>
      </w:r>
      <w:r w:rsidR="00212664" w:rsidRPr="00FC230E">
        <w:rPr>
          <w:shd w:val="clear" w:color="auto" w:fill="FFFFFF"/>
        </w:rPr>
        <w:t>,7</w:t>
      </w:r>
      <w:r w:rsidR="003912E0" w:rsidRPr="00FC230E">
        <w:rPr>
          <w:shd w:val="clear" w:color="auto" w:fill="FFFFFF"/>
        </w:rPr>
        <w:t>% i</w:t>
      </w:r>
      <w:r w:rsidR="00C71FF0" w:rsidRPr="00FC230E">
        <w:rPr>
          <w:shd w:val="clear" w:color="auto" w:fill="FFFFFF"/>
        </w:rPr>
        <w:t> </w:t>
      </w:r>
      <w:r w:rsidR="008E3818" w:rsidRPr="00FC230E">
        <w:rPr>
          <w:shd w:val="clear" w:color="auto" w:fill="FFFFFF"/>
        </w:rPr>
        <w:t>33,</w:t>
      </w:r>
      <w:r w:rsidR="00212664" w:rsidRPr="00FC230E">
        <w:rPr>
          <w:shd w:val="clear" w:color="auto" w:fill="FFFFFF"/>
        </w:rPr>
        <w:t>6</w:t>
      </w:r>
      <w:r w:rsidR="00A536C6" w:rsidRPr="00FC230E">
        <w:rPr>
          <w:shd w:val="clear" w:color="auto" w:fill="FFFFFF"/>
        </w:rPr>
        <w:t>%). Mniej mieszkań niż przed rokiem</w:t>
      </w:r>
      <w:r w:rsidR="00A536C6" w:rsidRPr="00FC230E">
        <w:rPr>
          <w:b/>
          <w:shd w:val="clear" w:color="auto" w:fill="FFFFFF"/>
        </w:rPr>
        <w:t xml:space="preserve"> </w:t>
      </w:r>
      <w:r w:rsidR="003912E0" w:rsidRPr="00FC230E">
        <w:rPr>
          <w:shd w:val="clear" w:color="auto" w:fill="FFFFFF"/>
        </w:rPr>
        <w:t xml:space="preserve">oddano do użytkowania w </w:t>
      </w:r>
      <w:r w:rsidR="00A536C6" w:rsidRPr="00FC230E">
        <w:rPr>
          <w:shd w:val="clear" w:color="auto" w:fill="FFFFFF"/>
        </w:rPr>
        <w:t xml:space="preserve">budownictwie </w:t>
      </w:r>
      <w:r w:rsidR="00A536C6" w:rsidRPr="00FC230E">
        <w:rPr>
          <w:b/>
          <w:shd w:val="clear" w:color="auto" w:fill="FFFFFF"/>
        </w:rPr>
        <w:t xml:space="preserve">spółdzielczym </w:t>
      </w:r>
      <w:r w:rsidR="00A536C6" w:rsidRPr="00FC230E">
        <w:rPr>
          <w:shd w:val="clear" w:color="auto" w:fill="FFFFFF"/>
        </w:rPr>
        <w:t>(</w:t>
      </w:r>
      <w:r w:rsidR="00035BE5" w:rsidRPr="00FC230E">
        <w:rPr>
          <w:shd w:val="clear" w:color="auto" w:fill="FFFFFF"/>
        </w:rPr>
        <w:t>1 092</w:t>
      </w:r>
      <w:r w:rsidR="00AB6D67" w:rsidRPr="00FC230E">
        <w:rPr>
          <w:shd w:val="clear" w:color="auto" w:fill="FFFFFF"/>
        </w:rPr>
        <w:t xml:space="preserve"> </w:t>
      </w:r>
      <w:r w:rsidR="00A536C6" w:rsidRPr="00FC230E">
        <w:rPr>
          <w:shd w:val="clear" w:color="auto" w:fill="FFFFFF"/>
        </w:rPr>
        <w:t xml:space="preserve">wobec </w:t>
      </w:r>
      <w:r w:rsidR="008E3818" w:rsidRPr="00FC230E">
        <w:rPr>
          <w:shd w:val="clear" w:color="auto" w:fill="FFFFFF"/>
        </w:rPr>
        <w:t xml:space="preserve">1 </w:t>
      </w:r>
      <w:r w:rsidR="00035BE5" w:rsidRPr="00FC230E">
        <w:rPr>
          <w:shd w:val="clear" w:color="auto" w:fill="FFFFFF"/>
        </w:rPr>
        <w:t>893</w:t>
      </w:r>
      <w:r w:rsidR="00A536C6" w:rsidRPr="00FC230E">
        <w:rPr>
          <w:shd w:val="clear" w:color="auto" w:fill="FFFFFF"/>
        </w:rPr>
        <w:t>)</w:t>
      </w:r>
      <w:r w:rsidR="00124659">
        <w:rPr>
          <w:shd w:val="clear" w:color="auto" w:fill="FFFFFF"/>
        </w:rPr>
        <w:t xml:space="preserve"> </w:t>
      </w:r>
      <w:r w:rsidR="00124659" w:rsidRPr="00AD03FC">
        <w:rPr>
          <w:shd w:val="clear" w:color="auto" w:fill="FFFFFF"/>
        </w:rPr>
        <w:t xml:space="preserve">oraz łącznie </w:t>
      </w:r>
      <w:r w:rsidR="00A536C6" w:rsidRPr="00FC230E">
        <w:rPr>
          <w:shd w:val="clear" w:color="auto" w:fill="FFFFFF"/>
        </w:rPr>
        <w:t>w </w:t>
      </w:r>
      <w:r w:rsidR="00A536C6" w:rsidRPr="00FC230E">
        <w:rPr>
          <w:b/>
          <w:shd w:val="clear" w:color="auto" w:fill="FFFFFF"/>
        </w:rPr>
        <w:t>pozostałych formac</w:t>
      </w:r>
      <w:r w:rsidR="00A536C6" w:rsidRPr="00AD03FC">
        <w:rPr>
          <w:b/>
          <w:shd w:val="clear" w:color="auto" w:fill="FFFFFF"/>
        </w:rPr>
        <w:t>h</w:t>
      </w:r>
      <w:r w:rsidR="00124659" w:rsidRPr="00732D48">
        <w:rPr>
          <w:shd w:val="clear" w:color="auto" w:fill="FFFFFF"/>
        </w:rPr>
        <w:t>,</w:t>
      </w:r>
      <w:r w:rsidR="00124659" w:rsidRPr="00AD03FC">
        <w:rPr>
          <w:b/>
          <w:shd w:val="clear" w:color="auto" w:fill="FFFFFF"/>
        </w:rPr>
        <w:t xml:space="preserve"> </w:t>
      </w:r>
      <w:r w:rsidR="00124659" w:rsidRPr="00AD03FC">
        <w:rPr>
          <w:shd w:val="clear" w:color="auto" w:fill="FFFFFF"/>
        </w:rPr>
        <w:t>tj.</w:t>
      </w:r>
      <w:r w:rsidR="00AD03FC" w:rsidRPr="00AD03FC">
        <w:rPr>
          <w:shd w:val="clear" w:color="auto" w:fill="FFFFFF"/>
        </w:rPr>
        <w:t xml:space="preserve"> </w:t>
      </w:r>
      <w:r w:rsidR="00A536C6" w:rsidRPr="00AD03FC">
        <w:rPr>
          <w:shd w:val="clear" w:color="auto" w:fill="FFFFFF"/>
        </w:rPr>
        <w:t>komunalne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>,</w:t>
      </w:r>
      <w:r w:rsidR="00A536C6" w:rsidRPr="00AD03FC">
        <w:t xml:space="preserve"> </w:t>
      </w:r>
      <w:r w:rsidR="00A536C6" w:rsidRPr="00AD03FC">
        <w:rPr>
          <w:shd w:val="clear" w:color="auto" w:fill="FFFFFF"/>
        </w:rPr>
        <w:t>społeczne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czynszowe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i zakładowe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</w:t>
      </w:r>
      <w:r w:rsidR="00124659" w:rsidRPr="00124659">
        <w:rPr>
          <w:shd w:val="clear" w:color="auto" w:fill="FFFFFF"/>
        </w:rPr>
        <w:t>(</w:t>
      </w:r>
      <w:r w:rsidR="00212664" w:rsidRPr="00FC230E">
        <w:rPr>
          <w:shd w:val="clear" w:color="auto" w:fill="FFFFFF"/>
        </w:rPr>
        <w:t>1</w:t>
      </w:r>
      <w:r w:rsidR="00AD03FC">
        <w:rPr>
          <w:shd w:val="clear" w:color="auto" w:fill="FFFFFF"/>
        </w:rPr>
        <w:t> </w:t>
      </w:r>
      <w:r w:rsidR="00035BE5" w:rsidRPr="00FC230E">
        <w:rPr>
          <w:shd w:val="clear" w:color="auto" w:fill="FFFFFF"/>
        </w:rPr>
        <w:t>910</w:t>
      </w:r>
      <w:r w:rsidR="00AD03FC">
        <w:rPr>
          <w:shd w:val="clear" w:color="auto" w:fill="FFFFFF"/>
        </w:rPr>
        <w:t xml:space="preserve"> </w:t>
      </w:r>
      <w:r w:rsidR="00A536C6" w:rsidRPr="00FC230E">
        <w:rPr>
          <w:shd w:val="clear" w:color="auto" w:fill="FFFFFF"/>
        </w:rPr>
        <w:t xml:space="preserve">wobec </w:t>
      </w:r>
      <w:r w:rsidR="00AB6D67" w:rsidRPr="00FC230E">
        <w:rPr>
          <w:shd w:val="clear" w:color="auto" w:fill="FFFFFF"/>
        </w:rPr>
        <w:t xml:space="preserve">3 </w:t>
      </w:r>
      <w:r w:rsidR="00035BE5" w:rsidRPr="00FC230E">
        <w:rPr>
          <w:shd w:val="clear" w:color="auto" w:fill="FFFFFF"/>
        </w:rPr>
        <w:t>758</w:t>
      </w:r>
      <w:r w:rsidR="00A536C6" w:rsidRPr="00124659">
        <w:rPr>
          <w:shd w:val="clear" w:color="auto" w:fill="FFFFFF"/>
        </w:rPr>
        <w:t>)</w:t>
      </w:r>
      <w:r w:rsidR="0033525D" w:rsidRPr="00124659">
        <w:rPr>
          <w:shd w:val="clear" w:color="auto" w:fill="FFFFFF"/>
        </w:rPr>
        <w:t>.</w:t>
      </w:r>
    </w:p>
    <w:p w14:paraId="2424FC5E" w14:textId="01EEB9CB" w:rsidR="00B453BB" w:rsidRPr="00AD03FC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="001E12CF" w:rsidRPr="00FC230E">
        <w:rPr>
          <w:shd w:val="clear" w:color="auto" w:fill="FFFFFF"/>
        </w:rPr>
        <w:t>danych w okresie styczeń-</w:t>
      </w:r>
      <w:r w:rsidR="00035BE5" w:rsidRPr="00FC230E">
        <w:rPr>
          <w:shd w:val="clear" w:color="auto" w:fill="FFFFFF"/>
        </w:rPr>
        <w:t>październik</w:t>
      </w:r>
      <w:r w:rsidR="001E12CF" w:rsidRPr="00FC230E">
        <w:rPr>
          <w:shd w:val="clear" w:color="auto" w:fill="FFFFFF"/>
        </w:rPr>
        <w:t xml:space="preserve"> 2020 r. wyniosła </w:t>
      </w:r>
      <w:r w:rsidR="00035BE5" w:rsidRPr="00FC230E">
        <w:rPr>
          <w:shd w:val="clear" w:color="auto" w:fill="FFFFFF"/>
        </w:rPr>
        <w:t xml:space="preserve">15,6 </w:t>
      </w:r>
      <w:r w:rsidR="003912E0" w:rsidRPr="00FC230E">
        <w:rPr>
          <w:shd w:val="clear" w:color="auto" w:fill="FFFFFF"/>
        </w:rPr>
        <w:t xml:space="preserve">mln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F32872" w:rsidRPr="00FC230E">
        <w:rPr>
          <w:shd w:val="clear" w:color="auto" w:fill="FFFFFF"/>
        </w:rPr>
        <w:t>, czyli</w:t>
      </w:r>
      <w:r w:rsidR="00035BE5" w:rsidRPr="00FC230E">
        <w:rPr>
          <w:shd w:val="clear" w:color="auto" w:fill="FFFFFF"/>
        </w:rPr>
        <w:t xml:space="preserve"> o 5,6</w:t>
      </w:r>
      <w:r w:rsidRPr="00FC230E">
        <w:rPr>
          <w:shd w:val="clear" w:color="auto" w:fill="FFFFFF"/>
        </w:rPr>
        <w:t xml:space="preserve">% więcej </w:t>
      </w:r>
      <w:r w:rsidRPr="00AD03FC">
        <w:rPr>
          <w:shd w:val="clear" w:color="auto" w:fill="FFFFFF"/>
        </w:rPr>
        <w:t>niż w</w:t>
      </w:r>
      <w:r w:rsidR="00AD03FC" w:rsidRPr="00AD03FC">
        <w:rPr>
          <w:shd w:val="clear" w:color="auto" w:fill="FFFFFF"/>
        </w:rPr>
        <w:t xml:space="preserve"> analogicznym okresie roku 2019</w:t>
      </w:r>
      <w:r w:rsidR="00124659" w:rsidRPr="00AD03FC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="00F32872" w:rsidRPr="00FC230E">
        <w:rPr>
          <w:shd w:val="clear" w:color="auto" w:fill="FFFFFF"/>
        </w:rPr>
        <w:t>ży</w:t>
      </w:r>
      <w:r w:rsidR="001E12CF" w:rsidRPr="00FC230E">
        <w:rPr>
          <w:shd w:val="clear" w:color="auto" w:fill="FFFFFF"/>
        </w:rPr>
        <w:t>tkowa 1 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1E12CF" w:rsidRPr="00FC230E">
        <w:rPr>
          <w:shd w:val="clear" w:color="auto" w:fill="FFFFFF"/>
        </w:rPr>
        <w:t xml:space="preserve"> wartość 88,</w:t>
      </w:r>
      <w:r w:rsidR="00035BE5" w:rsidRPr="00FC230E">
        <w:rPr>
          <w:shd w:val="clear" w:color="auto" w:fill="FFFFFF"/>
        </w:rPr>
        <w:t>7</w:t>
      </w:r>
      <w:r w:rsidRPr="00FC230E">
        <w:rPr>
          <w:shd w:val="clear" w:color="auto" w:fill="FFFFFF"/>
        </w:rPr>
        <w:t xml:space="preserve"> m</w:t>
      </w:r>
      <w:r w:rsidRPr="00FC230E">
        <w:rPr>
          <w:shd w:val="clear" w:color="auto" w:fill="FFFFFF"/>
          <w:vertAlign w:val="superscript"/>
        </w:rPr>
        <w:t>2</w:t>
      </w:r>
      <w:r w:rsidR="009F059D" w:rsidRPr="009F059D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0A71CFE3" w:rsidR="00E24F8E" w:rsidRPr="00754F6C" w:rsidRDefault="00212664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603ADD0B" w14:textId="2D80208A" w:rsidR="00E24F8E" w:rsidRPr="00754F6C" w:rsidRDefault="003B7B5A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E24F8E" w:rsidRPr="00754F6C" w14:paraId="6369542F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1F9DE469" w:rsidR="00E24F8E" w:rsidRPr="00754F6C" w:rsidRDefault="00212664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133465B9" w14:textId="2F1C26F8" w:rsidR="00E24F8E" w:rsidRPr="00754F6C" w:rsidRDefault="00BF5779" w:rsidP="00BF57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B658F">
              <w:rPr>
                <w:color w:val="000000" w:themeColor="text1"/>
                <w:sz w:val="16"/>
                <w:szCs w:val="16"/>
              </w:rPr>
              <w:t>X</w:t>
            </w:r>
            <w:r>
              <w:rPr>
                <w:color w:val="000000" w:themeColor="text1"/>
                <w:sz w:val="16"/>
                <w:szCs w:val="16"/>
              </w:rPr>
              <w:t xml:space="preserve"> 2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276D1A7D" w:rsidR="00E24F8E" w:rsidRPr="00754F6C" w:rsidRDefault="00E24F8E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X</w:t>
            </w:r>
            <w:r w:rsidR="005D6D8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53BB" w:rsidRPr="00754F6C" w14:paraId="4E1470FB" w14:textId="77777777" w:rsidTr="00F50753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1FACB0B6" w:rsidR="00B453BB" w:rsidRPr="00754F6C" w:rsidRDefault="006E7343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19 901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760A8600" w:rsidR="00B453BB" w:rsidRPr="00754F6C" w:rsidRDefault="006E7343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6A232525" w14:textId="158313B1" w:rsidR="00B453BB" w:rsidRPr="00754F6C" w:rsidRDefault="006E7343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6154F35A" w14:textId="2BDFE6FB" w:rsidR="00B453BB" w:rsidRPr="00754F6C" w:rsidRDefault="00035BE5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176 424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470D47A9" w:rsidR="00B453BB" w:rsidRPr="00754F6C" w:rsidRDefault="009E6766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B453BB" w:rsidRPr="00754F6C" w14:paraId="4A2E478F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3F03EE17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6 736</w:t>
            </w:r>
          </w:p>
        </w:tc>
        <w:tc>
          <w:tcPr>
            <w:tcW w:w="1206" w:type="dxa"/>
            <w:vAlign w:val="center"/>
          </w:tcPr>
          <w:p w14:paraId="6E309D5C" w14:textId="0CC39CAC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351" w:type="dxa"/>
            <w:vAlign w:val="center"/>
          </w:tcPr>
          <w:p w14:paraId="5A11BCBE" w14:textId="60973D3F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61" w:type="dxa"/>
            <w:vAlign w:val="center"/>
          </w:tcPr>
          <w:p w14:paraId="7582BBA2" w14:textId="47ACFF1A" w:rsidR="00B453BB" w:rsidRPr="0025718F" w:rsidRDefault="00035BE5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59 324</w:t>
            </w:r>
          </w:p>
        </w:tc>
        <w:tc>
          <w:tcPr>
            <w:tcW w:w="1207" w:type="dxa"/>
            <w:vAlign w:val="center"/>
          </w:tcPr>
          <w:p w14:paraId="3365244C" w14:textId="6382FD8D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</w:tr>
      <w:tr w:rsidR="00B453BB" w:rsidRPr="00754F6C" w14:paraId="35375690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14D1B622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12 775</w:t>
            </w:r>
          </w:p>
        </w:tc>
        <w:tc>
          <w:tcPr>
            <w:tcW w:w="1206" w:type="dxa"/>
            <w:vAlign w:val="center"/>
          </w:tcPr>
          <w:p w14:paraId="4B265028" w14:textId="475E30E6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1351" w:type="dxa"/>
            <w:vAlign w:val="center"/>
          </w:tcPr>
          <w:p w14:paraId="17DDE5D3" w14:textId="251592D3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93,7</w:t>
            </w:r>
          </w:p>
        </w:tc>
        <w:tc>
          <w:tcPr>
            <w:tcW w:w="1061" w:type="dxa"/>
            <w:vAlign w:val="center"/>
          </w:tcPr>
          <w:p w14:paraId="36C69A95" w14:textId="2F223F39" w:rsidR="00B453BB" w:rsidRPr="0025718F" w:rsidRDefault="00035BE5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114 098</w:t>
            </w:r>
          </w:p>
        </w:tc>
        <w:tc>
          <w:tcPr>
            <w:tcW w:w="1207" w:type="dxa"/>
            <w:vAlign w:val="center"/>
          </w:tcPr>
          <w:p w14:paraId="7C25122E" w14:textId="3345FE4A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109,3</w:t>
            </w:r>
          </w:p>
        </w:tc>
      </w:tr>
      <w:tr w:rsidR="00B453BB" w:rsidRPr="00754F6C" w14:paraId="6CF974E6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4C44FEA8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206" w:type="dxa"/>
            <w:vAlign w:val="center"/>
          </w:tcPr>
          <w:p w14:paraId="3E72380E" w14:textId="0386CD29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351" w:type="dxa"/>
            <w:vAlign w:val="center"/>
          </w:tcPr>
          <w:p w14:paraId="3EDD3738" w14:textId="47AE6292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429,4</w:t>
            </w:r>
          </w:p>
        </w:tc>
        <w:tc>
          <w:tcPr>
            <w:tcW w:w="1061" w:type="dxa"/>
            <w:vAlign w:val="center"/>
          </w:tcPr>
          <w:p w14:paraId="479C39C8" w14:textId="0723AF5C" w:rsidR="00B453BB" w:rsidRPr="0025718F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1 178</w:t>
            </w:r>
          </w:p>
        </w:tc>
        <w:tc>
          <w:tcPr>
            <w:tcW w:w="1207" w:type="dxa"/>
            <w:vAlign w:val="center"/>
          </w:tcPr>
          <w:p w14:paraId="4F6190B6" w14:textId="1F391E39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61,3</w:t>
            </w:r>
          </w:p>
        </w:tc>
      </w:tr>
      <w:tr w:rsidR="00B453BB" w:rsidRPr="00754F6C" w14:paraId="43C3F652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0DEA57BD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206" w:type="dxa"/>
            <w:vAlign w:val="center"/>
          </w:tcPr>
          <w:p w14:paraId="731F80C4" w14:textId="65795D0F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25,3</w:t>
            </w:r>
          </w:p>
        </w:tc>
        <w:tc>
          <w:tcPr>
            <w:tcW w:w="1351" w:type="dxa"/>
            <w:vAlign w:val="center"/>
          </w:tcPr>
          <w:p w14:paraId="1A9BCF13" w14:textId="0808648B" w:rsidR="00B453BB" w:rsidRPr="00754F6C" w:rsidRDefault="006E734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54,2</w:t>
            </w:r>
          </w:p>
        </w:tc>
        <w:tc>
          <w:tcPr>
            <w:tcW w:w="1061" w:type="dxa"/>
            <w:vAlign w:val="center"/>
          </w:tcPr>
          <w:p w14:paraId="6663C6B8" w14:textId="519125AE" w:rsidR="00B453BB" w:rsidRPr="0025718F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1 092</w:t>
            </w:r>
          </w:p>
        </w:tc>
        <w:tc>
          <w:tcPr>
            <w:tcW w:w="1207" w:type="dxa"/>
            <w:vAlign w:val="center"/>
          </w:tcPr>
          <w:p w14:paraId="1CCB713D" w14:textId="6D49332A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57,7</w:t>
            </w:r>
          </w:p>
        </w:tc>
      </w:tr>
      <w:tr w:rsidR="00B453BB" w:rsidRPr="00754F6C" w14:paraId="7B83A5B3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7234A5EE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5452FAA3" w14:textId="7BF3E701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15,6</w:t>
            </w:r>
          </w:p>
        </w:tc>
        <w:tc>
          <w:tcPr>
            <w:tcW w:w="1351" w:type="dxa"/>
            <w:vAlign w:val="center"/>
          </w:tcPr>
          <w:p w14:paraId="0E6617DC" w14:textId="4505D262" w:rsidR="00B453BB" w:rsidRPr="00754F6C" w:rsidRDefault="006E734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19,7</w:t>
            </w:r>
          </w:p>
        </w:tc>
        <w:tc>
          <w:tcPr>
            <w:tcW w:w="1061" w:type="dxa"/>
            <w:vAlign w:val="center"/>
          </w:tcPr>
          <w:p w14:paraId="7DAE01D3" w14:textId="485F6910" w:rsidR="00B453BB" w:rsidRPr="00754F6C" w:rsidRDefault="009E6766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766</w:t>
            </w:r>
          </w:p>
        </w:tc>
        <w:tc>
          <w:tcPr>
            <w:tcW w:w="1207" w:type="dxa"/>
            <w:vAlign w:val="center"/>
          </w:tcPr>
          <w:p w14:paraId="1788F09E" w14:textId="2C3CD6E2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53,2</w:t>
            </w:r>
          </w:p>
        </w:tc>
      </w:tr>
      <w:tr w:rsidR="00B453BB" w:rsidRPr="00754F6C" w14:paraId="6875F867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68CE851C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206" w:type="dxa"/>
            <w:vAlign w:val="center"/>
          </w:tcPr>
          <w:p w14:paraId="066D2859" w14:textId="56F21A68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133,5</w:t>
            </w:r>
          </w:p>
        </w:tc>
        <w:tc>
          <w:tcPr>
            <w:tcW w:w="1351" w:type="dxa"/>
            <w:vAlign w:val="center"/>
          </w:tcPr>
          <w:p w14:paraId="24B19628" w14:textId="0B64C1B0" w:rsidR="00B453BB" w:rsidRPr="00754F6C" w:rsidRDefault="006E734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494,0</w:t>
            </w:r>
          </w:p>
        </w:tc>
        <w:tc>
          <w:tcPr>
            <w:tcW w:w="1061" w:type="dxa"/>
            <w:vAlign w:val="center"/>
          </w:tcPr>
          <w:p w14:paraId="4BDA3C5F" w14:textId="0F4E7763" w:rsidR="00B453BB" w:rsidRPr="00754F6C" w:rsidRDefault="009E6766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1 120</w:t>
            </w:r>
          </w:p>
        </w:tc>
        <w:tc>
          <w:tcPr>
            <w:tcW w:w="1207" w:type="dxa"/>
            <w:vAlign w:val="center"/>
          </w:tcPr>
          <w:p w14:paraId="0E4AD910" w14:textId="350C630F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54,6</w:t>
            </w:r>
          </w:p>
        </w:tc>
      </w:tr>
      <w:tr w:rsidR="00B453BB" w:rsidRPr="00754F6C" w14:paraId="6469C018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55D56181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1EE0FE6C" w14:textId="20EBEA2A" w:rsidR="00B453BB" w:rsidRPr="00754F6C" w:rsidRDefault="006E7343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1351" w:type="dxa"/>
            <w:vAlign w:val="center"/>
          </w:tcPr>
          <w:p w14:paraId="388D31ED" w14:textId="33672660" w:rsidR="00B453BB" w:rsidRPr="00754F6C" w:rsidRDefault="006E734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1BC12FE2" w14:textId="5046CC02" w:rsidR="00B453BB" w:rsidRPr="00754F6C" w:rsidRDefault="009E6766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7" w:type="dxa"/>
            <w:vAlign w:val="center"/>
          </w:tcPr>
          <w:p w14:paraId="5D56C253" w14:textId="562ED7A6" w:rsidR="00B453BB" w:rsidRPr="00754F6C" w:rsidRDefault="009E676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9,0</w:t>
            </w:r>
          </w:p>
        </w:tc>
      </w:tr>
      <w:bookmarkEnd w:id="1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85BCF79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24042480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70ABF8F6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budowę wydano pozwolenia lub dokonano zgłoszenia </w:t>
                            </w:r>
                            <w:r w:rsidRPr="00B453BB">
                              <w:br/>
                              <w:t>z projektem budowlanym, spadła w okresie I-</w:t>
                            </w:r>
                            <w:r w:rsidR="00363FC3">
                              <w:t>X</w:t>
                            </w:r>
                            <w:r w:rsidR="00754ABB">
                              <w:t xml:space="preserve"> 2020 r. o 4</w:t>
                            </w:r>
                            <w:r w:rsidR="00AA104D">
                              <w:t>,5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" filled="f" stroked="f" strokeweight=".5pt">
                <v:textbox>
                  <w:txbxContent>
                    <w:p w14:paraId="3ADE06C3" w14:textId="70ABF8F6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budowę wydano pozwolenia lub dokonano zgłoszenia </w:t>
                      </w:r>
                      <w:r w:rsidRPr="00B453BB">
                        <w:br/>
                        <w:t>z projektem budowlanym, spadła w okresie I-</w:t>
                      </w:r>
                      <w:r w:rsidR="00363FC3">
                        <w:t>X</w:t>
                      </w:r>
                      <w:r w:rsidR="00754ABB">
                        <w:t xml:space="preserve"> 2020 r. o 4</w:t>
                      </w:r>
                      <w:r w:rsidR="00AA104D">
                        <w:t>,5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79C0C6BC" w:rsidR="00833D4E" w:rsidRPr="00161220" w:rsidRDefault="00B453BB" w:rsidP="00A52737">
      <w:pPr>
        <w:spacing w:before="0" w:after="0"/>
        <w:rPr>
          <w:shd w:val="clear" w:color="auto" w:fill="FFFFFF"/>
        </w:rPr>
      </w:pPr>
      <w:r w:rsidRPr="00ED2F2D">
        <w:rPr>
          <w:shd w:val="clear" w:color="auto" w:fill="FFFFFF"/>
        </w:rPr>
        <w:t xml:space="preserve">W </w:t>
      </w:r>
      <w:r w:rsidR="003B2A09">
        <w:rPr>
          <w:shd w:val="clear" w:color="auto" w:fill="FFFFFF"/>
        </w:rPr>
        <w:t>okresie dziesięciu miesięcy</w:t>
      </w:r>
      <w:r w:rsidRPr="00ED2F2D">
        <w:rPr>
          <w:shd w:val="clear" w:color="auto" w:fill="FFFFFF"/>
        </w:rPr>
        <w:t xml:space="preserve"> 2020 r. wydano pozwolenia lub dokonano zgłoszenia budowy </w:t>
      </w:r>
      <w:r w:rsidR="006C5480">
        <w:rPr>
          <w:shd w:val="clear" w:color="auto" w:fill="FFFFFF"/>
        </w:rPr>
        <w:t xml:space="preserve">218,5 </w:t>
      </w:r>
      <w:r w:rsidRPr="00ED2F2D">
        <w:rPr>
          <w:shd w:val="clear" w:color="auto" w:fill="FFFFFF"/>
        </w:rPr>
        <w:t xml:space="preserve">tys. mieszkań, tj. o </w:t>
      </w:r>
      <w:r w:rsidR="00766391">
        <w:rPr>
          <w:shd w:val="clear" w:color="auto" w:fill="FFFFFF"/>
        </w:rPr>
        <w:t>4,</w:t>
      </w:r>
      <w:r w:rsidR="006C5480">
        <w:rPr>
          <w:shd w:val="clear" w:color="auto" w:fill="FFFFFF"/>
        </w:rPr>
        <w:t>5</w:t>
      </w:r>
      <w:r w:rsidRPr="00ED2F2D">
        <w:rPr>
          <w:shd w:val="clear" w:color="auto" w:fill="FFFFFF"/>
        </w:rPr>
        <w:t xml:space="preserve">% </w:t>
      </w:r>
      <w:r>
        <w:rPr>
          <w:shd w:val="clear" w:color="auto" w:fill="FFFFFF"/>
        </w:rPr>
        <w:t>mniej</w:t>
      </w:r>
      <w:r w:rsidRPr="00ED2F2D">
        <w:rPr>
          <w:shd w:val="clear" w:color="auto" w:fill="FFFFFF"/>
        </w:rPr>
        <w:t xml:space="preserve"> niż w analogicznym okresie roku 2019. </w:t>
      </w:r>
      <w:r w:rsidRPr="003A39AA">
        <w:rPr>
          <w:shd w:val="clear" w:color="auto" w:fill="FFFFFF"/>
        </w:rPr>
        <w:t xml:space="preserve">Pozwolenia </w:t>
      </w:r>
      <w:r w:rsidRPr="008343E3">
        <w:rPr>
          <w:shd w:val="clear" w:color="auto" w:fill="FFFFFF"/>
        </w:rPr>
        <w:t xml:space="preserve">na budowę największej liczby </w:t>
      </w:r>
      <w:r w:rsidRPr="003A39AA">
        <w:rPr>
          <w:shd w:val="clear" w:color="auto" w:fill="FFFFFF"/>
        </w:rPr>
        <w:t xml:space="preserve">mieszkań otrzymali </w:t>
      </w:r>
      <w:r w:rsidRPr="003A39AA">
        <w:rPr>
          <w:b/>
          <w:shd w:val="clear" w:color="auto" w:fill="FFFFFF"/>
        </w:rPr>
        <w:t xml:space="preserve">deweloperzy </w:t>
      </w:r>
      <w:r w:rsidRPr="003A39AA">
        <w:rPr>
          <w:shd w:val="clear" w:color="auto" w:fill="FFFFFF"/>
        </w:rPr>
        <w:t>(</w:t>
      </w:r>
      <w:r w:rsidR="006C5480">
        <w:rPr>
          <w:shd w:val="clear" w:color="auto" w:fill="FFFFFF"/>
        </w:rPr>
        <w:t>131,8</w:t>
      </w:r>
      <w:r w:rsidRPr="003A39AA">
        <w:rPr>
          <w:shd w:val="clear" w:color="auto" w:fill="FFFFFF"/>
        </w:rPr>
        <w:t xml:space="preserve"> tys</w:t>
      </w:r>
      <w:r w:rsidRPr="00623854">
        <w:rPr>
          <w:color w:val="000000" w:themeColor="text1"/>
          <w:shd w:val="clear" w:color="auto" w:fill="FFFFFF"/>
        </w:rPr>
        <w:t>.</w:t>
      </w:r>
      <w:r w:rsidR="002C3295" w:rsidRPr="00623854">
        <w:rPr>
          <w:color w:val="000000" w:themeColor="text1"/>
          <w:shd w:val="clear" w:color="auto" w:fill="FFFFFF"/>
        </w:rPr>
        <w:t>, spadek o  7,</w:t>
      </w:r>
      <w:r w:rsidR="006C5480">
        <w:rPr>
          <w:color w:val="000000" w:themeColor="text1"/>
          <w:shd w:val="clear" w:color="auto" w:fill="FFFFFF"/>
        </w:rPr>
        <w:t>2</w:t>
      </w:r>
      <w:r w:rsidR="002C3295" w:rsidRPr="00623854">
        <w:rPr>
          <w:color w:val="000000" w:themeColor="text1"/>
          <w:shd w:val="clear" w:color="auto" w:fill="FFFFFF"/>
        </w:rPr>
        <w:t>% r/r</w:t>
      </w:r>
      <w:r w:rsidRPr="003A39AA">
        <w:rPr>
          <w:shd w:val="clear" w:color="auto" w:fill="FFFFFF"/>
        </w:rPr>
        <w:t>) oraz inwestorzy</w:t>
      </w:r>
      <w:r w:rsidRPr="003A39AA">
        <w:rPr>
          <w:b/>
          <w:shd w:val="clear" w:color="auto" w:fill="FFFFFF"/>
        </w:rPr>
        <w:t xml:space="preserve"> indywidualni </w:t>
      </w:r>
      <w:r w:rsidRPr="003A39AA">
        <w:rPr>
          <w:shd w:val="clear" w:color="auto" w:fill="FFFFFF"/>
        </w:rPr>
        <w:t>(</w:t>
      </w:r>
      <w:r w:rsidR="006C5480">
        <w:rPr>
          <w:shd w:val="clear" w:color="auto" w:fill="FFFFFF"/>
        </w:rPr>
        <w:t>84,2</w:t>
      </w:r>
      <w:r w:rsidR="008343E3">
        <w:rPr>
          <w:shd w:val="clear" w:color="auto" w:fill="FFFFFF"/>
        </w:rPr>
        <w:t> tys.</w:t>
      </w:r>
      <w:r w:rsidR="00D224A4">
        <w:rPr>
          <w:shd w:val="clear" w:color="auto" w:fill="FFFFFF"/>
        </w:rPr>
        <w:t>,</w:t>
      </w:r>
      <w:r w:rsidR="005E589D">
        <w:rPr>
          <w:shd w:val="clear" w:color="auto" w:fill="FFFFFF"/>
        </w:rPr>
        <w:t xml:space="preserve"> </w:t>
      </w:r>
      <w:r w:rsidR="00D224A4">
        <w:rPr>
          <w:color w:val="000000" w:themeColor="text1"/>
          <w:shd w:val="clear" w:color="auto" w:fill="FFFFFF"/>
        </w:rPr>
        <w:t>wzrost o 0,</w:t>
      </w:r>
      <w:r w:rsidR="006C5480">
        <w:rPr>
          <w:color w:val="000000" w:themeColor="text1"/>
          <w:shd w:val="clear" w:color="auto" w:fill="FFFFFF"/>
        </w:rPr>
        <w:t>9</w:t>
      </w:r>
      <w:r w:rsidR="00D224A4">
        <w:rPr>
          <w:color w:val="000000" w:themeColor="text1"/>
          <w:shd w:val="clear" w:color="auto" w:fill="FFFFFF"/>
        </w:rPr>
        <w:t>%</w:t>
      </w:r>
      <w:r w:rsidR="008343E3">
        <w:rPr>
          <w:shd w:val="clear" w:color="auto" w:fill="FFFFFF"/>
        </w:rPr>
        <w:t xml:space="preserve">). </w:t>
      </w:r>
      <w:r w:rsidRPr="00ED2F2D">
        <w:rPr>
          <w:shd w:val="clear" w:color="auto" w:fill="FFFFFF"/>
        </w:rPr>
        <w:t>Łącznie w ramach tych form budownictwa otrzymano pozwolenia lub dokonano zgłoszenia budo</w:t>
      </w:r>
      <w:r w:rsidR="00F76410">
        <w:rPr>
          <w:shd w:val="clear" w:color="auto" w:fill="FFFFFF"/>
        </w:rPr>
        <w:t>wy z projektem budowlanym dla 98</w:t>
      </w:r>
      <w:r w:rsidRPr="00ED2F2D">
        <w:rPr>
          <w:shd w:val="clear" w:color="auto" w:fill="FFFFFF"/>
        </w:rPr>
        <w:t>,</w:t>
      </w:r>
      <w:r w:rsidR="00363FC3">
        <w:rPr>
          <w:shd w:val="clear" w:color="auto" w:fill="FFFFFF"/>
        </w:rPr>
        <w:t>8</w:t>
      </w:r>
      <w:r w:rsidRPr="00ED2F2D">
        <w:rPr>
          <w:shd w:val="clear" w:color="auto" w:fill="FFFFFF"/>
        </w:rPr>
        <w:t>% ogółu mieszkań.</w:t>
      </w:r>
      <w:r w:rsidRPr="00ED2F2D">
        <w:rPr>
          <w:b/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>Mniej niż w analogicznym okresie 2019 r. odnotowano mie</w:t>
      </w:r>
      <w:r>
        <w:rPr>
          <w:shd w:val="clear" w:color="auto" w:fill="FFFFFF"/>
        </w:rPr>
        <w:t xml:space="preserve">szkań, na których budowę wydano </w:t>
      </w:r>
      <w:r w:rsidRPr="00ED2F2D">
        <w:rPr>
          <w:shd w:val="clear" w:color="auto" w:fill="FFFFFF"/>
        </w:rPr>
        <w:t>pozwolenia lub dokonano zgłoszenia z projektem budowlanym</w:t>
      </w:r>
      <w:r>
        <w:rPr>
          <w:shd w:val="clear" w:color="auto" w:fill="FFFFFF"/>
        </w:rPr>
        <w:t>,</w:t>
      </w:r>
      <w:r w:rsidRPr="00ED2F2D">
        <w:rPr>
          <w:shd w:val="clear" w:color="auto" w:fill="FFFFFF"/>
        </w:rPr>
        <w:t xml:space="preserve"> w budownictwie</w:t>
      </w:r>
      <w:r w:rsidRPr="00ED2F2D">
        <w:rPr>
          <w:b/>
          <w:shd w:val="clear" w:color="auto" w:fill="FFFFFF"/>
        </w:rPr>
        <w:t xml:space="preserve"> spółdzielczym </w:t>
      </w:r>
      <w:r w:rsidRPr="00ED2F2D">
        <w:rPr>
          <w:shd w:val="clear" w:color="auto" w:fill="FFFFFF"/>
        </w:rPr>
        <w:t>(</w:t>
      </w:r>
      <w:r w:rsidR="00001B1B">
        <w:rPr>
          <w:shd w:val="clear" w:color="auto" w:fill="FFFFFF"/>
        </w:rPr>
        <w:t>1</w:t>
      </w:r>
      <w:r w:rsidR="00F5261C">
        <w:rPr>
          <w:shd w:val="clear" w:color="auto" w:fill="FFFFFF"/>
        </w:rPr>
        <w:t xml:space="preserve"> </w:t>
      </w:r>
      <w:r w:rsidR="00363FC3">
        <w:rPr>
          <w:shd w:val="clear" w:color="auto" w:fill="FFFFFF"/>
        </w:rPr>
        <w:t>1</w:t>
      </w:r>
      <w:r w:rsidR="006C5480">
        <w:rPr>
          <w:shd w:val="clear" w:color="auto" w:fill="FFFFFF"/>
        </w:rPr>
        <w:t>71</w:t>
      </w:r>
      <w:r w:rsidR="00001B1B">
        <w:rPr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>mieszka</w:t>
      </w:r>
      <w:r w:rsidR="00F5261C">
        <w:rPr>
          <w:shd w:val="clear" w:color="auto" w:fill="FFFFFF"/>
        </w:rPr>
        <w:t>ń</w:t>
      </w:r>
      <w:r w:rsidRPr="00ED2F2D">
        <w:rPr>
          <w:shd w:val="clear" w:color="auto" w:fill="FFFFFF"/>
        </w:rPr>
        <w:t xml:space="preserve"> wobec</w:t>
      </w:r>
      <w:r w:rsidR="00F5261C">
        <w:rPr>
          <w:shd w:val="clear" w:color="auto" w:fill="FFFFFF"/>
        </w:rPr>
        <w:t xml:space="preserve"> 1</w:t>
      </w:r>
      <w:r w:rsidR="00363FC3">
        <w:rPr>
          <w:shd w:val="clear" w:color="auto" w:fill="FFFFFF"/>
        </w:rPr>
        <w:t> </w:t>
      </w:r>
      <w:r w:rsidR="006C5480">
        <w:rPr>
          <w:shd w:val="clear" w:color="auto" w:fill="FFFFFF"/>
        </w:rPr>
        <w:t>301</w:t>
      </w:r>
      <w:r w:rsidRPr="00ED2F2D">
        <w:rPr>
          <w:shd w:val="clear" w:color="auto" w:fill="FFFFFF"/>
        </w:rPr>
        <w:t>) oraz w</w:t>
      </w:r>
      <w:r w:rsidRPr="00ED2F2D">
        <w:rPr>
          <w:b/>
          <w:shd w:val="clear" w:color="auto" w:fill="FFFFFF"/>
        </w:rPr>
        <w:t xml:space="preserve"> pozostałych formach </w:t>
      </w:r>
      <w:r w:rsidRPr="00ED2F2D">
        <w:rPr>
          <w:shd w:val="clear" w:color="auto" w:fill="FFFFFF"/>
        </w:rPr>
        <w:t>budownictwa (</w:t>
      </w:r>
      <w:r w:rsidR="00F5261C">
        <w:rPr>
          <w:shd w:val="clear" w:color="auto" w:fill="FFFFFF"/>
        </w:rPr>
        <w:t xml:space="preserve">1 </w:t>
      </w:r>
      <w:r w:rsidR="006C5480">
        <w:rPr>
          <w:shd w:val="clear" w:color="auto" w:fill="FFFFFF"/>
        </w:rPr>
        <w:t>352</w:t>
      </w:r>
      <w:r w:rsidRPr="00ED2F2D">
        <w:rPr>
          <w:shd w:val="clear" w:color="auto" w:fill="FFFFFF"/>
        </w:rPr>
        <w:t xml:space="preserve"> wobec </w:t>
      </w:r>
      <w:r w:rsidR="006C5480">
        <w:rPr>
          <w:shd w:val="clear" w:color="auto" w:fill="FFFFFF"/>
        </w:rPr>
        <w:t>2 190</w:t>
      </w:r>
      <w:r>
        <w:rPr>
          <w:shd w:val="clear" w:color="auto" w:fill="FFFFFF"/>
        </w:rPr>
        <w:t>)</w:t>
      </w:r>
      <w:r w:rsidR="00A52737" w:rsidRPr="00ED2F2D">
        <w:rPr>
          <w:shd w:val="clear" w:color="auto" w:fill="FFFFFF"/>
        </w:rPr>
        <w:t>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B658F" w:rsidRPr="00754F6C" w14:paraId="1C2BCE13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223860E0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1B475F9D" w14:textId="783A19B7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I-X</w:t>
            </w:r>
          </w:p>
        </w:tc>
      </w:tr>
      <w:tr w:rsidR="00BB658F" w:rsidRPr="00521799" w14:paraId="3A8FADC8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688F5827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4CEFF314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X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62B0F852" w14:textId="25656287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3A334778" w14:textId="2E64BC39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2A1C50A7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 xml:space="preserve">X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BB658F" w:rsidRPr="00521799" w14:paraId="10D5D20C" w14:textId="77777777" w:rsidTr="00813EE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BB658F" w:rsidRPr="00754F6C" w:rsidRDefault="00BB658F" w:rsidP="00BB65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72329244" w:rsidR="00BB658F" w:rsidRPr="00521799" w:rsidRDefault="0080468E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26 780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77D309A5" w:rsidR="00BB658F" w:rsidRPr="00521799" w:rsidRDefault="0080468E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96,2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5CB77A89" w14:textId="0E6D60C8" w:rsidR="00BB658F" w:rsidRPr="00521799" w:rsidRDefault="00462323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113,9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05E4D09C" w14:textId="09B257E9" w:rsidR="00BB658F" w:rsidRPr="00521799" w:rsidRDefault="00AA104D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218 546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2906B880" w:rsidR="00BB658F" w:rsidRPr="00521799" w:rsidRDefault="00AA104D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95,5</w:t>
            </w:r>
          </w:p>
        </w:tc>
      </w:tr>
      <w:tr w:rsidR="00BB658F" w:rsidRPr="00521799" w14:paraId="44AA7292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192239DC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9 182</w:t>
            </w:r>
          </w:p>
        </w:tc>
        <w:tc>
          <w:tcPr>
            <w:tcW w:w="1206" w:type="dxa"/>
            <w:vAlign w:val="center"/>
          </w:tcPr>
          <w:p w14:paraId="689BF15E" w14:textId="7625E5AA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1351" w:type="dxa"/>
            <w:vAlign w:val="center"/>
          </w:tcPr>
          <w:p w14:paraId="41878DFF" w14:textId="15267F40" w:rsidR="00BB658F" w:rsidRPr="00521799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1061" w:type="dxa"/>
            <w:vAlign w:val="center"/>
          </w:tcPr>
          <w:p w14:paraId="085F4A3B" w14:textId="19E33F1E" w:rsidR="00BB658F" w:rsidRPr="00521799" w:rsidRDefault="00AA104D" w:rsidP="00BB65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84 224</w:t>
            </w:r>
          </w:p>
        </w:tc>
        <w:tc>
          <w:tcPr>
            <w:tcW w:w="1207" w:type="dxa"/>
            <w:vAlign w:val="center"/>
          </w:tcPr>
          <w:p w14:paraId="4AAF5DB3" w14:textId="01E0E1B1" w:rsidR="00BB658F" w:rsidRPr="00521799" w:rsidRDefault="00AA104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</w:tr>
      <w:tr w:rsidR="00BB658F" w:rsidRPr="00521799" w14:paraId="2C99A200" w14:textId="77777777" w:rsidTr="00813EEE">
        <w:trPr>
          <w:trHeight w:val="381"/>
        </w:trPr>
        <w:tc>
          <w:tcPr>
            <w:tcW w:w="2049" w:type="dxa"/>
            <w:vAlign w:val="center"/>
          </w:tcPr>
          <w:p w14:paraId="59FA1D02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511269D6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17 319</w:t>
            </w:r>
          </w:p>
        </w:tc>
        <w:tc>
          <w:tcPr>
            <w:tcW w:w="1206" w:type="dxa"/>
            <w:vAlign w:val="center"/>
          </w:tcPr>
          <w:p w14:paraId="56733003" w14:textId="26E8AC29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1351" w:type="dxa"/>
            <w:vAlign w:val="center"/>
          </w:tcPr>
          <w:p w14:paraId="1C05D6B5" w14:textId="00EC67C6" w:rsidR="00BB658F" w:rsidRPr="00521799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124,6</w:t>
            </w:r>
          </w:p>
        </w:tc>
        <w:tc>
          <w:tcPr>
            <w:tcW w:w="1061" w:type="dxa"/>
            <w:vAlign w:val="center"/>
          </w:tcPr>
          <w:p w14:paraId="270A9BA6" w14:textId="3DF92197" w:rsidR="00BB658F" w:rsidRPr="00521799" w:rsidRDefault="00AA104D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131 799</w:t>
            </w:r>
          </w:p>
        </w:tc>
        <w:tc>
          <w:tcPr>
            <w:tcW w:w="1207" w:type="dxa"/>
            <w:vAlign w:val="center"/>
          </w:tcPr>
          <w:p w14:paraId="5D01E421" w14:textId="2B3EF8F3" w:rsidR="00BB658F" w:rsidRPr="00521799" w:rsidRDefault="00AA104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</w:tr>
      <w:tr w:rsidR="00BB658F" w:rsidRPr="00521799" w14:paraId="49A34C91" w14:textId="77777777" w:rsidTr="00813EEE">
        <w:trPr>
          <w:trHeight w:val="254"/>
        </w:trPr>
        <w:tc>
          <w:tcPr>
            <w:tcW w:w="2049" w:type="dxa"/>
            <w:vAlign w:val="center"/>
          </w:tcPr>
          <w:p w14:paraId="1CE8B5F1" w14:textId="77777777" w:rsidR="00BB658F" w:rsidRPr="00754F6C" w:rsidRDefault="00BB658F" w:rsidP="00BB65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4A732A6E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456C109F" w14:textId="47216F0B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1351" w:type="dxa"/>
            <w:vAlign w:val="center"/>
          </w:tcPr>
          <w:p w14:paraId="5DC67C7A" w14:textId="0855C487" w:rsidR="00BB658F" w:rsidRPr="00521799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140,6</w:t>
            </w:r>
          </w:p>
        </w:tc>
        <w:tc>
          <w:tcPr>
            <w:tcW w:w="1061" w:type="dxa"/>
            <w:vAlign w:val="center"/>
          </w:tcPr>
          <w:p w14:paraId="22A2308F" w14:textId="198A6078" w:rsidR="00BB658F" w:rsidRPr="00521799" w:rsidRDefault="00AA104D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1 171</w:t>
            </w:r>
          </w:p>
        </w:tc>
        <w:tc>
          <w:tcPr>
            <w:tcW w:w="1207" w:type="dxa"/>
            <w:vAlign w:val="center"/>
          </w:tcPr>
          <w:p w14:paraId="432DA86E" w14:textId="29E15E38" w:rsidR="00BB658F" w:rsidRPr="00521799" w:rsidRDefault="00AA104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90,0</w:t>
            </w:r>
          </w:p>
        </w:tc>
      </w:tr>
      <w:tr w:rsidR="00BB658F" w:rsidRPr="00521799" w14:paraId="19B3C5E9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3F2FA92F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1206" w:type="dxa"/>
            <w:vAlign w:val="center"/>
          </w:tcPr>
          <w:p w14:paraId="5D0D29F7" w14:textId="68ADE424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65,3</w:t>
            </w:r>
          </w:p>
        </w:tc>
        <w:tc>
          <w:tcPr>
            <w:tcW w:w="1351" w:type="dxa"/>
            <w:vAlign w:val="center"/>
          </w:tcPr>
          <w:p w14:paraId="75F2E1AD" w14:textId="77777777" w:rsidR="00291B25" w:rsidRDefault="00291B25" w:rsidP="00291B2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40-</w:t>
            </w:r>
          </w:p>
          <w:p w14:paraId="5D0FDF31" w14:textId="13EC93E8" w:rsidR="00BB658F" w:rsidRPr="00521799" w:rsidRDefault="00291B25" w:rsidP="00291B2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="00813EEE">
              <w:rPr>
                <w:rFonts w:cs="Arial"/>
                <w:sz w:val="16"/>
                <w:szCs w:val="16"/>
              </w:rPr>
              <w:t>rotnie więcej</w:t>
            </w:r>
          </w:p>
        </w:tc>
        <w:tc>
          <w:tcPr>
            <w:tcW w:w="1061" w:type="dxa"/>
            <w:vAlign w:val="center"/>
          </w:tcPr>
          <w:p w14:paraId="44F23B4F" w14:textId="6CA3A16D" w:rsidR="00BB658F" w:rsidRPr="00521799" w:rsidRDefault="00AA104D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</w:tc>
        <w:tc>
          <w:tcPr>
            <w:tcW w:w="1207" w:type="dxa"/>
            <w:vAlign w:val="center"/>
          </w:tcPr>
          <w:p w14:paraId="1BDA1DBE" w14:textId="45E84FF4" w:rsidR="00BB658F" w:rsidRPr="00521799" w:rsidRDefault="00AA104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56,1</w:t>
            </w:r>
          </w:p>
        </w:tc>
      </w:tr>
      <w:tr w:rsidR="00BB658F" w:rsidRPr="00521799" w14:paraId="6465CF57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20BC44DA" w14:textId="01C8A51C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227A4725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1206" w:type="dxa"/>
            <w:vAlign w:val="center"/>
          </w:tcPr>
          <w:p w14:paraId="27446382" w14:textId="72162F89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1351" w:type="dxa"/>
            <w:vAlign w:val="center"/>
          </w:tcPr>
          <w:p w14:paraId="05AA3A16" w14:textId="17062A34" w:rsidR="00BB658F" w:rsidRPr="00521799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170,0</w:t>
            </w:r>
          </w:p>
        </w:tc>
        <w:tc>
          <w:tcPr>
            <w:tcW w:w="1061" w:type="dxa"/>
            <w:vAlign w:val="center"/>
          </w:tcPr>
          <w:p w14:paraId="6E8318E2" w14:textId="5C74B786" w:rsidR="00BB658F" w:rsidRPr="00521799" w:rsidRDefault="00AA104D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</w:t>
            </w:r>
          </w:p>
        </w:tc>
        <w:tc>
          <w:tcPr>
            <w:tcW w:w="1207" w:type="dxa"/>
            <w:vAlign w:val="center"/>
          </w:tcPr>
          <w:p w14:paraId="365E8D77" w14:textId="7C5013A9" w:rsidR="00BB658F" w:rsidRPr="00521799" w:rsidRDefault="00AA104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91,3</w:t>
            </w:r>
          </w:p>
        </w:tc>
      </w:tr>
      <w:tr w:rsidR="00BB658F" w:rsidRPr="00521799" w14:paraId="31B4DC42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48080C77" w:rsidR="00BB658F" w:rsidRPr="00521799" w:rsidRDefault="0080468E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017C08E1" w:rsidR="00BB658F" w:rsidRPr="00521799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47D063A0" w14:textId="628DCD2D" w:rsidR="00BB658F" w:rsidRPr="00521799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208AC68C" w14:textId="04B1834C" w:rsidR="00BB658F" w:rsidRPr="00521799" w:rsidRDefault="00AA104D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270F3A4D" w:rsidR="00BB658F" w:rsidRPr="00521799" w:rsidRDefault="00AA104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77777777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1749D4EB" w:rsidR="002B6B8F" w:rsidRPr="00F50753" w:rsidRDefault="002B6B8F" w:rsidP="002B6B8F">
      <w:pPr>
        <w:spacing w:before="240"/>
        <w:rPr>
          <w:b/>
          <w:shd w:val="clear" w:color="auto" w:fill="FFFFFF"/>
        </w:rPr>
      </w:pPr>
      <w:r w:rsidRPr="002B6B8F">
        <w:rPr>
          <w:noProof/>
          <w:lang w:eastAsia="pl-PL"/>
        </w:rPr>
        <w:t>W okresie styczeń-</w:t>
      </w:r>
      <w:r w:rsidR="002C0949">
        <w:rPr>
          <w:noProof/>
          <w:lang w:eastAsia="pl-PL"/>
        </w:rPr>
        <w:t>październik</w:t>
      </w:r>
      <w:r w:rsidRPr="002B6B8F">
        <w:rPr>
          <w:noProof/>
          <w:lang w:eastAsia="pl-PL"/>
        </w:rPr>
        <w:t xml:space="preserve"> 2020 r. rozpoczęto budowę </w:t>
      </w:r>
      <w:r w:rsidR="002C0949">
        <w:rPr>
          <w:noProof/>
          <w:lang w:eastAsia="pl-PL"/>
        </w:rPr>
        <w:t>186,9</w:t>
      </w:r>
      <w:r w:rsidRPr="002B6B8F">
        <w:rPr>
          <w:shd w:val="clear" w:color="auto" w:fill="FFFFFF"/>
        </w:rPr>
        <w:t xml:space="preserve"> tys. mieszkań, tj. o </w:t>
      </w:r>
      <w:r w:rsidR="002C0949">
        <w:rPr>
          <w:shd w:val="clear" w:color="auto" w:fill="FFFFFF"/>
        </w:rPr>
        <w:t>7,7</w:t>
      </w:r>
      <w:r w:rsidRPr="002B6B8F">
        <w:rPr>
          <w:shd w:val="clear" w:color="auto" w:fill="FFFFFF"/>
        </w:rPr>
        <w:t xml:space="preserve">% mniej niż w analogicznym okresie roku 2019.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budowę </w:t>
      </w:r>
      <w:r w:rsidR="002C0949">
        <w:rPr>
          <w:shd w:val="clear" w:color="auto" w:fill="FFFFFF"/>
        </w:rPr>
        <w:t>105,3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177EE" w:rsidRPr="003A39AA">
        <w:t>o </w:t>
      </w:r>
      <w:r w:rsidR="002C0949">
        <w:t>10,3</w:t>
      </w:r>
      <w:r w:rsidRPr="003A39AA">
        <w:rPr>
          <w:shd w:val="clear" w:color="auto" w:fill="FFFFFF"/>
        </w:rPr>
        <w:t>% mniej),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78,7</w:t>
      </w:r>
      <w:r w:rsidR="00AF46FC" w:rsidRPr="003A39AA">
        <w:rPr>
          <w:shd w:val="clear" w:color="auto" w:fill="FFFFFF"/>
        </w:rPr>
        <w:t xml:space="preserve"> </w:t>
      </w:r>
      <w:r w:rsidR="00CF3BF8" w:rsidRPr="003A39AA">
        <w:rPr>
          <w:shd w:val="clear" w:color="auto" w:fill="FFFFFF"/>
        </w:rPr>
        <w:t>tys. (spadek o 2</w:t>
      </w:r>
      <w:r w:rsidR="000177EE" w:rsidRPr="003A39AA">
        <w:rPr>
          <w:shd w:val="clear" w:color="auto" w:fill="FFFFFF"/>
        </w:rPr>
        <w:t>,</w:t>
      </w:r>
      <w:r w:rsidR="002C0949">
        <w:rPr>
          <w:shd w:val="clear" w:color="auto" w:fill="FFFFFF"/>
        </w:rPr>
        <w:t>7</w:t>
      </w:r>
      <w:r w:rsidR="00E17E88">
        <w:rPr>
          <w:shd w:val="clear" w:color="auto" w:fill="FFFFFF"/>
        </w:rPr>
        <w:t>%</w:t>
      </w:r>
      <w:r w:rsidR="00D0332F">
        <w:rPr>
          <w:shd w:val="clear" w:color="auto" w:fill="FFFFFF"/>
        </w:rPr>
        <w:t>),</w:t>
      </w:r>
      <w:r w:rsidRPr="003F6AB8">
        <w:rPr>
          <w:color w:val="FF0000"/>
          <w:shd w:val="clear" w:color="auto" w:fill="FFFFFF"/>
        </w:rPr>
        <w:t xml:space="preserve"> </w:t>
      </w:r>
      <w:r w:rsidRPr="00C70A2F">
        <w:rPr>
          <w:shd w:val="clear" w:color="auto" w:fill="FFFFFF"/>
        </w:rPr>
        <w:t xml:space="preserve">łącznie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Pr="00C70A2F">
        <w:rPr>
          <w:shd w:val="clear" w:color="auto" w:fill="FFFFFF"/>
        </w:rPr>
        <w:t>98,</w:t>
      </w:r>
      <w:r w:rsidR="000177EE" w:rsidRPr="00C70A2F">
        <w:rPr>
          <w:shd w:val="clear" w:color="auto" w:fill="FFFFFF"/>
        </w:rPr>
        <w:t>4</w:t>
      </w:r>
      <w:r w:rsidRPr="00C70A2F">
        <w:rPr>
          <w:shd w:val="clear" w:color="auto" w:fill="FFFFFF"/>
        </w:rPr>
        <w:t xml:space="preserve">% ogólnej liczby mieszkań. </w:t>
      </w:r>
      <w:r w:rsidRPr="002B6B8F">
        <w:rPr>
          <w:shd w:val="clear" w:color="auto" w:fill="FFFFFF"/>
        </w:rPr>
        <w:t xml:space="preserve">Mniej </w:t>
      </w:r>
      <w:r w:rsidRPr="002B6B8F">
        <w:rPr>
          <w:shd w:val="clear" w:color="auto" w:fill="FFFFFF"/>
        </w:rPr>
        <w:lastRenderedPageBreak/>
        <w:t>mieszkań, których budowę rozpoczęto, zaobserwowano w budownictwie</w:t>
      </w:r>
      <w:r w:rsidR="00F50753">
        <w:rPr>
          <w:b/>
          <w:shd w:val="clear" w:color="auto" w:fill="FFFFFF"/>
        </w:rPr>
        <w:t xml:space="preserve"> spółdziel</w:t>
      </w:r>
      <w:r w:rsidRPr="002B6B8F">
        <w:rPr>
          <w:b/>
          <w:shd w:val="clear" w:color="auto" w:fill="FFFFFF"/>
        </w:rPr>
        <w:t xml:space="preserve">czym </w:t>
      </w:r>
      <w:r w:rsidRPr="002B6B8F">
        <w:rPr>
          <w:shd w:val="clear" w:color="auto" w:fill="FFFFFF"/>
        </w:rPr>
        <w:t>(</w:t>
      </w:r>
      <w:r w:rsidR="00F50753">
        <w:rPr>
          <w:shd w:val="clear" w:color="auto" w:fill="FFFFFF"/>
        </w:rPr>
        <w:t>1 </w:t>
      </w:r>
      <w:r w:rsidR="002C0949">
        <w:rPr>
          <w:shd w:val="clear" w:color="auto" w:fill="FFFFFF"/>
        </w:rPr>
        <w:t>414</w:t>
      </w:r>
      <w:r w:rsidR="00F50753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>mieszkań wobec</w:t>
      </w:r>
      <w:r w:rsidR="000177EE">
        <w:rPr>
          <w:shd w:val="clear" w:color="auto" w:fill="FFFFFF"/>
        </w:rPr>
        <w:t xml:space="preserve"> 1 </w:t>
      </w:r>
      <w:r w:rsidR="002C0949">
        <w:rPr>
          <w:shd w:val="clear" w:color="auto" w:fill="FFFFFF"/>
        </w:rPr>
        <w:t>895</w:t>
      </w:r>
      <w:r w:rsidRPr="002B6B8F">
        <w:rPr>
          <w:shd w:val="clear" w:color="auto" w:fill="FFFFFF"/>
        </w:rPr>
        <w:t>) oraz w </w:t>
      </w:r>
      <w:r w:rsidRPr="002B6B8F">
        <w:rPr>
          <w:b/>
          <w:shd w:val="clear" w:color="auto" w:fill="FFFFFF"/>
        </w:rPr>
        <w:t xml:space="preserve">pozostałych formach </w:t>
      </w:r>
      <w:r w:rsidRPr="002B6B8F">
        <w:rPr>
          <w:shd w:val="clear" w:color="auto" w:fill="FFFFFF"/>
        </w:rPr>
        <w:t>budownictwa</w:t>
      </w:r>
      <w:r w:rsidRPr="002B6B8F">
        <w:rPr>
          <w:b/>
          <w:shd w:val="clear" w:color="auto" w:fill="FFFFFF"/>
        </w:rPr>
        <w:t xml:space="preserve"> </w:t>
      </w:r>
      <w:r w:rsidR="000177EE">
        <w:rPr>
          <w:shd w:val="clear" w:color="auto" w:fill="FFFFFF"/>
        </w:rPr>
        <w:t xml:space="preserve">(1 </w:t>
      </w:r>
      <w:r w:rsidR="002C0949">
        <w:rPr>
          <w:shd w:val="clear" w:color="auto" w:fill="FFFFFF"/>
        </w:rPr>
        <w:t>536 wobec 2</w:t>
      </w:r>
      <w:r w:rsidR="003F5A50">
        <w:rPr>
          <w:shd w:val="clear" w:color="auto" w:fill="FFFFFF"/>
        </w:rPr>
        <w:t> </w:t>
      </w:r>
      <w:r w:rsidR="002C0949">
        <w:rPr>
          <w:shd w:val="clear" w:color="auto" w:fill="FFFFFF"/>
        </w:rPr>
        <w:t>376</w:t>
      </w:r>
      <w:r w:rsidRPr="00AD03FC">
        <w:rPr>
          <w:shd w:val="clear" w:color="auto" w:fill="FFFFFF"/>
        </w:rPr>
        <w:t>).</w:t>
      </w:r>
    </w:p>
    <w:p w14:paraId="2523F3F1" w14:textId="1A9176D9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992"/>
        <w:gridCol w:w="1276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B658F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5509C572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5BBB38B9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I-X</w:t>
            </w:r>
          </w:p>
        </w:tc>
      </w:tr>
      <w:tr w:rsidR="00BB658F" w:rsidRPr="00754F6C" w14:paraId="2A2A02D1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09BD85F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081BA937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X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7104B54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14:paraId="10EFDD58" w14:textId="13B8EAB6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F397429" w14:textId="7EBBE5F2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 xml:space="preserve">X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BB658F" w:rsidRPr="00754F6C" w14:paraId="62074995" w14:textId="77777777" w:rsidTr="00813EE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BB658F" w:rsidRPr="00754F6C" w:rsidRDefault="00BB658F" w:rsidP="00BB65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750531B4" w:rsidR="00BB658F" w:rsidRPr="00754F6C" w:rsidRDefault="00462323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19 601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63E8A7DE" w:rsidR="00BB658F" w:rsidRPr="00754F6C" w:rsidRDefault="00462323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81,3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6FA565B1" w:rsidR="00BB658F" w:rsidRPr="00754F6C" w:rsidRDefault="00462323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74,7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357CD6E9" w14:textId="5960C0C4" w:rsidR="00BB658F" w:rsidRPr="00754F6C" w:rsidRDefault="002C0949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186 948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114D6ACF" w14:textId="4BD0C641" w:rsidR="00BB658F" w:rsidRPr="00754F6C" w:rsidRDefault="002C0949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92,3</w:t>
            </w:r>
          </w:p>
        </w:tc>
      </w:tr>
      <w:tr w:rsidR="00BB658F" w:rsidRPr="00754F6C" w14:paraId="60DFA014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6350B7FB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7 871</w:t>
            </w:r>
          </w:p>
        </w:tc>
        <w:tc>
          <w:tcPr>
            <w:tcW w:w="1206" w:type="dxa"/>
            <w:vAlign w:val="center"/>
          </w:tcPr>
          <w:p w14:paraId="6F11E154" w14:textId="6F7CDF70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1351" w:type="dxa"/>
            <w:vAlign w:val="center"/>
          </w:tcPr>
          <w:p w14:paraId="1BFE3B5E" w14:textId="373B28D1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92" w:type="dxa"/>
            <w:vAlign w:val="center"/>
          </w:tcPr>
          <w:p w14:paraId="033855B3" w14:textId="6FD00BC6" w:rsidR="00BB658F" w:rsidRPr="00754F6C" w:rsidRDefault="002C0949" w:rsidP="00BB65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78 672</w:t>
            </w:r>
          </w:p>
        </w:tc>
        <w:tc>
          <w:tcPr>
            <w:tcW w:w="1276" w:type="dxa"/>
            <w:vAlign w:val="center"/>
          </w:tcPr>
          <w:p w14:paraId="233C719F" w14:textId="235280CF" w:rsidR="00BB658F" w:rsidRPr="00754F6C" w:rsidRDefault="002C094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</w:tr>
      <w:tr w:rsidR="00BB658F" w:rsidRPr="00754F6C" w14:paraId="2957016B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2AAF001C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11 510</w:t>
            </w:r>
          </w:p>
        </w:tc>
        <w:tc>
          <w:tcPr>
            <w:tcW w:w="1206" w:type="dxa"/>
            <w:vAlign w:val="center"/>
          </w:tcPr>
          <w:p w14:paraId="382C456A" w14:textId="7B6A3B0E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351" w:type="dxa"/>
            <w:vAlign w:val="center"/>
          </w:tcPr>
          <w:p w14:paraId="156FB9CB" w14:textId="7399BAF5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992" w:type="dxa"/>
            <w:vAlign w:val="center"/>
          </w:tcPr>
          <w:p w14:paraId="7A3762C1" w14:textId="1B608C57" w:rsidR="00BB658F" w:rsidRPr="00754F6C" w:rsidRDefault="002C0949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105 326</w:t>
            </w:r>
          </w:p>
        </w:tc>
        <w:tc>
          <w:tcPr>
            <w:tcW w:w="1276" w:type="dxa"/>
            <w:vAlign w:val="center"/>
          </w:tcPr>
          <w:p w14:paraId="39D4874A" w14:textId="2F244CD5" w:rsidR="00BB658F" w:rsidRPr="00754F6C" w:rsidRDefault="002C094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89,7</w:t>
            </w:r>
          </w:p>
        </w:tc>
      </w:tr>
      <w:tr w:rsidR="00BB658F" w:rsidRPr="00754F6C" w14:paraId="5BE857BD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16A4098B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39AB7DA0" w14:textId="35687E53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1351" w:type="dxa"/>
            <w:vAlign w:val="center"/>
          </w:tcPr>
          <w:p w14:paraId="02FF2FC8" w14:textId="6BA62B75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992" w:type="dxa"/>
            <w:vAlign w:val="center"/>
          </w:tcPr>
          <w:p w14:paraId="12D8B82B" w14:textId="61F49E2D" w:rsidR="00BB658F" w:rsidRPr="00754F6C" w:rsidRDefault="002C0949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961</w:t>
            </w:r>
          </w:p>
        </w:tc>
        <w:tc>
          <w:tcPr>
            <w:tcW w:w="1276" w:type="dxa"/>
            <w:vAlign w:val="center"/>
          </w:tcPr>
          <w:p w14:paraId="1F1DF90E" w14:textId="1EA453BC" w:rsidR="00BB658F" w:rsidRPr="00754F6C" w:rsidRDefault="002C094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130,4</w:t>
            </w:r>
          </w:p>
        </w:tc>
      </w:tr>
      <w:tr w:rsidR="00BB658F" w:rsidRPr="00754F6C" w14:paraId="38F9C6D4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BB658F" w:rsidRPr="00754F6C" w:rsidRDefault="00BB658F" w:rsidP="00BB65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2E0EC508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206" w:type="dxa"/>
            <w:vAlign w:val="center"/>
          </w:tcPr>
          <w:p w14:paraId="2EDBBF82" w14:textId="2494CC31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40,9</w:t>
            </w:r>
          </w:p>
        </w:tc>
        <w:tc>
          <w:tcPr>
            <w:tcW w:w="1351" w:type="dxa"/>
            <w:vAlign w:val="center"/>
          </w:tcPr>
          <w:p w14:paraId="297CD150" w14:textId="77777777" w:rsidR="00B8443D" w:rsidRDefault="00D655EF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20-</w:t>
            </w:r>
          </w:p>
          <w:p w14:paraId="3F4EAA5B" w14:textId="3476B90A" w:rsidR="00BB658F" w:rsidRPr="00754F6C" w:rsidRDefault="00D655EF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vAlign w:val="center"/>
          </w:tcPr>
          <w:p w14:paraId="47EA2D84" w14:textId="00650383" w:rsidR="00BB658F" w:rsidRPr="00754F6C" w:rsidRDefault="002C0949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1 414</w:t>
            </w:r>
          </w:p>
        </w:tc>
        <w:tc>
          <w:tcPr>
            <w:tcW w:w="1276" w:type="dxa"/>
            <w:vAlign w:val="center"/>
          </w:tcPr>
          <w:p w14:paraId="7DE0ED3A" w14:textId="212D0A4C" w:rsidR="00BB658F" w:rsidRPr="00754F6C" w:rsidRDefault="002C094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74,6</w:t>
            </w:r>
          </w:p>
        </w:tc>
      </w:tr>
      <w:tr w:rsidR="00BB658F" w:rsidRPr="00754F6C" w14:paraId="64B2A6CD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07A98BD7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06" w:type="dxa"/>
            <w:vAlign w:val="center"/>
          </w:tcPr>
          <w:p w14:paraId="6F56DF87" w14:textId="04C301E9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1351" w:type="dxa"/>
            <w:vAlign w:val="center"/>
          </w:tcPr>
          <w:p w14:paraId="037CB7D9" w14:textId="77777777" w:rsidR="008F4C1C" w:rsidRDefault="00D655EF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655EF">
              <w:rPr>
                <w:rFonts w:cs="Arial"/>
                <w:sz w:val="16"/>
                <w:szCs w:val="16"/>
              </w:rPr>
              <w:t>20-krotnie</w:t>
            </w:r>
          </w:p>
          <w:p w14:paraId="72CA3926" w14:textId="62A5A1C6" w:rsidR="00BB658F" w:rsidRPr="00754F6C" w:rsidRDefault="00D655EF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655EF"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992" w:type="dxa"/>
            <w:vAlign w:val="center"/>
          </w:tcPr>
          <w:p w14:paraId="52FF516D" w14:textId="3E445FED" w:rsidR="00BB658F" w:rsidRPr="00754F6C" w:rsidRDefault="002C0949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1276" w:type="dxa"/>
            <w:vAlign w:val="center"/>
          </w:tcPr>
          <w:p w14:paraId="27E3AEB9" w14:textId="57F0C586" w:rsidR="00BB658F" w:rsidRPr="00754F6C" w:rsidRDefault="002C094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27,7</w:t>
            </w:r>
          </w:p>
        </w:tc>
      </w:tr>
      <w:tr w:rsidR="00BB658F" w:rsidRPr="00754F6C" w14:paraId="3BA9AD88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0E6678F9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206" w:type="dxa"/>
            <w:vAlign w:val="center"/>
          </w:tcPr>
          <w:p w14:paraId="5C655C2B" w14:textId="482CED42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32,4</w:t>
            </w:r>
          </w:p>
        </w:tc>
        <w:tc>
          <w:tcPr>
            <w:tcW w:w="1351" w:type="dxa"/>
            <w:vAlign w:val="center"/>
          </w:tcPr>
          <w:p w14:paraId="378DCDDD" w14:textId="1A409339" w:rsidR="00BB658F" w:rsidRPr="006819F3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18,4</w:t>
            </w:r>
          </w:p>
        </w:tc>
        <w:tc>
          <w:tcPr>
            <w:tcW w:w="992" w:type="dxa"/>
            <w:vAlign w:val="center"/>
          </w:tcPr>
          <w:p w14:paraId="561F74DF" w14:textId="6020EECC" w:rsidR="00BB658F" w:rsidRPr="006819F3" w:rsidRDefault="002C0949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1 101</w:t>
            </w:r>
          </w:p>
        </w:tc>
        <w:tc>
          <w:tcPr>
            <w:tcW w:w="1276" w:type="dxa"/>
            <w:vAlign w:val="center"/>
          </w:tcPr>
          <w:p w14:paraId="0FD363D5" w14:textId="4AD67D32" w:rsidR="00BB658F" w:rsidRPr="00754F6C" w:rsidRDefault="002C094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96,1</w:t>
            </w:r>
          </w:p>
        </w:tc>
      </w:tr>
      <w:tr w:rsidR="00BB658F" w:rsidRPr="00754F6C" w14:paraId="42953850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0C3B8EF9" w:rsidR="00BB658F" w:rsidRPr="00754F6C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7444107" w14:textId="7CCA1570" w:rsidR="00BB658F" w:rsidRPr="00194201" w:rsidRDefault="00462323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351" w:type="dxa"/>
            <w:vAlign w:val="center"/>
          </w:tcPr>
          <w:p w14:paraId="707F7BF6" w14:textId="3A5CC2B5" w:rsidR="00BB658F" w:rsidRPr="00194201" w:rsidRDefault="00462323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65C38513" w14:textId="6A75FF51" w:rsidR="00BB658F" w:rsidRPr="00194201" w:rsidRDefault="002C0949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276" w:type="dxa"/>
            <w:vAlign w:val="center"/>
          </w:tcPr>
          <w:p w14:paraId="18D51BB9" w14:textId="2D4A070B" w:rsidR="00BB658F" w:rsidRPr="00194201" w:rsidRDefault="00813EEE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47-krotnie więcej</w:t>
            </w:r>
          </w:p>
        </w:tc>
      </w:tr>
    </w:tbl>
    <w:bookmarkEnd w:id="3"/>
    <w:p w14:paraId="09EB9451" w14:textId="039F5791" w:rsidR="002B6B8F" w:rsidRPr="002B6B8F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t xml:space="preserve">Szacuje się, że na koniec </w:t>
      </w:r>
      <w:r w:rsidR="00D655EF">
        <w:rPr>
          <w:shd w:val="clear" w:color="auto" w:fill="FFFFFF"/>
        </w:rPr>
        <w:t>października</w:t>
      </w:r>
      <w:r w:rsidRPr="002B6B8F">
        <w:rPr>
          <w:shd w:val="clear" w:color="auto" w:fill="FFFFFF"/>
        </w:rPr>
        <w:t xml:space="preserve"> 2020 r. w budowie pozostawało 83</w:t>
      </w:r>
      <w:r w:rsidR="002C15E1">
        <w:rPr>
          <w:shd w:val="clear" w:color="auto" w:fill="FFFFFF"/>
        </w:rPr>
        <w:t>6</w:t>
      </w:r>
      <w:r w:rsidRPr="002B6B8F">
        <w:rPr>
          <w:shd w:val="clear" w:color="auto" w:fill="FFFFFF"/>
        </w:rPr>
        <w:t>,</w:t>
      </w:r>
      <w:r w:rsidR="006E7343">
        <w:rPr>
          <w:shd w:val="clear" w:color="auto" w:fill="FFFFFF"/>
        </w:rPr>
        <w:t>1</w:t>
      </w:r>
      <w:r w:rsidRPr="002B6B8F">
        <w:rPr>
          <w:shd w:val="clear" w:color="auto" w:fill="FFFFFF"/>
        </w:rPr>
        <w:t xml:space="preserve"> tys. mieszkań, </w:t>
      </w:r>
      <w:r w:rsidRPr="002B6B8F">
        <w:rPr>
          <w:shd w:val="clear" w:color="auto" w:fill="FFFFFF"/>
        </w:rPr>
        <w:br/>
        <w:t xml:space="preserve">tj. o </w:t>
      </w:r>
      <w:r w:rsidR="006E7343">
        <w:rPr>
          <w:shd w:val="clear" w:color="auto" w:fill="FFFFFF"/>
        </w:rPr>
        <w:t>0,5</w:t>
      </w:r>
      <w:r w:rsidRPr="002B6B8F">
        <w:rPr>
          <w:shd w:val="clear" w:color="auto" w:fill="FFFFFF"/>
        </w:rPr>
        <w:t xml:space="preserve">% więcej niż w analogicznym okresie roku 2019. </w:t>
      </w:r>
    </w:p>
    <w:p w14:paraId="2FE01F02" w14:textId="528E2078" w:rsidR="00047CF8" w:rsidRDefault="007941DB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41CF721C">
                <wp:simplePos x="0" y="0"/>
                <wp:positionH relativeFrom="page">
                  <wp:posOffset>5643245</wp:posOffset>
                </wp:positionH>
                <wp:positionV relativeFrom="paragraph">
                  <wp:posOffset>179070</wp:posOffset>
                </wp:positionV>
                <wp:extent cx="1742440" cy="206311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06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F78D" w14:textId="77777777" w:rsidR="007941DB" w:rsidRDefault="007941DB" w:rsidP="002B6B8F">
                            <w:pPr>
                              <w:pStyle w:val="tekstzboku"/>
                            </w:pPr>
                          </w:p>
                          <w:p w14:paraId="5AC87C99" w14:textId="50001888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6E7343">
                              <w:t>październiku</w:t>
                            </w:r>
                            <w:r w:rsidR="002B6B8F" w:rsidRPr="002B6B8F">
                              <w:t xml:space="preserve">, w porównaniu do </w:t>
                            </w:r>
                            <w:r w:rsidR="006E7343">
                              <w:t>września</w:t>
                            </w:r>
                            <w:r w:rsidR="002B6B8F" w:rsidRPr="002B6B8F">
                              <w:t xml:space="preserve"> 2020 roku, </w:t>
                            </w:r>
                            <w:r w:rsidR="006E7343">
                              <w:t>spadła</w:t>
                            </w:r>
                            <w:r w:rsidR="002B6B8F" w:rsidRPr="002B6B8F">
                              <w:t xml:space="preserve"> liczba mieszkań oddanych do użytkowania (o </w:t>
                            </w:r>
                            <w:r w:rsidR="006E7343">
                              <w:t>3,9</w:t>
                            </w:r>
                            <w:r w:rsidR="002B6B8F" w:rsidRPr="002B6B8F">
                              <w:t>%)</w:t>
                            </w:r>
                            <w:r w:rsidR="006E7343">
                              <w:t xml:space="preserve"> oraz</w:t>
                            </w:r>
                            <w:r w:rsidR="002B6B8F" w:rsidRPr="002B6B8F">
                              <w:t xml:space="preserve"> liczba mieszkań, których budowę rozpoczęto (o </w:t>
                            </w:r>
                            <w:r w:rsidR="00FC230E">
                              <w:t xml:space="preserve">25,3%), wzrosła natomiast </w:t>
                            </w:r>
                            <w:r w:rsidR="002B6B8F" w:rsidRPr="002B6B8F">
                              <w:t>liczba mieszkań, na których budowę wydano pozwolenia lub dokonano zgłoszenia z projektem budowlanym (o </w:t>
                            </w:r>
                            <w:r w:rsidR="00FC230E">
                              <w:t>13,9</w:t>
                            </w:r>
                            <w:r w:rsidR="002B6B8F" w:rsidRPr="002B6B8F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2" type="#_x0000_t202" style="position:absolute;margin-left:444.35pt;margin-top:14.1pt;width:137.2pt;height:162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" filled="f" stroked="f">
                <v:textbox>
                  <w:txbxContent>
                    <w:p w14:paraId="6449F78D" w14:textId="77777777" w:rsidR="007941DB" w:rsidRDefault="007941DB" w:rsidP="002B6B8F">
                      <w:pPr>
                        <w:pStyle w:val="tekstzboku"/>
                      </w:pPr>
                    </w:p>
                    <w:p w14:paraId="5AC87C99" w14:textId="50001888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6E7343">
                        <w:t>październiku</w:t>
                      </w:r>
                      <w:r w:rsidR="002B6B8F" w:rsidRPr="002B6B8F">
                        <w:t xml:space="preserve">, w porównaniu do </w:t>
                      </w:r>
                      <w:r w:rsidR="006E7343">
                        <w:t>września</w:t>
                      </w:r>
                      <w:r w:rsidR="002B6B8F" w:rsidRPr="002B6B8F">
                        <w:t xml:space="preserve"> 2020 roku, </w:t>
                      </w:r>
                      <w:r w:rsidR="006E7343">
                        <w:t>spadła</w:t>
                      </w:r>
                      <w:r w:rsidR="002B6B8F" w:rsidRPr="002B6B8F">
                        <w:t xml:space="preserve"> liczba mieszkań oddanych do użytkowania (o </w:t>
                      </w:r>
                      <w:r w:rsidR="006E7343">
                        <w:t>3,9</w:t>
                      </w:r>
                      <w:r w:rsidR="002B6B8F" w:rsidRPr="002B6B8F">
                        <w:t>%)</w:t>
                      </w:r>
                      <w:r w:rsidR="006E7343">
                        <w:t xml:space="preserve"> oraz</w:t>
                      </w:r>
                      <w:r w:rsidR="002B6B8F" w:rsidRPr="002B6B8F">
                        <w:t xml:space="preserve"> liczba mieszkań, których budowę rozpoczęto (o </w:t>
                      </w:r>
                      <w:r w:rsidR="00FC230E">
                        <w:t xml:space="preserve">25,3%), wzrosła natomiast </w:t>
                      </w:r>
                      <w:r w:rsidR="002B6B8F" w:rsidRPr="002B6B8F">
                        <w:t>liczba mieszkań, na których budowę wydano pozwolenia lub dokonano zgłoszenia z projektem budowlanym (o </w:t>
                      </w:r>
                      <w:r w:rsidR="00FC230E">
                        <w:t>13,9</w:t>
                      </w:r>
                      <w:r w:rsidR="002B6B8F" w:rsidRPr="002B6B8F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7971EF2B" w:rsidR="00B5543C" w:rsidRDefault="005F3861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4AE563B2" wp14:editId="3E0C6EA9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5122545" cy="2228850"/>
            <wp:effectExtent l="0" t="0" r="0" b="0"/>
            <wp:wrapNone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33735DD0" w14:textId="4F77A8FB" w:rsidR="00B5543C" w:rsidRDefault="002452EA" w:rsidP="00F113BA">
      <w:pPr>
        <w:rPr>
          <w:b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 wp14:anchorId="52DF84FF" wp14:editId="5F34A9B9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C15CEB7" w14:textId="4B4563B7" w:rsidR="00A80EF8" w:rsidRPr="00754F6C" w:rsidRDefault="00A80EF8" w:rsidP="00F113BA">
      <w:pPr>
        <w:rPr>
          <w:b/>
          <w:sz w:val="18"/>
          <w:szCs w:val="18"/>
        </w:rPr>
      </w:pPr>
    </w:p>
    <w:p w14:paraId="12FA7A78" w14:textId="07E3A00E" w:rsidR="00ED2EB5" w:rsidRPr="00CF77F6" w:rsidRDefault="002452EA" w:rsidP="00ED2EB5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Najwięcej mieszkań</w:t>
      </w:r>
      <w:r w:rsidR="005F0076">
        <w:rPr>
          <w:szCs w:val="19"/>
          <w:shd w:val="clear" w:color="auto" w:fill="FFFFFF"/>
        </w:rPr>
        <w:t>,</w:t>
      </w:r>
      <w:r w:rsidR="002B6B8F" w:rsidRPr="00830911">
        <w:rPr>
          <w:szCs w:val="19"/>
          <w:shd w:val="clear" w:color="auto" w:fill="FFFFFF"/>
        </w:rPr>
        <w:t xml:space="preserve"> </w:t>
      </w:r>
      <w:r w:rsidR="002C15E1">
        <w:rPr>
          <w:szCs w:val="19"/>
          <w:shd w:val="clear" w:color="auto" w:fill="FFFFFF"/>
        </w:rPr>
        <w:t>oddanych do użytkowania</w:t>
      </w:r>
      <w:r w:rsidR="002B6B8F" w:rsidRPr="00830911">
        <w:rPr>
          <w:szCs w:val="19"/>
          <w:shd w:val="clear" w:color="auto" w:fill="FFFFFF"/>
        </w:rPr>
        <w:t xml:space="preserve"> oraz których budowę rozpoczęto w okresie styczeń-</w:t>
      </w:r>
      <w:r w:rsidR="00A83185">
        <w:rPr>
          <w:szCs w:val="19"/>
          <w:shd w:val="clear" w:color="auto" w:fill="FFFFFF"/>
        </w:rPr>
        <w:t>październik</w:t>
      </w:r>
      <w:r w:rsidR="002B6B8F" w:rsidRPr="00830911">
        <w:rPr>
          <w:szCs w:val="19"/>
          <w:shd w:val="clear" w:color="auto" w:fill="FFFFFF"/>
        </w:rPr>
        <w:t xml:space="preserve"> 2020 r., odnotowano w wojewódz</w:t>
      </w:r>
      <w:r w:rsidR="002C15E1">
        <w:rPr>
          <w:szCs w:val="19"/>
          <w:shd w:val="clear" w:color="auto" w:fill="FFFFFF"/>
        </w:rPr>
        <w:t xml:space="preserve">twie mazowieckim (odpowiednio </w:t>
      </w:r>
      <w:r w:rsidR="0095084C">
        <w:rPr>
          <w:szCs w:val="19"/>
          <w:shd w:val="clear" w:color="auto" w:fill="FFFFFF"/>
        </w:rPr>
        <w:t>37,6</w:t>
      </w:r>
      <w:r w:rsidR="000A32CE">
        <w:rPr>
          <w:szCs w:val="19"/>
          <w:shd w:val="clear" w:color="auto" w:fill="FFFFFF"/>
        </w:rPr>
        <w:t> </w:t>
      </w:r>
      <w:r w:rsidR="00E42CE1">
        <w:rPr>
          <w:szCs w:val="19"/>
          <w:shd w:val="clear" w:color="auto" w:fill="FFFFFF"/>
        </w:rPr>
        <w:t>tys. i </w:t>
      </w:r>
      <w:r w:rsidR="002C15E1">
        <w:rPr>
          <w:szCs w:val="19"/>
          <w:shd w:val="clear" w:color="auto" w:fill="FFFFFF"/>
        </w:rPr>
        <w:t>3</w:t>
      </w:r>
      <w:r w:rsidR="0095084C">
        <w:rPr>
          <w:szCs w:val="19"/>
          <w:shd w:val="clear" w:color="auto" w:fill="FFFFFF"/>
        </w:rPr>
        <w:t>3,9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>tys.) oraz wielkopolskim (</w:t>
      </w:r>
      <w:r w:rsidR="0095084C">
        <w:rPr>
          <w:szCs w:val="19"/>
          <w:shd w:val="clear" w:color="auto" w:fill="FFFFFF"/>
        </w:rPr>
        <w:t>18,9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 xml:space="preserve">tys. i </w:t>
      </w:r>
      <w:r w:rsidR="0095084C">
        <w:rPr>
          <w:szCs w:val="19"/>
          <w:shd w:val="clear" w:color="auto" w:fill="FFFFFF"/>
        </w:rPr>
        <w:t>18,7</w:t>
      </w:r>
      <w:r w:rsidR="002B6B8F" w:rsidRPr="00830911">
        <w:rPr>
          <w:szCs w:val="19"/>
          <w:shd w:val="clear" w:color="auto" w:fill="FFFFFF"/>
        </w:rPr>
        <w:t xml:space="preserve"> tys.).</w:t>
      </w:r>
      <w:r w:rsidR="00027867">
        <w:rPr>
          <w:szCs w:val="19"/>
          <w:shd w:val="clear" w:color="auto" w:fill="FFFFFF"/>
        </w:rPr>
        <w:t xml:space="preserve"> </w:t>
      </w:r>
      <w:r w:rsidR="00027867" w:rsidRPr="00064209">
        <w:rPr>
          <w:color w:val="000000" w:themeColor="text1"/>
          <w:szCs w:val="19"/>
          <w:shd w:val="clear" w:color="auto" w:fill="FFFFFF"/>
        </w:rPr>
        <w:t>Również w</w:t>
      </w:r>
      <w:r w:rsidR="002B6B8F" w:rsidRPr="00064209">
        <w:rPr>
          <w:color w:val="000000" w:themeColor="text1"/>
          <w:szCs w:val="19"/>
          <w:shd w:val="clear" w:color="auto" w:fill="FFFFFF"/>
        </w:rPr>
        <w:t xml:space="preserve"> </w:t>
      </w:r>
      <w:r w:rsidR="002C3295" w:rsidRPr="00064209">
        <w:rPr>
          <w:color w:val="000000" w:themeColor="text1"/>
          <w:szCs w:val="19"/>
          <w:shd w:val="clear" w:color="auto" w:fill="FFFFFF"/>
        </w:rPr>
        <w:t xml:space="preserve">województwie mazowieckim </w:t>
      </w:r>
      <w:r w:rsidR="004452BC" w:rsidRPr="00064209">
        <w:rPr>
          <w:color w:val="000000" w:themeColor="text1"/>
          <w:szCs w:val="19"/>
          <w:shd w:val="clear" w:color="auto" w:fill="FFFFFF"/>
        </w:rPr>
        <w:t>zanotowano n</w:t>
      </w:r>
      <w:r w:rsidR="002B6B8F" w:rsidRPr="00CF77F6">
        <w:rPr>
          <w:szCs w:val="19"/>
          <w:shd w:val="clear" w:color="auto" w:fill="FFFFFF"/>
        </w:rPr>
        <w:t>ajw</w:t>
      </w:r>
      <w:r w:rsidR="002C15E1" w:rsidRPr="00CF77F6">
        <w:rPr>
          <w:szCs w:val="19"/>
          <w:shd w:val="clear" w:color="auto" w:fill="FFFFFF"/>
        </w:rPr>
        <w:t>iększą li</w:t>
      </w:r>
      <w:r w:rsidR="004452BC">
        <w:rPr>
          <w:szCs w:val="19"/>
          <w:shd w:val="clear" w:color="auto" w:fill="FFFFFF"/>
        </w:rPr>
        <w:t>czbę</w:t>
      </w:r>
      <w:r w:rsidR="002C15E1" w:rsidRPr="00CF77F6">
        <w:rPr>
          <w:szCs w:val="19"/>
          <w:shd w:val="clear" w:color="auto" w:fill="FFFFFF"/>
        </w:rPr>
        <w:t xml:space="preserve"> mieszkań, na których budowę wydano pozwolenia lub dokonano zgłoszenia z projektem budowlanym </w:t>
      </w:r>
      <w:r w:rsidR="002B6B8F" w:rsidRPr="00027867">
        <w:rPr>
          <w:szCs w:val="19"/>
          <w:shd w:val="clear" w:color="auto" w:fill="FFFFFF"/>
        </w:rPr>
        <w:t>(</w:t>
      </w:r>
      <w:r w:rsidR="0095084C">
        <w:rPr>
          <w:szCs w:val="19"/>
          <w:shd w:val="clear" w:color="auto" w:fill="FFFFFF"/>
        </w:rPr>
        <w:t>36</w:t>
      </w:r>
      <w:r w:rsidR="002C15E1" w:rsidRPr="00CF77F6">
        <w:rPr>
          <w:szCs w:val="19"/>
          <w:shd w:val="clear" w:color="auto" w:fill="FFFFFF"/>
        </w:rPr>
        <w:t>,</w:t>
      </w:r>
      <w:r w:rsidR="0095084C">
        <w:rPr>
          <w:szCs w:val="19"/>
          <w:shd w:val="clear" w:color="auto" w:fill="FFFFFF"/>
        </w:rPr>
        <w:t>0</w:t>
      </w:r>
      <w:r w:rsidR="002B6B8F" w:rsidRPr="00CF77F6">
        <w:rPr>
          <w:szCs w:val="19"/>
          <w:shd w:val="clear" w:color="auto" w:fill="FFFFFF"/>
        </w:rPr>
        <w:t xml:space="preserve"> tys. mieszkań)</w:t>
      </w:r>
      <w:r w:rsidR="00912007">
        <w:rPr>
          <w:szCs w:val="19"/>
          <w:shd w:val="clear" w:color="auto" w:fill="FFFFFF"/>
        </w:rPr>
        <w:t>, na drugim</w:t>
      </w:r>
      <w:r w:rsidR="00A226AC" w:rsidRPr="00CF77F6">
        <w:rPr>
          <w:szCs w:val="19"/>
          <w:shd w:val="clear" w:color="auto" w:fill="FFFFFF"/>
        </w:rPr>
        <w:t xml:space="preserve"> miejscu </w:t>
      </w:r>
      <w:r w:rsidR="00D00C62" w:rsidRPr="00CF77F6">
        <w:rPr>
          <w:szCs w:val="19"/>
          <w:shd w:val="clear" w:color="auto" w:fill="FFFFFF"/>
        </w:rPr>
        <w:t xml:space="preserve">znalazło się województwo </w:t>
      </w:r>
      <w:r w:rsidR="0095084C">
        <w:rPr>
          <w:szCs w:val="19"/>
          <w:shd w:val="clear" w:color="auto" w:fill="FFFFFF"/>
        </w:rPr>
        <w:t>dolnośląskie (21,8</w:t>
      </w:r>
      <w:r w:rsidR="002B6B8F" w:rsidRPr="00CF77F6">
        <w:rPr>
          <w:szCs w:val="19"/>
          <w:shd w:val="clear" w:color="auto" w:fill="FFFFFF"/>
        </w:rPr>
        <w:t xml:space="preserve"> tys.).</w:t>
      </w:r>
    </w:p>
    <w:p w14:paraId="44563E4C" w14:textId="77777777" w:rsidR="006E521A" w:rsidRPr="0058583A" w:rsidRDefault="006E521A" w:rsidP="00E15BEF">
      <w:pPr>
        <w:spacing w:before="0" w:after="160" w:line="259" w:lineRule="auto"/>
        <w:rPr>
          <w:color w:val="FF0000"/>
          <w:shd w:val="clear" w:color="auto" w:fill="FFFFFF"/>
        </w:rPr>
      </w:pPr>
    </w:p>
    <w:p w14:paraId="50FA1F4D" w14:textId="569CF38B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2B6B8F" w:rsidRPr="002B6B8F">
        <w:rPr>
          <w:b/>
          <w:sz w:val="18"/>
          <w:szCs w:val="18"/>
        </w:rPr>
        <w:t xml:space="preserve"> </w:t>
      </w:r>
      <w:r w:rsidR="00A83185">
        <w:rPr>
          <w:b/>
          <w:sz w:val="18"/>
          <w:szCs w:val="18"/>
        </w:rPr>
        <w:t>październik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43D4A2C8" w:rsidR="007F2685" w:rsidRDefault="002452EA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F75A1B4" wp14:editId="193933F8">
            <wp:extent cx="5122545" cy="351345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585D7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585D7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585D7F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585D7F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585D7F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0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594A2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594A2A" w:rsidP="00AB6D25">
                      <w:pPr>
                        <w:rPr>
                          <w:color w:val="001D77"/>
                        </w:rPr>
                      </w:pPr>
                      <w:hyperlink r:id="rId32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594A2A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594A2A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594A2A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ED1E4" w14:textId="77777777" w:rsidR="00585D7F" w:rsidRDefault="00585D7F" w:rsidP="000662E2">
      <w:pPr>
        <w:spacing w:after="0" w:line="240" w:lineRule="auto"/>
      </w:pPr>
      <w:r>
        <w:separator/>
      </w:r>
    </w:p>
  </w:endnote>
  <w:endnote w:type="continuationSeparator" w:id="0">
    <w:p w14:paraId="39F7319A" w14:textId="77777777" w:rsidR="00585D7F" w:rsidRDefault="00585D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4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9F965" w14:textId="77777777" w:rsidR="00585D7F" w:rsidRDefault="00585D7F" w:rsidP="000662E2">
      <w:pPr>
        <w:spacing w:after="0" w:line="240" w:lineRule="auto"/>
      </w:pPr>
      <w:r>
        <w:separator/>
      </w:r>
    </w:p>
  </w:footnote>
  <w:footnote w:type="continuationSeparator" w:id="0">
    <w:p w14:paraId="32935297" w14:textId="77777777" w:rsidR="00585D7F" w:rsidRDefault="00585D7F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98A6E33" w:rsidR="00112A4D" w:rsidRPr="00C97596" w:rsidRDefault="00C00B8D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23.11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598A6E33" w:rsidR="00112A4D" w:rsidRPr="00C97596" w:rsidRDefault="00C00B8D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23.11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3pt;height:129.75pt;visibility:visible;mso-wrap-style:square" o:bullet="t">
        <v:imagedata r:id="rId1" o:title=""/>
      </v:shape>
    </w:pict>
  </w:numPicBullet>
  <w:numPicBullet w:numPicBulletId="1">
    <w:pict>
      <v:shape id="_x0000_i1032" type="#_x0000_t75" style="width:123pt;height:129.75pt;visibility:visible;mso-wrap-style:square" o:bullet="t">
        <v:imagedata r:id="rId2" o:title=""/>
      </v:shape>
    </w:pict>
  </w:numPicBullet>
  <w:numPicBullet w:numPicBulletId="2">
    <w:pict>
      <v:shape id="_x0000_i1033" type="#_x0000_t75" style="width:36pt;height:36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2CE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7121"/>
    <w:rsid w:val="0017779B"/>
    <w:rsid w:val="00177A36"/>
    <w:rsid w:val="00177DD6"/>
    <w:rsid w:val="001821C4"/>
    <w:rsid w:val="001823A4"/>
    <w:rsid w:val="00183157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64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461B"/>
    <w:rsid w:val="00234D8A"/>
    <w:rsid w:val="00237327"/>
    <w:rsid w:val="00240ECE"/>
    <w:rsid w:val="00242271"/>
    <w:rsid w:val="002452B8"/>
    <w:rsid w:val="002452EA"/>
    <w:rsid w:val="00247C71"/>
    <w:rsid w:val="00250870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37B63"/>
    <w:rsid w:val="00341966"/>
    <w:rsid w:val="003426AA"/>
    <w:rsid w:val="00342DCF"/>
    <w:rsid w:val="00343A88"/>
    <w:rsid w:val="00344280"/>
    <w:rsid w:val="003457E4"/>
    <w:rsid w:val="00346188"/>
    <w:rsid w:val="0034661C"/>
    <w:rsid w:val="00346C98"/>
    <w:rsid w:val="00347649"/>
    <w:rsid w:val="003476A5"/>
    <w:rsid w:val="00347C1F"/>
    <w:rsid w:val="00347D72"/>
    <w:rsid w:val="00347DB2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60A7"/>
    <w:rsid w:val="003F68D3"/>
    <w:rsid w:val="003F6AB8"/>
    <w:rsid w:val="003F6C83"/>
    <w:rsid w:val="003F7FE6"/>
    <w:rsid w:val="00400193"/>
    <w:rsid w:val="00400B65"/>
    <w:rsid w:val="00401DB3"/>
    <w:rsid w:val="00403557"/>
    <w:rsid w:val="0040648A"/>
    <w:rsid w:val="0040743E"/>
    <w:rsid w:val="004107A5"/>
    <w:rsid w:val="0041140C"/>
    <w:rsid w:val="004118C3"/>
    <w:rsid w:val="00412E8A"/>
    <w:rsid w:val="004130BC"/>
    <w:rsid w:val="0041374E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3380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8B2"/>
    <w:rsid w:val="005E4E00"/>
    <w:rsid w:val="005E55FE"/>
    <w:rsid w:val="005E589D"/>
    <w:rsid w:val="005F0076"/>
    <w:rsid w:val="005F302D"/>
    <w:rsid w:val="005F3861"/>
    <w:rsid w:val="005F4A3B"/>
    <w:rsid w:val="005F5129"/>
    <w:rsid w:val="005F5A80"/>
    <w:rsid w:val="005F5FD8"/>
    <w:rsid w:val="00600497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DC3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083A"/>
    <w:rsid w:val="00641AB4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F059C"/>
    <w:rsid w:val="006F2D15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F4E"/>
    <w:rsid w:val="00776D21"/>
    <w:rsid w:val="00777957"/>
    <w:rsid w:val="007801F5"/>
    <w:rsid w:val="00780316"/>
    <w:rsid w:val="00781779"/>
    <w:rsid w:val="0078199D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2040"/>
    <w:rsid w:val="00793D18"/>
    <w:rsid w:val="007941DB"/>
    <w:rsid w:val="0079498A"/>
    <w:rsid w:val="0079514B"/>
    <w:rsid w:val="00796583"/>
    <w:rsid w:val="00796D16"/>
    <w:rsid w:val="00797294"/>
    <w:rsid w:val="007A1014"/>
    <w:rsid w:val="007A2DC1"/>
    <w:rsid w:val="007A41A9"/>
    <w:rsid w:val="007A510F"/>
    <w:rsid w:val="007A5C5A"/>
    <w:rsid w:val="007A5CB7"/>
    <w:rsid w:val="007B0E35"/>
    <w:rsid w:val="007B2673"/>
    <w:rsid w:val="007B2E46"/>
    <w:rsid w:val="007B3DB7"/>
    <w:rsid w:val="007B3EA4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C5E1B"/>
    <w:rsid w:val="008C6357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0B16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D7E8C"/>
    <w:rsid w:val="009E21D0"/>
    <w:rsid w:val="009E2E91"/>
    <w:rsid w:val="009E3371"/>
    <w:rsid w:val="009E374D"/>
    <w:rsid w:val="009E3D7D"/>
    <w:rsid w:val="009E4CAF"/>
    <w:rsid w:val="009E56BC"/>
    <w:rsid w:val="009E5A0C"/>
    <w:rsid w:val="009E6202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614A4"/>
    <w:rsid w:val="00A61FF6"/>
    <w:rsid w:val="00A63CAF"/>
    <w:rsid w:val="00A63FE4"/>
    <w:rsid w:val="00A6436D"/>
    <w:rsid w:val="00A647B9"/>
    <w:rsid w:val="00A64804"/>
    <w:rsid w:val="00A66409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0C5D"/>
    <w:rsid w:val="00AA104D"/>
    <w:rsid w:val="00AA3EB6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193E"/>
    <w:rsid w:val="00B42455"/>
    <w:rsid w:val="00B4328D"/>
    <w:rsid w:val="00B43D8E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443D"/>
    <w:rsid w:val="00B85633"/>
    <w:rsid w:val="00B86655"/>
    <w:rsid w:val="00B914E9"/>
    <w:rsid w:val="00B91AC6"/>
    <w:rsid w:val="00B94252"/>
    <w:rsid w:val="00B956EE"/>
    <w:rsid w:val="00B95FA8"/>
    <w:rsid w:val="00B96037"/>
    <w:rsid w:val="00B96AD0"/>
    <w:rsid w:val="00B96F1A"/>
    <w:rsid w:val="00BA02E1"/>
    <w:rsid w:val="00BA14B6"/>
    <w:rsid w:val="00BA2BA1"/>
    <w:rsid w:val="00BA2ECD"/>
    <w:rsid w:val="00BA44CD"/>
    <w:rsid w:val="00BA661E"/>
    <w:rsid w:val="00BB32C6"/>
    <w:rsid w:val="00BB4F09"/>
    <w:rsid w:val="00BB506A"/>
    <w:rsid w:val="00BB53B6"/>
    <w:rsid w:val="00BB544E"/>
    <w:rsid w:val="00BB658F"/>
    <w:rsid w:val="00BC207E"/>
    <w:rsid w:val="00BC40AF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BF5779"/>
    <w:rsid w:val="00C00B8D"/>
    <w:rsid w:val="00C023D9"/>
    <w:rsid w:val="00C030DE"/>
    <w:rsid w:val="00C05167"/>
    <w:rsid w:val="00C110BE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0A2F"/>
    <w:rsid w:val="00C71109"/>
    <w:rsid w:val="00C7158E"/>
    <w:rsid w:val="00C71FF0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6001"/>
    <w:rsid w:val="00D261A2"/>
    <w:rsid w:val="00D2644B"/>
    <w:rsid w:val="00D30D5C"/>
    <w:rsid w:val="00D30EF4"/>
    <w:rsid w:val="00D31E42"/>
    <w:rsid w:val="00D3237A"/>
    <w:rsid w:val="00D33532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D76C4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4CEA"/>
    <w:rsid w:val="00E97120"/>
    <w:rsid w:val="00EA0819"/>
    <w:rsid w:val="00EA2B74"/>
    <w:rsid w:val="00EA3DED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301"/>
    <w:rsid w:val="00EC55DB"/>
    <w:rsid w:val="00EC755A"/>
    <w:rsid w:val="00EC776F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5D84"/>
    <w:rsid w:val="00F46B76"/>
    <w:rsid w:val="00F50753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58A3"/>
    <w:rsid w:val="00FB5906"/>
    <w:rsid w:val="00FB5F63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FF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9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hyperlink" Target="http://swaid.stat.gov.pl/Budownictwo_dashboards/Raporty_predefiniowane/RAP_DBD_BUD_7.aspx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36" Type="http://schemas.openxmlformats.org/officeDocument/2006/relationships/hyperlink" Target="http://stat.gov.pl/metainformacje/slownik-pojec/pojecia-stosowane-w-statystyce-publicznej/201,pojecie.html" TargetMode="External"/><Relationship Id="rId10" Type="http://schemas.openxmlformats.org/officeDocument/2006/relationships/image" Target="media/image4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przemysl-budownictwo-srodki-trwale/budownictwo/publikacja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obszary-tematyczne/przemysl-budownictwo-srodki-trwale/budownictwo/publikacja,3.html" TargetMode="External"/><Relationship Id="rId35" Type="http://schemas.openxmlformats.org/officeDocument/2006/relationships/hyperlink" Target="http://stat.gov.pl/metainformacje/slownik-pojec/pojecia-stosowane-w-statystyce-publicznej/945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Arkusz1!$B$4:$BG$4</c:f>
              <c:numCache>
                <c:formatCode>General</c:formatCode>
                <c:ptCount val="5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  <c:pt idx="56">
                  <c:v>20719</c:v>
                </c:pt>
                <c:pt idx="57">
                  <c:v>19901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Arkusz1!$B$16:$BG$16</c:f>
              <c:numCache>
                <c:formatCode>General</c:formatCode>
                <c:ptCount val="5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  <c:pt idx="56">
                  <c:v>23512</c:v>
                </c:pt>
                <c:pt idx="57">
                  <c:v>26780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Arkusz1!$B$10:$BG$10</c:f>
              <c:numCache>
                <c:formatCode>General</c:formatCode>
                <c:ptCount val="5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0078448"/>
        <c:axId val="-1170073552"/>
      </c:lineChart>
      <c:catAx>
        <c:axId val="-117007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007355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17007355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007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836676886196216E-2"/>
          <c:y val="0.85757453395248684"/>
          <c:w val="0.88418139811363294"/>
          <c:h val="0.127371514458128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Arkusz1!$B$4:$BG$4</c:f>
              <c:numCache>
                <c:formatCode>General</c:formatCode>
                <c:ptCount val="5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  <c:pt idx="56">
                  <c:v>20719</c:v>
                </c:pt>
                <c:pt idx="57">
                  <c:v>19901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Arkusz1!$B$16:$BG$16</c:f>
              <c:numCache>
                <c:formatCode>General</c:formatCode>
                <c:ptCount val="5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  <c:pt idx="56">
                  <c:v>23512</c:v>
                </c:pt>
                <c:pt idx="57">
                  <c:v>26780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Arkusz1!$B$10:$BG$10</c:f>
              <c:numCache>
                <c:formatCode>General</c:formatCode>
                <c:ptCount val="5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0073008"/>
        <c:axId val="-1170072464"/>
      </c:lineChart>
      <c:catAx>
        <c:axId val="-117007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007246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17007246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007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2625</c:v>
                </c:pt>
                <c:pt idx="1">
                  <c:v>3351</c:v>
                </c:pt>
                <c:pt idx="2">
                  <c:v>4713</c:v>
                </c:pt>
                <c:pt idx="3">
                  <c:v>6565</c:v>
                </c:pt>
                <c:pt idx="4">
                  <c:v>6084</c:v>
                </c:pt>
                <c:pt idx="5">
                  <c:v>8063</c:v>
                </c:pt>
                <c:pt idx="6">
                  <c:v>10520</c:v>
                </c:pt>
                <c:pt idx="7">
                  <c:v>8106</c:v>
                </c:pt>
                <c:pt idx="8">
                  <c:v>10184</c:v>
                </c:pt>
                <c:pt idx="9">
                  <c:v>9896</c:v>
                </c:pt>
                <c:pt idx="10">
                  <c:v>16748</c:v>
                </c:pt>
                <c:pt idx="11">
                  <c:v>14468</c:v>
                </c:pt>
                <c:pt idx="12">
                  <c:v>17141</c:v>
                </c:pt>
                <c:pt idx="13">
                  <c:v>15931</c:v>
                </c:pt>
                <c:pt idx="14">
                  <c:v>18676</c:v>
                </c:pt>
                <c:pt idx="15">
                  <c:v>33877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2716</c:v>
                </c:pt>
                <c:pt idx="1">
                  <c:v>3744</c:v>
                </c:pt>
                <c:pt idx="2">
                  <c:v>6661</c:v>
                </c:pt>
                <c:pt idx="3">
                  <c:v>7605</c:v>
                </c:pt>
                <c:pt idx="4">
                  <c:v>6356</c:v>
                </c:pt>
                <c:pt idx="5">
                  <c:v>8350</c:v>
                </c:pt>
                <c:pt idx="6">
                  <c:v>11784</c:v>
                </c:pt>
                <c:pt idx="7">
                  <c:v>10732</c:v>
                </c:pt>
                <c:pt idx="8">
                  <c:v>10561</c:v>
                </c:pt>
                <c:pt idx="9">
                  <c:v>11352</c:v>
                </c:pt>
                <c:pt idx="10">
                  <c:v>21061</c:v>
                </c:pt>
                <c:pt idx="11">
                  <c:v>18911</c:v>
                </c:pt>
                <c:pt idx="12">
                  <c:v>19680</c:v>
                </c:pt>
                <c:pt idx="13">
                  <c:v>21797</c:v>
                </c:pt>
                <c:pt idx="14">
                  <c:v>21235</c:v>
                </c:pt>
                <c:pt idx="15">
                  <c:v>36001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1997</c:v>
                </c:pt>
                <c:pt idx="1">
                  <c:v>3070</c:v>
                </c:pt>
                <c:pt idx="2">
                  <c:v>4033</c:v>
                </c:pt>
                <c:pt idx="3">
                  <c:v>4552</c:v>
                </c:pt>
                <c:pt idx="4">
                  <c:v>5127</c:v>
                </c:pt>
                <c:pt idx="5">
                  <c:v>6966</c:v>
                </c:pt>
                <c:pt idx="6">
                  <c:v>7327</c:v>
                </c:pt>
                <c:pt idx="7">
                  <c:v>7571</c:v>
                </c:pt>
                <c:pt idx="8">
                  <c:v>7847</c:v>
                </c:pt>
                <c:pt idx="9">
                  <c:v>8626</c:v>
                </c:pt>
                <c:pt idx="10">
                  <c:v>14683</c:v>
                </c:pt>
                <c:pt idx="11">
                  <c:v>14774</c:v>
                </c:pt>
                <c:pt idx="12">
                  <c:v>16039</c:v>
                </c:pt>
                <c:pt idx="13">
                  <c:v>17379</c:v>
                </c:pt>
                <c:pt idx="14">
                  <c:v>18873</c:v>
                </c:pt>
                <c:pt idx="15">
                  <c:v>37560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175934848"/>
        <c:axId val="-1175941920"/>
      </c:barChart>
      <c:catAx>
        <c:axId val="-11759348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75941920"/>
        <c:crosses val="autoZero"/>
        <c:auto val="1"/>
        <c:lblAlgn val="ctr"/>
        <c:lblOffset val="100"/>
        <c:noMultiLvlLbl val="0"/>
      </c:catAx>
      <c:valAx>
        <c:axId val="-1175941920"/>
        <c:scaling>
          <c:orientation val="minMax"/>
          <c:max val="39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175934848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2169232279906812"/>
          <c:w val="0.85423671241541055"/>
          <c:h val="0.14330196345192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budownictwo_mieszkaniowe_w_okresie_styczen-_październik_2020.docx.docx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F3A7-0E22-4DFF-8ADB-53456C647663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36D2F0F-F892-409C-A9A3-CD33F044A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2020-10-19T11:00:00Z</cp:lastPrinted>
  <dcterms:created xsi:type="dcterms:W3CDTF">2020-11-18T09:13:00Z</dcterms:created>
  <dcterms:modified xsi:type="dcterms:W3CDTF">2020-11-18T09:13:00Z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