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6E7675D4" w:rsidR="0098135C" w:rsidRPr="00B55F47" w:rsidRDefault="00557D75" w:rsidP="00074DD8">
      <w:pPr>
        <w:pStyle w:val="tytuinformacji"/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</w:t>
      </w:r>
      <w:r w:rsidR="00B109D9">
        <w:rPr>
          <w:color w:val="auto"/>
          <w:szCs w:val="40"/>
          <w:shd w:val="clear" w:color="auto" w:fill="FFFFFF"/>
        </w:rPr>
        <w:t>V</w:t>
      </w:r>
      <w:r w:rsidR="00D9571A">
        <w:rPr>
          <w:color w:val="auto"/>
          <w:szCs w:val="40"/>
          <w:shd w:val="clear" w:color="auto" w:fill="FFFFFF"/>
        </w:rPr>
        <w:t>I</w:t>
      </w:r>
      <w:r w:rsidR="006B6660">
        <w:rPr>
          <w:color w:val="auto"/>
          <w:szCs w:val="40"/>
          <w:shd w:val="clear" w:color="auto" w:fill="FFFFFF"/>
        </w:rPr>
        <w:t>I</w:t>
      </w:r>
      <w:r w:rsidR="00B96F1A">
        <w:rPr>
          <w:color w:val="auto"/>
          <w:szCs w:val="40"/>
          <w:shd w:val="clear" w:color="auto" w:fill="FFFFFF"/>
        </w:rPr>
        <w:t>I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7E478484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EF2703E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1BCF2510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C5E1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105,5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7EF2703E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1BCF2510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C5E1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105,5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8C5E1B">
        <w:t>okresie ośmiu</w:t>
      </w:r>
      <w:r w:rsidR="006B6660">
        <w:t xml:space="preserve"> miesięcy</w:t>
      </w:r>
      <w:r w:rsidR="00754F6C" w:rsidRPr="00194201">
        <w:t xml:space="preserve"> </w:t>
      </w:r>
      <w:r w:rsidR="003F1512" w:rsidRPr="00194201">
        <w:t>2020</w:t>
      </w:r>
      <w:r w:rsidR="00A536C6">
        <w:t xml:space="preserve"> roku oddano do </w:t>
      </w:r>
      <w:r w:rsidR="004466B1" w:rsidRPr="00C11F28">
        <w:t xml:space="preserve">użytkowania </w:t>
      </w:r>
      <w:r w:rsidR="00A536C6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D822F5">
        <w:t>Spadła</w:t>
      </w:r>
      <w:r w:rsidR="008B0F20" w:rsidRPr="00C11F28">
        <w:t xml:space="preserve"> </w:t>
      </w:r>
      <w:r w:rsidR="00A536C6">
        <w:t>natomiast</w:t>
      </w:r>
      <w:r w:rsidR="008B0F20" w:rsidRPr="00C11F28">
        <w:t xml:space="preserve"> liczba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3D6F2A">
        <w:t xml:space="preserve"> oraz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21064A18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2E489B7E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92E00A7">
                <wp:simplePos x="0" y="0"/>
                <wp:positionH relativeFrom="page">
                  <wp:posOffset>5636895</wp:posOffset>
                </wp:positionH>
                <wp:positionV relativeFrom="paragraph">
                  <wp:posOffset>125730</wp:posOffset>
                </wp:positionV>
                <wp:extent cx="1748790" cy="810895"/>
                <wp:effectExtent l="0" t="0" r="0" b="0"/>
                <wp:wrapTight wrapText="bothSides">
                  <wp:wrapPolygon edited="0">
                    <wp:start x="706" y="0"/>
                    <wp:lineTo x="706" y="20805"/>
                    <wp:lineTo x="20706" y="20805"/>
                    <wp:lineTo x="20706" y="0"/>
                    <wp:lineTo x="70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2DF0DB07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Dewelo</w:t>
                            </w:r>
                            <w:r w:rsidR="00754ABB">
                              <w:t>perzy oddali do użytkowania 64,6</w:t>
                            </w:r>
                            <w:r w:rsidRPr="00B453BB">
                              <w:t>% ogó</w:t>
                            </w:r>
                            <w:r w:rsidR="003912E0">
                              <w:t xml:space="preserve">lnej liczby mieszkań, tj. o </w:t>
                            </w:r>
                            <w:r w:rsidR="00FB41E0">
                              <w:t>2,3</w:t>
                            </w:r>
                            <w:r w:rsidRPr="00B453BB">
                              <w:t xml:space="preserve"> p. proc. więcej niż w ub. roku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4854A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8" type="#_x0000_t202" style="position:absolute;margin-left:443.85pt;margin-top:9.9pt;width:137.7pt;height:63.8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ynEQ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" filled="f" stroked="f">
                <v:textbox>
                  <w:txbxContent>
                    <w:p w14:paraId="6327FDC5" w14:textId="2DF0DB07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Dewelo</w:t>
                      </w:r>
                      <w:r w:rsidR="00754ABB">
                        <w:t>perzy oddali do użytkowania 64,6</w:t>
                      </w:r>
                      <w:r w:rsidRPr="00B453BB">
                        <w:t>% ogó</w:t>
                      </w:r>
                      <w:r w:rsidR="003912E0">
                        <w:t xml:space="preserve">lnej liczby mieszkań, tj. o </w:t>
                      </w:r>
                      <w:r w:rsidR="00FB41E0">
                        <w:t>2,3</w:t>
                      </w:r>
                      <w:r w:rsidRPr="00B453BB">
                        <w:t xml:space="preserve"> p. proc. więcej niż w ub. roku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01D66337" w:rsidR="004D107E" w:rsidRPr="006819F3" w:rsidRDefault="00B453BB" w:rsidP="00DD4E61">
      <w:pPr>
        <w:rPr>
          <w:shd w:val="clear" w:color="auto" w:fill="FFFFFF"/>
        </w:rPr>
      </w:pPr>
      <w:r w:rsidRPr="006819F3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4E851B74">
                <wp:simplePos x="0" y="0"/>
                <wp:positionH relativeFrom="page">
                  <wp:posOffset>5661052</wp:posOffset>
                </wp:positionH>
                <wp:positionV relativeFrom="paragraph">
                  <wp:posOffset>1201227</wp:posOffset>
                </wp:positionV>
                <wp:extent cx="1780540" cy="910590"/>
                <wp:effectExtent l="0" t="0" r="0" b="3810"/>
                <wp:wrapTight wrapText="bothSides">
                  <wp:wrapPolygon edited="0">
                    <wp:start x="693" y="0"/>
                    <wp:lineTo x="693" y="21238"/>
                    <wp:lineTo x="20799" y="21238"/>
                    <wp:lineTo x="20799" y="0"/>
                    <wp:lineTo x="693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B2B4" w14:textId="455ED788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Przeciętna powierzchnia użytkowa nowo oddanego mieszkania w okresie I-VI</w:t>
                            </w:r>
                            <w:r w:rsidR="00754ABB">
                              <w:t>I</w:t>
                            </w:r>
                            <w:r w:rsidR="006256A3">
                              <w:t>I 2020 r. wyniosła 88,8</w:t>
                            </w:r>
                            <w:r w:rsidRPr="00B453BB">
                              <w:t xml:space="preserve"> m</w:t>
                            </w:r>
                            <w:r w:rsidRPr="00B453BB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14:paraId="3C6912FA" w14:textId="15D10A59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29" type="#_x0000_t202" style="position:absolute;margin-left:445.75pt;margin-top:94.6pt;width:140.2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" filled="f" stroked="f">
                <v:textbox>
                  <w:txbxContent>
                    <w:p w14:paraId="0F86B2B4" w14:textId="455ED788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Przeciętna powierzchnia użytkowa nowo oddanego mieszkania w okresie I-VI</w:t>
                      </w:r>
                      <w:r w:rsidR="00754ABB">
                        <w:t>I</w:t>
                      </w:r>
                      <w:r w:rsidR="006256A3">
                        <w:t>I 2020 r. wyniosła 88,8</w:t>
                      </w:r>
                      <w:r w:rsidRPr="00B453BB">
                        <w:t xml:space="preserve"> m</w:t>
                      </w:r>
                      <w:r w:rsidRPr="00B453BB">
                        <w:rPr>
                          <w:vertAlign w:val="superscript"/>
                        </w:rPr>
                        <w:t>2</w:t>
                      </w:r>
                    </w:p>
                    <w:p w14:paraId="3C6912FA" w14:textId="15D10A59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E7EAE" w:rsidRPr="006819F3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4DE5C248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0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BTt&#10;FJ0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6819F3">
        <w:rPr>
          <w:shd w:val="clear" w:color="auto" w:fill="FFFFFF"/>
        </w:rPr>
        <w:t>Według wstępnych danych, w okresie styczeń-</w:t>
      </w:r>
      <w:r w:rsidR="00FB18E3">
        <w:rPr>
          <w:shd w:val="clear" w:color="auto" w:fill="FFFFFF"/>
        </w:rPr>
        <w:t>sierpień</w:t>
      </w:r>
      <w:r w:rsidR="00A536C6" w:rsidRPr="006819F3">
        <w:rPr>
          <w:shd w:val="clear" w:color="auto" w:fill="FFFFFF"/>
        </w:rPr>
        <w:t xml:space="preserve"> 2020 r. oddano do użytkowania </w:t>
      </w:r>
      <w:r w:rsidR="00FB18E3">
        <w:rPr>
          <w:shd w:val="clear" w:color="auto" w:fill="FFFFFF"/>
        </w:rPr>
        <w:t>135</w:t>
      </w:r>
      <w:r w:rsidR="002C74C5">
        <w:rPr>
          <w:shd w:val="clear" w:color="auto" w:fill="FFFFFF"/>
        </w:rPr>
        <w:t>,8</w:t>
      </w:r>
      <w:r w:rsidR="00A536C6" w:rsidRPr="006819F3">
        <w:t> tys</w:t>
      </w:r>
      <w:r w:rsidR="003912E0">
        <w:rPr>
          <w:shd w:val="clear" w:color="auto" w:fill="FFFFFF"/>
        </w:rPr>
        <w:t xml:space="preserve">. mieszkań, tj. o </w:t>
      </w:r>
      <w:r w:rsidR="00FB18E3">
        <w:rPr>
          <w:shd w:val="clear" w:color="auto" w:fill="FFFFFF"/>
        </w:rPr>
        <w:t>5,5</w:t>
      </w:r>
      <w:r w:rsidR="00A536C6">
        <w:rPr>
          <w:shd w:val="clear" w:color="auto" w:fill="FFFFFF"/>
        </w:rPr>
        <w:t>% więcej</w:t>
      </w:r>
      <w:r w:rsidR="00A536C6" w:rsidRPr="006819F3">
        <w:rPr>
          <w:shd w:val="clear" w:color="auto" w:fill="FFFFFF"/>
        </w:rPr>
        <w:t xml:space="preserve"> niż przed rokiem. </w:t>
      </w:r>
      <w:r w:rsidR="00A536C6" w:rsidRPr="006819F3">
        <w:rPr>
          <w:b/>
          <w:shd w:val="clear" w:color="auto" w:fill="FFFFFF"/>
        </w:rPr>
        <w:t>Deweloperzy</w:t>
      </w:r>
      <w:r w:rsidR="00A536C6" w:rsidRPr="006819F3">
        <w:t xml:space="preserve"> </w:t>
      </w:r>
      <w:r w:rsidR="00A536C6" w:rsidRPr="006819F3">
        <w:rPr>
          <w:shd w:val="clear" w:color="auto" w:fill="FFFFFF"/>
        </w:rPr>
        <w:t xml:space="preserve">przekazali do eksploatacji </w:t>
      </w:r>
      <w:r w:rsidR="00D60272">
        <w:rPr>
          <w:shd w:val="clear" w:color="auto" w:fill="FFFFFF"/>
        </w:rPr>
        <w:t>87,7</w:t>
      </w:r>
      <w:r w:rsidR="00A536C6" w:rsidRPr="006819F3">
        <w:rPr>
          <w:shd w:val="clear" w:color="auto" w:fill="FFFFFF"/>
        </w:rPr>
        <w:t xml:space="preserve"> tys. mieszkań (</w:t>
      </w:r>
      <w:r w:rsidR="00D60272">
        <w:rPr>
          <w:shd w:val="clear" w:color="auto" w:fill="FFFFFF"/>
        </w:rPr>
        <w:t>9,4</w:t>
      </w:r>
      <w:r w:rsidR="00A536C6">
        <w:rPr>
          <w:shd w:val="clear" w:color="auto" w:fill="FFFFFF"/>
        </w:rPr>
        <w:t>% więcej</w:t>
      </w:r>
      <w:r w:rsidR="00A536C6" w:rsidRPr="006819F3">
        <w:rPr>
          <w:shd w:val="clear" w:color="auto" w:fill="FFFFFF"/>
        </w:rPr>
        <w:t xml:space="preserve"> niż w analogicznym okresie 2019 r.), natomiast </w:t>
      </w:r>
      <w:r w:rsidR="00A536C6" w:rsidRPr="006819F3">
        <w:rPr>
          <w:b/>
          <w:shd w:val="clear" w:color="auto" w:fill="FFFFFF"/>
        </w:rPr>
        <w:t>inwestorzy</w:t>
      </w:r>
      <w:r w:rsidR="00A536C6" w:rsidRPr="006819F3">
        <w:rPr>
          <w:shd w:val="clear" w:color="auto" w:fill="FFFFFF"/>
        </w:rPr>
        <w:t xml:space="preserve"> </w:t>
      </w:r>
      <w:r w:rsidR="00A536C6" w:rsidRPr="006819F3">
        <w:rPr>
          <w:b/>
          <w:shd w:val="clear" w:color="auto" w:fill="FFFFFF"/>
        </w:rPr>
        <w:t xml:space="preserve">indywidualni </w:t>
      </w:r>
      <w:r w:rsidR="00A536C6" w:rsidRPr="006819F3">
        <w:rPr>
          <w:shd w:val="clear" w:color="auto" w:fill="FFFFFF"/>
        </w:rPr>
        <w:t xml:space="preserve">– </w:t>
      </w:r>
      <w:r w:rsidR="00D60272">
        <w:rPr>
          <w:shd w:val="clear" w:color="auto" w:fill="FFFFFF"/>
        </w:rPr>
        <w:t>46,0</w:t>
      </w:r>
      <w:r w:rsidR="00677AFF">
        <w:rPr>
          <w:shd w:val="clear" w:color="auto" w:fill="FFFFFF"/>
        </w:rPr>
        <w:t xml:space="preserve"> </w:t>
      </w:r>
      <w:r w:rsidR="00A536C6" w:rsidRPr="006819F3">
        <w:rPr>
          <w:shd w:val="clear" w:color="auto" w:fill="FFFFFF"/>
        </w:rPr>
        <w:t xml:space="preserve">tys. mieszkań, tj. o </w:t>
      </w:r>
      <w:r w:rsidR="00D60272">
        <w:rPr>
          <w:shd w:val="clear" w:color="auto" w:fill="FFFFFF"/>
        </w:rPr>
        <w:t>3,5</w:t>
      </w:r>
      <w:r w:rsidR="00A536C6" w:rsidRPr="006819F3">
        <w:rPr>
          <w:shd w:val="clear" w:color="auto" w:fill="FFFFFF"/>
        </w:rPr>
        <w:t xml:space="preserve">% </w:t>
      </w:r>
      <w:r w:rsidR="002C74C5">
        <w:rPr>
          <w:shd w:val="clear" w:color="auto" w:fill="FFFFFF"/>
        </w:rPr>
        <w:t>więcej</w:t>
      </w:r>
      <w:r w:rsidR="00A536C6" w:rsidRPr="006819F3">
        <w:rPr>
          <w:shd w:val="clear" w:color="auto" w:fill="FFFFFF"/>
        </w:rPr>
        <w:t xml:space="preserve"> niż w 2019 r. W  ramach tych form budownictwa wybudowano łącznie 98,</w:t>
      </w:r>
      <w:r w:rsidR="008E3818">
        <w:rPr>
          <w:shd w:val="clear" w:color="auto" w:fill="FFFFFF"/>
        </w:rPr>
        <w:t>4</w:t>
      </w:r>
      <w:r w:rsidR="00A536C6" w:rsidRPr="006819F3">
        <w:rPr>
          <w:shd w:val="clear" w:color="auto" w:fill="FFFFFF"/>
        </w:rPr>
        <w:t>% ogółu mieszkań oddanych do użytkowania (odpowiednio 6</w:t>
      </w:r>
      <w:r w:rsidR="00A536C6">
        <w:rPr>
          <w:shd w:val="clear" w:color="auto" w:fill="FFFFFF"/>
        </w:rPr>
        <w:t>4</w:t>
      </w:r>
      <w:r w:rsidR="00A536C6" w:rsidRPr="006819F3">
        <w:rPr>
          <w:shd w:val="clear" w:color="auto" w:fill="FFFFFF"/>
        </w:rPr>
        <w:t>,</w:t>
      </w:r>
      <w:r w:rsidR="003912E0">
        <w:rPr>
          <w:shd w:val="clear" w:color="auto" w:fill="FFFFFF"/>
        </w:rPr>
        <w:t xml:space="preserve">6% i </w:t>
      </w:r>
      <w:r w:rsidR="008E3818">
        <w:rPr>
          <w:shd w:val="clear" w:color="auto" w:fill="FFFFFF"/>
        </w:rPr>
        <w:t>33,8</w:t>
      </w:r>
      <w:r w:rsidR="00A536C6" w:rsidRPr="006819F3">
        <w:rPr>
          <w:shd w:val="clear" w:color="auto" w:fill="FFFFFF"/>
        </w:rPr>
        <w:t>%). Mniej mieszkań niż przed rokiem</w:t>
      </w:r>
      <w:r w:rsidR="00A536C6" w:rsidRPr="006819F3">
        <w:rPr>
          <w:b/>
          <w:shd w:val="clear" w:color="auto" w:fill="FFFFFF"/>
        </w:rPr>
        <w:t xml:space="preserve"> </w:t>
      </w:r>
      <w:r w:rsidR="003912E0">
        <w:rPr>
          <w:shd w:val="clear" w:color="auto" w:fill="FFFFFF"/>
        </w:rPr>
        <w:t xml:space="preserve">oddano do użytkowania w </w:t>
      </w:r>
      <w:r w:rsidR="00A536C6" w:rsidRPr="006819F3">
        <w:rPr>
          <w:shd w:val="clear" w:color="auto" w:fill="FFFFFF"/>
        </w:rPr>
        <w:t xml:space="preserve">budownictwie </w:t>
      </w:r>
      <w:r w:rsidR="00A536C6" w:rsidRPr="006819F3">
        <w:rPr>
          <w:b/>
          <w:shd w:val="clear" w:color="auto" w:fill="FFFFFF"/>
        </w:rPr>
        <w:t xml:space="preserve">spółdzielczym </w:t>
      </w:r>
      <w:r w:rsidR="00A536C6" w:rsidRPr="006819F3">
        <w:rPr>
          <w:shd w:val="clear" w:color="auto" w:fill="FFFFFF"/>
        </w:rPr>
        <w:t>(</w:t>
      </w:r>
      <w:r w:rsidR="008E3818">
        <w:rPr>
          <w:shd w:val="clear" w:color="auto" w:fill="FFFFFF"/>
        </w:rPr>
        <w:t>816</w:t>
      </w:r>
      <w:r w:rsidR="00A536C6" w:rsidRPr="006819F3">
        <w:rPr>
          <w:shd w:val="clear" w:color="auto" w:fill="FFFFFF"/>
        </w:rPr>
        <w:t xml:space="preserve"> wobec </w:t>
      </w:r>
      <w:r w:rsidR="008E3818">
        <w:rPr>
          <w:shd w:val="clear" w:color="auto" w:fill="FFFFFF"/>
        </w:rPr>
        <w:t>1 436</w:t>
      </w:r>
      <w:r w:rsidR="00A536C6">
        <w:rPr>
          <w:shd w:val="clear" w:color="auto" w:fill="FFFFFF"/>
        </w:rPr>
        <w:t>)</w:t>
      </w:r>
      <w:r w:rsidR="00A536C6" w:rsidRPr="006819F3">
        <w:rPr>
          <w:shd w:val="clear" w:color="auto" w:fill="FFFFFF"/>
        </w:rPr>
        <w:t>; w </w:t>
      </w:r>
      <w:r w:rsidR="00A536C6" w:rsidRPr="006819F3">
        <w:rPr>
          <w:b/>
          <w:shd w:val="clear" w:color="auto" w:fill="FFFFFF"/>
        </w:rPr>
        <w:t>pozostałych formach</w:t>
      </w:r>
      <w:r w:rsidR="00A536C6" w:rsidRPr="006819F3">
        <w:rPr>
          <w:shd w:val="clear" w:color="auto" w:fill="FFFFFF"/>
        </w:rPr>
        <w:t xml:space="preserve"> (komunalne,</w:t>
      </w:r>
      <w:r w:rsidR="00A536C6" w:rsidRPr="006819F3">
        <w:t xml:space="preserve"> </w:t>
      </w:r>
      <w:r w:rsidR="00A536C6" w:rsidRPr="006819F3">
        <w:rPr>
          <w:shd w:val="clear" w:color="auto" w:fill="FFFFFF"/>
        </w:rPr>
        <w:t xml:space="preserve">społeczne czynszowe i zakładowe) łącznie oddano </w:t>
      </w:r>
      <w:r w:rsidR="008E3818">
        <w:rPr>
          <w:shd w:val="clear" w:color="auto" w:fill="FFFFFF"/>
        </w:rPr>
        <w:t>1 338</w:t>
      </w:r>
      <w:r w:rsidR="00A536C6" w:rsidRPr="006819F3">
        <w:rPr>
          <w:shd w:val="clear" w:color="auto" w:fill="FFFFFF"/>
        </w:rPr>
        <w:t xml:space="preserve"> </w:t>
      </w:r>
      <w:r w:rsidR="00A536C6">
        <w:rPr>
          <w:shd w:val="clear" w:color="auto" w:fill="FFFFFF"/>
        </w:rPr>
        <w:t>mieszkań</w:t>
      </w:r>
      <w:r w:rsidR="00A536C6" w:rsidRPr="006819F3">
        <w:rPr>
          <w:shd w:val="clear" w:color="auto" w:fill="FFFFFF"/>
        </w:rPr>
        <w:t xml:space="preserve"> (wobec </w:t>
      </w:r>
      <w:r w:rsidR="00915A5C">
        <w:rPr>
          <w:shd w:val="clear" w:color="auto" w:fill="FFFFFF"/>
        </w:rPr>
        <w:t>2 718</w:t>
      </w:r>
      <w:r w:rsidR="00A536C6" w:rsidRPr="006819F3">
        <w:rPr>
          <w:shd w:val="clear" w:color="auto" w:fill="FFFFFF"/>
        </w:rPr>
        <w:t xml:space="preserve"> w ub. roku)</w:t>
      </w:r>
      <w:r w:rsidR="0033525D" w:rsidRPr="006819F3">
        <w:rPr>
          <w:shd w:val="clear" w:color="auto" w:fill="FFFFFF"/>
        </w:rPr>
        <w:t>.</w:t>
      </w:r>
    </w:p>
    <w:p w14:paraId="53F85E33" w14:textId="14988ECA" w:rsidR="000D1113" w:rsidRDefault="00B453BB" w:rsidP="000D1113">
      <w:pPr>
        <w:spacing w:before="0" w:after="0"/>
        <w:rPr>
          <w:shd w:val="clear" w:color="auto" w:fill="FFFFFF"/>
        </w:rPr>
      </w:pPr>
      <w:r w:rsidRPr="00B453BB">
        <w:rPr>
          <w:shd w:val="clear" w:color="auto" w:fill="FFFFFF"/>
        </w:rPr>
        <w:t>Powierzchnia użytkowa mieszkań od</w:t>
      </w:r>
      <w:r w:rsidR="001E12CF">
        <w:rPr>
          <w:shd w:val="clear" w:color="auto" w:fill="FFFFFF"/>
        </w:rPr>
        <w:t>danych w okresie styczeń-sierpień 2020 r. wyniosła 12,1</w:t>
      </w:r>
      <w:r w:rsidR="003912E0">
        <w:rPr>
          <w:shd w:val="clear" w:color="auto" w:fill="FFFFFF"/>
        </w:rPr>
        <w:t xml:space="preserve"> mln </w:t>
      </w:r>
      <w:r w:rsidRPr="00B453BB">
        <w:rPr>
          <w:shd w:val="clear" w:color="auto" w:fill="FFFFFF"/>
        </w:rPr>
        <w:t>m</w:t>
      </w:r>
      <w:r w:rsidRPr="00B453BB">
        <w:rPr>
          <w:shd w:val="clear" w:color="auto" w:fill="FFFFFF"/>
          <w:vertAlign w:val="superscript"/>
        </w:rPr>
        <w:t>2</w:t>
      </w:r>
      <w:r w:rsidR="00F32872">
        <w:rPr>
          <w:shd w:val="clear" w:color="auto" w:fill="FFFFFF"/>
        </w:rPr>
        <w:t>, czyli</w:t>
      </w:r>
      <w:r w:rsidR="001E12CF">
        <w:rPr>
          <w:shd w:val="clear" w:color="auto" w:fill="FFFFFF"/>
        </w:rPr>
        <w:t xml:space="preserve"> o 4,4</w:t>
      </w:r>
      <w:r w:rsidRPr="00B453BB">
        <w:rPr>
          <w:shd w:val="clear" w:color="auto" w:fill="FFFFFF"/>
        </w:rPr>
        <w:t>% więcej niż w analogicznym okresie roku 2019. W porów</w:t>
      </w:r>
      <w:r w:rsidR="001E12CF">
        <w:rPr>
          <w:shd w:val="clear" w:color="auto" w:fill="FFFFFF"/>
        </w:rPr>
        <w:t>naniu do okresu styczeń-sierpień</w:t>
      </w:r>
      <w:r w:rsidRPr="00B453BB">
        <w:rPr>
          <w:shd w:val="clear" w:color="auto" w:fill="FFFFFF"/>
        </w:rPr>
        <w:t xml:space="preserve"> 2019 r. przeciętna powierzchnia u</w:t>
      </w:r>
      <w:r w:rsidR="00F32872">
        <w:rPr>
          <w:shd w:val="clear" w:color="auto" w:fill="FFFFFF"/>
        </w:rPr>
        <w:t>ży</w:t>
      </w:r>
      <w:r w:rsidR="001E12CF">
        <w:rPr>
          <w:shd w:val="clear" w:color="auto" w:fill="FFFFFF"/>
        </w:rPr>
        <w:t xml:space="preserve">tkowa 1 mieszkania zmalała </w:t>
      </w:r>
    </w:p>
    <w:p w14:paraId="2424FC5E" w14:textId="7A552872" w:rsidR="00B453BB" w:rsidRPr="00B453BB" w:rsidRDefault="001E12CF" w:rsidP="000D111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o 0,</w:t>
      </w:r>
      <w:r w:rsidRPr="000D1113">
        <w:rPr>
          <w:shd w:val="clear" w:color="auto" w:fill="FFFFFF"/>
        </w:rPr>
        <w:t>9</w:t>
      </w:r>
      <w:r w:rsidR="000D1113" w:rsidRPr="000D1113">
        <w:rPr>
          <w:shd w:val="clear" w:color="auto" w:fill="FFFFFF"/>
        </w:rPr>
        <w:t xml:space="preserve"> </w:t>
      </w:r>
      <w:r w:rsidR="00B453BB" w:rsidRPr="000D1113">
        <w:rPr>
          <w:shd w:val="clear" w:color="auto" w:fill="FFFFFF"/>
        </w:rPr>
        <w:t>m</w:t>
      </w:r>
      <w:r w:rsidR="00B453BB" w:rsidRPr="000D1113">
        <w:rPr>
          <w:shd w:val="clear" w:color="auto" w:fill="FFFFFF"/>
          <w:vertAlign w:val="superscript"/>
        </w:rPr>
        <w:t>2</w:t>
      </w:r>
      <w:r w:rsidRPr="000D1113">
        <w:rPr>
          <w:shd w:val="clear" w:color="auto" w:fill="FFFFFF"/>
        </w:rPr>
        <w:t>,</w:t>
      </w:r>
      <w:r>
        <w:rPr>
          <w:shd w:val="clear" w:color="auto" w:fill="FFFFFF"/>
        </w:rPr>
        <w:t xml:space="preserve"> osiągając wartość 88,8</w:t>
      </w:r>
      <w:r w:rsidR="00B453BB" w:rsidRPr="00B453BB">
        <w:rPr>
          <w:shd w:val="clear" w:color="auto" w:fill="FFFFFF"/>
        </w:rPr>
        <w:t xml:space="preserve"> m</w:t>
      </w:r>
      <w:r w:rsidR="00B453BB" w:rsidRPr="00B453BB">
        <w:rPr>
          <w:shd w:val="clear" w:color="auto" w:fill="FFFFFF"/>
          <w:vertAlign w:val="superscript"/>
        </w:rPr>
        <w:t>2</w:t>
      </w:r>
      <w:r w:rsidR="00B453BB" w:rsidRPr="00B453BB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068"/>
        <w:gridCol w:w="1344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0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80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7BC4CF4A" w:rsidR="00E24F8E" w:rsidRPr="00754F6C" w:rsidRDefault="009C454D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  <w:r w:rsidR="00A716CD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551" w:type="dxa"/>
            <w:gridSpan w:val="2"/>
            <w:tcBorders>
              <w:bottom w:val="single" w:sz="12" w:space="0" w:color="212492"/>
            </w:tcBorders>
          </w:tcPr>
          <w:p w14:paraId="603ADD0B" w14:textId="48514D4F" w:rsidR="00E24F8E" w:rsidRPr="00754F6C" w:rsidRDefault="003B7B5A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  <w:r w:rsidR="00A716CD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24F8E" w:rsidRPr="00754F6C" w14:paraId="6369542F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322D7B36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720F9A40" w:rsidR="00E24F8E" w:rsidRPr="00754F6C" w:rsidRDefault="009C454D" w:rsidP="009C45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  <w:r w:rsidR="00A716CD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8" w:type="dxa"/>
            <w:tcBorders>
              <w:bottom w:val="single" w:sz="12" w:space="0" w:color="212492"/>
            </w:tcBorders>
            <w:vAlign w:val="center"/>
          </w:tcPr>
          <w:p w14:paraId="133465B9" w14:textId="5B9D7F30" w:rsidR="00E24F8E" w:rsidRPr="00754F6C" w:rsidRDefault="003B7B5A" w:rsidP="003B7B5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  <w:r w:rsidR="00A716CD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44" w:type="dxa"/>
            <w:tcBorders>
              <w:bottom w:val="single" w:sz="12" w:space="0" w:color="212492"/>
            </w:tcBorders>
            <w:vAlign w:val="center"/>
          </w:tcPr>
          <w:p w14:paraId="5C2F222D" w14:textId="4C92FF9A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44252AAE" w:rsidR="00E24F8E" w:rsidRPr="00754F6C" w:rsidRDefault="00E24F8E" w:rsidP="003B7B5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F32872">
              <w:rPr>
                <w:color w:val="000000" w:themeColor="text1"/>
                <w:sz w:val="16"/>
                <w:szCs w:val="16"/>
              </w:rPr>
              <w:t>I</w:t>
            </w:r>
            <w:r w:rsidR="00A716CD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53BB" w:rsidRPr="00754F6C" w14:paraId="4E1470FB" w14:textId="77777777" w:rsidTr="00CD652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1C00E452" w:rsidR="00B453BB" w:rsidRPr="00754F6C" w:rsidRDefault="00A56526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16 692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315B4276" w:rsidR="00B453BB" w:rsidRPr="00754F6C" w:rsidRDefault="00E726B1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1068" w:type="dxa"/>
            <w:tcBorders>
              <w:top w:val="single" w:sz="12" w:space="0" w:color="212492"/>
            </w:tcBorders>
            <w:vAlign w:val="center"/>
          </w:tcPr>
          <w:p w14:paraId="6A232525" w14:textId="0C23E3ED" w:rsidR="00B453BB" w:rsidRPr="00754F6C" w:rsidRDefault="003C57F1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44" w:type="dxa"/>
            <w:tcBorders>
              <w:top w:val="single" w:sz="12" w:space="0" w:color="212492"/>
            </w:tcBorders>
            <w:vAlign w:val="center"/>
          </w:tcPr>
          <w:p w14:paraId="6154F35A" w14:textId="09F14BF7" w:rsidR="00B453BB" w:rsidRPr="00754F6C" w:rsidRDefault="009719B2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135 804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091CBA47" w:rsidR="00B453BB" w:rsidRPr="00754F6C" w:rsidRDefault="009719B2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105,5</w:t>
            </w:r>
          </w:p>
        </w:tc>
      </w:tr>
      <w:tr w:rsidR="00B453BB" w:rsidRPr="00754F6C" w14:paraId="4A2E478F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6BBCB87B" w:rsidR="00B453BB" w:rsidRPr="00754F6C" w:rsidRDefault="00A5652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6 023</w:t>
            </w:r>
          </w:p>
        </w:tc>
        <w:tc>
          <w:tcPr>
            <w:tcW w:w="1206" w:type="dxa"/>
            <w:vAlign w:val="center"/>
          </w:tcPr>
          <w:p w14:paraId="6E309D5C" w14:textId="5843D44B" w:rsidR="00B453BB" w:rsidRPr="00754F6C" w:rsidRDefault="00E726B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111,1</w:t>
            </w:r>
          </w:p>
        </w:tc>
        <w:tc>
          <w:tcPr>
            <w:tcW w:w="1068" w:type="dxa"/>
            <w:vAlign w:val="center"/>
          </w:tcPr>
          <w:p w14:paraId="5A11BCBE" w14:textId="0A0A92C1" w:rsidR="00B453BB" w:rsidRPr="00754F6C" w:rsidRDefault="003C57F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1344" w:type="dxa"/>
            <w:vAlign w:val="center"/>
          </w:tcPr>
          <w:p w14:paraId="7582BBA2" w14:textId="461E158C" w:rsidR="00B453BB" w:rsidRPr="0025718F" w:rsidRDefault="009719B2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45 964</w:t>
            </w:r>
          </w:p>
        </w:tc>
        <w:tc>
          <w:tcPr>
            <w:tcW w:w="1207" w:type="dxa"/>
            <w:vAlign w:val="center"/>
          </w:tcPr>
          <w:p w14:paraId="3365244C" w14:textId="0BAF5580" w:rsidR="00B453BB" w:rsidRPr="00754F6C" w:rsidRDefault="009719B2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</w:tr>
      <w:tr w:rsidR="00B453BB" w:rsidRPr="00754F6C" w14:paraId="35375690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52CCE5F8" w:rsidR="00B453BB" w:rsidRPr="00754F6C" w:rsidRDefault="00A5652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10 459</w:t>
            </w:r>
          </w:p>
        </w:tc>
        <w:tc>
          <w:tcPr>
            <w:tcW w:w="1206" w:type="dxa"/>
            <w:vAlign w:val="center"/>
          </w:tcPr>
          <w:p w14:paraId="4B265028" w14:textId="129E3110" w:rsidR="00B453BB" w:rsidRPr="00754F6C" w:rsidRDefault="00E726B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068" w:type="dxa"/>
            <w:vAlign w:val="center"/>
          </w:tcPr>
          <w:p w14:paraId="17DDE5D3" w14:textId="479C18E0" w:rsidR="00B453BB" w:rsidRPr="00754F6C" w:rsidRDefault="003C57F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72,9</w:t>
            </w:r>
          </w:p>
        </w:tc>
        <w:tc>
          <w:tcPr>
            <w:tcW w:w="1344" w:type="dxa"/>
            <w:vAlign w:val="center"/>
          </w:tcPr>
          <w:p w14:paraId="36C69A95" w14:textId="675D047A" w:rsidR="00B453BB" w:rsidRPr="0025718F" w:rsidRDefault="009719B2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87 686</w:t>
            </w:r>
          </w:p>
        </w:tc>
        <w:tc>
          <w:tcPr>
            <w:tcW w:w="1207" w:type="dxa"/>
            <w:vAlign w:val="center"/>
          </w:tcPr>
          <w:p w14:paraId="7C25122E" w14:textId="3D15E5C8" w:rsidR="00B453BB" w:rsidRPr="00754F6C" w:rsidRDefault="009719B2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109,4</w:t>
            </w:r>
          </w:p>
        </w:tc>
      </w:tr>
      <w:tr w:rsidR="00B453BB" w:rsidRPr="00754F6C" w14:paraId="6CF974E6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0A4BB72F" w:rsidR="00B453BB" w:rsidRPr="00754F6C" w:rsidRDefault="00A5652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206" w:type="dxa"/>
            <w:vAlign w:val="center"/>
          </w:tcPr>
          <w:p w14:paraId="3E72380E" w14:textId="285A4C23" w:rsidR="00B453BB" w:rsidRPr="00754F6C" w:rsidRDefault="00E726B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39,5</w:t>
            </w:r>
          </w:p>
        </w:tc>
        <w:tc>
          <w:tcPr>
            <w:tcW w:w="1068" w:type="dxa"/>
            <w:vAlign w:val="center"/>
          </w:tcPr>
          <w:p w14:paraId="3EDD3738" w14:textId="4125C39B" w:rsidR="00B453BB" w:rsidRPr="00754F6C" w:rsidRDefault="003C57F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1344" w:type="dxa"/>
            <w:vAlign w:val="center"/>
          </w:tcPr>
          <w:p w14:paraId="479C39C8" w14:textId="679ACFD6" w:rsidR="00B453BB" w:rsidRPr="0025718F" w:rsidRDefault="009719B2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1 088</w:t>
            </w:r>
          </w:p>
        </w:tc>
        <w:tc>
          <w:tcPr>
            <w:tcW w:w="1207" w:type="dxa"/>
            <w:vAlign w:val="center"/>
          </w:tcPr>
          <w:p w14:paraId="4F6190B6" w14:textId="50EAE77F" w:rsidR="00B453BB" w:rsidRPr="00754F6C" w:rsidRDefault="009719B2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81,5</w:t>
            </w:r>
          </w:p>
        </w:tc>
      </w:tr>
      <w:tr w:rsidR="00B453BB" w:rsidRPr="00754F6C" w14:paraId="43C3F652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632C921C" w:rsidR="00B453BB" w:rsidRPr="00754F6C" w:rsidRDefault="00A5652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206" w:type="dxa"/>
            <w:vAlign w:val="center"/>
          </w:tcPr>
          <w:p w14:paraId="731F80C4" w14:textId="2BDC4D8E" w:rsidR="00B453BB" w:rsidRPr="00754F6C" w:rsidRDefault="00E726B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1068" w:type="dxa"/>
            <w:vAlign w:val="center"/>
          </w:tcPr>
          <w:p w14:paraId="1A9BCF13" w14:textId="560DCA9F" w:rsidR="00B453BB" w:rsidRPr="00754F6C" w:rsidRDefault="003C57F1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252,3</w:t>
            </w:r>
          </w:p>
        </w:tc>
        <w:tc>
          <w:tcPr>
            <w:tcW w:w="1344" w:type="dxa"/>
            <w:vAlign w:val="center"/>
          </w:tcPr>
          <w:p w14:paraId="6663C6B8" w14:textId="3C7EEBBA" w:rsidR="00B453BB" w:rsidRPr="0025718F" w:rsidRDefault="009719B2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816</w:t>
            </w:r>
          </w:p>
        </w:tc>
        <w:tc>
          <w:tcPr>
            <w:tcW w:w="1207" w:type="dxa"/>
            <w:vAlign w:val="center"/>
          </w:tcPr>
          <w:p w14:paraId="1CCB713D" w14:textId="57B6A88F" w:rsidR="00B453BB" w:rsidRPr="00754F6C" w:rsidRDefault="009E5A0C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56,8</w:t>
            </w:r>
          </w:p>
        </w:tc>
      </w:tr>
      <w:tr w:rsidR="00B453BB" w:rsidRPr="00754F6C" w14:paraId="7B83A5B3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2E89C356" w:rsidR="00B453BB" w:rsidRPr="00754F6C" w:rsidRDefault="00A5652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6" w:type="dxa"/>
            <w:vAlign w:val="center"/>
          </w:tcPr>
          <w:p w14:paraId="5452FAA3" w14:textId="0C7D38D4" w:rsidR="00B453BB" w:rsidRPr="00754F6C" w:rsidRDefault="00E726B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1068" w:type="dxa"/>
            <w:vAlign w:val="center"/>
          </w:tcPr>
          <w:p w14:paraId="0E6617DC" w14:textId="6272C691" w:rsidR="00B453BB" w:rsidRPr="00754F6C" w:rsidRDefault="003C57F1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57,8</w:t>
            </w:r>
          </w:p>
        </w:tc>
        <w:tc>
          <w:tcPr>
            <w:tcW w:w="1344" w:type="dxa"/>
            <w:vAlign w:val="center"/>
          </w:tcPr>
          <w:p w14:paraId="7DAE01D3" w14:textId="0E82EECD" w:rsidR="00B453BB" w:rsidRPr="00754F6C" w:rsidRDefault="009719B2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492</w:t>
            </w:r>
          </w:p>
        </w:tc>
        <w:tc>
          <w:tcPr>
            <w:tcW w:w="1207" w:type="dxa"/>
            <w:vAlign w:val="center"/>
          </w:tcPr>
          <w:p w14:paraId="1788F09E" w14:textId="1D97EA30" w:rsidR="00B453BB" w:rsidRPr="00754F6C" w:rsidRDefault="009E5A0C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47,4</w:t>
            </w:r>
          </w:p>
        </w:tc>
      </w:tr>
      <w:tr w:rsidR="00B453BB" w:rsidRPr="00754F6C" w14:paraId="6875F867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00EF22EF" w:rsidR="00B453BB" w:rsidRPr="00754F6C" w:rsidRDefault="00A56526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06" w:type="dxa"/>
            <w:vAlign w:val="center"/>
          </w:tcPr>
          <w:p w14:paraId="066D2859" w14:textId="1DE57642" w:rsidR="00B453BB" w:rsidRPr="00754F6C" w:rsidRDefault="00E726B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15,1</w:t>
            </w:r>
          </w:p>
        </w:tc>
        <w:tc>
          <w:tcPr>
            <w:tcW w:w="1068" w:type="dxa"/>
            <w:vAlign w:val="center"/>
          </w:tcPr>
          <w:p w14:paraId="24B19628" w14:textId="5D581814" w:rsidR="00B453BB" w:rsidRPr="00754F6C" w:rsidRDefault="003C57F1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1344" w:type="dxa"/>
            <w:vAlign w:val="center"/>
          </w:tcPr>
          <w:p w14:paraId="4BDA3C5F" w14:textId="307ADBFF" w:rsidR="00B453BB" w:rsidRPr="00754F6C" w:rsidRDefault="009719B2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1207" w:type="dxa"/>
            <w:vAlign w:val="center"/>
          </w:tcPr>
          <w:p w14:paraId="0E4AD910" w14:textId="5FD74A57" w:rsidR="00B453BB" w:rsidRPr="00754F6C" w:rsidRDefault="009E5A0C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56,6</w:t>
            </w:r>
          </w:p>
        </w:tc>
      </w:tr>
      <w:tr w:rsidR="00B453BB" w:rsidRPr="00754F6C" w14:paraId="6469C018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66888060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1EE0FE6C" w14:textId="3832B2BE" w:rsidR="00B453BB" w:rsidRPr="00754F6C" w:rsidRDefault="00E726B1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1,1</w:t>
            </w:r>
          </w:p>
        </w:tc>
        <w:tc>
          <w:tcPr>
            <w:tcW w:w="1068" w:type="dxa"/>
            <w:vAlign w:val="center"/>
          </w:tcPr>
          <w:p w14:paraId="388D31ED" w14:textId="3503277B" w:rsidR="00B453BB" w:rsidRPr="00754F6C" w:rsidRDefault="002A2C5A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1344" w:type="dxa"/>
            <w:vAlign w:val="center"/>
          </w:tcPr>
          <w:p w14:paraId="1BC12FE2" w14:textId="3A44FC16" w:rsidR="00B453BB" w:rsidRPr="00754F6C" w:rsidRDefault="009719B2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07" w:type="dxa"/>
            <w:vAlign w:val="center"/>
          </w:tcPr>
          <w:p w14:paraId="5D56C253" w14:textId="370CE81B" w:rsidR="00B453BB" w:rsidRPr="00754F6C" w:rsidRDefault="009E5A0C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10,1</w:t>
            </w:r>
          </w:p>
        </w:tc>
      </w:tr>
      <w:bookmarkEnd w:id="0"/>
    </w:tbl>
    <w:p w14:paraId="06D699C5" w14:textId="77777777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71D5E03F" w:rsidR="004D06AC" w:rsidRPr="00754F6C" w:rsidRDefault="004D06AC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/>
          <w:color w:val="001D77"/>
          <w:szCs w:val="19"/>
        </w:rPr>
        <w:lastRenderedPageBreak/>
        <w:t>Mieszkania, na których budowę wydano pozwolenia lub dokonano zgłoszenia z projektem budowlanym</w:t>
      </w:r>
    </w:p>
    <w:p w14:paraId="769D71DE" w14:textId="64695611" w:rsidR="00833D4E" w:rsidRPr="00161220" w:rsidRDefault="008648D6" w:rsidP="00A52737">
      <w:pPr>
        <w:spacing w:before="0" w:after="0"/>
        <w:rPr>
          <w:shd w:val="clear" w:color="auto" w:fill="FFFFFF"/>
        </w:rPr>
      </w:pPr>
      <w:r w:rsidRPr="00754F6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6FE2AFE9">
                <wp:simplePos x="0" y="0"/>
                <wp:positionH relativeFrom="page">
                  <wp:posOffset>5649264</wp:posOffset>
                </wp:positionH>
                <wp:positionV relativeFrom="paragraph">
                  <wp:posOffset>8255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45A82144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budowę wydano pozwolenia lub dokonano zgłoszenia </w:t>
                            </w:r>
                            <w:r w:rsidRPr="00B453BB">
                              <w:br/>
                              <w:t>z projektem budowlanym, spadła w okresie I-VI</w:t>
                            </w:r>
                            <w:r w:rsidR="00754ABB">
                              <w:t>I</w:t>
                            </w:r>
                            <w:r w:rsidR="00641AB4">
                              <w:t>I</w:t>
                            </w:r>
                            <w:r w:rsidR="00754ABB">
                              <w:t xml:space="preserve"> 2020 r. o 4</w:t>
                            </w:r>
                            <w:r w:rsidR="00641AB4">
                              <w:t>,6</w:t>
                            </w:r>
                            <w:r w:rsidRPr="00B453BB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1" type="#_x0000_t202" style="position:absolute;margin-left:444.8pt;margin-top:.6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" filled="f" stroked="f" strokeweight=".5pt">
                <v:textbox>
                  <w:txbxContent>
                    <w:p w14:paraId="3ADE06C3" w14:textId="45A82144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budowę wydano pozwolenia lub dokonano zgłoszenia </w:t>
                      </w:r>
                      <w:r w:rsidRPr="00B453BB">
                        <w:br/>
                        <w:t>z projektem budowlanym, spadła w okresie I-VI</w:t>
                      </w:r>
                      <w:r w:rsidR="00754ABB">
                        <w:t>I</w:t>
                      </w:r>
                      <w:r w:rsidR="00641AB4">
                        <w:t>I</w:t>
                      </w:r>
                      <w:r w:rsidR="00754ABB">
                        <w:t xml:space="preserve"> 2020 r. o 4</w:t>
                      </w:r>
                      <w:r w:rsidR="00641AB4">
                        <w:t>,6</w:t>
                      </w:r>
                      <w:r w:rsidRPr="00B453BB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53BB" w:rsidRPr="00B453BB">
        <w:rPr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 xml:space="preserve">W pierwszych </w:t>
      </w:r>
      <w:r w:rsidR="00784CBD">
        <w:rPr>
          <w:shd w:val="clear" w:color="auto" w:fill="FFFFFF"/>
        </w:rPr>
        <w:t>ośmiu</w:t>
      </w:r>
      <w:r w:rsidR="00B453BB" w:rsidRPr="00ED2F2D">
        <w:rPr>
          <w:shd w:val="clear" w:color="auto" w:fill="FFFFFF"/>
        </w:rPr>
        <w:t xml:space="preserve"> miesiącach 2020 r. wydano pozwolenia lub dokonano zgłoszenia budowy </w:t>
      </w:r>
      <w:r w:rsidR="00784CBD">
        <w:rPr>
          <w:shd w:val="clear" w:color="auto" w:fill="FFFFFF"/>
        </w:rPr>
        <w:t>168,3</w:t>
      </w:r>
      <w:r w:rsidR="00B453BB" w:rsidRPr="00ED2F2D">
        <w:rPr>
          <w:shd w:val="clear" w:color="auto" w:fill="FFFFFF"/>
        </w:rPr>
        <w:t xml:space="preserve"> tys. mieszkań, tj. o </w:t>
      </w:r>
      <w:r w:rsidR="00F76410">
        <w:rPr>
          <w:shd w:val="clear" w:color="auto" w:fill="FFFFFF"/>
        </w:rPr>
        <w:t>4</w:t>
      </w:r>
      <w:r w:rsidR="00036C4D">
        <w:rPr>
          <w:shd w:val="clear" w:color="auto" w:fill="FFFFFF"/>
        </w:rPr>
        <w:t>,6</w:t>
      </w:r>
      <w:r w:rsidR="00B453BB" w:rsidRPr="00ED2F2D">
        <w:rPr>
          <w:shd w:val="clear" w:color="auto" w:fill="FFFFFF"/>
        </w:rPr>
        <w:t xml:space="preserve">% </w:t>
      </w:r>
      <w:r w:rsidR="00B453BB">
        <w:rPr>
          <w:shd w:val="clear" w:color="auto" w:fill="FFFFFF"/>
        </w:rPr>
        <w:t>mniej</w:t>
      </w:r>
      <w:r w:rsidR="00B453BB" w:rsidRPr="00ED2F2D">
        <w:rPr>
          <w:shd w:val="clear" w:color="auto" w:fill="FFFFFF"/>
        </w:rPr>
        <w:t xml:space="preserve"> niż w analogicznym okresie roku 2019. Pozwolenia na budowę największej liczby mieszkań otrzymali </w:t>
      </w:r>
      <w:r w:rsidR="00B453BB" w:rsidRPr="00ED2F2D">
        <w:rPr>
          <w:b/>
          <w:shd w:val="clear" w:color="auto" w:fill="FFFFFF"/>
        </w:rPr>
        <w:t xml:space="preserve">deweloperzy </w:t>
      </w:r>
      <w:r w:rsidR="00B453BB" w:rsidRPr="00ED2F2D">
        <w:rPr>
          <w:shd w:val="clear" w:color="auto" w:fill="FFFFFF"/>
        </w:rPr>
        <w:t>(</w:t>
      </w:r>
      <w:r w:rsidR="00036C4D">
        <w:rPr>
          <w:shd w:val="clear" w:color="auto" w:fill="FFFFFF"/>
        </w:rPr>
        <w:t>100</w:t>
      </w:r>
      <w:r w:rsidR="00F76410">
        <w:rPr>
          <w:shd w:val="clear" w:color="auto" w:fill="FFFFFF"/>
        </w:rPr>
        <w:t>,</w:t>
      </w:r>
      <w:r w:rsidR="00036C4D">
        <w:rPr>
          <w:shd w:val="clear" w:color="auto" w:fill="FFFFFF"/>
        </w:rPr>
        <w:t>6</w:t>
      </w:r>
      <w:r w:rsidR="00B453BB" w:rsidRPr="00ED2F2D">
        <w:rPr>
          <w:shd w:val="clear" w:color="auto" w:fill="FFFFFF"/>
        </w:rPr>
        <w:t xml:space="preserve"> tys.) oraz inwestorzy</w:t>
      </w:r>
      <w:r w:rsidR="00B453BB" w:rsidRPr="00ED2F2D">
        <w:rPr>
          <w:b/>
          <w:shd w:val="clear" w:color="auto" w:fill="FFFFFF"/>
        </w:rPr>
        <w:t xml:space="preserve"> indywidualni </w:t>
      </w:r>
      <w:r w:rsidR="00B453BB" w:rsidRPr="00ED2F2D">
        <w:rPr>
          <w:shd w:val="clear" w:color="auto" w:fill="FFFFFF"/>
        </w:rPr>
        <w:t>(</w:t>
      </w:r>
      <w:r w:rsidR="00036C4D">
        <w:rPr>
          <w:shd w:val="clear" w:color="auto" w:fill="FFFFFF"/>
        </w:rPr>
        <w:t>65,6</w:t>
      </w:r>
      <w:r w:rsidR="00B453BB">
        <w:rPr>
          <w:shd w:val="clear" w:color="auto" w:fill="FFFFFF"/>
        </w:rPr>
        <w:t> </w:t>
      </w:r>
      <w:r w:rsidR="00B453BB" w:rsidRPr="00ED2F2D">
        <w:rPr>
          <w:shd w:val="clear" w:color="auto" w:fill="FFFFFF"/>
        </w:rPr>
        <w:t xml:space="preserve">tys.), </w:t>
      </w:r>
      <w:r w:rsidR="00B453BB">
        <w:rPr>
          <w:shd w:val="clear" w:color="auto" w:fill="FFFFFF"/>
        </w:rPr>
        <w:t xml:space="preserve">którzy względem ubiegłego roku odnotowali spadek </w:t>
      </w:r>
      <w:r w:rsidR="00B453BB" w:rsidRPr="00ED2F2D">
        <w:rPr>
          <w:shd w:val="clear" w:color="auto" w:fill="FFFFFF"/>
        </w:rPr>
        <w:t>odpowiednio</w:t>
      </w:r>
      <w:r w:rsidR="00036C4D">
        <w:rPr>
          <w:shd w:val="clear" w:color="auto" w:fill="FFFFFF"/>
        </w:rPr>
        <w:t xml:space="preserve"> o 5,7</w:t>
      </w:r>
      <w:r w:rsidR="00B453BB" w:rsidRPr="00ED2F2D">
        <w:rPr>
          <w:shd w:val="clear" w:color="auto" w:fill="FFFFFF"/>
        </w:rPr>
        <w:t xml:space="preserve">% </w:t>
      </w:r>
      <w:r w:rsidR="00036C4D">
        <w:rPr>
          <w:shd w:val="clear" w:color="auto" w:fill="FFFFFF"/>
        </w:rPr>
        <w:t>i 1,7</w:t>
      </w:r>
      <w:r w:rsidR="00B453BB" w:rsidRPr="00ED2F2D">
        <w:rPr>
          <w:shd w:val="clear" w:color="auto" w:fill="FFFFFF"/>
        </w:rPr>
        <w:t>%.</w:t>
      </w:r>
      <w:r w:rsidR="00B453BB" w:rsidRPr="00ED2F2D">
        <w:rPr>
          <w:b/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>Łącznie w ramach tych form budownictwa otrzymano pozwolenia lub dokonano zgłoszenia budo</w:t>
      </w:r>
      <w:r w:rsidR="00F76410">
        <w:rPr>
          <w:shd w:val="clear" w:color="auto" w:fill="FFFFFF"/>
        </w:rPr>
        <w:t>wy z projektem budowlanym dla 98</w:t>
      </w:r>
      <w:r w:rsidR="00B453BB" w:rsidRPr="00ED2F2D">
        <w:rPr>
          <w:shd w:val="clear" w:color="auto" w:fill="FFFFFF"/>
        </w:rPr>
        <w:t>,</w:t>
      </w:r>
      <w:r w:rsidR="00036C4D">
        <w:rPr>
          <w:shd w:val="clear" w:color="auto" w:fill="FFFFFF"/>
        </w:rPr>
        <w:t>7</w:t>
      </w:r>
      <w:r w:rsidR="00B453BB" w:rsidRPr="00ED2F2D">
        <w:rPr>
          <w:shd w:val="clear" w:color="auto" w:fill="FFFFFF"/>
        </w:rPr>
        <w:t>% ogółu mieszkań.</w:t>
      </w:r>
      <w:r w:rsidR="00B453BB" w:rsidRPr="00ED2F2D">
        <w:rPr>
          <w:b/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>Mniej niż w analogicznym okresie 2019 r. odnotowano mie</w:t>
      </w:r>
      <w:r w:rsidR="00B453BB">
        <w:rPr>
          <w:shd w:val="clear" w:color="auto" w:fill="FFFFFF"/>
        </w:rPr>
        <w:t xml:space="preserve">szkań, na których budowę wydano </w:t>
      </w:r>
      <w:r w:rsidR="00B453BB" w:rsidRPr="00ED2F2D">
        <w:rPr>
          <w:shd w:val="clear" w:color="auto" w:fill="FFFFFF"/>
        </w:rPr>
        <w:t>pozwolenia lub dokonano zgłoszenia z projektem budowlanym</w:t>
      </w:r>
      <w:r w:rsidR="00B453BB">
        <w:rPr>
          <w:shd w:val="clear" w:color="auto" w:fill="FFFFFF"/>
        </w:rPr>
        <w:t>,</w:t>
      </w:r>
      <w:r w:rsidR="00B453BB" w:rsidRPr="00ED2F2D">
        <w:rPr>
          <w:shd w:val="clear" w:color="auto" w:fill="FFFFFF"/>
        </w:rPr>
        <w:t xml:space="preserve"> w budownictwie</w:t>
      </w:r>
      <w:r w:rsidR="00B453BB" w:rsidRPr="00ED2F2D">
        <w:rPr>
          <w:b/>
          <w:shd w:val="clear" w:color="auto" w:fill="FFFFFF"/>
        </w:rPr>
        <w:t xml:space="preserve"> spółdzielczym </w:t>
      </w:r>
      <w:r w:rsidR="00B453BB" w:rsidRPr="00ED2F2D">
        <w:rPr>
          <w:shd w:val="clear" w:color="auto" w:fill="FFFFFF"/>
        </w:rPr>
        <w:t>(</w:t>
      </w:r>
      <w:r w:rsidR="00001B1B">
        <w:rPr>
          <w:shd w:val="clear" w:color="auto" w:fill="FFFFFF"/>
        </w:rPr>
        <w:t>1</w:t>
      </w:r>
      <w:r w:rsidR="00F5261C">
        <w:rPr>
          <w:shd w:val="clear" w:color="auto" w:fill="FFFFFF"/>
        </w:rPr>
        <w:t xml:space="preserve"> 094</w:t>
      </w:r>
      <w:r w:rsidR="00001B1B">
        <w:rPr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>mieszka</w:t>
      </w:r>
      <w:r w:rsidR="00F5261C">
        <w:rPr>
          <w:shd w:val="clear" w:color="auto" w:fill="FFFFFF"/>
        </w:rPr>
        <w:t>ń</w:t>
      </w:r>
      <w:r w:rsidR="00B453BB" w:rsidRPr="00ED2F2D">
        <w:rPr>
          <w:shd w:val="clear" w:color="auto" w:fill="FFFFFF"/>
        </w:rPr>
        <w:t xml:space="preserve"> wobec</w:t>
      </w:r>
      <w:r w:rsidR="00F5261C">
        <w:rPr>
          <w:shd w:val="clear" w:color="auto" w:fill="FFFFFF"/>
        </w:rPr>
        <w:t xml:space="preserve"> 1 159</w:t>
      </w:r>
      <w:r w:rsidR="00B453BB" w:rsidRPr="00ED2F2D">
        <w:rPr>
          <w:shd w:val="clear" w:color="auto" w:fill="FFFFFF"/>
        </w:rPr>
        <w:t>) oraz w</w:t>
      </w:r>
      <w:r w:rsidR="00B453BB" w:rsidRPr="00ED2F2D">
        <w:rPr>
          <w:b/>
          <w:shd w:val="clear" w:color="auto" w:fill="FFFFFF"/>
        </w:rPr>
        <w:t xml:space="preserve"> pozostałych formach </w:t>
      </w:r>
      <w:r w:rsidR="00B453BB" w:rsidRPr="00ED2F2D">
        <w:rPr>
          <w:shd w:val="clear" w:color="auto" w:fill="FFFFFF"/>
        </w:rPr>
        <w:t>budownictwa (</w:t>
      </w:r>
      <w:r w:rsidR="00F5261C">
        <w:rPr>
          <w:shd w:val="clear" w:color="auto" w:fill="FFFFFF"/>
        </w:rPr>
        <w:t>1 026</w:t>
      </w:r>
      <w:r w:rsidR="00B453BB" w:rsidRPr="00ED2F2D">
        <w:rPr>
          <w:shd w:val="clear" w:color="auto" w:fill="FFFFFF"/>
        </w:rPr>
        <w:t xml:space="preserve"> wobec </w:t>
      </w:r>
      <w:r w:rsidR="00F5261C">
        <w:rPr>
          <w:shd w:val="clear" w:color="auto" w:fill="FFFFFF"/>
        </w:rPr>
        <w:t>1 811</w:t>
      </w:r>
      <w:r w:rsidR="00B453BB">
        <w:rPr>
          <w:shd w:val="clear" w:color="auto" w:fill="FFFFFF"/>
        </w:rPr>
        <w:t>)</w:t>
      </w:r>
      <w:r w:rsidR="00A52737" w:rsidRPr="00ED2F2D">
        <w:rPr>
          <w:shd w:val="clear" w:color="auto" w:fill="FFFFFF"/>
        </w:rPr>
        <w:t>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203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1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86879" w:rsidRPr="00754F6C" w14:paraId="1C2BCE13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41814597" w:rsidR="00C86879" w:rsidRPr="00754F6C" w:rsidRDefault="00C6451F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976CEE">
              <w:rPr>
                <w:color w:val="000000" w:themeColor="text1"/>
                <w:sz w:val="16"/>
                <w:szCs w:val="16"/>
              </w:rPr>
              <w:t>I</w:t>
            </w:r>
            <w:r w:rsidR="001D2A3B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1B475F9D" w14:textId="175786C1" w:rsidR="00C86879" w:rsidRPr="00754F6C" w:rsidRDefault="00C86879" w:rsidP="00C6451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C6451F"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976CEE">
              <w:rPr>
                <w:color w:val="000000" w:themeColor="text1"/>
                <w:sz w:val="16"/>
                <w:szCs w:val="16"/>
              </w:rPr>
              <w:t>I</w:t>
            </w:r>
            <w:r w:rsidR="001D2A3B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521799" w:rsidRPr="00521799" w14:paraId="3A8FADC8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3D42D2D3" w:rsidR="00C86879" w:rsidRPr="00521799" w:rsidRDefault="005C3B28" w:rsidP="001155F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="001155F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miesz</w:t>
            </w:r>
            <w:r w:rsidR="00C86879" w:rsidRPr="00521799">
              <w:rPr>
                <w:sz w:val="16"/>
                <w:szCs w:val="16"/>
              </w:rPr>
              <w:t>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13D945E0" w:rsidR="00C86879" w:rsidRPr="00521799" w:rsidRDefault="00C6451F" w:rsidP="007460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B453BB">
              <w:rPr>
                <w:sz w:val="16"/>
                <w:szCs w:val="16"/>
              </w:rPr>
              <w:t>I</w:t>
            </w:r>
            <w:r w:rsidR="00976CEE">
              <w:rPr>
                <w:sz w:val="16"/>
                <w:szCs w:val="16"/>
              </w:rPr>
              <w:t>I</w:t>
            </w:r>
            <w:r w:rsidR="001D2A3B">
              <w:rPr>
                <w:sz w:val="16"/>
                <w:szCs w:val="16"/>
              </w:rPr>
              <w:t>I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="00C86879"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62B0F852" w14:textId="115A58DA" w:rsidR="00C86879" w:rsidRPr="00521799" w:rsidRDefault="00EA5809" w:rsidP="00D335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976CEE">
              <w:rPr>
                <w:sz w:val="16"/>
                <w:szCs w:val="16"/>
              </w:rPr>
              <w:t>I</w:t>
            </w:r>
            <w:r w:rsidR="001D2A3B">
              <w:rPr>
                <w:sz w:val="16"/>
                <w:szCs w:val="16"/>
              </w:rPr>
              <w:t>I</w:t>
            </w:r>
            <w:r w:rsidR="00D33532">
              <w:rPr>
                <w:sz w:val="16"/>
                <w:szCs w:val="16"/>
              </w:rPr>
              <w:t xml:space="preserve"> </w:t>
            </w:r>
            <w:r w:rsidR="00C71109" w:rsidRPr="00521799">
              <w:rPr>
                <w:sz w:val="16"/>
                <w:szCs w:val="16"/>
              </w:rPr>
              <w:t>2020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3" w:type="dxa"/>
            <w:tcBorders>
              <w:bottom w:val="single" w:sz="12" w:space="0" w:color="212492"/>
            </w:tcBorders>
            <w:vAlign w:val="center"/>
          </w:tcPr>
          <w:p w14:paraId="3A334778" w14:textId="3E64A491" w:rsidR="00C86879" w:rsidRPr="00521799" w:rsidRDefault="00C86879" w:rsidP="00FE469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 xml:space="preserve">Liczba </w:t>
            </w:r>
            <w:r w:rsidR="001155FF">
              <w:rPr>
                <w:sz w:val="16"/>
                <w:szCs w:val="16"/>
              </w:rPr>
              <w:br/>
            </w:r>
            <w:r w:rsidRPr="00521799">
              <w:rPr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520F58B1" w:rsidR="00C86879" w:rsidRPr="00521799" w:rsidRDefault="00C86879" w:rsidP="00C6451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I-</w:t>
            </w:r>
            <w:r w:rsidR="00C6451F">
              <w:rPr>
                <w:sz w:val="16"/>
                <w:szCs w:val="16"/>
              </w:rPr>
              <w:t>V</w:t>
            </w:r>
            <w:r w:rsidR="00B453BB">
              <w:rPr>
                <w:sz w:val="16"/>
                <w:szCs w:val="16"/>
              </w:rPr>
              <w:t>I</w:t>
            </w:r>
            <w:r w:rsidR="00976CEE">
              <w:rPr>
                <w:sz w:val="16"/>
                <w:szCs w:val="16"/>
              </w:rPr>
              <w:t>I</w:t>
            </w:r>
            <w:r w:rsidR="001D2A3B">
              <w:rPr>
                <w:sz w:val="16"/>
                <w:szCs w:val="16"/>
              </w:rPr>
              <w:t>I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Pr="00521799">
              <w:rPr>
                <w:sz w:val="16"/>
                <w:szCs w:val="16"/>
              </w:rPr>
              <w:t>=100</w:t>
            </w:r>
          </w:p>
        </w:tc>
      </w:tr>
      <w:tr w:rsidR="00B453BB" w:rsidRPr="00521799" w14:paraId="10D5D20C" w14:textId="77777777" w:rsidTr="002F5D62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7F800DAA" w:rsidR="00B453BB" w:rsidRPr="00521799" w:rsidRDefault="00F5261C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21 252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72E7E35A" w:rsidR="00B453BB" w:rsidRPr="00521799" w:rsidRDefault="00F5261C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94,7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5CB77A89" w14:textId="692CF52C" w:rsidR="00B453BB" w:rsidRPr="00521799" w:rsidRDefault="0052296C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86,1</w:t>
            </w:r>
          </w:p>
        </w:tc>
        <w:tc>
          <w:tcPr>
            <w:tcW w:w="1203" w:type="dxa"/>
            <w:tcBorders>
              <w:top w:val="single" w:sz="12" w:space="0" w:color="212492"/>
            </w:tcBorders>
            <w:vAlign w:val="center"/>
          </w:tcPr>
          <w:p w14:paraId="05E4D09C" w14:textId="18A1D0FF" w:rsidR="00B453BB" w:rsidRPr="00521799" w:rsidRDefault="0052296C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168 254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3078D2AC" w:rsidR="00B453BB" w:rsidRPr="00521799" w:rsidRDefault="004E526D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95,4</w:t>
            </w:r>
          </w:p>
        </w:tc>
      </w:tr>
      <w:tr w:rsidR="00B453BB" w:rsidRPr="00521799" w14:paraId="44AA729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0350DB0E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8 556</w:t>
            </w:r>
          </w:p>
        </w:tc>
        <w:tc>
          <w:tcPr>
            <w:tcW w:w="1206" w:type="dxa"/>
            <w:vAlign w:val="center"/>
          </w:tcPr>
          <w:p w14:paraId="689BF15E" w14:textId="29715538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1209" w:type="dxa"/>
            <w:vAlign w:val="center"/>
          </w:tcPr>
          <w:p w14:paraId="41878DFF" w14:textId="6751D63D" w:rsidR="00B453BB" w:rsidRPr="00521799" w:rsidRDefault="0052296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84,3</w:t>
            </w:r>
          </w:p>
        </w:tc>
        <w:tc>
          <w:tcPr>
            <w:tcW w:w="1203" w:type="dxa"/>
            <w:vAlign w:val="center"/>
          </w:tcPr>
          <w:p w14:paraId="085F4A3B" w14:textId="0C5534C4" w:rsidR="00B453BB" w:rsidRPr="00521799" w:rsidRDefault="0052296C" w:rsidP="00B453BB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65 557</w:t>
            </w:r>
          </w:p>
        </w:tc>
        <w:tc>
          <w:tcPr>
            <w:tcW w:w="1207" w:type="dxa"/>
            <w:vAlign w:val="center"/>
          </w:tcPr>
          <w:p w14:paraId="4AAF5DB3" w14:textId="1F83F4F8" w:rsidR="00B453BB" w:rsidRPr="00521799" w:rsidRDefault="004E526D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</w:tr>
      <w:tr w:rsidR="00B453BB" w:rsidRPr="00521799" w14:paraId="2C99A200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59FA1D02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5459E4F3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12 280</w:t>
            </w:r>
          </w:p>
        </w:tc>
        <w:tc>
          <w:tcPr>
            <w:tcW w:w="1206" w:type="dxa"/>
            <w:vAlign w:val="center"/>
          </w:tcPr>
          <w:p w14:paraId="56733003" w14:textId="356F3147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88,3</w:t>
            </w:r>
          </w:p>
        </w:tc>
        <w:tc>
          <w:tcPr>
            <w:tcW w:w="1209" w:type="dxa"/>
            <w:vAlign w:val="center"/>
          </w:tcPr>
          <w:p w14:paraId="1C05D6B5" w14:textId="6FD99A29" w:rsidR="00B453BB" w:rsidRPr="00521799" w:rsidRDefault="0052296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87,3</w:t>
            </w:r>
          </w:p>
        </w:tc>
        <w:tc>
          <w:tcPr>
            <w:tcW w:w="1203" w:type="dxa"/>
            <w:vAlign w:val="center"/>
          </w:tcPr>
          <w:p w14:paraId="270A9BA6" w14:textId="1BAFD403" w:rsidR="00B453BB" w:rsidRPr="00521799" w:rsidRDefault="0052296C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100 577</w:t>
            </w:r>
          </w:p>
        </w:tc>
        <w:tc>
          <w:tcPr>
            <w:tcW w:w="1207" w:type="dxa"/>
            <w:vAlign w:val="center"/>
          </w:tcPr>
          <w:p w14:paraId="5D01E421" w14:textId="1D729A2C" w:rsidR="00B453BB" w:rsidRPr="00521799" w:rsidRDefault="004E526D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94,3</w:t>
            </w:r>
          </w:p>
        </w:tc>
      </w:tr>
      <w:tr w:rsidR="00B453BB" w:rsidRPr="00521799" w14:paraId="49A34C91" w14:textId="77777777" w:rsidTr="002F5D62">
        <w:trPr>
          <w:trHeight w:val="548"/>
        </w:trPr>
        <w:tc>
          <w:tcPr>
            <w:tcW w:w="2049" w:type="dxa"/>
            <w:vAlign w:val="center"/>
          </w:tcPr>
          <w:p w14:paraId="1CE8B5F1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0180D6DB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306</w:t>
            </w:r>
          </w:p>
        </w:tc>
        <w:tc>
          <w:tcPr>
            <w:tcW w:w="1206" w:type="dxa"/>
            <w:vAlign w:val="center"/>
          </w:tcPr>
          <w:p w14:paraId="456C109F" w14:textId="0A7971BC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133,0</w:t>
            </w:r>
          </w:p>
        </w:tc>
        <w:tc>
          <w:tcPr>
            <w:tcW w:w="1209" w:type="dxa"/>
            <w:vAlign w:val="center"/>
          </w:tcPr>
          <w:p w14:paraId="5DC67C7A" w14:textId="26907185" w:rsidR="00B453BB" w:rsidRPr="00521799" w:rsidRDefault="0052296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1203" w:type="dxa"/>
            <w:vAlign w:val="center"/>
          </w:tcPr>
          <w:p w14:paraId="22A2308F" w14:textId="5860151A" w:rsidR="00B453BB" w:rsidRPr="00521799" w:rsidRDefault="0052296C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</w:t>
            </w:r>
            <w:r w:rsidR="007A5C5A">
              <w:rPr>
                <w:rFonts w:ascii="Fira Sans" w:hAnsi="Fira Sans"/>
                <w:color w:val="auto"/>
                <w:sz w:val="16"/>
                <w:szCs w:val="16"/>
              </w:rPr>
              <w:t xml:space="preserve"> </w:t>
            </w:r>
            <w:bookmarkStart w:id="2" w:name="_GoBack"/>
            <w:bookmarkEnd w:id="2"/>
            <w:r>
              <w:rPr>
                <w:rFonts w:ascii="Fira Sans" w:hAnsi="Fira Sans"/>
                <w:color w:val="auto"/>
                <w:sz w:val="16"/>
                <w:szCs w:val="16"/>
              </w:rPr>
              <w:t>094</w:t>
            </w:r>
          </w:p>
        </w:tc>
        <w:tc>
          <w:tcPr>
            <w:tcW w:w="1207" w:type="dxa"/>
            <w:vAlign w:val="center"/>
          </w:tcPr>
          <w:p w14:paraId="432DA86E" w14:textId="71E68765" w:rsidR="00B453BB" w:rsidRPr="00521799" w:rsidRDefault="004E526D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94,4</w:t>
            </w:r>
          </w:p>
        </w:tc>
      </w:tr>
      <w:tr w:rsidR="00B453BB" w:rsidRPr="00521799" w14:paraId="19B3C5E9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340B0FF8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206" w:type="dxa"/>
            <w:vAlign w:val="center"/>
          </w:tcPr>
          <w:p w14:paraId="5D0D29F7" w14:textId="7B12398A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5D0FDF31" w14:textId="0CE8D810" w:rsidR="00B453BB" w:rsidRPr="00521799" w:rsidRDefault="0052296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318,5</w:t>
            </w:r>
          </w:p>
        </w:tc>
        <w:tc>
          <w:tcPr>
            <w:tcW w:w="1203" w:type="dxa"/>
            <w:vAlign w:val="center"/>
          </w:tcPr>
          <w:p w14:paraId="44F23B4F" w14:textId="41CD2A55" w:rsidR="00B453BB" w:rsidRPr="00521799" w:rsidRDefault="0052296C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</w:t>
            </w:r>
          </w:p>
        </w:tc>
        <w:tc>
          <w:tcPr>
            <w:tcW w:w="1207" w:type="dxa"/>
            <w:vAlign w:val="center"/>
          </w:tcPr>
          <w:p w14:paraId="1BDA1DBE" w14:textId="77FC5482" w:rsidR="00B453BB" w:rsidRPr="00521799" w:rsidRDefault="004E526D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58,7</w:t>
            </w:r>
          </w:p>
        </w:tc>
      </w:tr>
      <w:tr w:rsidR="00B453BB" w:rsidRPr="00521799" w14:paraId="6465CF57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20BC44DA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1CDAEB2D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206" w:type="dxa"/>
            <w:vAlign w:val="center"/>
          </w:tcPr>
          <w:p w14:paraId="27446382" w14:textId="784FCA9E" w:rsidR="00B453BB" w:rsidRPr="00521799" w:rsidRDefault="00F5261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42,9</w:t>
            </w:r>
          </w:p>
        </w:tc>
        <w:tc>
          <w:tcPr>
            <w:tcW w:w="1209" w:type="dxa"/>
            <w:vAlign w:val="center"/>
          </w:tcPr>
          <w:p w14:paraId="05AA3A16" w14:textId="5DBF0AA2" w:rsidR="00B453BB" w:rsidRPr="00521799" w:rsidRDefault="0052296C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1203" w:type="dxa"/>
            <w:vAlign w:val="center"/>
          </w:tcPr>
          <w:p w14:paraId="6E8318E2" w14:textId="36A7C9D6" w:rsidR="00B453BB" w:rsidRPr="00521799" w:rsidRDefault="0052296C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07" w:type="dxa"/>
            <w:vAlign w:val="center"/>
          </w:tcPr>
          <w:p w14:paraId="365E8D77" w14:textId="70E3EC6F" w:rsidR="00B453BB" w:rsidRPr="00521799" w:rsidRDefault="004E526D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74,8</w:t>
            </w:r>
          </w:p>
        </w:tc>
      </w:tr>
      <w:tr w:rsidR="00B453BB" w:rsidRPr="00521799" w14:paraId="31B4DC4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0DC075D3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7EF710A" w14:textId="3E8EEB3C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47D063A0" w14:textId="260A4485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208AC68C" w14:textId="7E0F28D1" w:rsidR="00B453BB" w:rsidRPr="00521799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06EF9F09" w14:textId="579CCD4D" w:rsidR="00B453BB" w:rsidRPr="00521799" w:rsidRDefault="004E526D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</w:tr>
      <w:bookmarkEnd w:id="1"/>
    </w:tbl>
    <w:p w14:paraId="02F138BE" w14:textId="77777777" w:rsidR="00CD72FF" w:rsidRDefault="00CD72FF" w:rsidP="009A6B72">
      <w:pPr>
        <w:rPr>
          <w:rFonts w:ascii="Fira Sans SemiBold" w:hAnsi="Fira Sans SemiBold"/>
          <w:color w:val="001D77"/>
          <w:szCs w:val="19"/>
        </w:rPr>
      </w:pPr>
    </w:p>
    <w:p w14:paraId="0B11E56C" w14:textId="77777777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406C13E8" w:rsidR="002B6B8F" w:rsidRPr="002B6B8F" w:rsidRDefault="002B6B8F" w:rsidP="002B6B8F">
      <w:pPr>
        <w:spacing w:before="240"/>
        <w:rPr>
          <w:shd w:val="clear" w:color="auto" w:fill="FFFFFF"/>
        </w:rPr>
      </w:pPr>
      <w:r w:rsidRPr="002B6B8F">
        <w:rPr>
          <w:noProof/>
          <w:lang w:eastAsia="pl-PL"/>
        </w:rPr>
        <w:t>W okresie styczeń-</w:t>
      </w:r>
      <w:r w:rsidR="000739E1">
        <w:rPr>
          <w:noProof/>
          <w:lang w:eastAsia="pl-PL"/>
        </w:rPr>
        <w:t>sierpień</w:t>
      </w:r>
      <w:r w:rsidRPr="002B6B8F">
        <w:rPr>
          <w:noProof/>
          <w:lang w:eastAsia="pl-PL"/>
        </w:rPr>
        <w:t xml:space="preserve"> 2020 r. rozpoczęto budowę 141,1</w:t>
      </w:r>
      <w:r w:rsidRPr="002B6B8F">
        <w:rPr>
          <w:shd w:val="clear" w:color="auto" w:fill="FFFFFF"/>
        </w:rPr>
        <w:t xml:space="preserve"> tys. mieszkań, tj. o 10,0% mniej niż w analogicznym okresie roku 2019. </w:t>
      </w:r>
      <w:r w:rsidRPr="002B6B8F">
        <w:rPr>
          <w:b/>
          <w:shd w:val="clear" w:color="auto" w:fill="FFFFFF"/>
        </w:rPr>
        <w:t>Deweloperzy</w:t>
      </w:r>
      <w:r w:rsidRPr="002B6B8F">
        <w:rPr>
          <w:shd w:val="clear" w:color="auto" w:fill="FFFFFF"/>
        </w:rPr>
        <w:t xml:space="preserve"> rozpoczęli budowę 76,8 tys. mieszkań (</w:t>
      </w:r>
      <w:r w:rsidRPr="002B6B8F">
        <w:t>o 14,4</w:t>
      </w:r>
      <w:r w:rsidRPr="002B6B8F">
        <w:rPr>
          <w:shd w:val="clear" w:color="auto" w:fill="FFFFFF"/>
        </w:rPr>
        <w:t>% mniej niż w 2019 roku), a inwestorzy</w:t>
      </w:r>
      <w:r w:rsidRPr="002B6B8F">
        <w:rPr>
          <w:b/>
          <w:shd w:val="clear" w:color="auto" w:fill="FFFFFF"/>
        </w:rPr>
        <w:t xml:space="preserve"> indywidualni</w:t>
      </w:r>
      <w:r w:rsidRPr="002B6B8F">
        <w:rPr>
          <w:shd w:val="clear" w:color="auto" w:fill="FFFFFF"/>
        </w:rPr>
        <w:t xml:space="preserve"> 61,9</w:t>
      </w:r>
      <w:r w:rsidR="00AF46FC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>tys. (spadek o 3,3% r/r), czyli łącznie 98,3% ogólnej liczby mieszkań. Mniej mieszkań, których budowę rozpoczęto, zaobserwowano w budownictwie</w:t>
      </w:r>
      <w:r w:rsidRPr="002B6B8F">
        <w:rPr>
          <w:b/>
          <w:shd w:val="clear" w:color="auto" w:fill="FFFFFF"/>
        </w:rPr>
        <w:t xml:space="preserve"> spółdzielczym </w:t>
      </w:r>
      <w:r w:rsidRPr="002B6B8F">
        <w:rPr>
          <w:shd w:val="clear" w:color="auto" w:fill="FFFFFF"/>
        </w:rPr>
        <w:t>(1 266 mieszkań wobec 1 292) oraz w </w:t>
      </w:r>
      <w:r w:rsidRPr="002B6B8F">
        <w:rPr>
          <w:b/>
          <w:shd w:val="clear" w:color="auto" w:fill="FFFFFF"/>
        </w:rPr>
        <w:t xml:space="preserve">pozostałych formach </w:t>
      </w:r>
      <w:r w:rsidRPr="002B6B8F">
        <w:rPr>
          <w:shd w:val="clear" w:color="auto" w:fill="FFFFFF"/>
        </w:rPr>
        <w:t>budownictwa</w:t>
      </w:r>
      <w:r w:rsidRPr="002B6B8F">
        <w:rPr>
          <w:b/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>(1 141 wobec 1 874).</w:t>
      </w:r>
    </w:p>
    <w:p w14:paraId="2523F3F1" w14:textId="1A9176D9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3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71109" w:rsidRPr="00754F6C" w14:paraId="02C2647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15E97A09" w:rsidR="00C71109" w:rsidRPr="00754F6C" w:rsidRDefault="00BD5AF0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  <w:r w:rsidR="00854A3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7F588A66" w14:textId="38FB6258" w:rsidR="00C71109" w:rsidRPr="00754F6C" w:rsidRDefault="00D26001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D5AF0"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  <w:r w:rsidR="00854A3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C71109" w:rsidRPr="00754F6C" w14:paraId="2A2A02D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479ECD0E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1EF890DA" w:rsidR="00C71109" w:rsidRPr="00754F6C" w:rsidRDefault="00BD5AF0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  <w:r w:rsidR="00854A38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70AF5229" w14:textId="40D9CE97" w:rsidR="00C71109" w:rsidRPr="00754F6C" w:rsidRDefault="00D26001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  <w:r w:rsidR="00854A38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10EFDD58" w14:textId="15DC9A64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F397429" w14:textId="7ED7570F" w:rsidR="00C71109" w:rsidRPr="00754F6C" w:rsidRDefault="00D26001" w:rsidP="00BD5AF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D5AF0"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242C2">
              <w:rPr>
                <w:color w:val="000000" w:themeColor="text1"/>
                <w:sz w:val="16"/>
                <w:szCs w:val="16"/>
              </w:rPr>
              <w:t>I</w:t>
            </w:r>
            <w:r w:rsidR="00854A38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2B6B8F" w:rsidRPr="00754F6C" w14:paraId="62074995" w14:textId="77777777" w:rsidTr="000F39D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2B6B8F" w:rsidRPr="00754F6C" w:rsidRDefault="002B6B8F" w:rsidP="002B6B8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74893384" w:rsidR="002B6B8F" w:rsidRPr="00754F6C" w:rsidRDefault="002B6B8F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19 460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2A144E67" w:rsidR="002B6B8F" w:rsidRPr="00754F6C" w:rsidRDefault="002B6B8F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E8DEAFD" w14:textId="5D537FD5" w:rsidR="002B6B8F" w:rsidRPr="00754F6C" w:rsidRDefault="002B6B8F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357CD6E9" w14:textId="4EFEFA73" w:rsidR="002B6B8F" w:rsidRPr="00754F6C" w:rsidRDefault="002B6B8F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141 115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14D6ACF" w14:textId="3986AC75" w:rsidR="002B6B8F" w:rsidRPr="00754F6C" w:rsidRDefault="002B6B8F" w:rsidP="002B6B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90,0</w:t>
            </w:r>
          </w:p>
        </w:tc>
      </w:tr>
      <w:tr w:rsidR="002B6B8F" w:rsidRPr="00754F6C" w14:paraId="60DFA014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2B6B8F" w:rsidRPr="00754F6C" w:rsidRDefault="002B6B8F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5FE4F01E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8 312</w:t>
            </w:r>
          </w:p>
        </w:tc>
        <w:tc>
          <w:tcPr>
            <w:tcW w:w="1206" w:type="dxa"/>
            <w:vAlign w:val="center"/>
          </w:tcPr>
          <w:p w14:paraId="6F11E154" w14:textId="66FD23B9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351" w:type="dxa"/>
            <w:vAlign w:val="center"/>
          </w:tcPr>
          <w:p w14:paraId="1BFE3B5E" w14:textId="5CB0EEF5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90,3</w:t>
            </w:r>
          </w:p>
        </w:tc>
        <w:tc>
          <w:tcPr>
            <w:tcW w:w="1061" w:type="dxa"/>
            <w:vAlign w:val="center"/>
          </w:tcPr>
          <w:p w14:paraId="033855B3" w14:textId="54D56899" w:rsidR="002B6B8F" w:rsidRPr="00754F6C" w:rsidRDefault="002B6B8F" w:rsidP="002B6B8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61 899</w:t>
            </w:r>
          </w:p>
        </w:tc>
        <w:tc>
          <w:tcPr>
            <w:tcW w:w="1207" w:type="dxa"/>
            <w:vAlign w:val="center"/>
          </w:tcPr>
          <w:p w14:paraId="233C719F" w14:textId="0AF3D1C5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</w:tr>
      <w:tr w:rsidR="002B6B8F" w:rsidRPr="00754F6C" w14:paraId="2957016B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2B6B8F" w:rsidRPr="00754F6C" w:rsidRDefault="002B6B8F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45751E3D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10 971</w:t>
            </w:r>
          </w:p>
        </w:tc>
        <w:tc>
          <w:tcPr>
            <w:tcW w:w="1206" w:type="dxa"/>
            <w:vAlign w:val="center"/>
          </w:tcPr>
          <w:p w14:paraId="382C456A" w14:textId="1A230B4B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351" w:type="dxa"/>
            <w:vAlign w:val="center"/>
          </w:tcPr>
          <w:p w14:paraId="156FB9CB" w14:textId="1A8A98F8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89,2</w:t>
            </w:r>
          </w:p>
        </w:tc>
        <w:tc>
          <w:tcPr>
            <w:tcW w:w="1061" w:type="dxa"/>
            <w:vAlign w:val="center"/>
          </w:tcPr>
          <w:p w14:paraId="7A3762C1" w14:textId="738D59EA" w:rsidR="002B6B8F" w:rsidRPr="00754F6C" w:rsidRDefault="002B6B8F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76 809</w:t>
            </w:r>
          </w:p>
        </w:tc>
        <w:tc>
          <w:tcPr>
            <w:tcW w:w="1207" w:type="dxa"/>
            <w:vAlign w:val="center"/>
          </w:tcPr>
          <w:p w14:paraId="39D4874A" w14:textId="1A95ADCC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85,6</w:t>
            </w:r>
          </w:p>
        </w:tc>
      </w:tr>
      <w:tr w:rsidR="002B6B8F" w:rsidRPr="00754F6C" w14:paraId="5BE857BD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09DE300E" w14:textId="676CB18E" w:rsidR="002B6B8F" w:rsidRPr="00754F6C" w:rsidRDefault="002B6B8F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5A9C038D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06" w:type="dxa"/>
            <w:vAlign w:val="center"/>
          </w:tcPr>
          <w:p w14:paraId="39AB7DA0" w14:textId="10844B51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200,0</w:t>
            </w:r>
          </w:p>
        </w:tc>
        <w:tc>
          <w:tcPr>
            <w:tcW w:w="1351" w:type="dxa"/>
            <w:vAlign w:val="center"/>
          </w:tcPr>
          <w:p w14:paraId="02FF2FC8" w14:textId="3C174681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32,7</w:t>
            </w:r>
          </w:p>
        </w:tc>
        <w:tc>
          <w:tcPr>
            <w:tcW w:w="1061" w:type="dxa"/>
            <w:vAlign w:val="center"/>
          </w:tcPr>
          <w:p w14:paraId="12D8B82B" w14:textId="516190ED" w:rsidR="002B6B8F" w:rsidRPr="00754F6C" w:rsidRDefault="002B6B8F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597</w:t>
            </w:r>
          </w:p>
        </w:tc>
        <w:tc>
          <w:tcPr>
            <w:tcW w:w="1207" w:type="dxa"/>
            <w:vAlign w:val="center"/>
          </w:tcPr>
          <w:p w14:paraId="1F1DF90E" w14:textId="09324291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133,0</w:t>
            </w:r>
          </w:p>
        </w:tc>
      </w:tr>
      <w:tr w:rsidR="002B6B8F" w:rsidRPr="00754F6C" w14:paraId="38F9C6D4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2B6B8F" w:rsidRPr="00754F6C" w:rsidRDefault="002B6B8F" w:rsidP="002B6B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240CF25C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2EDBBF82" w14:textId="4F717B8D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3F4EAA5B" w14:textId="6E91F97B" w:rsidR="002B6B8F" w:rsidRPr="00754F6C" w:rsidRDefault="002B6B8F" w:rsidP="002B6B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47EA2D84" w14:textId="7C4E0DFC" w:rsidR="002B6B8F" w:rsidRPr="00754F6C" w:rsidRDefault="002B6B8F" w:rsidP="002B6B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1 266</w:t>
            </w:r>
          </w:p>
        </w:tc>
        <w:tc>
          <w:tcPr>
            <w:tcW w:w="1207" w:type="dxa"/>
            <w:vAlign w:val="center"/>
          </w:tcPr>
          <w:p w14:paraId="7DE0ED3A" w14:textId="705F6FA7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</w:tr>
      <w:tr w:rsidR="002B6B8F" w:rsidRPr="00754F6C" w14:paraId="64B2A6CD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2B6B8F" w:rsidRPr="00754F6C" w:rsidRDefault="002B6B8F" w:rsidP="002B6B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198DA22F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206" w:type="dxa"/>
            <w:vAlign w:val="center"/>
          </w:tcPr>
          <w:p w14:paraId="6F56DF87" w14:textId="5FDFB8EB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183,7</w:t>
            </w:r>
          </w:p>
        </w:tc>
        <w:tc>
          <w:tcPr>
            <w:tcW w:w="1351" w:type="dxa"/>
            <w:vAlign w:val="center"/>
          </w:tcPr>
          <w:p w14:paraId="72CA3926" w14:textId="57E3EA8A" w:rsidR="002B6B8F" w:rsidRPr="00754F6C" w:rsidRDefault="002B6B8F" w:rsidP="002B6B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333,3</w:t>
            </w:r>
          </w:p>
        </w:tc>
        <w:tc>
          <w:tcPr>
            <w:tcW w:w="1061" w:type="dxa"/>
            <w:vAlign w:val="center"/>
          </w:tcPr>
          <w:p w14:paraId="52FF516D" w14:textId="4B640F89" w:rsidR="002B6B8F" w:rsidRPr="00754F6C" w:rsidRDefault="002B6B8F" w:rsidP="002B6B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319</w:t>
            </w:r>
          </w:p>
        </w:tc>
        <w:tc>
          <w:tcPr>
            <w:tcW w:w="1207" w:type="dxa"/>
            <w:vAlign w:val="center"/>
          </w:tcPr>
          <w:p w14:paraId="27E3AEB9" w14:textId="2C221849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30,6</w:t>
            </w:r>
          </w:p>
        </w:tc>
      </w:tr>
      <w:tr w:rsidR="002B6B8F" w:rsidRPr="00754F6C" w14:paraId="3BA9AD88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2B6B8F" w:rsidRPr="00754F6C" w:rsidRDefault="002B6B8F" w:rsidP="002B6B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32EA8F9B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206" w:type="dxa"/>
            <w:vAlign w:val="center"/>
          </w:tcPr>
          <w:p w14:paraId="5C655C2B" w14:textId="28F16DD5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1351" w:type="dxa"/>
            <w:vAlign w:val="center"/>
          </w:tcPr>
          <w:p w14:paraId="378DCDDD" w14:textId="5279803A" w:rsidR="002B6B8F" w:rsidRPr="006819F3" w:rsidRDefault="002B6B8F" w:rsidP="002B6B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76,3</w:t>
            </w:r>
          </w:p>
        </w:tc>
        <w:tc>
          <w:tcPr>
            <w:tcW w:w="1061" w:type="dxa"/>
            <w:vAlign w:val="center"/>
          </w:tcPr>
          <w:p w14:paraId="561F74DF" w14:textId="19C619EC" w:rsidR="002B6B8F" w:rsidRPr="006819F3" w:rsidRDefault="002B6B8F" w:rsidP="002B6B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</w:t>
            </w:r>
          </w:p>
        </w:tc>
        <w:tc>
          <w:tcPr>
            <w:tcW w:w="1207" w:type="dxa"/>
            <w:vAlign w:val="center"/>
          </w:tcPr>
          <w:p w14:paraId="0FD363D5" w14:textId="43FE210C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87,6</w:t>
            </w:r>
          </w:p>
        </w:tc>
      </w:tr>
      <w:tr w:rsidR="002B6B8F" w:rsidRPr="00754F6C" w14:paraId="42953850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2B6B8F" w:rsidRPr="00754F6C" w:rsidRDefault="002B6B8F" w:rsidP="002B6B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39210D88" w:rsidR="002B6B8F" w:rsidRPr="00754F6C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7444107" w14:textId="5890F0E7" w:rsidR="002B6B8F" w:rsidRPr="00194201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707F7BF6" w14:textId="2567289C" w:rsidR="002B6B8F" w:rsidRPr="00194201" w:rsidRDefault="002B6B8F" w:rsidP="002B6B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65C38513" w14:textId="36496ED1" w:rsidR="002B6B8F" w:rsidRPr="00194201" w:rsidRDefault="002B6B8F" w:rsidP="002B6B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07" w:type="dxa"/>
            <w:vAlign w:val="center"/>
          </w:tcPr>
          <w:p w14:paraId="18D51BB9" w14:textId="6C4DA930" w:rsidR="002B6B8F" w:rsidRPr="00194201" w:rsidRDefault="002B6B8F" w:rsidP="002B6B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94-krotnie więcej</w:t>
            </w:r>
          </w:p>
        </w:tc>
      </w:tr>
      <w:bookmarkEnd w:id="3"/>
    </w:tbl>
    <w:p w14:paraId="691AA8C5" w14:textId="77777777" w:rsidR="002B6B8F" w:rsidRDefault="002B6B8F" w:rsidP="007C46D9">
      <w:pPr>
        <w:spacing w:before="0" w:after="160" w:line="259" w:lineRule="auto"/>
        <w:rPr>
          <w:shd w:val="clear" w:color="auto" w:fill="FFFFFF"/>
        </w:rPr>
      </w:pPr>
    </w:p>
    <w:p w14:paraId="09EB9451" w14:textId="1B944177" w:rsidR="002B6B8F" w:rsidRPr="002B6B8F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sierpnia 2020 r. w budowie pozostawało 830,9 tys. mieszkań, </w:t>
      </w:r>
      <w:r w:rsidRPr="002B6B8F">
        <w:rPr>
          <w:shd w:val="clear" w:color="auto" w:fill="FFFFFF"/>
        </w:rPr>
        <w:br/>
        <w:t xml:space="preserve">tj. o 0,9% więcej niż w analogicznym okresie roku 2019. </w:t>
      </w:r>
    </w:p>
    <w:p w14:paraId="2FE01F02" w14:textId="4A57FCBA" w:rsidR="00047CF8" w:rsidRDefault="007941DB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4BCF21A1">
                <wp:simplePos x="0" y="0"/>
                <wp:positionH relativeFrom="page">
                  <wp:posOffset>5683858</wp:posOffset>
                </wp:positionH>
                <wp:positionV relativeFrom="paragraph">
                  <wp:posOffset>12562</wp:posOffset>
                </wp:positionV>
                <wp:extent cx="175641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F78D" w14:textId="77777777" w:rsidR="007941DB" w:rsidRDefault="007941DB" w:rsidP="002B6B8F">
                            <w:pPr>
                              <w:pStyle w:val="tekstzboku"/>
                            </w:pPr>
                          </w:p>
                          <w:p w14:paraId="5AC87C99" w14:textId="77777777" w:rsidR="002B6B8F" w:rsidRPr="002B6B8F" w:rsidRDefault="002B6B8F" w:rsidP="002B6B8F">
                            <w:pPr>
                              <w:pStyle w:val="tekstzboku"/>
                            </w:pPr>
                            <w:r w:rsidRPr="002B6B8F">
                              <w:t>W sierpniu, w porównaniu do lipca 2020 roku, spadła liczba mieszkań oddanych do użytkowania (o 23,3%), liczba mieszkań, których budowę rozpoczęto (o 10,3%) oraz liczba mieszkań, na których budowę wydano pozwolenia lub dokonano zgłoszenia z projektem budowlanym (o 13,9%)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9AE43" id="_x0000_s1032" type="#_x0000_t202" style="position:absolute;margin-left:447.55pt;margin-top:1pt;width:138.3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" filled="f" stroked="f">
                <v:textbox style="mso-fit-shape-to-text:t">
                  <w:txbxContent>
                    <w:p w14:paraId="6449F78D" w14:textId="77777777" w:rsidR="007941DB" w:rsidRDefault="007941DB" w:rsidP="002B6B8F">
                      <w:pPr>
                        <w:pStyle w:val="tekstzboku"/>
                      </w:pPr>
                    </w:p>
                    <w:p w14:paraId="5AC87C99" w14:textId="77777777" w:rsidR="002B6B8F" w:rsidRPr="002B6B8F" w:rsidRDefault="002B6B8F" w:rsidP="002B6B8F">
                      <w:pPr>
                        <w:pStyle w:val="tekstzboku"/>
                      </w:pPr>
                      <w:r w:rsidRPr="002B6B8F">
                        <w:t>W sierpniu, w porównaniu do lipca 2020 roku, spadła liczba mieszkań oddanych do użytkowania (o 23,3%), liczba mieszkań, których budowę rozpoczęto (o 10,3%) oraz liczba mieszkań, na których budowę wydano pozwolenia lub dokonano zgłoszenia z projektem budowlanym (o 13,9%)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1A62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2E8B3E8A" wp14:editId="6F809BB7">
            <wp:simplePos x="0" y="0"/>
            <wp:positionH relativeFrom="column">
              <wp:posOffset>-59635</wp:posOffset>
            </wp:positionH>
            <wp:positionV relativeFrom="paragraph">
              <wp:posOffset>234011</wp:posOffset>
            </wp:positionV>
            <wp:extent cx="5122545" cy="2250219"/>
            <wp:effectExtent l="0" t="0" r="0" b="0"/>
            <wp:wrapNone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656E0F90" w:rsidR="00B5543C" w:rsidRDefault="00B5543C" w:rsidP="00F113BA">
      <w:pPr>
        <w:rPr>
          <w:b/>
          <w:sz w:val="18"/>
          <w:szCs w:val="18"/>
        </w:rPr>
      </w:pPr>
    </w:p>
    <w:p w14:paraId="33735DD0" w14:textId="11059CDA" w:rsidR="00B5543C" w:rsidRDefault="00B5543C" w:rsidP="00F113BA">
      <w:pPr>
        <w:rPr>
          <w:b/>
          <w:sz w:val="18"/>
          <w:szCs w:val="18"/>
        </w:rPr>
      </w:pPr>
    </w:p>
    <w:p w14:paraId="6BE2D598" w14:textId="2CC5D341" w:rsidR="00B5543C" w:rsidRDefault="00B5543C" w:rsidP="00F113BA">
      <w:pPr>
        <w:rPr>
          <w:b/>
          <w:sz w:val="18"/>
          <w:szCs w:val="18"/>
        </w:rPr>
      </w:pPr>
    </w:p>
    <w:p w14:paraId="78290AAC" w14:textId="73D4780D" w:rsidR="00B5543C" w:rsidRDefault="00B5543C" w:rsidP="00F113BA">
      <w:pPr>
        <w:rPr>
          <w:b/>
          <w:sz w:val="18"/>
          <w:szCs w:val="18"/>
        </w:rPr>
      </w:pPr>
    </w:p>
    <w:p w14:paraId="598B5C66" w14:textId="00ECD0D9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2FA7A78" w14:textId="7E5631D9" w:rsidR="00ED2EB5" w:rsidRDefault="00F60CF2" w:rsidP="00ED2EB5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46B9C8C5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2B6B8F" w:rsidRPr="002B6B8F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 xml:space="preserve">Najwięcej mieszkań, na których budowę wydano pozwolenia lub dokonano zgłoszenia </w:t>
      </w:r>
      <w:r w:rsidR="002B6B8F" w:rsidRPr="00830911">
        <w:rPr>
          <w:szCs w:val="19"/>
          <w:shd w:val="clear" w:color="auto" w:fill="FFFFFF"/>
        </w:rPr>
        <w:br/>
        <w:t>z projektem budowlanym oraz których budowę rozpoczęto w okresie styczeń-</w:t>
      </w:r>
      <w:r w:rsidR="002B6B8F">
        <w:rPr>
          <w:szCs w:val="19"/>
          <w:shd w:val="clear" w:color="auto" w:fill="FFFFFF"/>
        </w:rPr>
        <w:t>sierpień</w:t>
      </w:r>
      <w:r w:rsidR="002B6B8F" w:rsidRPr="00830911">
        <w:rPr>
          <w:szCs w:val="19"/>
          <w:shd w:val="clear" w:color="auto" w:fill="FFFFFF"/>
        </w:rPr>
        <w:t xml:space="preserve"> 2020 r., odnotowano w województwie mazowieckim (odpowiednio 28,0 tys. i 25,2 tys.) oraz wielkopolskim (16,9 tys. i </w:t>
      </w:r>
      <w:r w:rsidR="002B6B8F">
        <w:rPr>
          <w:szCs w:val="19"/>
          <w:shd w:val="clear" w:color="auto" w:fill="FFFFFF"/>
        </w:rPr>
        <w:t>14,6</w:t>
      </w:r>
      <w:r w:rsidR="002B6B8F" w:rsidRPr="00830911">
        <w:rPr>
          <w:szCs w:val="19"/>
          <w:shd w:val="clear" w:color="auto" w:fill="FFFFFF"/>
        </w:rPr>
        <w:t xml:space="preserve"> tys.). Największą liczbą mieszkań oddanych do użytkowania charakteryzowało się województwo mazowieckie (27,5 tys. mieszkań) i dolnośląskie (14,2 tys.).</w:t>
      </w:r>
    </w:p>
    <w:p w14:paraId="44563E4C" w14:textId="77777777" w:rsidR="006E521A" w:rsidRPr="00E15BEF" w:rsidRDefault="006E521A" w:rsidP="00E15BEF">
      <w:pPr>
        <w:spacing w:before="0" w:after="160" w:line="259" w:lineRule="auto"/>
        <w:rPr>
          <w:shd w:val="clear" w:color="auto" w:fill="FFFFFF"/>
        </w:rPr>
      </w:pPr>
    </w:p>
    <w:p w14:paraId="50FA1F4D" w14:textId="67585F8B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3837D5" w:rsidRPr="006819F3">
        <w:rPr>
          <w:b/>
          <w:sz w:val="18"/>
          <w:szCs w:val="18"/>
        </w:rPr>
        <w:t>-</w:t>
      </w:r>
      <w:r w:rsidR="002B6B8F" w:rsidRPr="002B6B8F">
        <w:rPr>
          <w:b/>
          <w:sz w:val="18"/>
          <w:szCs w:val="18"/>
        </w:rPr>
        <w:t xml:space="preserve"> </w:t>
      </w:r>
      <w:r w:rsidR="002B6B8F">
        <w:rPr>
          <w:b/>
          <w:sz w:val="18"/>
          <w:szCs w:val="18"/>
        </w:rPr>
        <w:t>sierpień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651B65EF" w:rsidR="007F2685" w:rsidRDefault="002B6B8F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722670D" wp14:editId="40E02CD1">
            <wp:extent cx="5122545" cy="3667125"/>
            <wp:effectExtent l="0" t="0" r="1905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724D98" w14:textId="10A3D635" w:rsidR="00EF3AE3" w:rsidRPr="007D2B64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A6480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A64804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A64804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A64804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A64804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3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PR08y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B515B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B515B3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B515B3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B515B3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B515B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EC2B9" w14:textId="77777777" w:rsidR="00A64804" w:rsidRDefault="00A64804" w:rsidP="000662E2">
      <w:pPr>
        <w:spacing w:after="0" w:line="240" w:lineRule="auto"/>
      </w:pPr>
      <w:r>
        <w:separator/>
      </w:r>
    </w:p>
  </w:endnote>
  <w:endnote w:type="continuationSeparator" w:id="0">
    <w:p w14:paraId="0CF2C2BF" w14:textId="77777777" w:rsidR="00A64804" w:rsidRDefault="00A6480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C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C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02ACA" w14:textId="77777777" w:rsidR="00A64804" w:rsidRDefault="00A64804" w:rsidP="000662E2">
      <w:pPr>
        <w:spacing w:after="0" w:line="240" w:lineRule="auto"/>
      </w:pPr>
      <w:r>
        <w:separator/>
      </w:r>
    </w:p>
  </w:footnote>
  <w:footnote w:type="continuationSeparator" w:id="0">
    <w:p w14:paraId="10F3D296" w14:textId="77777777" w:rsidR="00A64804" w:rsidRDefault="00A64804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CA58CF0" w:rsidR="00112A4D" w:rsidRPr="00C97596" w:rsidRDefault="00D9571A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8E5DEB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40743E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4CA58CF0" w:rsidR="00112A4D" w:rsidRPr="00C97596" w:rsidRDefault="00D9571A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8E5DEB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40743E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30" type="#_x0000_t75" style="width:125.25pt;height:126.65pt;visibility:visible;mso-wrap-style:square" o:bullet="t">
        <v:imagedata r:id="rId2" o:title=""/>
      </v:shape>
    </w:pict>
  </w:numPicBullet>
  <w:numPicBullet w:numPicBulletId="2">
    <w:pict>
      <v:shape id="_x0000_i1031" type="#_x0000_t75" style="width:33.1pt;height:33.1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B1B"/>
    <w:rsid w:val="00001C5B"/>
    <w:rsid w:val="00001DAD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21CD6"/>
    <w:rsid w:val="0002266B"/>
    <w:rsid w:val="00024626"/>
    <w:rsid w:val="00027227"/>
    <w:rsid w:val="0003236F"/>
    <w:rsid w:val="000325B5"/>
    <w:rsid w:val="00033D0D"/>
    <w:rsid w:val="0003435E"/>
    <w:rsid w:val="00035886"/>
    <w:rsid w:val="00036C4D"/>
    <w:rsid w:val="0003752A"/>
    <w:rsid w:val="000375C3"/>
    <w:rsid w:val="000409DE"/>
    <w:rsid w:val="00042A1D"/>
    <w:rsid w:val="00044FBC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12F7"/>
    <w:rsid w:val="00061AF4"/>
    <w:rsid w:val="00061DAF"/>
    <w:rsid w:val="000633E3"/>
    <w:rsid w:val="000653AA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11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E4BBC"/>
    <w:rsid w:val="000F0212"/>
    <w:rsid w:val="000F156F"/>
    <w:rsid w:val="000F1626"/>
    <w:rsid w:val="000F39D1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F7C"/>
    <w:rsid w:val="00123367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4E2D"/>
    <w:rsid w:val="001409E1"/>
    <w:rsid w:val="001416C7"/>
    <w:rsid w:val="001423B6"/>
    <w:rsid w:val="001425F1"/>
    <w:rsid w:val="00143642"/>
    <w:rsid w:val="001448A7"/>
    <w:rsid w:val="001463EE"/>
    <w:rsid w:val="00146621"/>
    <w:rsid w:val="001467DB"/>
    <w:rsid w:val="00147118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3157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461B"/>
    <w:rsid w:val="00234D8A"/>
    <w:rsid w:val="00237327"/>
    <w:rsid w:val="00240ECE"/>
    <w:rsid w:val="00242271"/>
    <w:rsid w:val="002452B8"/>
    <w:rsid w:val="00247C71"/>
    <w:rsid w:val="00250870"/>
    <w:rsid w:val="00250FEE"/>
    <w:rsid w:val="00252C19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C424B"/>
    <w:rsid w:val="002C4336"/>
    <w:rsid w:val="002C6D15"/>
    <w:rsid w:val="002C74C5"/>
    <w:rsid w:val="002D0AC4"/>
    <w:rsid w:val="002D1DA5"/>
    <w:rsid w:val="002D2ECD"/>
    <w:rsid w:val="002D36F4"/>
    <w:rsid w:val="002D3D88"/>
    <w:rsid w:val="002D51CC"/>
    <w:rsid w:val="002D6CA6"/>
    <w:rsid w:val="002E097A"/>
    <w:rsid w:val="002E13A8"/>
    <w:rsid w:val="002E3DCB"/>
    <w:rsid w:val="002E42E3"/>
    <w:rsid w:val="002E6140"/>
    <w:rsid w:val="002E6985"/>
    <w:rsid w:val="002E6C40"/>
    <w:rsid w:val="002E6EAA"/>
    <w:rsid w:val="002E71B6"/>
    <w:rsid w:val="002F1617"/>
    <w:rsid w:val="002F1F42"/>
    <w:rsid w:val="002F5333"/>
    <w:rsid w:val="002F5D62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16597"/>
    <w:rsid w:val="00320924"/>
    <w:rsid w:val="00322EDD"/>
    <w:rsid w:val="003231A1"/>
    <w:rsid w:val="00324C9B"/>
    <w:rsid w:val="00330AAE"/>
    <w:rsid w:val="00332263"/>
    <w:rsid w:val="00332320"/>
    <w:rsid w:val="00332724"/>
    <w:rsid w:val="003344AC"/>
    <w:rsid w:val="0033525D"/>
    <w:rsid w:val="0033611E"/>
    <w:rsid w:val="00336412"/>
    <w:rsid w:val="00341966"/>
    <w:rsid w:val="003426AA"/>
    <w:rsid w:val="00342DCF"/>
    <w:rsid w:val="00343A88"/>
    <w:rsid w:val="00344280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605D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3B22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34BC"/>
    <w:rsid w:val="003C57F1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60A7"/>
    <w:rsid w:val="003F68D3"/>
    <w:rsid w:val="003F6C83"/>
    <w:rsid w:val="003F7FE6"/>
    <w:rsid w:val="00400193"/>
    <w:rsid w:val="00400B65"/>
    <w:rsid w:val="00401DB3"/>
    <w:rsid w:val="00403557"/>
    <w:rsid w:val="0040648A"/>
    <w:rsid w:val="0040743E"/>
    <w:rsid w:val="004107A5"/>
    <w:rsid w:val="0041140C"/>
    <w:rsid w:val="004118C3"/>
    <w:rsid w:val="00412E8A"/>
    <w:rsid w:val="004130BC"/>
    <w:rsid w:val="0041374E"/>
    <w:rsid w:val="00414F8B"/>
    <w:rsid w:val="0041616C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3F45"/>
    <w:rsid w:val="004949CA"/>
    <w:rsid w:val="0049621B"/>
    <w:rsid w:val="004963DE"/>
    <w:rsid w:val="00497CE2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867"/>
    <w:rsid w:val="004C063A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296C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3108"/>
    <w:rsid w:val="005E4173"/>
    <w:rsid w:val="005E48B2"/>
    <w:rsid w:val="005E4E00"/>
    <w:rsid w:val="005E55FE"/>
    <w:rsid w:val="005F302D"/>
    <w:rsid w:val="005F4A3B"/>
    <w:rsid w:val="005F5129"/>
    <w:rsid w:val="005F5A80"/>
    <w:rsid w:val="005F5FD8"/>
    <w:rsid w:val="00600F92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DC3"/>
    <w:rsid w:val="00621F5F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1AB4"/>
    <w:rsid w:val="00642C4B"/>
    <w:rsid w:val="00644709"/>
    <w:rsid w:val="00645566"/>
    <w:rsid w:val="00646D6F"/>
    <w:rsid w:val="00650D4C"/>
    <w:rsid w:val="006554F9"/>
    <w:rsid w:val="006562A7"/>
    <w:rsid w:val="00661419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21A"/>
    <w:rsid w:val="006E5888"/>
    <w:rsid w:val="006E6053"/>
    <w:rsid w:val="006E76CB"/>
    <w:rsid w:val="006F059C"/>
    <w:rsid w:val="006F4D00"/>
    <w:rsid w:val="006F4DB5"/>
    <w:rsid w:val="006F5529"/>
    <w:rsid w:val="006F5EF5"/>
    <w:rsid w:val="007029B7"/>
    <w:rsid w:val="00703FFE"/>
    <w:rsid w:val="007044CD"/>
    <w:rsid w:val="00707935"/>
    <w:rsid w:val="00710621"/>
    <w:rsid w:val="00710CD3"/>
    <w:rsid w:val="0071467D"/>
    <w:rsid w:val="00714A99"/>
    <w:rsid w:val="00714FC1"/>
    <w:rsid w:val="007162C8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6234C"/>
    <w:rsid w:val="0076254F"/>
    <w:rsid w:val="0076349B"/>
    <w:rsid w:val="00763711"/>
    <w:rsid w:val="007641FF"/>
    <w:rsid w:val="0076475E"/>
    <w:rsid w:val="00766E80"/>
    <w:rsid w:val="007700A7"/>
    <w:rsid w:val="007702BD"/>
    <w:rsid w:val="00770725"/>
    <w:rsid w:val="0077161D"/>
    <w:rsid w:val="00771D52"/>
    <w:rsid w:val="00773B09"/>
    <w:rsid w:val="00773CF3"/>
    <w:rsid w:val="00774F4E"/>
    <w:rsid w:val="00776D21"/>
    <w:rsid w:val="00777957"/>
    <w:rsid w:val="007801F5"/>
    <w:rsid w:val="00780316"/>
    <w:rsid w:val="00781779"/>
    <w:rsid w:val="0078199D"/>
    <w:rsid w:val="007820B5"/>
    <w:rsid w:val="00783473"/>
    <w:rsid w:val="00783CA4"/>
    <w:rsid w:val="0078416C"/>
    <w:rsid w:val="007842FB"/>
    <w:rsid w:val="007845A9"/>
    <w:rsid w:val="00784CBD"/>
    <w:rsid w:val="00785B50"/>
    <w:rsid w:val="00786124"/>
    <w:rsid w:val="00786B8A"/>
    <w:rsid w:val="00790113"/>
    <w:rsid w:val="007904A3"/>
    <w:rsid w:val="00792040"/>
    <w:rsid w:val="00793D18"/>
    <w:rsid w:val="007941DB"/>
    <w:rsid w:val="0079498A"/>
    <w:rsid w:val="0079514B"/>
    <w:rsid w:val="00796583"/>
    <w:rsid w:val="00796D16"/>
    <w:rsid w:val="00797294"/>
    <w:rsid w:val="007A1014"/>
    <w:rsid w:val="007A2DC1"/>
    <w:rsid w:val="007A41A9"/>
    <w:rsid w:val="007A510F"/>
    <w:rsid w:val="007A5C5A"/>
    <w:rsid w:val="007A5CB7"/>
    <w:rsid w:val="007B0E35"/>
    <w:rsid w:val="007B2673"/>
    <w:rsid w:val="007B3DB7"/>
    <w:rsid w:val="007B3EA4"/>
    <w:rsid w:val="007B4F73"/>
    <w:rsid w:val="007B78D0"/>
    <w:rsid w:val="007C043F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4C67"/>
    <w:rsid w:val="0080553C"/>
    <w:rsid w:val="00805B46"/>
    <w:rsid w:val="00810E8D"/>
    <w:rsid w:val="00811ECD"/>
    <w:rsid w:val="00812940"/>
    <w:rsid w:val="00816DE1"/>
    <w:rsid w:val="00820114"/>
    <w:rsid w:val="00820A18"/>
    <w:rsid w:val="008211DF"/>
    <w:rsid w:val="00825DC2"/>
    <w:rsid w:val="008263B6"/>
    <w:rsid w:val="00830DEC"/>
    <w:rsid w:val="00833D4E"/>
    <w:rsid w:val="00834798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5601"/>
    <w:rsid w:val="008B6A9A"/>
    <w:rsid w:val="008C0007"/>
    <w:rsid w:val="008C0C29"/>
    <w:rsid w:val="008C1F33"/>
    <w:rsid w:val="008C37DB"/>
    <w:rsid w:val="008C3AB7"/>
    <w:rsid w:val="008C451C"/>
    <w:rsid w:val="008C4C3A"/>
    <w:rsid w:val="008C4E2B"/>
    <w:rsid w:val="008C5119"/>
    <w:rsid w:val="008C5D81"/>
    <w:rsid w:val="008C5E1B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F04DA"/>
    <w:rsid w:val="008F0617"/>
    <w:rsid w:val="008F194E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5A5C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47FD6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454D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5A0C"/>
    <w:rsid w:val="009E6202"/>
    <w:rsid w:val="009E6CF3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D16"/>
    <w:rsid w:val="00A40F30"/>
    <w:rsid w:val="00A41F2F"/>
    <w:rsid w:val="00A4219B"/>
    <w:rsid w:val="00A4223C"/>
    <w:rsid w:val="00A4333F"/>
    <w:rsid w:val="00A44788"/>
    <w:rsid w:val="00A457A4"/>
    <w:rsid w:val="00A45EB1"/>
    <w:rsid w:val="00A47D80"/>
    <w:rsid w:val="00A51EDA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614A4"/>
    <w:rsid w:val="00A61FF6"/>
    <w:rsid w:val="00A63CAF"/>
    <w:rsid w:val="00A63FE4"/>
    <w:rsid w:val="00A6436D"/>
    <w:rsid w:val="00A647B9"/>
    <w:rsid w:val="00A64804"/>
    <w:rsid w:val="00A66409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7B3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46FC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27B9C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4E40"/>
    <w:rsid w:val="00B453BB"/>
    <w:rsid w:val="00B456FA"/>
    <w:rsid w:val="00B45CB8"/>
    <w:rsid w:val="00B46521"/>
    <w:rsid w:val="00B465A7"/>
    <w:rsid w:val="00B46825"/>
    <w:rsid w:val="00B47261"/>
    <w:rsid w:val="00B4788F"/>
    <w:rsid w:val="00B515B3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4F7B"/>
    <w:rsid w:val="00B76142"/>
    <w:rsid w:val="00B76621"/>
    <w:rsid w:val="00B8076E"/>
    <w:rsid w:val="00B8272D"/>
    <w:rsid w:val="00B8341D"/>
    <w:rsid w:val="00B85633"/>
    <w:rsid w:val="00B86655"/>
    <w:rsid w:val="00B914E9"/>
    <w:rsid w:val="00B91AC6"/>
    <w:rsid w:val="00B94252"/>
    <w:rsid w:val="00B956EE"/>
    <w:rsid w:val="00B95FA8"/>
    <w:rsid w:val="00B96037"/>
    <w:rsid w:val="00B96AD0"/>
    <w:rsid w:val="00B96F1A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0AF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AF0"/>
    <w:rsid w:val="00BD5F35"/>
    <w:rsid w:val="00BD5F7F"/>
    <w:rsid w:val="00BD6924"/>
    <w:rsid w:val="00BD7C75"/>
    <w:rsid w:val="00BE458D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51F"/>
    <w:rsid w:val="00C64A37"/>
    <w:rsid w:val="00C6552F"/>
    <w:rsid w:val="00C67295"/>
    <w:rsid w:val="00C71109"/>
    <w:rsid w:val="00C7158E"/>
    <w:rsid w:val="00C7250B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699"/>
    <w:rsid w:val="00CF1A2B"/>
    <w:rsid w:val="00CF4099"/>
    <w:rsid w:val="00CF41CC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715"/>
    <w:rsid w:val="00D23565"/>
    <w:rsid w:val="00D242EC"/>
    <w:rsid w:val="00D2518C"/>
    <w:rsid w:val="00D26001"/>
    <w:rsid w:val="00D261A2"/>
    <w:rsid w:val="00D2644B"/>
    <w:rsid w:val="00D30D5C"/>
    <w:rsid w:val="00D30EF4"/>
    <w:rsid w:val="00D3237A"/>
    <w:rsid w:val="00D33532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578"/>
    <w:rsid w:val="00D766FB"/>
    <w:rsid w:val="00D77B37"/>
    <w:rsid w:val="00D82104"/>
    <w:rsid w:val="00D8211E"/>
    <w:rsid w:val="00D822F5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6703"/>
    <w:rsid w:val="00DA6F71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4394"/>
    <w:rsid w:val="00E15A67"/>
    <w:rsid w:val="00E15BEF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37526"/>
    <w:rsid w:val="00E4240F"/>
    <w:rsid w:val="00E42A3C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2E3B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4CEA"/>
    <w:rsid w:val="00E97120"/>
    <w:rsid w:val="00EA0819"/>
    <w:rsid w:val="00EA2B74"/>
    <w:rsid w:val="00EA3DED"/>
    <w:rsid w:val="00EA5809"/>
    <w:rsid w:val="00EA5A3C"/>
    <w:rsid w:val="00EA5D60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C755A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6B76"/>
    <w:rsid w:val="00F51A96"/>
    <w:rsid w:val="00F5261C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5FFF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41E0"/>
    <w:rsid w:val="00FB42D4"/>
    <w:rsid w:val="00FB58A3"/>
    <w:rsid w:val="00FB5906"/>
    <w:rsid w:val="00FB5F63"/>
    <w:rsid w:val="00FB762F"/>
    <w:rsid w:val="00FC0BA6"/>
    <w:rsid w:val="00FC1C83"/>
    <w:rsid w:val="00FC2AED"/>
    <w:rsid w:val="00FC4EB3"/>
    <w:rsid w:val="00FC625D"/>
    <w:rsid w:val="00FC67EF"/>
    <w:rsid w:val="00FC6AC9"/>
    <w:rsid w:val="00FD0CFF"/>
    <w:rsid w:val="00FD1955"/>
    <w:rsid w:val="00FD58AC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przemysl-budownictwo-srodki-trwale/budownictwo/publikacja,13.html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tat.gov.pl/obszary-tematyczne/przemysl-budownictwo-srodki-trwale/budownictwo/publikacja,3.html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0839028271339071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Arkusz1!$B$4:$BE$4</c:f>
              <c:numCache>
                <c:formatCode>General</c:formatCode>
                <c:ptCount val="56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21767</c:v>
                </c:pt>
                <c:pt idx="55" formatCode="#,##0">
                  <c:v>16692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Arkusz1!$B$16:$BE$16</c:f>
              <c:numCache>
                <c:formatCode>General</c:formatCode>
                <c:ptCount val="56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 formatCode="#,##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24693</c:v>
                </c:pt>
                <c:pt idx="55">
                  <c:v>21252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Arkusz1!$B$10:$BE$10</c:f>
              <c:numCache>
                <c:formatCode>General</c:formatCode>
                <c:ptCount val="56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9448160"/>
        <c:axId val="-2029444896"/>
      </c:lineChart>
      <c:catAx>
        <c:axId val="-202944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944489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202944489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9448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543200694186188E-2"/>
          <c:y val="0.80687615148868452"/>
          <c:w val="0.94120383520300965"/>
          <c:h val="0.172371383297663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9444352"/>
        <c:axId val="-2029443808"/>
      </c:lineChart>
      <c:catAx>
        <c:axId val="-202944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944380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202944380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9444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9450336"/>
        <c:axId val="-2029449792"/>
      </c:lineChart>
      <c:catAx>
        <c:axId val="-202945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94497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202944979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2945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2135</c:v>
                </c:pt>
                <c:pt idx="1">
                  <c:v>2657</c:v>
                </c:pt>
                <c:pt idx="2">
                  <c:v>3769</c:v>
                </c:pt>
                <c:pt idx="3">
                  <c:v>4862</c:v>
                </c:pt>
                <c:pt idx="4">
                  <c:v>4636</c:v>
                </c:pt>
                <c:pt idx="5">
                  <c:v>7979</c:v>
                </c:pt>
                <c:pt idx="6">
                  <c:v>6344</c:v>
                </c:pt>
                <c:pt idx="7">
                  <c:v>7616</c:v>
                </c:pt>
                <c:pt idx="8">
                  <c:v>6319</c:v>
                </c:pt>
                <c:pt idx="9">
                  <c:v>7566</c:v>
                </c:pt>
                <c:pt idx="10">
                  <c:v>11949</c:v>
                </c:pt>
                <c:pt idx="11">
                  <c:v>10487</c:v>
                </c:pt>
                <c:pt idx="12">
                  <c:v>13312</c:v>
                </c:pt>
                <c:pt idx="13">
                  <c:v>14553</c:v>
                </c:pt>
                <c:pt idx="14">
                  <c:v>11766</c:v>
                </c:pt>
                <c:pt idx="15">
                  <c:v>25165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2115</c:v>
                </c:pt>
                <c:pt idx="1">
                  <c:v>2924</c:v>
                </c:pt>
                <c:pt idx="2">
                  <c:v>5264</c:v>
                </c:pt>
                <c:pt idx="3">
                  <c:v>6013</c:v>
                </c:pt>
                <c:pt idx="4">
                  <c:v>4962</c:v>
                </c:pt>
                <c:pt idx="5">
                  <c:v>8913</c:v>
                </c:pt>
                <c:pt idx="6">
                  <c:v>6343</c:v>
                </c:pt>
                <c:pt idx="7">
                  <c:v>9583</c:v>
                </c:pt>
                <c:pt idx="8">
                  <c:v>8058</c:v>
                </c:pt>
                <c:pt idx="9">
                  <c:v>8860</c:v>
                </c:pt>
                <c:pt idx="10">
                  <c:v>15296</c:v>
                </c:pt>
                <c:pt idx="11">
                  <c:v>13947</c:v>
                </c:pt>
                <c:pt idx="12">
                  <c:v>14384</c:v>
                </c:pt>
                <c:pt idx="13">
                  <c:v>16902</c:v>
                </c:pt>
                <c:pt idx="14">
                  <c:v>16699</c:v>
                </c:pt>
                <c:pt idx="15">
                  <c:v>27991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1649</c:v>
                </c:pt>
                <c:pt idx="1">
                  <c:v>2703</c:v>
                </c:pt>
                <c:pt idx="2">
                  <c:v>3124</c:v>
                </c:pt>
                <c:pt idx="3">
                  <c:v>3418</c:v>
                </c:pt>
                <c:pt idx="4">
                  <c:v>4130</c:v>
                </c:pt>
                <c:pt idx="5">
                  <c:v>5169</c:v>
                </c:pt>
                <c:pt idx="6">
                  <c:v>5569</c:v>
                </c:pt>
                <c:pt idx="7">
                  <c:v>5865</c:v>
                </c:pt>
                <c:pt idx="8">
                  <c:v>6134</c:v>
                </c:pt>
                <c:pt idx="9">
                  <c:v>6731</c:v>
                </c:pt>
                <c:pt idx="10">
                  <c:v>11226</c:v>
                </c:pt>
                <c:pt idx="11">
                  <c:v>11583</c:v>
                </c:pt>
                <c:pt idx="12">
                  <c:v>12608</c:v>
                </c:pt>
                <c:pt idx="13">
                  <c:v>14201</c:v>
                </c:pt>
                <c:pt idx="14">
                  <c:v>14202</c:v>
                </c:pt>
                <c:pt idx="15">
                  <c:v>27492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029449248"/>
        <c:axId val="-2029448704"/>
      </c:barChart>
      <c:catAx>
        <c:axId val="-2029449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29448704"/>
        <c:crosses val="autoZero"/>
        <c:auto val="1"/>
        <c:lblAlgn val="ctr"/>
        <c:lblOffset val="100"/>
        <c:noMultiLvlLbl val="0"/>
      </c:catAx>
      <c:valAx>
        <c:axId val="-2029448704"/>
        <c:scaling>
          <c:orientation val="minMax"/>
          <c:max val="2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2029449248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538924172606837"/>
          <c:y val="0.83253634391591458"/>
          <c:w val="0.83688211129506873"/>
          <c:h val="0.1475226505777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budownictwo_mieszkaniowe_w_okresie_styczen-czerwiec_2020.docx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C0AF3A7-0E22-4DFF-8ADB-53456C6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B432C-E4CB-4CE5-904F-CCA875A9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2020-08-18T08:54:00Z</cp:lastPrinted>
  <dcterms:created xsi:type="dcterms:W3CDTF">2020-09-15T12:35:00Z</dcterms:created>
  <dcterms:modified xsi:type="dcterms:W3CDTF">2020-09-16T08:24:00Z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