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7DEC00F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3F1512">
        <w:rPr>
          <w:color w:val="auto"/>
          <w:szCs w:val="40"/>
          <w:shd w:val="clear" w:color="auto" w:fill="FFFFFF"/>
        </w:rPr>
        <w:t>styczniu</w:t>
      </w:r>
      <w:r w:rsidR="00DE5D2E">
        <w:rPr>
          <w:color w:val="auto"/>
          <w:szCs w:val="40"/>
          <w:shd w:val="clear" w:color="auto" w:fill="FFFFFF"/>
        </w:rPr>
        <w:t xml:space="preserve"> 2020</w:t>
      </w:r>
      <w:r w:rsidR="00816DE1">
        <w:rPr>
          <w:color w:val="auto"/>
          <w:szCs w:val="40"/>
          <w:shd w:val="clear" w:color="auto" w:fill="FFFFFF"/>
        </w:rPr>
        <w:t xml:space="preserve"> roku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9A82002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6864C2CD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4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E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100,5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11D"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6864C2CD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4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6E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100,5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3F1512">
        <w:t>styczniu 2020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866ED0">
        <w:t xml:space="preserve">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</w:t>
      </w:r>
      <w:r w:rsidR="00C62034">
        <w:t>no zgłoszenia z </w:t>
      </w:r>
      <w:r w:rsidR="00B1192F" w:rsidRPr="00DA0F32">
        <w:t>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04322E55" w14:textId="77777777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245C5D4">
                <wp:simplePos x="0" y="0"/>
                <wp:positionH relativeFrom="page">
                  <wp:posOffset>5743575</wp:posOffset>
                </wp:positionH>
                <wp:positionV relativeFrom="paragraph">
                  <wp:posOffset>179705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05AAA025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B8272D">
                              <w:t>61,0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B8272D">
                              <w:t>0</w:t>
                            </w:r>
                            <w:r w:rsidR="00A14EA4">
                              <w:t>,</w:t>
                            </w:r>
                            <w:r w:rsidR="0096565D">
                              <w:t xml:space="preserve">8 p. </w:t>
                            </w:r>
                            <w:r w:rsidR="00B8272D">
                              <w:t>proc. mniej niż w 2019</w:t>
                            </w:r>
                            <w:r w:rsidR="00512F05">
                              <w:t xml:space="preserve"> r</w:t>
                            </w:r>
                            <w:r w:rsidR="003958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2.25pt;margin-top:14.1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EAEgIAAAAEAAAOAAAAZHJzL2Uyb0RvYy54bWysU1Fv0zAQfkfiP1h+Z0lLt7ZR02lsDCEN&#10;mDT4AVfHaazZPmO7Tcav39lpSwVviDxYds733X3ffV5dD0azvfRBoa355KLkTFqBjbLbmv/4fv9u&#10;wVmIYBvQaGXNX2Tg1+u3b1a9q+QUO9SN9IxAbKh6V/MuRlcVRRCdNBAu0ElLwRa9gUhHvy0aDz2h&#10;G11My/Kq6NE3zqOQIdDfuzHI1xm/baWI39o2yMh0zam3mFef101ai/UKqq0H1ylxaAP+oQsDylLR&#10;E9QdRGA7r/6CMkp4DNjGC4GmwLZVQmYOxGZS/sHmqQMnMxcSJ7iTTOH/wYqv+0fPVEOzW3JmwdCM&#10;HlFLFuVziNhLRv9JpN6Fiu4+Obodhw84UEImHNwDiufALN52YLfyxnvsOwkNNTlJmcVZ6ogTEsim&#10;/4INFYNdxAw0tN4kBUkTRug0rJfTgOQQmUgl58tyXlJIUGx+NS8XeYIFVMds50P8JNGwtKm5JwNk&#10;dNg/hJi6gep4JRWzeK+0zibQlvU1X15OL3PCWcSoSB7VytR8UaZvdE0i+dE2OTmC0uOeCmh7YJ2I&#10;jpTjsBmyyu+PYm6weSEZPI6WpCdEmw79L856smPNw88deMmZ/mxJyuVkNkv+zYfZ5XxKB38e2ZxH&#10;wAqCqnnkbNzexuz5kfINSd6qrEaazdjJoWWyWRbp8CSSj8/P+dbvh7t+BQAA//8DAFBLAwQUAAYA&#10;CAAAACEAlTugfN4AAAALAQAADwAAAGRycy9kb3ducmV2LnhtbEyPy07DMBBF90j8gzVI7KidklZJ&#10;iFMhEFsqykNi58bTJCIeR7HbhL/vdAW7eRzdOVNuZteLE46h86QhWSgQSLW3HTUaPt5f7jIQIRqy&#10;pveEGn4xwKa6vipNYf1Eb3jaxUZwCIXCaGhjHAopQ92iM2HhByTeHfzoTOR2bKQdzcThrpdLpdbS&#10;mY74QmsGfGqx/tkdnYbP18P3V6q2zbNbDZOflSSXS61vb+bHBxAR5/gHw0Wf1aFip70/kg2i15Cr&#10;dMWohmV2D+ICJNmaJ3uu0jwBWZXy/w/VGQAA//8DAFBLAQItABQABgAIAAAAIQC2gziS/gAAAOEB&#10;AAATAAAAAAAAAAAAAAAAAAAAAABbQ29udGVudF9UeXBlc10ueG1sUEsBAi0AFAAGAAgAAAAhADj9&#10;If/WAAAAlAEAAAsAAAAAAAAAAAAAAAAALwEAAF9yZWxzLy5yZWxzUEsBAi0AFAAGAAgAAAAhAHRD&#10;YQASAgAAAAQAAA4AAAAAAAAAAAAAAAAALgIAAGRycy9lMm9Eb2MueG1sUEsBAi0AFAAGAAgAAAAh&#10;AJU7oHzeAAAACwEAAA8AAAAAAAAAAAAAAAAAbAQAAGRycy9kb3ducmV2LnhtbFBLBQYAAAAABAAE&#10;APMAAAB3BQAAAAA=&#10;" filled="f" stroked="f">
                <v:textbox>
                  <w:txbxContent>
                    <w:p w14:paraId="1DB05ABD" w14:textId="05AAA025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B8272D">
                        <w:t>61,0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B8272D">
                        <w:t>0</w:t>
                      </w:r>
                      <w:r w:rsidR="00A14EA4">
                        <w:t>,</w:t>
                      </w:r>
                      <w:r w:rsidR="0096565D">
                        <w:t xml:space="preserve">8 p. </w:t>
                      </w:r>
                      <w:r w:rsidR="00B8272D">
                        <w:t>proc. mniej niż w 2019</w:t>
                      </w:r>
                      <w:r w:rsidR="00512F05">
                        <w:t xml:space="preserve"> r</w:t>
                      </w:r>
                      <w:r w:rsidR="00395881"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3115A2C8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60B79C10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</w:t>
                            </w:r>
                            <w:r w:rsidR="00557D75" w:rsidRPr="00557D75">
                              <w:t xml:space="preserve">nowo oddanego mieszkania </w:t>
                            </w:r>
                            <w:r w:rsidR="00423192">
                              <w:t xml:space="preserve">w </w:t>
                            </w:r>
                            <w:r w:rsidR="00A2488E">
                              <w:t>styczniu</w:t>
                            </w:r>
                            <w:r w:rsidR="00423192">
                              <w:t xml:space="preserve"> </w:t>
                            </w:r>
                            <w:r w:rsidR="00A2488E">
                              <w:t>2020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</w:t>
                            </w:r>
                            <w:r w:rsidR="00A2488E">
                              <w:t xml:space="preserve"> 92,9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60B79C10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</w:t>
                      </w:r>
                      <w:r w:rsidR="00557D75" w:rsidRPr="00557D75">
                        <w:t xml:space="preserve">nowo oddanego mieszkania </w:t>
                      </w:r>
                      <w:r w:rsidR="00423192">
                        <w:t xml:space="preserve">w </w:t>
                      </w:r>
                      <w:r w:rsidR="00A2488E">
                        <w:t>styczniu</w:t>
                      </w:r>
                      <w:r w:rsidR="00423192">
                        <w:t xml:space="preserve"> </w:t>
                      </w:r>
                      <w:r w:rsidR="00A2488E">
                        <w:t>2020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</w:t>
                      </w:r>
                      <w:r w:rsidR="00A2488E">
                        <w:t xml:space="preserve"> 92,9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B05C82">
        <w:rPr>
          <w:shd w:val="clear" w:color="auto" w:fill="FFFFFF"/>
        </w:rPr>
        <w:t>styczniu 2020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866ED0">
        <w:rPr>
          <w:shd w:val="clear" w:color="auto" w:fill="FFFFFF"/>
        </w:rPr>
        <w:t>17,4</w:t>
      </w:r>
      <w:r w:rsidR="003B1105"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>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0565D8">
        <w:rPr>
          <w:shd w:val="clear" w:color="auto" w:fill="FFFFFF"/>
        </w:rPr>
        <w:t>, tj. </w:t>
      </w:r>
      <w:r w:rsidR="00866ED0">
        <w:rPr>
          <w:shd w:val="clear" w:color="auto" w:fill="FFFFFF"/>
        </w:rPr>
        <w:t>o 0</w:t>
      </w:r>
      <w:r w:rsidR="00DB1E64">
        <w:rPr>
          <w:shd w:val="clear" w:color="auto" w:fill="FFFFFF"/>
        </w:rPr>
        <w:t>,</w:t>
      </w:r>
      <w:r w:rsidR="00866ED0">
        <w:rPr>
          <w:shd w:val="clear" w:color="auto" w:fill="FFFFFF"/>
        </w:rPr>
        <w:t>5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866ED0">
        <w:rPr>
          <w:shd w:val="clear" w:color="auto" w:fill="FFFFFF"/>
        </w:rPr>
        <w:t>10,6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F779CC">
        <w:rPr>
          <w:shd w:val="clear" w:color="auto" w:fill="FFFFFF"/>
        </w:rPr>
        <w:t>0,8</w:t>
      </w:r>
      <w:r w:rsidR="00434C9F" w:rsidRPr="00DA0F32">
        <w:rPr>
          <w:shd w:val="clear" w:color="auto" w:fill="FFFFFF"/>
        </w:rPr>
        <w:t xml:space="preserve">% </w:t>
      </w:r>
      <w:r w:rsidR="00F779CC">
        <w:rPr>
          <w:shd w:val="clear" w:color="auto" w:fill="FFFFFF"/>
        </w:rPr>
        <w:t>mniej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F779CC">
        <w:rPr>
          <w:shd w:val="clear" w:color="auto" w:fill="FFFFFF"/>
        </w:rPr>
        <w:t>miesiącu</w:t>
      </w:r>
      <w:r w:rsidR="007F4DFE">
        <w:rPr>
          <w:shd w:val="clear" w:color="auto" w:fill="FFFFFF"/>
        </w:rPr>
        <w:t xml:space="preserve"> </w:t>
      </w:r>
      <w:r w:rsidR="00F779CC">
        <w:rPr>
          <w:shd w:val="clear" w:color="auto" w:fill="FFFFFF"/>
        </w:rPr>
        <w:t>2019</w:t>
      </w:r>
      <w:r w:rsidR="00512F05">
        <w:rPr>
          <w:shd w:val="clear" w:color="auto" w:fill="FFFFFF"/>
        </w:rPr>
        <w:t xml:space="preserve"> r.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C343F0">
        <w:rPr>
          <w:b/>
          <w:shd w:val="clear" w:color="auto" w:fill="FFFFFF"/>
        </w:rPr>
        <w:t>i</w:t>
      </w:r>
      <w:r w:rsidR="00DD4E61" w:rsidRPr="00C343F0">
        <w:rPr>
          <w:b/>
          <w:shd w:val="clear" w:color="auto" w:fill="FFFFFF"/>
        </w:rPr>
        <w:t>nwestorzy</w:t>
      </w:r>
      <w:r w:rsidR="00DD4E61">
        <w:rPr>
          <w:shd w:val="clear" w:color="auto" w:fill="FFFFFF"/>
        </w:rPr>
        <w:t xml:space="preserve"> </w:t>
      </w:r>
      <w:r w:rsidR="007F4DFE" w:rsidRPr="007F4DFE">
        <w:rPr>
          <w:b/>
          <w:shd w:val="clear" w:color="auto" w:fill="FFFFFF"/>
        </w:rPr>
        <w:t>indywidualni</w:t>
      </w:r>
      <w:r w:rsidR="00D4256C">
        <w:rPr>
          <w:b/>
          <w:szCs w:val="19"/>
          <w:shd w:val="clear" w:color="auto" w:fill="FFFFFF"/>
          <w:vertAlign w:val="superscript"/>
        </w:rPr>
        <w:t>2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F779CC">
        <w:rPr>
          <w:shd w:val="clear" w:color="auto" w:fill="FFFFFF"/>
        </w:rPr>
        <w:t>6,4 </w:t>
      </w:r>
      <w:r w:rsidR="00F816A1" w:rsidRPr="00DA0F32">
        <w:rPr>
          <w:shd w:val="clear" w:color="auto" w:fill="FFFFFF"/>
        </w:rPr>
        <w:t>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F779CC">
        <w:rPr>
          <w:shd w:val="clear" w:color="auto" w:fill="FFFFFF"/>
        </w:rPr>
        <w:t>2,6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F779CC">
        <w:rPr>
          <w:shd w:val="clear" w:color="auto" w:fill="FFFFFF"/>
        </w:rPr>
        <w:t xml:space="preserve"> 2019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51691A">
        <w:rPr>
          <w:shd w:val="clear" w:color="auto" w:fill="FFFFFF"/>
        </w:rPr>
        <w:t>8</w:t>
      </w:r>
      <w:r w:rsidR="00525CAC" w:rsidRPr="00DA0F32">
        <w:rPr>
          <w:shd w:val="clear" w:color="auto" w:fill="FFFFFF"/>
        </w:rPr>
        <w:t>,</w:t>
      </w:r>
      <w:r w:rsidR="0051691A">
        <w:rPr>
          <w:shd w:val="clear" w:color="auto" w:fill="FFFFFF"/>
        </w:rPr>
        <w:t>0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51691A">
        <w:rPr>
          <w:shd w:val="clear" w:color="auto" w:fill="FFFFFF"/>
        </w:rPr>
        <w:t>Więcej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CE53D6">
        <w:rPr>
          <w:shd w:val="clear" w:color="auto" w:fill="FFFFFF"/>
        </w:rPr>
        <w:t>248</w:t>
      </w:r>
      <w:r w:rsidR="00B1192F" w:rsidRPr="00DA0F32">
        <w:rPr>
          <w:shd w:val="clear" w:color="auto" w:fill="FFFFFF"/>
        </w:rPr>
        <w:t xml:space="preserve"> wobec </w:t>
      </w:r>
      <w:r w:rsidR="00CE53D6">
        <w:rPr>
          <w:shd w:val="clear" w:color="auto" w:fill="FFFFFF"/>
        </w:rPr>
        <w:t>81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CE53D6">
        <w:rPr>
          <w:shd w:val="clear" w:color="auto" w:fill="FFFFFF"/>
        </w:rPr>
        <w:t>105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557D75">
        <w:rPr>
          <w:shd w:val="clear" w:color="auto" w:fill="FFFFFF"/>
        </w:rPr>
        <w:t xml:space="preserve"> </w:t>
      </w:r>
      <w:r w:rsidR="00310E69">
        <w:rPr>
          <w:shd w:val="clear" w:color="auto" w:fill="FFFFFF"/>
        </w:rPr>
        <w:t>(</w:t>
      </w:r>
      <w:r w:rsidR="00557D75">
        <w:rPr>
          <w:shd w:val="clear" w:color="auto" w:fill="FFFFFF"/>
        </w:rPr>
        <w:t xml:space="preserve">wobec 263 w </w:t>
      </w:r>
      <w:r w:rsidR="00310E69">
        <w:rPr>
          <w:shd w:val="clear" w:color="auto" w:fill="FFFFFF"/>
        </w:rPr>
        <w:t>styczniu</w:t>
      </w:r>
      <w:r w:rsidR="00557D75">
        <w:rPr>
          <w:shd w:val="clear" w:color="auto" w:fill="FFFFFF"/>
        </w:rPr>
        <w:t xml:space="preserve"> </w:t>
      </w:r>
      <w:r w:rsidR="0090586F">
        <w:rPr>
          <w:shd w:val="clear" w:color="auto" w:fill="FFFFFF"/>
        </w:rPr>
        <w:t>ub. roku</w:t>
      </w:r>
      <w:r w:rsidR="00310E69">
        <w:rPr>
          <w:shd w:val="clear" w:color="auto" w:fill="FFFFFF"/>
        </w:rPr>
        <w:t>)</w:t>
      </w:r>
      <w:r w:rsidR="0033525D">
        <w:rPr>
          <w:shd w:val="clear" w:color="auto" w:fill="FFFFFF"/>
        </w:rPr>
        <w:t>.</w:t>
      </w:r>
    </w:p>
    <w:p w14:paraId="1E9416A7" w14:textId="7FA4E934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B8272D">
        <w:rPr>
          <w:shd w:val="clear" w:color="auto" w:fill="FFFFFF"/>
        </w:rPr>
        <w:t>styczniu</w:t>
      </w:r>
      <w:r w:rsidR="00A13514">
        <w:rPr>
          <w:shd w:val="clear" w:color="auto" w:fill="FFFFFF"/>
        </w:rPr>
        <w:t xml:space="preserve"> </w:t>
      </w:r>
      <w:r w:rsidR="00B8272D">
        <w:rPr>
          <w:shd w:val="clear" w:color="auto" w:fill="FFFFFF"/>
        </w:rPr>
        <w:t>2020</w:t>
      </w:r>
      <w:r w:rsidRPr="00DA0F32">
        <w:rPr>
          <w:shd w:val="clear" w:color="auto" w:fill="FFFFFF"/>
        </w:rPr>
        <w:t xml:space="preserve"> r. wyniosła </w:t>
      </w:r>
      <w:r w:rsidR="00B8272D">
        <w:rPr>
          <w:shd w:val="clear" w:color="auto" w:fill="FFFFFF"/>
        </w:rPr>
        <w:t>1</w:t>
      </w:r>
      <w:r w:rsidR="00612D21">
        <w:rPr>
          <w:shd w:val="clear" w:color="auto" w:fill="FFFFFF"/>
        </w:rPr>
        <w:t>,</w:t>
      </w:r>
      <w:r w:rsidR="00B8272D">
        <w:rPr>
          <w:shd w:val="clear" w:color="auto" w:fill="FFFFFF"/>
        </w:rPr>
        <w:t>6</w:t>
      </w:r>
      <w:r w:rsidR="009D48C2">
        <w:rPr>
          <w:shd w:val="clear" w:color="auto" w:fill="FFFFFF"/>
        </w:rPr>
        <w:t xml:space="preserve">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B8272D">
        <w:rPr>
          <w:shd w:val="clear" w:color="auto" w:fill="FFFFFF"/>
        </w:rPr>
        <w:t>3</w:t>
      </w:r>
      <w:r w:rsidRPr="00DA0F32">
        <w:rPr>
          <w:shd w:val="clear" w:color="auto" w:fill="FFFFFF"/>
        </w:rPr>
        <w:t>,</w:t>
      </w:r>
      <w:r w:rsidR="00B8272D">
        <w:rPr>
          <w:shd w:val="clear" w:color="auto" w:fill="FFFFFF"/>
        </w:rPr>
        <w:t>3</w:t>
      </w:r>
      <w:r w:rsidRPr="00DA0F32">
        <w:rPr>
          <w:shd w:val="clear" w:color="auto" w:fill="FFFFFF"/>
        </w:rPr>
        <w:t xml:space="preserve">% więcej niż w analogicznym </w:t>
      </w:r>
      <w:r w:rsidR="00B8272D">
        <w:rPr>
          <w:shd w:val="clear" w:color="auto" w:fill="FFFFFF"/>
        </w:rPr>
        <w:t>miesiącu</w:t>
      </w:r>
      <w:r w:rsidRPr="00DA0F32">
        <w:rPr>
          <w:shd w:val="clear" w:color="auto" w:fill="FFFFFF"/>
        </w:rPr>
        <w:t xml:space="preserve"> roku </w:t>
      </w:r>
      <w:r w:rsidR="00B8272D"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. </w:t>
      </w:r>
      <w:r w:rsidR="00B8272D">
        <w:rPr>
          <w:shd w:val="clear" w:color="auto" w:fill="FFFFFF"/>
        </w:rPr>
        <w:t xml:space="preserve">W porównaniu do </w:t>
      </w:r>
      <w:r w:rsidR="00C343F0">
        <w:rPr>
          <w:shd w:val="clear" w:color="auto" w:fill="FFFFFF"/>
        </w:rPr>
        <w:t>stycznia</w:t>
      </w:r>
      <w:r w:rsidR="00B8272D">
        <w:rPr>
          <w:shd w:val="clear" w:color="auto" w:fill="FFFFFF"/>
        </w:rPr>
        <w:t xml:space="preserve"> 2019</w:t>
      </w:r>
      <w:r w:rsidR="004E0216" w:rsidRPr="004E0216">
        <w:rPr>
          <w:shd w:val="clear" w:color="auto" w:fill="FFFFFF"/>
        </w:rPr>
        <w:t xml:space="preserve">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B8272D">
        <w:rPr>
          <w:shd w:val="clear" w:color="auto" w:fill="FFFFFF"/>
        </w:rPr>
        <w:t>zwiększyła się o 2</w:t>
      </w:r>
      <w:r w:rsidR="005662CD">
        <w:rPr>
          <w:shd w:val="clear" w:color="auto" w:fill="FFFFFF"/>
        </w:rPr>
        <w:t>,</w:t>
      </w:r>
      <w:r w:rsidR="00B8272D">
        <w:rPr>
          <w:shd w:val="clear" w:color="auto" w:fill="FFFFFF"/>
        </w:rPr>
        <w:t>6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A2488E">
        <w:rPr>
          <w:shd w:val="clear" w:color="auto" w:fill="FFFFFF"/>
        </w:rPr>
        <w:t>92,9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2"/>
        <w:tblpPr w:leftFromText="141" w:rightFromText="141" w:vertAnchor="text" w:horzAnchor="margin" w:tblpY="368"/>
        <w:tblW w:w="8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13"/>
        <w:gridCol w:w="2008"/>
        <w:gridCol w:w="1920"/>
        <w:gridCol w:w="1761"/>
      </w:tblGrid>
      <w:tr w:rsidR="008A44DB" w:rsidRPr="008A44DB" w14:paraId="27019692" w14:textId="77777777" w:rsidTr="00310E69">
        <w:trPr>
          <w:trHeight w:val="256"/>
        </w:trPr>
        <w:tc>
          <w:tcPr>
            <w:tcW w:w="231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76A495DD" w14:textId="3CD303C5" w:rsidR="008A44DB" w:rsidRPr="008A44DB" w:rsidRDefault="008A44DB" w:rsidP="00A216F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8A44DB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</w:t>
            </w:r>
            <w:r w:rsidR="00A216F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YSZCZEGÓLNIENIE</w:t>
            </w:r>
          </w:p>
        </w:tc>
        <w:tc>
          <w:tcPr>
            <w:tcW w:w="568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14:paraId="23163BD1" w14:textId="3927F761" w:rsidR="008A44DB" w:rsidRPr="008A44DB" w:rsidRDefault="00FF7835" w:rsidP="0090586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90586F">
              <w:rPr>
                <w:color w:val="000000" w:themeColor="text1"/>
                <w:sz w:val="16"/>
                <w:szCs w:val="16"/>
              </w:rPr>
              <w:t>I</w:t>
            </w:r>
            <w:r w:rsidR="00A216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8A44DB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8A44DB" w:rsidRPr="008A44DB" w14:paraId="5AEAB60A" w14:textId="77777777" w:rsidTr="008A44DB">
        <w:trPr>
          <w:trHeight w:val="21"/>
        </w:trPr>
        <w:tc>
          <w:tcPr>
            <w:tcW w:w="2313" w:type="dxa"/>
            <w:vMerge/>
            <w:tcBorders>
              <w:top w:val="single" w:sz="12" w:space="0" w:color="212492"/>
              <w:left w:val="nil"/>
              <w:bottom w:val="single" w:sz="12" w:space="0" w:color="212492"/>
            </w:tcBorders>
            <w:vAlign w:val="center"/>
          </w:tcPr>
          <w:p w14:paraId="02FA2A1F" w14:textId="77777777" w:rsidR="008A44DB" w:rsidRPr="008A44DB" w:rsidRDefault="008A44DB" w:rsidP="008A44DB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22E9AE3" w14:textId="77777777" w:rsidR="008A44DB" w:rsidRPr="008A44DB" w:rsidRDefault="008A44DB" w:rsidP="008A44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5397F0D" w14:textId="75CFBC38" w:rsidR="008A44DB" w:rsidRPr="008A44DB" w:rsidRDefault="005E55FE" w:rsidP="005E55F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="008A44DB">
              <w:rPr>
                <w:color w:val="000000" w:themeColor="text1"/>
                <w:sz w:val="16"/>
                <w:szCs w:val="16"/>
              </w:rPr>
              <w:t>2019</w:t>
            </w:r>
            <w:r w:rsidR="008A44DB" w:rsidRPr="008A44D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275592C" w14:textId="4E03515E" w:rsidR="008A44DB" w:rsidRPr="008A44DB" w:rsidRDefault="005E55FE" w:rsidP="005E55F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XII </w:t>
            </w:r>
            <w:r w:rsidR="008A44DB">
              <w:rPr>
                <w:color w:val="000000" w:themeColor="text1"/>
                <w:sz w:val="16"/>
                <w:szCs w:val="16"/>
              </w:rPr>
              <w:t>2019</w:t>
            </w:r>
            <w:r w:rsidR="008A44DB" w:rsidRPr="008A44DB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A44DB" w:rsidRPr="008A44DB" w14:paraId="3DEED931" w14:textId="77777777" w:rsidTr="008A44DB">
        <w:trPr>
          <w:trHeight w:val="60"/>
        </w:trPr>
        <w:tc>
          <w:tcPr>
            <w:tcW w:w="2313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79567B4A" w14:textId="4D458DB6" w:rsidR="008A44DB" w:rsidRPr="008A44DB" w:rsidRDefault="00A216F9" w:rsidP="008A44DB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08" w:type="dxa"/>
            <w:tcBorders>
              <w:top w:val="single" w:sz="4" w:space="0" w:color="212492"/>
            </w:tcBorders>
            <w:vAlign w:val="center"/>
          </w:tcPr>
          <w:p w14:paraId="05C4C80A" w14:textId="50F5833B" w:rsidR="008A44DB" w:rsidRPr="008A44DB" w:rsidRDefault="008A44DB" w:rsidP="008A44D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A44DB">
              <w:rPr>
                <w:b/>
                <w:color w:val="000000" w:themeColor="text1"/>
                <w:sz w:val="16"/>
                <w:szCs w:val="16"/>
              </w:rPr>
              <w:t>17 409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93AC860" w14:textId="43566E3A" w:rsidR="008A44DB" w:rsidRPr="008A44DB" w:rsidRDefault="008A44DB" w:rsidP="008A44D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A44DB">
              <w:rPr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761" w:type="dxa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0F25F32E" w14:textId="3300761E" w:rsidR="008A44DB" w:rsidRPr="008A44DB" w:rsidRDefault="00E35357" w:rsidP="008A44D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35357">
              <w:rPr>
                <w:b/>
                <w:color w:val="000000" w:themeColor="text1"/>
                <w:sz w:val="16"/>
                <w:szCs w:val="16"/>
              </w:rPr>
              <w:t>75,9</w:t>
            </w:r>
          </w:p>
        </w:tc>
      </w:tr>
      <w:tr w:rsidR="008A44DB" w:rsidRPr="008A44DB" w14:paraId="6212EBED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F0F1075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2008" w:type="dxa"/>
            <w:vAlign w:val="center"/>
          </w:tcPr>
          <w:p w14:paraId="4FF7224F" w14:textId="6C788D7C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6 434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56EC0751" w14:textId="4AA98742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7E1875E" w14:textId="55B4E94E" w:rsidR="008A44DB" w:rsidRPr="008A44DB" w:rsidRDefault="00E35357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84,2</w:t>
            </w:r>
          </w:p>
        </w:tc>
      </w:tr>
      <w:tr w:rsidR="008A44DB" w:rsidRPr="008A44DB" w14:paraId="15EE74E8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AF1C794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2008" w:type="dxa"/>
            <w:vAlign w:val="center"/>
          </w:tcPr>
          <w:p w14:paraId="7882427E" w14:textId="43583DEE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10 622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383DD1C9" w14:textId="71501692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A5E928" w14:textId="6BC0F0F2" w:rsidR="008A44DB" w:rsidRPr="008A44DB" w:rsidRDefault="00E35357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72,6</w:t>
            </w:r>
          </w:p>
        </w:tc>
      </w:tr>
      <w:tr w:rsidR="008A44DB" w:rsidRPr="008A44DB" w14:paraId="2FA64187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07A5CB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na wynajem</w:t>
            </w:r>
            <w:r w:rsidRPr="008A44DB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2008" w:type="dxa"/>
            <w:vAlign w:val="center"/>
          </w:tcPr>
          <w:p w14:paraId="587061D1" w14:textId="47298545" w:rsidR="008A44DB" w:rsidRPr="008A44DB" w:rsidRDefault="00254171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254171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A657F8A" w14:textId="45F914EB" w:rsidR="008A44DB" w:rsidRPr="008A44DB" w:rsidRDefault="008A44DB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2DAD18F" w14:textId="7C68E1E9" w:rsidR="008A44DB" w:rsidRPr="008A44DB" w:rsidRDefault="00E35357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130,6</w:t>
            </w:r>
          </w:p>
        </w:tc>
      </w:tr>
      <w:tr w:rsidR="008A44DB" w:rsidRPr="008A44DB" w14:paraId="48339A1B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CA512" w14:textId="77777777" w:rsidR="008A44DB" w:rsidRPr="008A44DB" w:rsidRDefault="008A44DB" w:rsidP="008A44D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2008" w:type="dxa"/>
            <w:vAlign w:val="center"/>
          </w:tcPr>
          <w:p w14:paraId="03C572E4" w14:textId="6A2EFB65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48D55604" w14:textId="0650D32E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306,2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B51B257" w14:textId="2A65C227" w:rsidR="008A44DB" w:rsidRPr="008A44DB" w:rsidRDefault="00E35357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162,1</w:t>
            </w:r>
          </w:p>
        </w:tc>
      </w:tr>
      <w:tr w:rsidR="008A44DB" w:rsidRPr="008A44DB" w14:paraId="4E809E83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EABEA3A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14:paraId="2445ACE8" w14:textId="42B199BC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007013F" w14:textId="08AEC84F" w:rsidR="008A44DB" w:rsidRPr="008A44DB" w:rsidRDefault="008A44DB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13,9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7C793DF" w14:textId="0A5030B0" w:rsidR="008A44DB" w:rsidRPr="008A44DB" w:rsidRDefault="00E35357" w:rsidP="008A44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6,3</w:t>
            </w:r>
          </w:p>
        </w:tc>
      </w:tr>
      <w:tr w:rsidR="008A44DB" w:rsidRPr="008A44DB" w14:paraId="59C0A08D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74DF2E3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2008" w:type="dxa"/>
            <w:tcBorders>
              <w:bottom w:val="single" w:sz="4" w:space="0" w:color="212492"/>
            </w:tcBorders>
            <w:vAlign w:val="center"/>
          </w:tcPr>
          <w:p w14:paraId="446BCC80" w14:textId="01C2F67D" w:rsidR="008A44DB" w:rsidRPr="008A44DB" w:rsidRDefault="008A44DB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920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69122C3" w14:textId="2420A4C9" w:rsidR="008A44DB" w:rsidRPr="008A44DB" w:rsidRDefault="008A44DB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176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8EF91FE" w14:textId="0BDF4C59" w:rsidR="008A44DB" w:rsidRPr="008A44DB" w:rsidRDefault="00E35357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E35357">
              <w:rPr>
                <w:color w:val="000000" w:themeColor="text1"/>
                <w:sz w:val="16"/>
                <w:szCs w:val="16"/>
              </w:rPr>
              <w:t>34,7</w:t>
            </w:r>
          </w:p>
        </w:tc>
      </w:tr>
      <w:tr w:rsidR="008A44DB" w:rsidRPr="008A44DB" w14:paraId="18AC1511" w14:textId="77777777" w:rsidTr="008A44DB">
        <w:trPr>
          <w:trHeight w:val="60"/>
        </w:trPr>
        <w:tc>
          <w:tcPr>
            <w:tcW w:w="2313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4DDC34E9" w14:textId="77777777" w:rsidR="008A44DB" w:rsidRPr="008A44DB" w:rsidRDefault="008A44DB" w:rsidP="008A44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A44D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2008" w:type="dxa"/>
            <w:tcBorders>
              <w:top w:val="single" w:sz="4" w:space="0" w:color="212492"/>
              <w:bottom w:val="nil"/>
            </w:tcBorders>
            <w:vAlign w:val="center"/>
          </w:tcPr>
          <w:p w14:paraId="13E6B9DF" w14:textId="3E2381F0" w:rsidR="008A44DB" w:rsidRPr="008A44DB" w:rsidRDefault="008A44DB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A44D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157550B8" w14:textId="4A4352CD" w:rsidR="008A44DB" w:rsidRPr="008A44DB" w:rsidRDefault="007C2031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61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50A658DE" w14:textId="21DBBC4A" w:rsidR="008A44DB" w:rsidRPr="008A44DB" w:rsidRDefault="007C2031" w:rsidP="008A44DB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B3475F2" w14:textId="0A0AD542" w:rsidR="004D06AC" w:rsidRPr="008F0617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9A6B72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1F58458F" w14:textId="77777777" w:rsidR="000565D8" w:rsidRDefault="00C17251" w:rsidP="00A52737">
      <w:pPr>
        <w:spacing w:before="0" w:after="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0222A1D2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857F61">
                              <w:t>zmniejszyła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C343F0">
                              <w:t>styczniu</w:t>
                            </w:r>
                            <w:r w:rsidR="00857F61">
                              <w:t xml:space="preserve"> 2020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857F61">
                              <w:t xml:space="preserve"> o 11,0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0222A1D2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857F61">
                        <w:t>zmniejszyła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C343F0">
                        <w:t>styczniu</w:t>
                      </w:r>
                      <w:r w:rsidR="00857F61">
                        <w:t xml:space="preserve"> 2020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857F61">
                        <w:t xml:space="preserve"> o 11,0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E35357">
        <w:rPr>
          <w:shd w:val="clear" w:color="auto" w:fill="FFFFFF"/>
        </w:rPr>
        <w:t>styczniu 2020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B91AC6">
        <w:rPr>
          <w:shd w:val="clear" w:color="auto" w:fill="FFFFFF"/>
        </w:rPr>
        <w:t>18,4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0565D8">
        <w:rPr>
          <w:shd w:val="clear" w:color="auto" w:fill="FFFFFF"/>
        </w:rPr>
        <w:t>mieszkań, tj. </w:t>
      </w:r>
      <w:r w:rsidR="00350F22">
        <w:rPr>
          <w:shd w:val="clear" w:color="auto" w:fill="FFFFFF"/>
        </w:rPr>
        <w:t xml:space="preserve">o </w:t>
      </w:r>
      <w:r w:rsidR="00B91AC6">
        <w:rPr>
          <w:shd w:val="clear" w:color="auto" w:fill="FFFFFF"/>
        </w:rPr>
        <w:t>11,0</w:t>
      </w:r>
      <w:r w:rsidR="00A0335F" w:rsidRPr="00DA0F32">
        <w:rPr>
          <w:shd w:val="clear" w:color="auto" w:fill="FFFFFF"/>
        </w:rPr>
        <w:t xml:space="preserve">% </w:t>
      </w:r>
      <w:r w:rsidR="00B91AC6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B91AC6">
        <w:rPr>
          <w:shd w:val="clear" w:color="auto" w:fill="FFFFFF"/>
        </w:rPr>
        <w:t>miesiącu</w:t>
      </w:r>
      <w:r w:rsidR="00BC207E" w:rsidRPr="00DA0F32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>roku</w:t>
      </w:r>
      <w:r w:rsidR="00B91AC6">
        <w:rPr>
          <w:shd w:val="clear" w:color="auto" w:fill="FFFFFF"/>
        </w:rPr>
        <w:t xml:space="preserve"> 2019</w:t>
      </w:r>
      <w:r w:rsidR="007162C8" w:rsidRPr="00DA0F32">
        <w:rPr>
          <w:shd w:val="clear" w:color="auto" w:fill="FFFFFF"/>
        </w:rPr>
        <w:t xml:space="preserve">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B91AC6">
        <w:rPr>
          <w:shd w:val="clear" w:color="auto" w:fill="FFFFFF"/>
        </w:rPr>
        <w:t>11,5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FD1955">
        <w:rPr>
          <w:shd w:val="clear" w:color="auto" w:fill="FFFFFF"/>
        </w:rPr>
        <w:t>6,8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1A6B">
        <w:rPr>
          <w:shd w:val="clear" w:color="auto" w:fill="FFFFFF"/>
        </w:rPr>
        <w:t xml:space="preserve">, </w:t>
      </w:r>
    </w:p>
    <w:p w14:paraId="769D71DE" w14:textId="4D765F89" w:rsidR="00833D4E" w:rsidRPr="00A54EC5" w:rsidRDefault="00A01A6B" w:rsidP="00A52737">
      <w:pPr>
        <w:spacing w:before="0" w:after="0"/>
        <w:rPr>
          <w:b/>
          <w:shd w:val="clear" w:color="auto" w:fill="FFFFFF"/>
        </w:rPr>
      </w:pPr>
      <w:r>
        <w:rPr>
          <w:shd w:val="clear" w:color="auto" w:fill="FFFFFF"/>
        </w:rPr>
        <w:t xml:space="preserve">tj. </w:t>
      </w:r>
      <w:r w:rsidR="00B91AC6">
        <w:rPr>
          <w:shd w:val="clear" w:color="auto" w:fill="FFFFFF"/>
        </w:rPr>
        <w:t>odpowiednio o 17,8</w:t>
      </w:r>
      <w:r w:rsidR="00FD1955">
        <w:rPr>
          <w:shd w:val="clear" w:color="auto" w:fill="FFFFFF"/>
        </w:rPr>
        <w:t>%</w:t>
      </w:r>
      <w:r w:rsidR="00B91AC6">
        <w:rPr>
          <w:shd w:val="clear" w:color="auto" w:fill="FFFFFF"/>
        </w:rPr>
        <w:t xml:space="preserve"> mniej</w:t>
      </w:r>
      <w:r w:rsidR="00FD1955">
        <w:rPr>
          <w:shd w:val="clear" w:color="auto" w:fill="FFFFFF"/>
        </w:rPr>
        <w:t xml:space="preserve"> i </w:t>
      </w:r>
      <w:r w:rsidR="00B91AC6">
        <w:rPr>
          <w:shd w:val="clear" w:color="auto" w:fill="FFFFFF"/>
        </w:rPr>
        <w:t>13,0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więcej</w:t>
      </w:r>
      <w:r w:rsidR="003531A5">
        <w:rPr>
          <w:shd w:val="clear" w:color="auto" w:fill="FFFFFF"/>
        </w:rPr>
        <w:t xml:space="preserve"> niż w </w:t>
      </w:r>
      <w:r w:rsidR="00B91AC6">
        <w:rPr>
          <w:shd w:val="clear" w:color="auto" w:fill="FFFFFF"/>
        </w:rPr>
        <w:t>styczniu 2019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B91AC6">
        <w:rPr>
          <w:shd w:val="clear" w:color="auto" w:fill="FFFFFF"/>
        </w:rPr>
        <w:t xml:space="preserve"> 99</w:t>
      </w:r>
      <w:r w:rsidR="00FD1955">
        <w:rPr>
          <w:shd w:val="clear" w:color="auto" w:fill="FFFFFF"/>
        </w:rPr>
        <w:t>,4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C343F0">
        <w:rPr>
          <w:shd w:val="clear" w:color="auto" w:fill="FFFFFF"/>
        </w:rPr>
        <w:t xml:space="preserve">niż w styczniu </w:t>
      </w:r>
      <w:r w:rsidR="00B91AC6">
        <w:rPr>
          <w:shd w:val="clear" w:color="auto" w:fill="FFFFFF"/>
        </w:rPr>
        <w:t>2019</w:t>
      </w:r>
      <w:r w:rsidR="006631D9">
        <w:rPr>
          <w:shd w:val="clear" w:color="auto" w:fill="FFFFFF"/>
        </w:rPr>
        <w:t xml:space="preserve"> r.</w:t>
      </w:r>
      <w:r w:rsidR="00CE2C3A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0565D8">
        <w:rPr>
          <w:shd w:val="clear" w:color="auto" w:fill="FFFFFF"/>
        </w:rPr>
        <w:t>w </w:t>
      </w:r>
      <w:r w:rsidR="001753B5" w:rsidRPr="00DA0F32">
        <w:rPr>
          <w:shd w:val="clear" w:color="auto" w:fill="FFFFFF"/>
        </w:rPr>
        <w:t>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B91AC6">
        <w:rPr>
          <w:shd w:val="clear" w:color="auto" w:fill="FFFFFF"/>
        </w:rPr>
        <w:t>4</w:t>
      </w:r>
      <w:r w:rsidR="00994BA3">
        <w:rPr>
          <w:shd w:val="clear" w:color="auto" w:fill="FFFFFF"/>
        </w:rPr>
        <w:t xml:space="preserve"> </w:t>
      </w:r>
      <w:r w:rsidR="00B91AC6">
        <w:rPr>
          <w:shd w:val="clear" w:color="auto" w:fill="FFFFFF"/>
        </w:rPr>
        <w:t>mieszkania</w:t>
      </w:r>
      <w:r w:rsidR="001753B5" w:rsidRPr="007D1F83">
        <w:rPr>
          <w:shd w:val="clear" w:color="auto" w:fill="FFFFFF"/>
        </w:rPr>
        <w:t xml:space="preserve"> </w:t>
      </w:r>
      <w:r w:rsidR="00A0335F" w:rsidRPr="007D1F83">
        <w:rPr>
          <w:shd w:val="clear" w:color="auto" w:fill="FFFFFF"/>
        </w:rPr>
        <w:t xml:space="preserve">wobec </w:t>
      </w:r>
      <w:r w:rsidR="00B91AC6">
        <w:rPr>
          <w:shd w:val="clear" w:color="auto" w:fill="FFFFFF"/>
        </w:rPr>
        <w:t>40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B91AC6">
        <w:rPr>
          <w:shd w:val="clear" w:color="auto" w:fill="FFFFFF"/>
        </w:rPr>
        <w:t>103</w:t>
      </w:r>
      <w:r w:rsidR="00FD1955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wobec </w:t>
      </w:r>
      <w:r w:rsidR="00B91AC6">
        <w:rPr>
          <w:shd w:val="clear" w:color="auto" w:fill="FFFFFF"/>
        </w:rPr>
        <w:t>628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3"/>
        <w:tblpPr w:leftFromText="141" w:rightFromText="141" w:vertAnchor="text" w:horzAnchor="margin" w:tblpY="400"/>
        <w:tblW w:w="7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09"/>
        <w:gridCol w:w="2005"/>
        <w:gridCol w:w="1917"/>
        <w:gridCol w:w="1757"/>
      </w:tblGrid>
      <w:tr w:rsidR="00857F61" w:rsidRPr="00857F61" w14:paraId="49BA1554" w14:textId="77777777" w:rsidTr="00310E69">
        <w:trPr>
          <w:trHeight w:val="114"/>
        </w:trPr>
        <w:tc>
          <w:tcPr>
            <w:tcW w:w="2309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169D92F3" w14:textId="4D4D3DE8" w:rsidR="00857F61" w:rsidRPr="00857F61" w:rsidRDefault="00A216F9" w:rsidP="00857F61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A216F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212492"/>
              <w:right w:val="nil"/>
            </w:tcBorders>
            <w:vAlign w:val="center"/>
          </w:tcPr>
          <w:p w14:paraId="361B207C" w14:textId="29297184" w:rsidR="00857F61" w:rsidRPr="00857F61" w:rsidRDefault="00857F61" w:rsidP="00857F6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I 2020</w:t>
            </w:r>
          </w:p>
        </w:tc>
      </w:tr>
      <w:tr w:rsidR="00857F61" w:rsidRPr="00857F61" w14:paraId="49169889" w14:textId="77777777" w:rsidTr="00DE4108">
        <w:trPr>
          <w:trHeight w:val="20"/>
        </w:trPr>
        <w:tc>
          <w:tcPr>
            <w:tcW w:w="2309" w:type="dxa"/>
            <w:vMerge/>
            <w:tcBorders>
              <w:left w:val="nil"/>
              <w:bottom w:val="single" w:sz="12" w:space="0" w:color="212492"/>
            </w:tcBorders>
            <w:vAlign w:val="center"/>
          </w:tcPr>
          <w:p w14:paraId="02D12105" w14:textId="77777777" w:rsidR="00857F61" w:rsidRPr="00857F61" w:rsidRDefault="00857F61" w:rsidP="00857F6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0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BEC66B4" w14:textId="77777777" w:rsidR="00857F61" w:rsidRPr="00857F61" w:rsidRDefault="00857F61" w:rsidP="00857F6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D203BC1" w14:textId="639338BC" w:rsidR="00857F61" w:rsidRPr="00857F61" w:rsidRDefault="00857F61" w:rsidP="005E55F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I</w:t>
            </w:r>
            <w:r w:rsidR="005E55F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2019</w:t>
            </w:r>
            <w:r w:rsidRPr="00857F6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6F7635" w14:textId="37C92B02" w:rsidR="00857F61" w:rsidRPr="00857F61" w:rsidRDefault="00857F61" w:rsidP="005E55F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XII</w:t>
            </w:r>
            <w:r w:rsidR="005E55F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2019</w:t>
            </w:r>
            <w:r w:rsidRPr="00857F6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57F61" w:rsidRPr="00857F61" w14:paraId="34FED633" w14:textId="77777777" w:rsidTr="00DE4108">
        <w:trPr>
          <w:trHeight w:val="58"/>
        </w:trPr>
        <w:tc>
          <w:tcPr>
            <w:tcW w:w="2309" w:type="dxa"/>
            <w:tcBorders>
              <w:top w:val="single" w:sz="4" w:space="0" w:color="212492"/>
              <w:left w:val="nil"/>
            </w:tcBorders>
            <w:vAlign w:val="center"/>
          </w:tcPr>
          <w:p w14:paraId="02E68BFA" w14:textId="5C59E1D9" w:rsidR="00857F61" w:rsidRPr="00857F61" w:rsidRDefault="00A216F9" w:rsidP="00857F6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A216F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005" w:type="dxa"/>
            <w:tcBorders>
              <w:top w:val="single" w:sz="4" w:space="0" w:color="212492"/>
            </w:tcBorders>
            <w:vAlign w:val="center"/>
          </w:tcPr>
          <w:p w14:paraId="61949EE1" w14:textId="36A0D9D3" w:rsidR="00857F61" w:rsidRPr="00857F61" w:rsidRDefault="00857F61" w:rsidP="00857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7F61">
              <w:rPr>
                <w:b/>
                <w:color w:val="000000" w:themeColor="text1"/>
                <w:sz w:val="16"/>
                <w:szCs w:val="16"/>
              </w:rPr>
              <w:t>18 370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1DA00C43" w14:textId="4C09B31D" w:rsidR="00857F61" w:rsidRPr="00857F61" w:rsidRDefault="00857F61" w:rsidP="00857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7F61">
              <w:rPr>
                <w:b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0032DC0" w14:textId="7264ED32" w:rsidR="00857F61" w:rsidRPr="00857F61" w:rsidRDefault="00857F61" w:rsidP="00857F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57F61">
              <w:rPr>
                <w:b/>
                <w:color w:val="000000" w:themeColor="text1"/>
                <w:sz w:val="16"/>
                <w:szCs w:val="16"/>
              </w:rPr>
              <w:t>91,4</w:t>
            </w:r>
          </w:p>
        </w:tc>
      </w:tr>
      <w:tr w:rsidR="00857F61" w:rsidRPr="00857F61" w14:paraId="2A3F06BE" w14:textId="77777777" w:rsidTr="00DE4108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2F6C25E4" w14:textId="77777777" w:rsidR="00857F61" w:rsidRPr="00857F61" w:rsidRDefault="00857F61" w:rsidP="00857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57F6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2005" w:type="dxa"/>
            <w:vAlign w:val="center"/>
          </w:tcPr>
          <w:p w14:paraId="62F65A9E" w14:textId="47778385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6 813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1FFF417B" w14:textId="2B369330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113,0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7FDC9C" w14:textId="1C69CC42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857F61" w:rsidRPr="00857F61" w14:paraId="60C60006" w14:textId="77777777" w:rsidTr="00DE4108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4EF27818" w14:textId="77777777" w:rsidR="00857F61" w:rsidRPr="00857F61" w:rsidRDefault="00857F61" w:rsidP="00857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57F6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2005" w:type="dxa"/>
            <w:vAlign w:val="center"/>
          </w:tcPr>
          <w:p w14:paraId="46F61F17" w14:textId="744F5B56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11 450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B137E2F" w14:textId="02905435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82,2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5DCC031" w14:textId="15BDCEEE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rFonts w:cs="Arial"/>
                <w:color w:val="000000" w:themeColor="text1"/>
                <w:sz w:val="16"/>
                <w:szCs w:val="16"/>
              </w:rPr>
              <w:t>87,8</w:t>
            </w:r>
          </w:p>
        </w:tc>
      </w:tr>
      <w:tr w:rsidR="00857F61" w:rsidRPr="00857F61" w14:paraId="003B47E0" w14:textId="77777777" w:rsidTr="00DE4108">
        <w:trPr>
          <w:trHeight w:val="58"/>
        </w:trPr>
        <w:tc>
          <w:tcPr>
            <w:tcW w:w="2309" w:type="dxa"/>
            <w:tcBorders>
              <w:left w:val="nil"/>
            </w:tcBorders>
            <w:vAlign w:val="center"/>
          </w:tcPr>
          <w:p w14:paraId="26FBD96C" w14:textId="77777777" w:rsidR="00857F61" w:rsidRPr="00857F61" w:rsidRDefault="00857F61" w:rsidP="00857F61">
            <w:pPr>
              <w:keepNext/>
              <w:keepLines/>
              <w:tabs>
                <w:tab w:val="right" w:leader="dot" w:pos="4156"/>
              </w:tabs>
              <w:spacing w:before="0" w:after="0"/>
              <w:ind w:left="29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857F61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2005" w:type="dxa"/>
            <w:vAlign w:val="center"/>
          </w:tcPr>
          <w:p w14:paraId="26D0C5A6" w14:textId="67B4A2F5" w:rsidR="00857F61" w:rsidRPr="00857F61" w:rsidRDefault="00857F6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323B3ABC" w14:textId="3EC2973F" w:rsidR="00857F61" w:rsidRPr="00857F61" w:rsidRDefault="00857F6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10,0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5491870" w14:textId="6EED0830" w:rsidR="00857F61" w:rsidRPr="00857F61" w:rsidRDefault="007C203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857F61" w:rsidRPr="00857F61" w14:paraId="42E43F70" w14:textId="77777777" w:rsidTr="00DE4108">
        <w:trPr>
          <w:trHeight w:val="58"/>
        </w:trPr>
        <w:tc>
          <w:tcPr>
            <w:tcW w:w="2309" w:type="dxa"/>
            <w:tcBorders>
              <w:left w:val="nil"/>
              <w:bottom w:val="single" w:sz="4" w:space="0" w:color="212492"/>
            </w:tcBorders>
            <w:vAlign w:val="center"/>
          </w:tcPr>
          <w:p w14:paraId="7D40FEEA" w14:textId="77777777" w:rsidR="00857F61" w:rsidRPr="00857F61" w:rsidRDefault="00857F61" w:rsidP="00857F6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2005" w:type="dxa"/>
            <w:tcBorders>
              <w:bottom w:val="single" w:sz="4" w:space="0" w:color="212492"/>
            </w:tcBorders>
            <w:vAlign w:val="center"/>
          </w:tcPr>
          <w:p w14:paraId="41804D19" w14:textId="63378D65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21A8422" w14:textId="559AEBD7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4BF433" w14:textId="756393A6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32,2</w:t>
            </w:r>
          </w:p>
        </w:tc>
      </w:tr>
      <w:tr w:rsidR="00857F61" w:rsidRPr="00857F61" w14:paraId="4F4F0D18" w14:textId="77777777" w:rsidTr="00DE4108">
        <w:trPr>
          <w:trHeight w:val="58"/>
        </w:trPr>
        <w:tc>
          <w:tcPr>
            <w:tcW w:w="2309" w:type="dxa"/>
            <w:tcBorders>
              <w:left w:val="nil"/>
              <w:bottom w:val="single" w:sz="4" w:space="0" w:color="212492"/>
            </w:tcBorders>
            <w:vAlign w:val="center"/>
          </w:tcPr>
          <w:p w14:paraId="49628FB7" w14:textId="77777777" w:rsidR="00857F61" w:rsidRPr="00857F61" w:rsidRDefault="00857F61" w:rsidP="00857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57F6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2005" w:type="dxa"/>
            <w:tcBorders>
              <w:bottom w:val="single" w:sz="4" w:space="0" w:color="212492"/>
            </w:tcBorders>
            <w:vAlign w:val="center"/>
          </w:tcPr>
          <w:p w14:paraId="65304C20" w14:textId="75F6560A" w:rsidR="00857F61" w:rsidRPr="00857F61" w:rsidRDefault="00857F6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17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08E55001" w14:textId="0FA5C6BC" w:rsidR="00857F61" w:rsidRPr="00857F61" w:rsidRDefault="007C203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57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3AEAD0" w14:textId="7D7454F6" w:rsidR="00857F61" w:rsidRPr="00857F61" w:rsidRDefault="007C2031" w:rsidP="00857F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857F61" w:rsidRPr="00857F61" w14:paraId="00535041" w14:textId="77777777" w:rsidTr="00DE4108">
        <w:trPr>
          <w:trHeight w:val="58"/>
        </w:trPr>
        <w:tc>
          <w:tcPr>
            <w:tcW w:w="230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26B64243" w14:textId="77777777" w:rsidR="00857F61" w:rsidRPr="00857F61" w:rsidRDefault="00857F61" w:rsidP="00857F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857F6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2005" w:type="dxa"/>
            <w:tcBorders>
              <w:top w:val="single" w:sz="4" w:space="0" w:color="212492"/>
              <w:bottom w:val="nil"/>
            </w:tcBorders>
            <w:vAlign w:val="center"/>
          </w:tcPr>
          <w:p w14:paraId="3918D770" w14:textId="4A38AA6D" w:rsidR="00857F61" w:rsidRPr="00857F61" w:rsidRDefault="00857F6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857F6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17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090DA807" w14:textId="731FBBEC" w:rsidR="00857F61" w:rsidRPr="00857F61" w:rsidRDefault="007C203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57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6BF3BAD4" w14:textId="7CFA026B" w:rsidR="00857F61" w:rsidRPr="00857F61" w:rsidRDefault="007C2031" w:rsidP="00857F61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5B4052F2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857F61">
        <w:rPr>
          <w:noProof/>
          <w:lang w:eastAsia="pl-PL"/>
        </w:rPr>
        <w:t>styczniu 2020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857F61">
        <w:rPr>
          <w:noProof/>
          <w:lang w:eastAsia="pl-PL"/>
        </w:rPr>
        <w:t>15,9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857F61">
        <w:rPr>
          <w:shd w:val="clear" w:color="auto" w:fill="FFFFFF"/>
        </w:rPr>
        <w:t>18</w:t>
      </w:r>
      <w:r w:rsidR="003C0165" w:rsidRPr="00DA0F32">
        <w:rPr>
          <w:shd w:val="clear" w:color="auto" w:fill="FFFFFF"/>
        </w:rPr>
        <w:t>,</w:t>
      </w:r>
      <w:r w:rsidR="00857F61">
        <w:rPr>
          <w:shd w:val="clear" w:color="auto" w:fill="FFFFFF"/>
        </w:rPr>
        <w:t>2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857F61">
        <w:rPr>
          <w:shd w:val="clear" w:color="auto" w:fill="FFFFFF"/>
        </w:rPr>
        <w:t>miesiącu</w:t>
      </w:r>
      <w:r w:rsidR="00434C10" w:rsidRPr="00DA0F32">
        <w:rPr>
          <w:shd w:val="clear" w:color="auto" w:fill="FFFFFF"/>
        </w:rPr>
        <w:t xml:space="preserve"> roku</w:t>
      </w:r>
      <w:r w:rsidR="00857F61">
        <w:rPr>
          <w:shd w:val="clear" w:color="auto" w:fill="FFFFFF"/>
        </w:rPr>
        <w:t xml:space="preserve"> 2019</w:t>
      </w:r>
      <w:r w:rsidR="00434C10" w:rsidRPr="00DA0F32">
        <w:rPr>
          <w:shd w:val="clear" w:color="auto" w:fill="FFFFFF"/>
        </w:rPr>
        <w:t xml:space="preserve">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857F61">
        <w:rPr>
          <w:shd w:val="clear" w:color="auto" w:fill="FFFFFF"/>
        </w:rPr>
        <w:t>10</w:t>
      </w:r>
      <w:r w:rsidR="001B4DCC">
        <w:rPr>
          <w:shd w:val="clear" w:color="auto" w:fill="FFFFFF"/>
        </w:rPr>
        <w:t>,0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857F61">
        <w:rPr>
          <w:shd w:val="clear" w:color="auto" w:fill="FFFFFF"/>
        </w:rPr>
        <w:t>5,4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57F61">
        <w:rPr>
          <w:shd w:val="clear" w:color="auto" w:fill="FFFFFF"/>
        </w:rPr>
        <w:t>ącznie 97,2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E0E06">
        <w:rPr>
          <w:shd w:val="clear" w:color="auto" w:fill="FFFFFF"/>
        </w:rPr>
        <w:t xml:space="preserve">i w budownictwie </w:t>
      </w:r>
      <w:r w:rsidR="00833D4E">
        <w:rPr>
          <w:shd w:val="clear" w:color="auto" w:fill="FFFFFF"/>
        </w:rPr>
        <w:t>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AD30E6">
        <w:rPr>
          <w:shd w:val="clear" w:color="auto" w:fill="FFFFFF"/>
        </w:rPr>
        <w:t>2,1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AD30E6">
        <w:rPr>
          <w:shd w:val="clear" w:color="auto" w:fill="FFFFFF"/>
        </w:rPr>
        <w:t>i 62,6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AD30E6">
        <w:rPr>
          <w:shd w:val="clear" w:color="auto" w:fill="FFFFFF"/>
        </w:rPr>
        <w:t>w odniesieniu do 2019</w:t>
      </w:r>
      <w:r w:rsidR="00247C71">
        <w:rPr>
          <w:shd w:val="clear" w:color="auto" w:fill="FFFFFF"/>
        </w:rPr>
        <w:t xml:space="preserve"> r. </w:t>
      </w:r>
      <w:r w:rsidR="00D77B37">
        <w:rPr>
          <w:shd w:val="clear" w:color="auto" w:fill="FFFFFF"/>
        </w:rPr>
        <w:t>Natomiast m</w:t>
      </w:r>
      <w:r w:rsidR="009218D1">
        <w:rPr>
          <w:shd w:val="clear" w:color="auto" w:fill="FFFFFF"/>
        </w:rPr>
        <w:t>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AD30E6">
        <w:rPr>
          <w:shd w:val="clear" w:color="auto" w:fill="FFFFFF"/>
        </w:rPr>
        <w:t>157</w:t>
      </w:r>
      <w:r w:rsidR="001B4DCC" w:rsidRPr="001B4DCC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AD30E6">
        <w:rPr>
          <w:shd w:val="clear" w:color="auto" w:fill="FFFFFF"/>
        </w:rPr>
        <w:t>219</w:t>
      </w:r>
      <w:r w:rsidR="00FB21E1">
        <w:rPr>
          <w:shd w:val="clear" w:color="auto" w:fill="FFFFFF"/>
        </w:rPr>
        <w:t xml:space="preserve">), </w:t>
      </w:r>
      <w:r w:rsidR="009134D5">
        <w:rPr>
          <w:shd w:val="clear" w:color="auto" w:fill="FFFFFF"/>
        </w:rPr>
        <w:t>a</w:t>
      </w:r>
      <w:r w:rsidR="00FB21E1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>w</w:t>
      </w:r>
      <w:r w:rsidR="00FB21E1">
        <w:rPr>
          <w:shd w:val="clear" w:color="auto" w:fill="FFFFFF"/>
        </w:rPr>
        <w:t>ięcej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AD30E6">
        <w:rPr>
          <w:shd w:val="clear" w:color="auto" w:fill="FFFFFF"/>
        </w:rPr>
        <w:t>285</w:t>
      </w:r>
      <w:r w:rsidR="008E0E06">
        <w:rPr>
          <w:shd w:val="clear" w:color="auto" w:fill="FFFFFF"/>
        </w:rPr>
        <w:t> 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AD30E6">
        <w:rPr>
          <w:shd w:val="clear" w:color="auto" w:fill="FFFFFF"/>
        </w:rPr>
        <w:t>71</w:t>
      </w:r>
      <w:r w:rsidR="00336412">
        <w:rPr>
          <w:shd w:val="clear" w:color="auto" w:fill="FFFFFF"/>
        </w:rPr>
        <w:t>).</w:t>
      </w:r>
    </w:p>
    <w:p w14:paraId="2523F3F1" w14:textId="1A9176D9" w:rsidR="00007AEB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</w:t>
      </w:r>
      <w:bookmarkStart w:id="0" w:name="_GoBack"/>
      <w:bookmarkEnd w:id="0"/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ych budowę rozpoczęto</w:t>
      </w:r>
    </w:p>
    <w:tbl>
      <w:tblPr>
        <w:tblStyle w:val="Siatkatabelijasna24"/>
        <w:tblpPr w:leftFromText="141" w:rightFromText="141" w:vertAnchor="text" w:horzAnchor="margin" w:tblpY="16"/>
        <w:tblW w:w="7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73"/>
        <w:gridCol w:w="1972"/>
        <w:gridCol w:w="1886"/>
        <w:gridCol w:w="1732"/>
      </w:tblGrid>
      <w:tr w:rsidR="00AD30E6" w:rsidRPr="00AD30E6" w14:paraId="7EE0B24F" w14:textId="77777777" w:rsidTr="00A216F9">
        <w:trPr>
          <w:trHeight w:val="114"/>
        </w:trPr>
        <w:tc>
          <w:tcPr>
            <w:tcW w:w="2273" w:type="dxa"/>
            <w:vMerge w:val="restart"/>
            <w:tcBorders>
              <w:top w:val="nil"/>
              <w:left w:val="nil"/>
              <w:bottom w:val="single" w:sz="12" w:space="0" w:color="212492"/>
            </w:tcBorders>
            <w:vAlign w:val="center"/>
          </w:tcPr>
          <w:p w14:paraId="01E865D4" w14:textId="2E0D8745" w:rsidR="00AD30E6" w:rsidRPr="00AD30E6" w:rsidRDefault="00A216F9" w:rsidP="00AD30E6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A216F9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590" w:type="dxa"/>
            <w:gridSpan w:val="3"/>
            <w:tcBorders>
              <w:top w:val="nil"/>
              <w:right w:val="nil"/>
            </w:tcBorders>
            <w:vAlign w:val="center"/>
          </w:tcPr>
          <w:p w14:paraId="4B971A81" w14:textId="7DA0494A" w:rsidR="00AD30E6" w:rsidRPr="00AD30E6" w:rsidRDefault="00131962" w:rsidP="00AD30E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I 2020</w:t>
            </w:r>
          </w:p>
        </w:tc>
      </w:tr>
      <w:tr w:rsidR="00AD30E6" w:rsidRPr="00AD30E6" w14:paraId="381CFEB0" w14:textId="77777777" w:rsidTr="00DE4108">
        <w:trPr>
          <w:trHeight w:val="20"/>
        </w:trPr>
        <w:tc>
          <w:tcPr>
            <w:tcW w:w="2273" w:type="dxa"/>
            <w:vMerge/>
            <w:tcBorders>
              <w:left w:val="nil"/>
              <w:bottom w:val="single" w:sz="12" w:space="0" w:color="212492"/>
            </w:tcBorders>
            <w:vAlign w:val="center"/>
          </w:tcPr>
          <w:p w14:paraId="0D2583AD" w14:textId="77777777" w:rsidR="00AD30E6" w:rsidRPr="00AD30E6" w:rsidRDefault="00AD30E6" w:rsidP="00AD30E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72" w:type="dxa"/>
            <w:tcBorders>
              <w:bottom w:val="single" w:sz="12" w:space="0" w:color="212492"/>
            </w:tcBorders>
            <w:vAlign w:val="center"/>
          </w:tcPr>
          <w:p w14:paraId="73394ACD" w14:textId="77777777" w:rsidR="00AD30E6" w:rsidRPr="00AD30E6" w:rsidRDefault="00AD30E6" w:rsidP="00AD30E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30E6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886" w:type="dxa"/>
            <w:tcBorders>
              <w:bottom w:val="single" w:sz="12" w:space="0" w:color="212492"/>
            </w:tcBorders>
            <w:vAlign w:val="center"/>
          </w:tcPr>
          <w:p w14:paraId="7109CFC3" w14:textId="5B5A7AA4" w:rsidR="00AD30E6" w:rsidRPr="00AD30E6" w:rsidRDefault="00AD30E6" w:rsidP="00310E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30E6">
              <w:rPr>
                <w:color w:val="000000" w:themeColor="text1"/>
                <w:sz w:val="16"/>
                <w:szCs w:val="16"/>
              </w:rPr>
              <w:t>I</w:t>
            </w:r>
            <w:r w:rsidR="00310E69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1962">
              <w:rPr>
                <w:color w:val="000000" w:themeColor="text1"/>
                <w:sz w:val="16"/>
                <w:szCs w:val="16"/>
              </w:rPr>
              <w:t>2019</w:t>
            </w:r>
            <w:r w:rsidRPr="00AD30E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30" w:type="dxa"/>
            <w:tcBorders>
              <w:bottom w:val="single" w:sz="12" w:space="0" w:color="212492"/>
              <w:right w:val="nil"/>
            </w:tcBorders>
            <w:vAlign w:val="center"/>
          </w:tcPr>
          <w:p w14:paraId="2B174E20" w14:textId="1266B8E4" w:rsidR="00AD30E6" w:rsidRPr="00AD30E6" w:rsidRDefault="00AD30E6" w:rsidP="00310E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D30E6">
              <w:rPr>
                <w:color w:val="000000" w:themeColor="text1"/>
                <w:sz w:val="16"/>
                <w:szCs w:val="16"/>
              </w:rPr>
              <w:t>XII</w:t>
            </w:r>
            <w:r w:rsidR="00310E69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1962">
              <w:rPr>
                <w:color w:val="000000" w:themeColor="text1"/>
                <w:sz w:val="16"/>
                <w:szCs w:val="16"/>
              </w:rPr>
              <w:t>2019</w:t>
            </w:r>
            <w:r w:rsidRPr="00AD30E6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D30E6" w:rsidRPr="00AD30E6" w14:paraId="63EB634C" w14:textId="77777777" w:rsidTr="00DE4108">
        <w:trPr>
          <w:trHeight w:val="59"/>
        </w:trPr>
        <w:tc>
          <w:tcPr>
            <w:tcW w:w="2273" w:type="dxa"/>
            <w:tcBorders>
              <w:top w:val="single" w:sz="4" w:space="0" w:color="212492"/>
              <w:left w:val="nil"/>
            </w:tcBorders>
            <w:vAlign w:val="center"/>
          </w:tcPr>
          <w:p w14:paraId="4B637057" w14:textId="03A5B26C" w:rsidR="00AD30E6" w:rsidRPr="00AD30E6" w:rsidRDefault="00A216F9" w:rsidP="00AD30E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A216F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972" w:type="dxa"/>
            <w:tcBorders>
              <w:top w:val="single" w:sz="4" w:space="0" w:color="212492"/>
            </w:tcBorders>
            <w:vAlign w:val="center"/>
          </w:tcPr>
          <w:p w14:paraId="40D9A19B" w14:textId="2C8B6C92" w:rsidR="00AD30E6" w:rsidRPr="00AD30E6" w:rsidRDefault="00131962" w:rsidP="00AD30E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31962">
              <w:rPr>
                <w:b/>
                <w:color w:val="000000" w:themeColor="text1"/>
                <w:sz w:val="16"/>
                <w:szCs w:val="16"/>
              </w:rPr>
              <w:t>15 891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781995A4" w14:textId="128F47AF" w:rsidR="00AD30E6" w:rsidRPr="00AD30E6" w:rsidRDefault="00131962" w:rsidP="00AD30E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31962">
              <w:rPr>
                <w:b/>
                <w:color w:val="000000" w:themeColor="text1"/>
                <w:sz w:val="16"/>
                <w:szCs w:val="16"/>
              </w:rPr>
              <w:t>118,2</w:t>
            </w:r>
          </w:p>
        </w:tc>
        <w:tc>
          <w:tcPr>
            <w:tcW w:w="1730" w:type="dxa"/>
            <w:tcBorders>
              <w:top w:val="single" w:sz="12" w:space="0" w:color="212492"/>
              <w:right w:val="nil"/>
            </w:tcBorders>
            <w:vAlign w:val="center"/>
          </w:tcPr>
          <w:p w14:paraId="088EA8B8" w14:textId="36DAE706" w:rsidR="00AD30E6" w:rsidRPr="00AD30E6" w:rsidRDefault="00131962" w:rsidP="00AD30E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31962">
              <w:rPr>
                <w:b/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AD30E6" w:rsidRPr="00AD30E6" w14:paraId="694CDCB8" w14:textId="77777777" w:rsidTr="00DE4108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584D4D40" w14:textId="77777777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D30E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972" w:type="dxa"/>
            <w:vAlign w:val="center"/>
          </w:tcPr>
          <w:p w14:paraId="289966A5" w14:textId="7BFE5244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5 420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0038BFB" w14:textId="5E428511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162,6</w:t>
            </w:r>
          </w:p>
        </w:tc>
        <w:tc>
          <w:tcPr>
            <w:tcW w:w="1730" w:type="dxa"/>
            <w:tcBorders>
              <w:right w:val="nil"/>
            </w:tcBorders>
            <w:vAlign w:val="center"/>
          </w:tcPr>
          <w:p w14:paraId="431DCCF6" w14:textId="22B73306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138,2</w:t>
            </w:r>
          </w:p>
        </w:tc>
      </w:tr>
      <w:tr w:rsidR="00AD30E6" w:rsidRPr="00AD30E6" w14:paraId="32579A31" w14:textId="77777777" w:rsidTr="00DE4108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44BC7980" w14:textId="77777777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D30E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972" w:type="dxa"/>
            <w:tcBorders>
              <w:bottom w:val="single" w:sz="4" w:space="0" w:color="212492"/>
            </w:tcBorders>
            <w:vAlign w:val="center"/>
          </w:tcPr>
          <w:p w14:paraId="0D8E0A9B" w14:textId="3B91C1CB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10 029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1D398D64" w14:textId="4348694B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730" w:type="dxa"/>
            <w:tcBorders>
              <w:bottom w:val="single" w:sz="4" w:space="0" w:color="212492"/>
              <w:right w:val="nil"/>
            </w:tcBorders>
            <w:vAlign w:val="center"/>
          </w:tcPr>
          <w:p w14:paraId="43F1E7D4" w14:textId="75E94426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86,3</w:t>
            </w:r>
          </w:p>
        </w:tc>
      </w:tr>
      <w:tr w:rsidR="00AD30E6" w:rsidRPr="00AD30E6" w14:paraId="3692625B" w14:textId="77777777" w:rsidTr="00DE4108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65C30C09" w14:textId="79FEF0C6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AD30E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 tym na wynajem</w:t>
            </w:r>
            <w:r w:rsidR="000409DE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14:paraId="06B1A4FE" w14:textId="131D3CFF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68135114" w14:textId="20EA94E1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425,0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481A5DEF" w14:textId="3FB1641E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rFonts w:cs="Arial"/>
                <w:color w:val="000000" w:themeColor="text1"/>
                <w:sz w:val="16"/>
                <w:szCs w:val="16"/>
              </w:rPr>
              <w:t>51,5</w:t>
            </w:r>
          </w:p>
        </w:tc>
      </w:tr>
      <w:tr w:rsidR="00AD30E6" w:rsidRPr="00AD30E6" w14:paraId="632781FF" w14:textId="77777777" w:rsidTr="00DE4108">
        <w:trPr>
          <w:trHeight w:val="59"/>
        </w:trPr>
        <w:tc>
          <w:tcPr>
            <w:tcW w:w="2273" w:type="dxa"/>
            <w:tcBorders>
              <w:left w:val="nil"/>
            </w:tcBorders>
            <w:vAlign w:val="center"/>
          </w:tcPr>
          <w:p w14:paraId="28D4104E" w14:textId="77777777" w:rsidR="00AD30E6" w:rsidRPr="00AD30E6" w:rsidRDefault="00AD30E6" w:rsidP="00AD30E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AD30E6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212492"/>
            </w:tcBorders>
            <w:vAlign w:val="center"/>
          </w:tcPr>
          <w:p w14:paraId="6A82529B" w14:textId="445F136B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4A7EF15" w14:textId="3493DC13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212492"/>
              <w:right w:val="nil"/>
            </w:tcBorders>
            <w:vAlign w:val="center"/>
          </w:tcPr>
          <w:p w14:paraId="598BCC3F" w14:textId="1B0B88F5" w:rsidR="00AD30E6" w:rsidRPr="00AD30E6" w:rsidRDefault="007C2031" w:rsidP="008F061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AD30E6" w:rsidRPr="00AD30E6" w14:paraId="0460330A" w14:textId="77777777" w:rsidTr="00DE4108">
        <w:trPr>
          <w:trHeight w:val="59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14:paraId="7DB3102A" w14:textId="77777777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D30E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980171D" w14:textId="774DBCDB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212492"/>
              <w:right w:val="single" w:sz="4" w:space="0" w:color="auto"/>
            </w:tcBorders>
            <w:vAlign w:val="center"/>
          </w:tcPr>
          <w:p w14:paraId="2203971E" w14:textId="61872C91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261,1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C91CBB" w14:textId="4402E9D6" w:rsidR="00AD30E6" w:rsidRPr="00AD30E6" w:rsidRDefault="00131962" w:rsidP="00AD30E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40,2</w:t>
            </w:r>
          </w:p>
        </w:tc>
      </w:tr>
      <w:tr w:rsidR="00AD30E6" w:rsidRPr="00AD30E6" w14:paraId="4DFEE16F" w14:textId="77777777" w:rsidTr="00DE4108">
        <w:trPr>
          <w:trHeight w:val="59"/>
        </w:trPr>
        <w:tc>
          <w:tcPr>
            <w:tcW w:w="2273" w:type="dxa"/>
            <w:tcBorders>
              <w:left w:val="nil"/>
              <w:bottom w:val="single" w:sz="4" w:space="0" w:color="212492"/>
            </w:tcBorders>
            <w:vAlign w:val="center"/>
          </w:tcPr>
          <w:p w14:paraId="7992B8E8" w14:textId="77777777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D30E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972" w:type="dxa"/>
            <w:tcBorders>
              <w:top w:val="single" w:sz="4" w:space="0" w:color="212492"/>
              <w:bottom w:val="single" w:sz="4" w:space="0" w:color="auto"/>
            </w:tcBorders>
            <w:vAlign w:val="center"/>
          </w:tcPr>
          <w:p w14:paraId="0CCC97EB" w14:textId="73A539F8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886" w:type="dxa"/>
            <w:tcBorders>
              <w:top w:val="single" w:sz="4" w:space="0" w:color="212492"/>
              <w:bottom w:val="single" w:sz="4" w:space="0" w:color="auto"/>
              <w:right w:val="single" w:sz="4" w:space="0" w:color="auto"/>
            </w:tcBorders>
            <w:vAlign w:val="center"/>
          </w:tcPr>
          <w:p w14:paraId="1FECBAC2" w14:textId="2D1B03A7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422,6</w:t>
            </w:r>
          </w:p>
        </w:tc>
        <w:tc>
          <w:tcPr>
            <w:tcW w:w="1730" w:type="dxa"/>
            <w:tcBorders>
              <w:top w:val="single" w:sz="4" w:space="0" w:color="212492"/>
              <w:bottom w:val="single" w:sz="4" w:space="0" w:color="auto"/>
              <w:right w:val="nil"/>
            </w:tcBorders>
            <w:vAlign w:val="center"/>
          </w:tcPr>
          <w:p w14:paraId="57C57AA5" w14:textId="1E95CE82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111,4</w:t>
            </w:r>
          </w:p>
        </w:tc>
      </w:tr>
      <w:tr w:rsidR="00AD30E6" w:rsidRPr="00AD30E6" w14:paraId="51DA6696" w14:textId="77777777" w:rsidTr="00DE4108">
        <w:trPr>
          <w:trHeight w:val="59"/>
        </w:trPr>
        <w:tc>
          <w:tcPr>
            <w:tcW w:w="2273" w:type="dxa"/>
            <w:tcBorders>
              <w:left w:val="nil"/>
              <w:bottom w:val="nil"/>
            </w:tcBorders>
            <w:vAlign w:val="center"/>
          </w:tcPr>
          <w:p w14:paraId="461B42D4" w14:textId="51519054" w:rsidR="00AD30E6" w:rsidRPr="00AD30E6" w:rsidRDefault="00AD30E6" w:rsidP="00AD30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D30E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972" w:type="dxa"/>
            <w:tcBorders>
              <w:top w:val="single" w:sz="4" w:space="0" w:color="212492"/>
              <w:bottom w:val="nil"/>
            </w:tcBorders>
            <w:vAlign w:val="center"/>
          </w:tcPr>
          <w:p w14:paraId="1EDFA140" w14:textId="6395FE4C" w:rsidR="00AD30E6" w:rsidRPr="00AD30E6" w:rsidRDefault="00131962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131962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86" w:type="dxa"/>
            <w:tcBorders>
              <w:top w:val="single" w:sz="4" w:space="0" w:color="212492"/>
              <w:bottom w:val="nil"/>
              <w:right w:val="single" w:sz="4" w:space="0" w:color="auto"/>
            </w:tcBorders>
            <w:vAlign w:val="center"/>
          </w:tcPr>
          <w:p w14:paraId="0439CCC0" w14:textId="73C63818" w:rsidR="00AD30E6" w:rsidRPr="00AD30E6" w:rsidRDefault="007C2031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30" w:type="dxa"/>
            <w:tcBorders>
              <w:top w:val="single" w:sz="4" w:space="0" w:color="212492"/>
              <w:bottom w:val="nil"/>
              <w:right w:val="nil"/>
            </w:tcBorders>
            <w:vAlign w:val="center"/>
          </w:tcPr>
          <w:p w14:paraId="38709394" w14:textId="6C6283D2" w:rsidR="00AD30E6" w:rsidRPr="00AD30E6" w:rsidRDefault="007C2031" w:rsidP="00AD30E6">
            <w:pPr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5E74B479" w14:textId="079D3182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131962">
        <w:rPr>
          <w:shd w:val="clear" w:color="auto" w:fill="FFFFFF"/>
        </w:rPr>
        <w:t>stycznia 2020</w:t>
      </w:r>
      <w:r w:rsidR="00AB62E4">
        <w:rPr>
          <w:shd w:val="clear" w:color="auto" w:fill="FFFFFF"/>
        </w:rPr>
        <w:t xml:space="preserve"> r. w </w:t>
      </w:r>
      <w:r w:rsidR="00101571">
        <w:rPr>
          <w:shd w:val="clear" w:color="auto" w:fill="FFFFFF"/>
        </w:rPr>
        <w:t xml:space="preserve">budowie pozostawało </w:t>
      </w:r>
      <w:r w:rsidR="00CB5287">
        <w:rPr>
          <w:shd w:val="clear" w:color="auto" w:fill="FFFFFF"/>
        </w:rPr>
        <w:t>824</w:t>
      </w:r>
      <w:r w:rsidR="000C0B2E">
        <w:rPr>
          <w:shd w:val="clear" w:color="auto" w:fill="FFFFFF"/>
        </w:rPr>
        <w:t>,</w:t>
      </w:r>
      <w:r w:rsidR="00CB5287">
        <w:rPr>
          <w:shd w:val="clear" w:color="auto" w:fill="FFFFFF"/>
        </w:rPr>
        <w:t>2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CB5287">
        <w:rPr>
          <w:shd w:val="clear" w:color="auto" w:fill="FFFFFF"/>
        </w:rPr>
        <w:t>o 4,1</w:t>
      </w:r>
      <w:r>
        <w:rPr>
          <w:shd w:val="clear" w:color="auto" w:fill="FFFFFF"/>
        </w:rPr>
        <w:t xml:space="preserve">% więcej niż w analogicznym </w:t>
      </w:r>
      <w:r w:rsidR="00CB5287">
        <w:rPr>
          <w:shd w:val="clear" w:color="auto" w:fill="FFFFFF"/>
        </w:rPr>
        <w:t>miesiącu roku 2019</w:t>
      </w:r>
      <w:r w:rsidR="006631D9">
        <w:rPr>
          <w:shd w:val="clear" w:color="auto" w:fill="FFFFFF"/>
        </w:rPr>
        <w:t xml:space="preserve">. </w:t>
      </w:r>
    </w:p>
    <w:p w14:paraId="2FE01F02" w14:textId="0925DE79" w:rsidR="00047CF8" w:rsidRPr="00035886" w:rsidRDefault="008F0617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0A59AEAD" wp14:editId="5E9BB37A">
            <wp:simplePos x="0" y="0"/>
            <wp:positionH relativeFrom="margin">
              <wp:align>right</wp:align>
            </wp:positionH>
            <wp:positionV relativeFrom="paragraph">
              <wp:posOffset>6746</wp:posOffset>
            </wp:positionV>
            <wp:extent cx="5122545" cy="28956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7E4"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0AE93069" w14:textId="0B9FB66B" w:rsidR="00E56DD9" w:rsidRDefault="00440098" w:rsidP="00F113BA">
      <w:pPr>
        <w:rPr>
          <w:szCs w:val="19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5BA4C524">
                <wp:simplePos x="0" y="0"/>
                <wp:positionH relativeFrom="page">
                  <wp:posOffset>5774055</wp:posOffset>
                </wp:positionH>
                <wp:positionV relativeFrom="paragraph">
                  <wp:posOffset>59055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269485BC" w:rsidR="002D36F4" w:rsidRPr="00296B74" w:rsidRDefault="00F25C7B" w:rsidP="00C6203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301DF5">
                              <w:t>styczniu 2020</w:t>
                            </w:r>
                            <w:r w:rsidR="00440098">
                              <w:t xml:space="preserve"> roku</w:t>
                            </w:r>
                            <w:r w:rsidR="009E21D0" w:rsidRPr="00296B74">
                              <w:t>,</w:t>
                            </w:r>
                            <w:r w:rsidR="00440098">
                              <w:t xml:space="preserve"> w porównaniu </w:t>
                            </w:r>
                            <w:r w:rsidRPr="00296B74">
                              <w:t xml:space="preserve">do </w:t>
                            </w:r>
                            <w:r w:rsidR="00301DF5">
                              <w:t>grudnia 2019 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301DF5">
                              <w:t>spadła</w:t>
                            </w:r>
                            <w:r w:rsidR="006D4186" w:rsidRPr="006D4186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5861A1">
                              <w:t>(o </w:t>
                            </w:r>
                            <w:r w:rsidR="00301DF5">
                              <w:t>24,1</w:t>
                            </w:r>
                            <w:r w:rsidR="002D36F4">
                              <w:t>%</w:t>
                            </w:r>
                            <w:r w:rsidR="006D4186">
                              <w:t>)</w:t>
                            </w:r>
                            <w:r w:rsidR="002D36F4">
                              <w:t xml:space="preserve"> </w:t>
                            </w:r>
                            <w:r w:rsidR="000668BF">
                              <w:t xml:space="preserve">oraz </w:t>
                            </w:r>
                            <w:r w:rsidR="00FE19FF">
                              <w:t>l</w:t>
                            </w:r>
                            <w:r w:rsidR="002D36F4">
                              <w:t>iczba</w:t>
                            </w:r>
                            <w:r w:rsidR="00F84441" w:rsidRPr="00296B74">
                              <w:t xml:space="preserve"> mieszkań, na których budowę wydano pozwo</w:t>
                            </w:r>
                            <w:r w:rsidR="00C62034">
                              <w:t>lenia lub dokonano zgłoszenia z </w:t>
                            </w:r>
                            <w:r w:rsidR="00F84441" w:rsidRPr="00296B74">
                              <w:t xml:space="preserve">projektem budowlanym </w:t>
                            </w:r>
                            <w:r w:rsidR="00301DF5">
                              <w:t>(o 8,6</w:t>
                            </w:r>
                            <w:r w:rsidR="000668BF">
                              <w:t xml:space="preserve">%), natomiast </w:t>
                            </w:r>
                            <w:r w:rsidR="00301DF5">
                              <w:t>wzrosła</w:t>
                            </w:r>
                            <w:r w:rsidR="000668BF">
                              <w:t xml:space="preserve"> liczba mieszkań,</w:t>
                            </w:r>
                            <w:r w:rsidR="00301DF5">
                              <w:t xml:space="preserve"> których budowę rozpoczęto (o 0,2</w:t>
                            </w:r>
                            <w:r w:rsidR="000668BF">
                              <w:t>%).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4.65pt;margin-top:4.65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KwEwIAAP8DAAAOAAAAZHJzL2Uyb0RvYy54bWysU8GO2yAQvVfqPyDuje3ISXatOKvtblNV&#10;2rYrbfsBGOMYLTAUSOz06zvgJI3aW1UfEHiYN/PePNZ3o1bkIJyXYGpazHJKhOHQSrOr6fdv23c3&#10;lPjATMsUGFHTo/D0bvP2zXqwlZhDD6oVjiCI8dVga9qHYKss87wXmvkZWGEw2IHTLODR7bLWsQHR&#10;tcrmeb7MBnCtdcCF9/j3cQrSTcLvOsHD167zIhBVU+wtpNWltYlrtlmzaueY7SU/tcH+oQvNpMGi&#10;F6hHFhjZO/kXlJbcgYcuzDjoDLpOcpE4IJsi/4PNS8+sSFxQHG8vMvn/B8u/HJ4dkW1NS0oM0zii&#10;Z1CCBPHqAwyCzKNEg/UV3nyxeDeM72HEUSe63j4Bf/XEwEPPzE7cOwdDL1iLLRYxM7tKnXB8BGmG&#10;z9BiLbYPkIDGzumoHypCEB1HdbyMR4yB8FhytViWBYY4xooyL5fzNMCMVed063z4KECTuKmpw/kn&#10;eHZ48iG2w6rzlVjNwFYqlTygDBlqeruYL1LCVUTLgBZVUtf0Jo/fZJrI8oNpU3JgUk17LKDMiXZk&#10;OnEOYzMmkVdnNRtoj6iDg8mR+IJw04P7ScmAbqyp/7FnTlCiPhnU8rYoy2jfdCgXKyRO3HWkuY4w&#10;wxGqpoGSafsQkuUjZW/vUfOtTGrE4UydnFpGlyWRTi8i2vj6nG79frebXwAAAP//AwBQSwMEFAAG&#10;AAgAAAAhAILKb9/fAAAACgEAAA8AAABkcnMvZG93bnJldi54bWxMj81OwzAQhO9IvIO1SNyo3VSF&#10;JsSpKtSWI6VEnN14SSLiH9luGt6e7QlOu6sZzX5TriczsBFD7J2VMJ8JYGgbp3vbSqg/dg8rYDEp&#10;q9XgLEr4wQjr6vamVIV2F/uO4zG1jEJsLJSELiVfcB6bDo2KM+fRkvblglGJztByHdSFws3AMyEe&#10;uVG9pQ+d8vjSYfN9PBsJPvn902t4O2y2u1HUn/s669utlPd30+YZWMIp/Znhik/oUBHTyZ2tjmyQ&#10;kIt8QVZaaFz1+WqZAztJyBZiCbwq+f8K1S8AAAD//wMAUEsBAi0AFAAGAAgAAAAhALaDOJL+AAAA&#10;4QEAABMAAAAAAAAAAAAAAAAAAAAAAFtDb250ZW50X1R5cGVzXS54bWxQSwECLQAUAAYACAAAACEA&#10;OP0h/9YAAACUAQAACwAAAAAAAAAAAAAAAAAvAQAAX3JlbHMvLnJlbHNQSwECLQAUAAYACAAAACEA&#10;u81ysBMCAAD/AwAADgAAAAAAAAAAAAAAAAAuAgAAZHJzL2Uyb0RvYy54bWxQSwECLQAUAAYACAAA&#10;ACEAgspv398AAAAKAQAADwAAAAAAAAAAAAAAAABtBAAAZHJzL2Rvd25yZXYueG1sUEsFBgAAAAAE&#10;AAQA8wAAAHkFAAAAAA==&#10;" filled="f" stroked="f">
                <v:textbox style="mso-fit-shape-to-text:t">
                  <w:txbxContent>
                    <w:p w14:paraId="62FBD940" w14:textId="269485BC" w:rsidR="002D36F4" w:rsidRPr="00296B74" w:rsidRDefault="00F25C7B" w:rsidP="00C6203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301DF5">
                        <w:t>styczniu 2020</w:t>
                      </w:r>
                      <w:r w:rsidR="00440098">
                        <w:t xml:space="preserve"> roku</w:t>
                      </w:r>
                      <w:r w:rsidR="009E21D0" w:rsidRPr="00296B74">
                        <w:t>,</w:t>
                      </w:r>
                      <w:r w:rsidR="00440098">
                        <w:t xml:space="preserve"> w porównaniu </w:t>
                      </w:r>
                      <w:r w:rsidRPr="00296B74">
                        <w:t xml:space="preserve">do </w:t>
                      </w:r>
                      <w:r w:rsidR="00301DF5">
                        <w:t>grudnia 2019 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301DF5">
                        <w:t>spadła</w:t>
                      </w:r>
                      <w:r w:rsidR="006D4186" w:rsidRPr="006D4186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5861A1">
                        <w:t>(o </w:t>
                      </w:r>
                      <w:r w:rsidR="00301DF5">
                        <w:t>24,1</w:t>
                      </w:r>
                      <w:r w:rsidR="002D36F4">
                        <w:t>%</w:t>
                      </w:r>
                      <w:r w:rsidR="006D4186">
                        <w:t>)</w:t>
                      </w:r>
                      <w:r w:rsidR="002D36F4">
                        <w:t xml:space="preserve"> </w:t>
                      </w:r>
                      <w:r w:rsidR="000668BF">
                        <w:t xml:space="preserve">oraz </w:t>
                      </w:r>
                      <w:r w:rsidR="00FE19FF">
                        <w:t>l</w:t>
                      </w:r>
                      <w:r w:rsidR="002D36F4">
                        <w:t>iczba</w:t>
                      </w:r>
                      <w:r w:rsidR="00F84441" w:rsidRPr="00296B74">
                        <w:t xml:space="preserve"> mieszkań, na których budowę wydano pozwo</w:t>
                      </w:r>
                      <w:r w:rsidR="00C62034">
                        <w:t>lenia lub dokonano zgłoszenia z </w:t>
                      </w:r>
                      <w:r w:rsidR="00F84441" w:rsidRPr="00296B74">
                        <w:t xml:space="preserve">projektem budowlanym </w:t>
                      </w:r>
                      <w:r w:rsidR="00301DF5">
                        <w:t>(o 8,6</w:t>
                      </w:r>
                      <w:r w:rsidR="000668BF">
                        <w:t xml:space="preserve">%), natomiast </w:t>
                      </w:r>
                      <w:r w:rsidR="00301DF5">
                        <w:t>wzrosła</w:t>
                      </w:r>
                      <w:r w:rsidR="000668BF">
                        <w:t xml:space="preserve"> liczba mieszkań,</w:t>
                      </w:r>
                      <w:r w:rsidR="00301DF5">
                        <w:t xml:space="preserve"> których budowę rozpoczęto (o 0,2</w:t>
                      </w:r>
                      <w:r w:rsidR="000668BF">
                        <w:t>%).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0E1D7E2E" w14:textId="77777777" w:rsidR="00301DF5" w:rsidRDefault="00301DF5" w:rsidP="0041374E">
      <w:pPr>
        <w:rPr>
          <w:szCs w:val="19"/>
          <w:shd w:val="clear" w:color="auto" w:fill="FFFFFF"/>
        </w:rPr>
      </w:pPr>
    </w:p>
    <w:p w14:paraId="1C7E7365" w14:textId="77777777" w:rsidR="00301DF5" w:rsidRDefault="00301DF5" w:rsidP="0041374E">
      <w:pPr>
        <w:rPr>
          <w:szCs w:val="19"/>
          <w:shd w:val="clear" w:color="auto" w:fill="FFFFFF"/>
        </w:rPr>
      </w:pPr>
    </w:p>
    <w:p w14:paraId="3A1DA483" w14:textId="77777777" w:rsidR="00301DF5" w:rsidRDefault="00301DF5" w:rsidP="0041374E">
      <w:pPr>
        <w:rPr>
          <w:szCs w:val="19"/>
          <w:shd w:val="clear" w:color="auto" w:fill="FFFFFF"/>
        </w:rPr>
      </w:pPr>
    </w:p>
    <w:p w14:paraId="54861F1C" w14:textId="0C39874A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4C6B0B">
        <w:rPr>
          <w:szCs w:val="19"/>
          <w:shd w:val="clear" w:color="auto" w:fill="FFFFFF"/>
        </w:rPr>
        <w:t>styczniu</w:t>
      </w:r>
      <w:r w:rsidR="005921E2" w:rsidRPr="005921E2">
        <w:rPr>
          <w:szCs w:val="19"/>
          <w:shd w:val="clear" w:color="auto" w:fill="FFFFFF"/>
        </w:rPr>
        <w:t xml:space="preserve"> </w:t>
      </w:r>
      <w:r w:rsidR="004C6B0B">
        <w:rPr>
          <w:szCs w:val="19"/>
          <w:shd w:val="clear" w:color="auto" w:fill="FFFFFF"/>
        </w:rPr>
        <w:t>2020</w:t>
      </w:r>
      <w:r w:rsidR="000B256C">
        <w:rPr>
          <w:szCs w:val="19"/>
          <w:shd w:val="clear" w:color="auto" w:fill="FFFFFF"/>
        </w:rPr>
        <w:t>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 xml:space="preserve">. </w:t>
      </w:r>
      <w:r w:rsidR="004C6B0B">
        <w:rPr>
          <w:szCs w:val="19"/>
          <w:shd w:val="clear" w:color="auto" w:fill="FFFFFF"/>
        </w:rPr>
        <w:t>odnotowano w </w:t>
      </w:r>
      <w:r w:rsidRPr="005921E2">
        <w:rPr>
          <w:szCs w:val="19"/>
          <w:shd w:val="clear" w:color="auto" w:fill="FFFFFF"/>
        </w:rPr>
        <w:t>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4C6B0B">
        <w:rPr>
          <w:szCs w:val="19"/>
          <w:shd w:val="clear" w:color="auto" w:fill="FFFFFF"/>
        </w:rPr>
        <w:t>odpowiednio 4,0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4C6B0B">
        <w:rPr>
          <w:szCs w:val="19"/>
          <w:shd w:val="clear" w:color="auto" w:fill="FFFFFF"/>
        </w:rPr>
        <w:t xml:space="preserve"> i 3,3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D4256C">
        <w:rPr>
          <w:szCs w:val="19"/>
          <w:shd w:val="clear" w:color="auto" w:fill="FFFFFF"/>
        </w:rPr>
        <w:t xml:space="preserve">) i </w:t>
      </w:r>
      <w:r w:rsidR="004A5B1F" w:rsidRPr="004A5B1F">
        <w:rPr>
          <w:szCs w:val="19"/>
          <w:shd w:val="clear" w:color="auto" w:fill="FFFFFF"/>
        </w:rPr>
        <w:t>wielkopolskim (</w:t>
      </w:r>
      <w:r w:rsidR="00301DF5">
        <w:rPr>
          <w:szCs w:val="19"/>
          <w:shd w:val="clear" w:color="auto" w:fill="FFFFFF"/>
        </w:rPr>
        <w:t>2,0 tys. i </w:t>
      </w:r>
      <w:r w:rsidR="004C6B0B">
        <w:rPr>
          <w:szCs w:val="19"/>
          <w:shd w:val="clear" w:color="auto" w:fill="FFFFFF"/>
        </w:rPr>
        <w:t>2</w:t>
      </w:r>
      <w:r w:rsidR="00870421">
        <w:rPr>
          <w:szCs w:val="19"/>
          <w:shd w:val="clear" w:color="auto" w:fill="FFFFFF"/>
        </w:rPr>
        <w:t>,</w:t>
      </w:r>
      <w:r w:rsidR="004C6B0B">
        <w:rPr>
          <w:szCs w:val="19"/>
          <w:shd w:val="clear" w:color="auto" w:fill="FFFFFF"/>
        </w:rPr>
        <w:t>2</w:t>
      </w:r>
      <w:r w:rsidR="00301DF5">
        <w:rPr>
          <w:szCs w:val="19"/>
          <w:shd w:val="clear" w:color="auto" w:fill="FFFFFF"/>
        </w:rPr>
        <w:t> </w:t>
      </w:r>
      <w:r w:rsidR="00D4256C">
        <w:rPr>
          <w:szCs w:val="19"/>
          <w:shd w:val="clear" w:color="auto" w:fill="FFFFFF"/>
        </w:rPr>
        <w:t>tys.)</w:t>
      </w:r>
      <w:r w:rsidR="007F771F">
        <w:rPr>
          <w:szCs w:val="19"/>
          <w:shd w:val="clear" w:color="auto" w:fill="FFFFFF"/>
        </w:rPr>
        <w:t xml:space="preserve">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</w:t>
      </w:r>
      <w:r w:rsidR="004C6B0B">
        <w:rPr>
          <w:szCs w:val="19"/>
          <w:shd w:val="clear" w:color="auto" w:fill="FFFFFF"/>
        </w:rPr>
        <w:t>małopolskie</w:t>
      </w:r>
      <w:r w:rsidR="0041374E" w:rsidRPr="005921E2">
        <w:rPr>
          <w:szCs w:val="19"/>
          <w:shd w:val="clear" w:color="auto" w:fill="FFFFFF"/>
        </w:rPr>
        <w:t xml:space="preserve"> </w:t>
      </w:r>
      <w:r w:rsidR="004C6B0B">
        <w:rPr>
          <w:szCs w:val="19"/>
          <w:shd w:val="clear" w:color="auto" w:fill="FFFFFF"/>
        </w:rPr>
        <w:t>(2,8</w:t>
      </w:r>
      <w:r w:rsidR="0041374E" w:rsidRPr="005921E2">
        <w:rPr>
          <w:szCs w:val="19"/>
          <w:shd w:val="clear" w:color="auto" w:fill="FFFFFF"/>
        </w:rPr>
        <w:t xml:space="preserve"> t</w:t>
      </w:r>
      <w:r w:rsidR="007F771F">
        <w:rPr>
          <w:szCs w:val="19"/>
          <w:shd w:val="clear" w:color="auto" w:fill="FFFFFF"/>
        </w:rPr>
        <w:t xml:space="preserve">ys. </w:t>
      </w:r>
      <w:r w:rsidR="00D4256C">
        <w:rPr>
          <w:szCs w:val="19"/>
          <w:shd w:val="clear" w:color="auto" w:fill="FFFFFF"/>
        </w:rPr>
        <w:t>mieszkań) i</w:t>
      </w:r>
      <w:r w:rsidR="00FB21E1">
        <w:rPr>
          <w:szCs w:val="19"/>
          <w:shd w:val="clear" w:color="auto" w:fill="FFFFFF"/>
        </w:rPr>
        <w:t xml:space="preserve"> </w:t>
      </w:r>
      <w:r w:rsidR="004C6B0B">
        <w:rPr>
          <w:szCs w:val="19"/>
          <w:shd w:val="clear" w:color="auto" w:fill="FFFFFF"/>
        </w:rPr>
        <w:t>mazowieckie (2,7</w:t>
      </w:r>
      <w:r w:rsidR="00D4256C">
        <w:rPr>
          <w:szCs w:val="19"/>
          <w:shd w:val="clear" w:color="auto" w:fill="FFFFFF"/>
        </w:rPr>
        <w:t xml:space="preserve"> tys.)</w:t>
      </w:r>
      <w:r w:rsidR="00870421">
        <w:rPr>
          <w:szCs w:val="19"/>
          <w:shd w:val="clear" w:color="auto" w:fill="FFFFFF"/>
        </w:rPr>
        <w:t>.</w:t>
      </w:r>
    </w:p>
    <w:p w14:paraId="7388AE6F" w14:textId="77777777" w:rsidR="008F0617" w:rsidRDefault="008F0617" w:rsidP="0041374E">
      <w:pPr>
        <w:rPr>
          <w:szCs w:val="19"/>
          <w:shd w:val="clear" w:color="auto" w:fill="FFFFFF"/>
        </w:rPr>
      </w:pPr>
    </w:p>
    <w:p w14:paraId="10D588CA" w14:textId="77777777" w:rsidR="00C77B68" w:rsidRDefault="003457E4" w:rsidP="00007AEB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4C6B0B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 xml:space="preserve"> </w:t>
      </w:r>
      <w:r w:rsidR="004C6B0B">
        <w:rPr>
          <w:b/>
          <w:sz w:val="18"/>
          <w:szCs w:val="18"/>
        </w:rPr>
        <w:t>2020</w:t>
      </w:r>
      <w:r w:rsidR="00047CF8" w:rsidRPr="00127F26">
        <w:rPr>
          <w:b/>
          <w:sz w:val="18"/>
          <w:szCs w:val="18"/>
        </w:rPr>
        <w:t xml:space="preserve"> r.)</w:t>
      </w:r>
      <w:r w:rsidR="00E56DD9" w:rsidRPr="00127F26">
        <w:rPr>
          <w:b/>
          <w:sz w:val="18"/>
          <w:szCs w:val="18"/>
        </w:rPr>
        <w:t xml:space="preserve"> </w:t>
      </w:r>
    </w:p>
    <w:p w14:paraId="50FA1F4D" w14:textId="51AEFD1B" w:rsidR="00785B50" w:rsidRPr="00C77B68" w:rsidRDefault="00C77B68" w:rsidP="00C77B68">
      <w:pPr>
        <w:spacing w:line="240" w:lineRule="auto"/>
        <w:ind w:left="851" w:hanging="851"/>
        <w:rPr>
          <w:b/>
          <w:sz w:val="18"/>
          <w:szCs w:val="18"/>
        </w:rPr>
        <w:sectPr w:rsidR="00785B50" w:rsidRPr="00C77B68" w:rsidSect="00557D75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3D671A14" wp14:editId="29329A57">
            <wp:extent cx="5122545" cy="3663141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E34EE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E34EE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E34EEF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E34EEF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E34EEF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9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98037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98037C" w:rsidP="00AB6D25">
                      <w:pPr>
                        <w:rPr>
                          <w:color w:val="001D77"/>
                        </w:rPr>
                      </w:pPr>
                      <w:hyperlink r:id="rId31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98037C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98037C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98037C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3ED00" w14:textId="77777777" w:rsidR="00E34EEF" w:rsidRDefault="00E34EEF" w:rsidP="000662E2">
      <w:pPr>
        <w:spacing w:after="0" w:line="240" w:lineRule="auto"/>
      </w:pPr>
      <w:r>
        <w:separator/>
      </w:r>
    </w:p>
  </w:endnote>
  <w:endnote w:type="continuationSeparator" w:id="0">
    <w:p w14:paraId="7FC08F3F" w14:textId="77777777" w:rsidR="00E34EEF" w:rsidRDefault="00E34E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972068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9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858318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025B0" w14:textId="77777777" w:rsidR="00E34EEF" w:rsidRDefault="00E34EEF" w:rsidP="000662E2">
      <w:pPr>
        <w:spacing w:after="0" w:line="240" w:lineRule="auto"/>
      </w:pPr>
      <w:r>
        <w:separator/>
      </w:r>
    </w:p>
  </w:footnote>
  <w:footnote w:type="continuationSeparator" w:id="0">
    <w:p w14:paraId="5264ECE0" w14:textId="77777777" w:rsidR="00E34EEF" w:rsidRDefault="00E34EEF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CB0ED8B" w14:textId="77777777" w:rsidR="008A44DB" w:rsidRDefault="008A44DB" w:rsidP="008A44DB">
      <w:pPr>
        <w:pStyle w:val="Tekstprzypisudolnego"/>
      </w:pPr>
      <w:r w:rsidRPr="008A44DB">
        <w:rPr>
          <w:rStyle w:val="Odwoanieprzypisudolnego"/>
          <w:sz w:val="16"/>
          <w:szCs w:val="16"/>
        </w:rPr>
        <w:footnoteRef/>
      </w:r>
      <w:r>
        <w:t xml:space="preserve"> </w:t>
      </w:r>
      <w:r w:rsidRPr="008A44DB">
        <w:rPr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3B119E1" w:rsidR="00112A4D" w:rsidRPr="00C97596" w:rsidRDefault="00254171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3B110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13B119E1" w:rsidR="00112A4D" w:rsidRPr="00C97596" w:rsidRDefault="00254171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3B110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17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33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07360"/>
    <w:rsid w:val="00210A6F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0ECE"/>
    <w:rsid w:val="002452B8"/>
    <w:rsid w:val="00247C71"/>
    <w:rsid w:val="00252C19"/>
    <w:rsid w:val="00254171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6811"/>
    <w:rsid w:val="00277F85"/>
    <w:rsid w:val="0028004D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641"/>
    <w:rsid w:val="004A5B1F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526E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1419"/>
    <w:rsid w:val="006631D9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3C83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5E92"/>
    <w:rsid w:val="00737DCC"/>
    <w:rsid w:val="00741554"/>
    <w:rsid w:val="00743232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69A1"/>
    <w:rsid w:val="00857E64"/>
    <w:rsid w:val="00857F61"/>
    <w:rsid w:val="00860C28"/>
    <w:rsid w:val="00860F7B"/>
    <w:rsid w:val="00863E09"/>
    <w:rsid w:val="008646DA"/>
    <w:rsid w:val="00865B30"/>
    <w:rsid w:val="00865E47"/>
    <w:rsid w:val="00866416"/>
    <w:rsid w:val="00866ED0"/>
    <w:rsid w:val="00870421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770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3D5D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2034"/>
    <w:rsid w:val="00C64A37"/>
    <w:rsid w:val="00C6552F"/>
    <w:rsid w:val="00C67295"/>
    <w:rsid w:val="00C7158E"/>
    <w:rsid w:val="00C7250B"/>
    <w:rsid w:val="00C7346B"/>
    <w:rsid w:val="00C77B68"/>
    <w:rsid w:val="00C77C0E"/>
    <w:rsid w:val="00C8094E"/>
    <w:rsid w:val="00C8338F"/>
    <w:rsid w:val="00C84055"/>
    <w:rsid w:val="00C84740"/>
    <w:rsid w:val="00C84D08"/>
    <w:rsid w:val="00C861FB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5287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E3423"/>
    <w:rsid w:val="00CE53D6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256C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350E"/>
    <w:rsid w:val="00D766FB"/>
    <w:rsid w:val="00D77B37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779CC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chart" Target="charts/chart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9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swaid.stat.gov.pl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451219760320658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0528976"/>
        <c:axId val="560537680"/>
      </c:lineChart>
      <c:catAx>
        <c:axId val="56052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05376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6053768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6052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817586765953265E-2"/>
          <c:y val="0.82058882442326286"/>
          <c:w val="0.92418241323404671"/>
          <c:h val="0.158658999861859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312</c:v>
                </c:pt>
                <c:pt idx="1">
                  <c:v>684</c:v>
                </c:pt>
                <c:pt idx="2">
                  <c:v>320</c:v>
                </c:pt>
                <c:pt idx="3">
                  <c:v>236</c:v>
                </c:pt>
                <c:pt idx="4">
                  <c:v>532</c:v>
                </c:pt>
                <c:pt idx="5">
                  <c:v>1008</c:v>
                </c:pt>
                <c:pt idx="6">
                  <c:v>436</c:v>
                </c:pt>
                <c:pt idx="7">
                  <c:v>793</c:v>
                </c:pt>
                <c:pt idx="8">
                  <c:v>459</c:v>
                </c:pt>
                <c:pt idx="9">
                  <c:v>504</c:v>
                </c:pt>
                <c:pt idx="10">
                  <c:v>1385</c:v>
                </c:pt>
                <c:pt idx="11">
                  <c:v>1090</c:v>
                </c:pt>
                <c:pt idx="12">
                  <c:v>2218</c:v>
                </c:pt>
                <c:pt idx="13">
                  <c:v>1188</c:v>
                </c:pt>
                <c:pt idx="14">
                  <c:v>3274</c:v>
                </c:pt>
                <c:pt idx="15">
                  <c:v>1452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solidFill>
                <a:srgbClr val="008542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196</c:v>
                </c:pt>
                <c:pt idx="1">
                  <c:v>817</c:v>
                </c:pt>
                <c:pt idx="2">
                  <c:v>422</c:v>
                </c:pt>
                <c:pt idx="3">
                  <c:v>326</c:v>
                </c:pt>
                <c:pt idx="4">
                  <c:v>424</c:v>
                </c:pt>
                <c:pt idx="5">
                  <c:v>286</c:v>
                </c:pt>
                <c:pt idx="6">
                  <c:v>1189</c:v>
                </c:pt>
                <c:pt idx="7">
                  <c:v>797</c:v>
                </c:pt>
                <c:pt idx="8">
                  <c:v>744</c:v>
                </c:pt>
                <c:pt idx="9">
                  <c:v>1183</c:v>
                </c:pt>
                <c:pt idx="10">
                  <c:v>1701</c:v>
                </c:pt>
                <c:pt idx="11">
                  <c:v>1514</c:v>
                </c:pt>
                <c:pt idx="12">
                  <c:v>2017</c:v>
                </c:pt>
                <c:pt idx="13">
                  <c:v>1412</c:v>
                </c:pt>
                <c:pt idx="14">
                  <c:v>3955</c:v>
                </c:pt>
                <c:pt idx="15">
                  <c:v>1387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Podlaskie</c:v>
                </c:pt>
                <c:pt idx="2">
                  <c:v>Lubuskie</c:v>
                </c:pt>
                <c:pt idx="3">
                  <c:v>Świętokrzyskie</c:v>
                </c:pt>
                <c:pt idx="4">
                  <c:v>Lubelskie</c:v>
                </c:pt>
                <c:pt idx="5">
                  <c:v>Warmińsko-mazurskie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Mazowieckie</c:v>
                </c:pt>
                <c:pt idx="15">
                  <c:v>Małopolskie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176</c:v>
                </c:pt>
                <c:pt idx="1">
                  <c:v>328</c:v>
                </c:pt>
                <c:pt idx="2">
                  <c:v>349</c:v>
                </c:pt>
                <c:pt idx="3">
                  <c:v>350</c:v>
                </c:pt>
                <c:pt idx="4">
                  <c:v>557</c:v>
                </c:pt>
                <c:pt idx="5">
                  <c:v>637</c:v>
                </c:pt>
                <c:pt idx="6">
                  <c:v>715</c:v>
                </c:pt>
                <c:pt idx="7">
                  <c:v>771</c:v>
                </c:pt>
                <c:pt idx="8">
                  <c:v>955</c:v>
                </c:pt>
                <c:pt idx="9">
                  <c:v>1069</c:v>
                </c:pt>
                <c:pt idx="10">
                  <c:v>1290</c:v>
                </c:pt>
                <c:pt idx="11">
                  <c:v>1384</c:v>
                </c:pt>
                <c:pt idx="12">
                  <c:v>1600</c:v>
                </c:pt>
                <c:pt idx="13">
                  <c:v>1769</c:v>
                </c:pt>
                <c:pt idx="14">
                  <c:v>2708</c:v>
                </c:pt>
                <c:pt idx="15">
                  <c:v>2751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0531152"/>
        <c:axId val="560531696"/>
      </c:barChart>
      <c:catAx>
        <c:axId val="560531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60531696"/>
        <c:crosses val="autoZero"/>
        <c:auto val="1"/>
        <c:lblAlgn val="ctr"/>
        <c:lblOffset val="100"/>
        <c:noMultiLvlLbl val="0"/>
      </c:catAx>
      <c:valAx>
        <c:axId val="560531696"/>
        <c:scaling>
          <c:orientation val="minMax"/>
          <c:max val="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60531152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0513836384063"/>
          <c:y val="0.82037284626504858"/>
          <c:w val="0.81952740288274672"/>
          <c:h val="0.110232696859831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EC9D9-4BB0-4158-9715-C72E9A60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styczeń-grudzień 2019 roku</vt:lpstr>
    </vt:vector>
  </TitlesOfParts>
  <Company>Główny Urząd Statystyczny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dc:creator>Główny Urząd Statystyczny</dc:creator>
  <cp:keywords>mieszkania oddane do użytkowania; mieszkania w budowie; mieszkania rozpoczęte; pozwolenie na budowę; powierzchnia użytkowa</cp:keywords>
  <cp:lastPrinted>2020-02-20T08:36:00Z</cp:lastPrinted>
  <dcterms:created xsi:type="dcterms:W3CDTF">2020-02-20T08:35:00Z</dcterms:created>
  <dcterms:modified xsi:type="dcterms:W3CDTF">2020-02-20T11:44:00Z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