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0B30A452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4664B">
        <w:rPr>
          <w:color w:val="auto"/>
          <w:szCs w:val="40"/>
          <w:shd w:val="clear" w:color="auto" w:fill="FFFFFF"/>
        </w:rPr>
        <w:t>X</w:t>
      </w:r>
      <w:r w:rsidR="00152BFE">
        <w:rPr>
          <w:color w:val="auto"/>
          <w:szCs w:val="40"/>
          <w:shd w:val="clear" w:color="auto" w:fill="FFFFFF"/>
        </w:rPr>
        <w:t>I</w:t>
      </w:r>
      <w:r w:rsidR="003B1105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5A3054C3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142B3F84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110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112,0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81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142B3F84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110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112,0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9D757F">
        <w:t>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</w:t>
      </w:r>
      <w:r w:rsidR="00C62034">
        <w:t>no zgłoszenia z </w:t>
      </w:r>
      <w:r w:rsidR="00B1192F" w:rsidRPr="00DA0F32">
        <w:t>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</w:p>
    <w:p w14:paraId="04322E55" w14:textId="77777777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50D6473D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3B1105">
                              <w:t>63,2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3B1105">
                              <w:t>5</w:t>
                            </w:r>
                            <w:r w:rsidR="00512F05">
                              <w:t xml:space="preserve"> p. proc. więcej niż w 2018 r</w:t>
                            </w:r>
                            <w:r w:rsidR="003958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4854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50D6473D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3B1105">
                        <w:t>63,2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3B1105">
                        <w:t>5</w:t>
                      </w:r>
                      <w:r w:rsidR="00512F05">
                        <w:t xml:space="preserve"> p. proc. więcej niż w 2018 r</w:t>
                      </w:r>
                      <w:r w:rsidR="00395881">
                        <w:t>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6FA19C9D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2B195582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1A6A6A">
                              <w:t>X</w:t>
                            </w:r>
                            <w:r w:rsidR="00561CC0">
                              <w:t>I</w:t>
                            </w:r>
                            <w:r w:rsidR="00395913">
                              <w:t>I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</w:t>
                            </w:r>
                            <w:r w:rsidR="00561CC0">
                              <w:t xml:space="preserve"> 88,8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2B195582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1A6A6A">
                        <w:t>X</w:t>
                      </w:r>
                      <w:r w:rsidR="00561CC0">
                        <w:t>I</w:t>
                      </w:r>
                      <w:r w:rsidR="00395913">
                        <w:t>I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</w:t>
                      </w:r>
                      <w:r w:rsidR="00561CC0">
                        <w:t xml:space="preserve"> 88,8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3B1105">
        <w:rPr>
          <w:shd w:val="clear" w:color="auto" w:fill="FFFFFF"/>
        </w:rPr>
        <w:t>grudzień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3B1105">
        <w:rPr>
          <w:shd w:val="clear" w:color="auto" w:fill="FFFFFF"/>
        </w:rPr>
        <w:t>207,2 </w:t>
      </w:r>
      <w:r w:rsidR="00603187" w:rsidRPr="00DA0F32">
        <w:rPr>
          <w:shd w:val="clear" w:color="auto" w:fill="FFFFFF"/>
        </w:rPr>
        <w:t>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3B1105">
        <w:rPr>
          <w:shd w:val="clear" w:color="auto" w:fill="FFFFFF"/>
        </w:rPr>
        <w:t>12</w:t>
      </w:r>
      <w:r w:rsidR="00DB1E64">
        <w:rPr>
          <w:shd w:val="clear" w:color="auto" w:fill="FFFFFF"/>
        </w:rPr>
        <w:t>,</w:t>
      </w:r>
      <w:r w:rsidR="003B1105">
        <w:rPr>
          <w:shd w:val="clear" w:color="auto" w:fill="FFFFFF"/>
        </w:rPr>
        <w:t>0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3B1105">
        <w:rPr>
          <w:shd w:val="clear" w:color="auto" w:fill="FFFFFF"/>
        </w:rPr>
        <w:t>130,9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3B1105">
        <w:rPr>
          <w:shd w:val="clear" w:color="auto" w:fill="FFFFFF"/>
        </w:rPr>
        <w:t>16,6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</w:t>
      </w:r>
      <w:r w:rsidR="00512F05">
        <w:rPr>
          <w:shd w:val="clear" w:color="auto" w:fill="FFFFFF"/>
        </w:rPr>
        <w:t>2018 r.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341966">
        <w:rPr>
          <w:b/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3B1105">
        <w:rPr>
          <w:shd w:val="clear" w:color="auto" w:fill="FFFFFF"/>
        </w:rPr>
        <w:t>69,6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3B1105">
        <w:rPr>
          <w:shd w:val="clear" w:color="auto" w:fill="FFFFFF"/>
        </w:rPr>
        <w:t>5,1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904121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3B1105">
        <w:rPr>
          <w:shd w:val="clear" w:color="auto" w:fill="FFFFFF"/>
        </w:rPr>
        <w:t>8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3B1105">
        <w:rPr>
          <w:shd w:val="clear" w:color="auto" w:fill="FFFFFF"/>
        </w:rPr>
        <w:t>2115</w:t>
      </w:r>
      <w:r w:rsidR="00B1192F" w:rsidRPr="00DA0F32">
        <w:rPr>
          <w:shd w:val="clear" w:color="auto" w:fill="FFFFFF"/>
        </w:rPr>
        <w:t xml:space="preserve"> wobec </w:t>
      </w:r>
      <w:r w:rsidR="003B1105">
        <w:rPr>
          <w:shd w:val="clear" w:color="auto" w:fill="FFFFFF"/>
        </w:rPr>
        <w:t>3024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3B1105">
        <w:rPr>
          <w:shd w:val="clear" w:color="auto" w:fill="FFFFFF"/>
        </w:rPr>
        <w:t>4575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3B1105">
        <w:rPr>
          <w:shd w:val="clear" w:color="auto" w:fill="FFFFFF"/>
        </w:rPr>
        <w:t>30,6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67C24762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1A6A6A">
        <w:rPr>
          <w:shd w:val="clear" w:color="auto" w:fill="FFFFFF"/>
        </w:rPr>
        <w:t>X</w:t>
      </w:r>
      <w:r w:rsidR="008569A1">
        <w:rPr>
          <w:shd w:val="clear" w:color="auto" w:fill="FFFFFF"/>
        </w:rPr>
        <w:t>I</w:t>
      </w:r>
      <w:r w:rsidR="001B38EE">
        <w:rPr>
          <w:shd w:val="clear" w:color="auto" w:fill="FFFFFF"/>
        </w:rPr>
        <w:t>I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8569A1">
        <w:rPr>
          <w:shd w:val="clear" w:color="auto" w:fill="FFFFFF"/>
        </w:rPr>
        <w:t>18</w:t>
      </w:r>
      <w:r w:rsidR="00612D21">
        <w:rPr>
          <w:shd w:val="clear" w:color="auto" w:fill="FFFFFF"/>
        </w:rPr>
        <w:t>,</w:t>
      </w:r>
      <w:r w:rsidR="001B38EE">
        <w:rPr>
          <w:shd w:val="clear" w:color="auto" w:fill="FFFFFF"/>
        </w:rPr>
        <w:t>4</w:t>
      </w:r>
      <w:r w:rsidR="009D48C2">
        <w:rPr>
          <w:shd w:val="clear" w:color="auto" w:fill="FFFFFF"/>
        </w:rPr>
        <w:t xml:space="preserve">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8569A1">
        <w:rPr>
          <w:shd w:val="clear" w:color="auto" w:fill="FFFFFF"/>
        </w:rPr>
        <w:t>10</w:t>
      </w:r>
      <w:r w:rsidRPr="00DA0F32">
        <w:rPr>
          <w:shd w:val="clear" w:color="auto" w:fill="FFFFFF"/>
        </w:rPr>
        <w:t>,</w:t>
      </w:r>
      <w:r w:rsidR="001B38EE">
        <w:rPr>
          <w:shd w:val="clear" w:color="auto" w:fill="FFFFFF"/>
        </w:rPr>
        <w:t>1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</w:t>
      </w:r>
      <w:r w:rsidR="00512F05">
        <w:rPr>
          <w:shd w:val="clear" w:color="auto" w:fill="FFFFFF"/>
        </w:rPr>
        <w:t>2018</w:t>
      </w:r>
      <w:r w:rsidRPr="00DA0F32">
        <w:rPr>
          <w:shd w:val="clear" w:color="auto" w:fill="FFFFFF"/>
        </w:rPr>
        <w:t xml:space="preserve">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512F05">
        <w:rPr>
          <w:shd w:val="clear" w:color="auto" w:fill="FFFFFF"/>
        </w:rPr>
        <w:t xml:space="preserve">styczeń </w:t>
      </w:r>
      <w:r w:rsidR="008569A1">
        <w:rPr>
          <w:shd w:val="clear" w:color="auto" w:fill="FFFFFF"/>
        </w:rPr>
        <w:t>grudzień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8569A1">
        <w:rPr>
          <w:shd w:val="clear" w:color="auto" w:fill="FFFFFF"/>
        </w:rPr>
        <w:t>zmniejszyła się o 1</w:t>
      </w:r>
      <w:r w:rsidR="005662CD">
        <w:rPr>
          <w:shd w:val="clear" w:color="auto" w:fill="FFFFFF"/>
        </w:rPr>
        <w:t>,</w:t>
      </w:r>
      <w:r w:rsidR="008569A1">
        <w:rPr>
          <w:shd w:val="clear" w:color="auto" w:fill="FFFFFF"/>
        </w:rPr>
        <w:t>5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567F82">
        <w:rPr>
          <w:shd w:val="clear" w:color="auto" w:fill="FFFFFF"/>
        </w:rPr>
        <w:t>88,8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7A7C3ECF" w:rsidR="00FA56EF" w:rsidRPr="00FA5128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  <w:r w:rsidR="0039591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0B8291A0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  <w:r w:rsidR="0039591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05F2206A" w:rsidR="00FA56EF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  <w:r w:rsidR="00395913">
              <w:rPr>
                <w:color w:val="000000" w:themeColor="text1"/>
                <w:sz w:val="16"/>
                <w:szCs w:val="16"/>
              </w:rPr>
              <w:t>I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34D24139" w:rsidR="00FA56EF" w:rsidRDefault="0018730D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395913">
              <w:rPr>
                <w:color w:val="000000" w:themeColor="text1"/>
                <w:sz w:val="16"/>
                <w:szCs w:val="16"/>
              </w:rPr>
              <w:t>I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011D02D3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  <w:r w:rsidR="00561CC0">
              <w:rPr>
                <w:color w:val="000000" w:themeColor="text1"/>
                <w:sz w:val="16"/>
                <w:szCs w:val="16"/>
              </w:rPr>
              <w:t>I</w:t>
            </w:r>
            <w:r w:rsidR="00395913">
              <w:rPr>
                <w:color w:val="000000" w:themeColor="text1"/>
                <w:sz w:val="16"/>
                <w:szCs w:val="16"/>
              </w:rPr>
              <w:t>I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7F5D4FC0" w:rsidR="00FA56EF" w:rsidRPr="00FA5128" w:rsidRDefault="00395913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22 931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752007DA" w:rsidR="00FA56EF" w:rsidRPr="00FA5128" w:rsidRDefault="00F3738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114,8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559A94D5" w:rsidR="00FA56EF" w:rsidRPr="00FA5128" w:rsidRDefault="00F3738B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b/>
                <w:color w:val="000000" w:themeColor="text1"/>
                <w:sz w:val="16"/>
                <w:szCs w:val="16"/>
              </w:rPr>
              <w:t>117,6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588DBB1D" w:rsidR="00FA56EF" w:rsidRPr="00FA5128" w:rsidRDefault="00395913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207 224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487757F6" w:rsidR="00FA56EF" w:rsidRPr="00FA5128" w:rsidRDefault="00395913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b/>
                <w:color w:val="000000" w:themeColor="text1"/>
                <w:sz w:val="16"/>
                <w:szCs w:val="16"/>
              </w:rPr>
              <w:t>112,0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38B911C4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7 645</w:t>
            </w:r>
          </w:p>
        </w:tc>
        <w:tc>
          <w:tcPr>
            <w:tcW w:w="1206" w:type="dxa"/>
            <w:vAlign w:val="center"/>
          </w:tcPr>
          <w:p w14:paraId="5D54C604" w14:textId="4D3389C1" w:rsidR="00FA56EF" w:rsidRPr="00FA512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122,9</w:t>
            </w:r>
          </w:p>
        </w:tc>
        <w:tc>
          <w:tcPr>
            <w:tcW w:w="1206" w:type="dxa"/>
            <w:vAlign w:val="center"/>
          </w:tcPr>
          <w:p w14:paraId="183D79A6" w14:textId="4B56BBF9" w:rsidR="00FA56EF" w:rsidRPr="00FA512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132,3</w:t>
            </w:r>
          </w:p>
        </w:tc>
        <w:tc>
          <w:tcPr>
            <w:tcW w:w="1206" w:type="dxa"/>
            <w:vAlign w:val="center"/>
          </w:tcPr>
          <w:p w14:paraId="097081E4" w14:textId="721F3E03" w:rsidR="00FA56EF" w:rsidRPr="00907546" w:rsidRDefault="00395913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69 599</w:t>
            </w:r>
          </w:p>
        </w:tc>
        <w:tc>
          <w:tcPr>
            <w:tcW w:w="1207" w:type="dxa"/>
            <w:vAlign w:val="center"/>
          </w:tcPr>
          <w:p w14:paraId="3C33BE3A" w14:textId="5DD7843A" w:rsidR="00FA56EF" w:rsidRPr="00907546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2A1DB685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14 636</w:t>
            </w:r>
          </w:p>
        </w:tc>
        <w:tc>
          <w:tcPr>
            <w:tcW w:w="1206" w:type="dxa"/>
            <w:vAlign w:val="center"/>
          </w:tcPr>
          <w:p w14:paraId="7A2D6AC4" w14:textId="777EF29D" w:rsidR="00FA56EF" w:rsidRPr="00FA512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113,4</w:t>
            </w:r>
          </w:p>
        </w:tc>
        <w:tc>
          <w:tcPr>
            <w:tcW w:w="1206" w:type="dxa"/>
            <w:vAlign w:val="center"/>
          </w:tcPr>
          <w:p w14:paraId="3B65D5B8" w14:textId="477B0403" w:rsidR="00FA56EF" w:rsidRPr="00FA5128" w:rsidRDefault="006E0A1C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110,3</w:t>
            </w:r>
          </w:p>
        </w:tc>
        <w:tc>
          <w:tcPr>
            <w:tcW w:w="1206" w:type="dxa"/>
            <w:vAlign w:val="center"/>
          </w:tcPr>
          <w:p w14:paraId="4CC4B8B4" w14:textId="73880EB3" w:rsidR="00FA56EF" w:rsidRPr="008A1C80" w:rsidRDefault="00395913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130 935</w:t>
            </w:r>
          </w:p>
        </w:tc>
        <w:tc>
          <w:tcPr>
            <w:tcW w:w="1207" w:type="dxa"/>
            <w:vAlign w:val="center"/>
          </w:tcPr>
          <w:p w14:paraId="31EEA875" w14:textId="39858FAB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116,6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513AF696" w:rsidR="00FA56EF" w:rsidRPr="005241EA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2DC5DAFB" w:rsidR="00FA56EF" w:rsidRPr="004327B6" w:rsidRDefault="006E0A1C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206" w:type="dxa"/>
            <w:vAlign w:val="center"/>
          </w:tcPr>
          <w:p w14:paraId="26E8EB4C" w14:textId="1B897BAD" w:rsidR="00FA56EF" w:rsidRPr="00553B0B" w:rsidRDefault="00395913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2 107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25A691CD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206" w:type="dxa"/>
            <w:vAlign w:val="center"/>
          </w:tcPr>
          <w:p w14:paraId="1ADD896C" w14:textId="1BA4EA86" w:rsidR="00FA56EF" w:rsidRPr="00FA512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31,9</w:t>
            </w:r>
          </w:p>
        </w:tc>
        <w:tc>
          <w:tcPr>
            <w:tcW w:w="1206" w:type="dxa"/>
            <w:vAlign w:val="center"/>
          </w:tcPr>
          <w:p w14:paraId="3FEDC322" w14:textId="57678106" w:rsidR="00FA56EF" w:rsidRPr="00E102B7" w:rsidRDefault="00F3738B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3738B">
              <w:rPr>
                <w:rFonts w:cs="Arial"/>
                <w:sz w:val="16"/>
                <w:szCs w:val="16"/>
              </w:rPr>
              <w:t>159,4</w:t>
            </w:r>
          </w:p>
        </w:tc>
        <w:tc>
          <w:tcPr>
            <w:tcW w:w="1206" w:type="dxa"/>
            <w:vAlign w:val="center"/>
          </w:tcPr>
          <w:p w14:paraId="1F63D375" w14:textId="17FD3101" w:rsidR="00FA56EF" w:rsidRPr="00F54181" w:rsidRDefault="00395913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95913">
              <w:rPr>
                <w:rFonts w:ascii="Fira Sans" w:hAnsi="Fira Sans"/>
                <w:color w:val="000000" w:themeColor="text1"/>
                <w:sz w:val="16"/>
                <w:szCs w:val="16"/>
              </w:rPr>
              <w:t>2 115</w:t>
            </w:r>
          </w:p>
        </w:tc>
        <w:tc>
          <w:tcPr>
            <w:tcW w:w="1207" w:type="dxa"/>
            <w:vAlign w:val="center"/>
          </w:tcPr>
          <w:p w14:paraId="53B3FCC1" w14:textId="25945486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69,9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0A60F51A" w:rsidR="00FA56EF" w:rsidRPr="00FA5128" w:rsidRDefault="00DE00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0082">
              <w:rPr>
                <w:rFonts w:cs="Arial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206" w:type="dxa"/>
            <w:vAlign w:val="center"/>
          </w:tcPr>
          <w:p w14:paraId="2385018D" w14:textId="2DEFC4A9" w:rsidR="00FA56EF" w:rsidRPr="00FA512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93,0</w:t>
            </w:r>
          </w:p>
        </w:tc>
        <w:tc>
          <w:tcPr>
            <w:tcW w:w="1206" w:type="dxa"/>
            <w:vAlign w:val="center"/>
          </w:tcPr>
          <w:p w14:paraId="40995331" w14:textId="3BA3D958" w:rsidR="00FA56EF" w:rsidRPr="00E102B7" w:rsidRDefault="006E0A1C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137,6</w:t>
            </w:r>
          </w:p>
        </w:tc>
        <w:tc>
          <w:tcPr>
            <w:tcW w:w="1206" w:type="dxa"/>
            <w:vAlign w:val="center"/>
          </w:tcPr>
          <w:p w14:paraId="551957E4" w14:textId="0E8DE6DF" w:rsidR="00FA56EF" w:rsidRPr="00E87F78" w:rsidRDefault="00395913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1 841</w:t>
            </w:r>
          </w:p>
        </w:tc>
        <w:tc>
          <w:tcPr>
            <w:tcW w:w="1207" w:type="dxa"/>
            <w:vAlign w:val="center"/>
          </w:tcPr>
          <w:p w14:paraId="484D9E8B" w14:textId="16577B36" w:rsidR="00FA56EF" w:rsidRPr="00FA5128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98,8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1E2C028B" w:rsidR="00FA56EF" w:rsidRPr="00A030E6" w:rsidRDefault="00DE00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E0082">
              <w:rPr>
                <w:rFonts w:cs="Arial"/>
                <w:color w:val="000000" w:themeColor="text1"/>
                <w:sz w:val="16"/>
                <w:szCs w:val="16"/>
              </w:rPr>
              <w:t>259</w:t>
            </w:r>
          </w:p>
        </w:tc>
        <w:tc>
          <w:tcPr>
            <w:tcW w:w="1206" w:type="dxa"/>
            <w:vAlign w:val="center"/>
          </w:tcPr>
          <w:p w14:paraId="5264D7D8" w14:textId="3606EBF1" w:rsidR="00FA56EF" w:rsidRPr="006E0C1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340,8</w:t>
            </w:r>
          </w:p>
        </w:tc>
        <w:tc>
          <w:tcPr>
            <w:tcW w:w="1206" w:type="dxa"/>
            <w:vAlign w:val="center"/>
          </w:tcPr>
          <w:p w14:paraId="01B94E97" w14:textId="46876F61" w:rsidR="00FA56EF" w:rsidRPr="00296F96" w:rsidRDefault="006E0A1C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167,1</w:t>
            </w:r>
          </w:p>
        </w:tc>
        <w:tc>
          <w:tcPr>
            <w:tcW w:w="1206" w:type="dxa"/>
            <w:vAlign w:val="center"/>
          </w:tcPr>
          <w:p w14:paraId="3D08B785" w14:textId="7D8B6116" w:rsidR="00FA56EF" w:rsidRPr="00E87F78" w:rsidRDefault="00395913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2 472</w:t>
            </w:r>
          </w:p>
        </w:tc>
        <w:tc>
          <w:tcPr>
            <w:tcW w:w="1207" w:type="dxa"/>
            <w:vAlign w:val="center"/>
          </w:tcPr>
          <w:p w14:paraId="127539CB" w14:textId="41502D5E" w:rsidR="00FA56EF" w:rsidRPr="009F4F41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rFonts w:cs="Arial"/>
                <w:color w:val="000000" w:themeColor="text1"/>
                <w:sz w:val="16"/>
                <w:szCs w:val="16"/>
              </w:rPr>
              <w:t>163,7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1C3561D9" w:rsidR="00FA56EF" w:rsidRPr="00A030E6" w:rsidRDefault="00DE008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1103FA1" w14:textId="70065C71" w:rsidR="00FA56EF" w:rsidRPr="006E0C18" w:rsidRDefault="00F3738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3738B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765DBC0" w14:textId="45215A31" w:rsidR="00FA56EF" w:rsidRPr="00296F96" w:rsidRDefault="006E0A1C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19AC53E8" w14:textId="42C867E5" w:rsidR="00FA56EF" w:rsidRPr="00E87F78" w:rsidRDefault="004937A5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937A5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207" w:type="dxa"/>
            <w:vAlign w:val="center"/>
          </w:tcPr>
          <w:p w14:paraId="031BA834" w14:textId="4ECE7548" w:rsidR="00FA56EF" w:rsidRPr="009F4F41" w:rsidRDefault="00395913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95913">
              <w:rPr>
                <w:color w:val="000000" w:themeColor="text1"/>
                <w:sz w:val="16"/>
                <w:szCs w:val="16"/>
              </w:rPr>
              <w:t>203,1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2D386DFD" w14:textId="77777777" w:rsidR="00B47261" w:rsidRDefault="00B47261" w:rsidP="009A6B72">
      <w:pPr>
        <w:rPr>
          <w:rFonts w:ascii="Fira Sans SemiBold" w:hAnsi="Fira Sans SemiBold"/>
          <w:color w:val="001D77"/>
          <w:szCs w:val="19"/>
        </w:rPr>
      </w:pP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1B5B5B91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39623311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A01A6B">
                              <w:t>X</w:t>
                            </w:r>
                            <w:r w:rsidR="00FD1955">
                              <w:t>I</w:t>
                            </w:r>
                            <w:r w:rsidR="00DA20E3">
                              <w:t>I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FD1955">
                              <w:t xml:space="preserve"> o 4,4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5456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39623311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A01A6B">
                        <w:t>X</w:t>
                      </w:r>
                      <w:r w:rsidR="00FD1955">
                        <w:t>I</w:t>
                      </w:r>
                      <w:r w:rsidR="00DA20E3">
                        <w:t>I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FD1955">
                        <w:t xml:space="preserve"> o 4,4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</w:t>
      </w:r>
      <w:r w:rsidR="000B1D63">
        <w:rPr>
          <w:shd w:val="clear" w:color="auto" w:fill="FFFFFF"/>
        </w:rPr>
        <w:t>dwunastu</w:t>
      </w:r>
      <w:r w:rsidR="00053AF8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0B1D63">
        <w:rPr>
          <w:shd w:val="clear" w:color="auto" w:fill="FFFFFF"/>
        </w:rPr>
        <w:t>26</w:t>
      </w:r>
      <w:r w:rsidR="00FD1955">
        <w:rPr>
          <w:shd w:val="clear" w:color="auto" w:fill="FFFFFF"/>
        </w:rPr>
        <w:t>8,5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FD1955">
        <w:rPr>
          <w:shd w:val="clear" w:color="auto" w:fill="FFFFFF"/>
        </w:rPr>
        <w:t>4,4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>roku</w:t>
      </w:r>
      <w:r w:rsidR="00512F05">
        <w:rPr>
          <w:shd w:val="clear" w:color="auto" w:fill="FFFFFF"/>
        </w:rPr>
        <w:t xml:space="preserve"> 2018</w:t>
      </w:r>
      <w:r w:rsidR="007162C8" w:rsidRPr="00DA0F32">
        <w:rPr>
          <w:shd w:val="clear" w:color="auto" w:fill="FFFFFF"/>
        </w:rPr>
        <w:t xml:space="preserve">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FD1955">
        <w:rPr>
          <w:shd w:val="clear" w:color="auto" w:fill="FFFFFF"/>
        </w:rPr>
        <w:t>167</w:t>
      </w:r>
      <w:r w:rsidR="00994BA3">
        <w:rPr>
          <w:shd w:val="clear" w:color="auto" w:fill="FFFFFF"/>
        </w:rPr>
        <w:t>,3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FD1955">
        <w:rPr>
          <w:shd w:val="clear" w:color="auto" w:fill="FFFFFF"/>
        </w:rPr>
        <w:t>96,8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1A6B">
        <w:rPr>
          <w:shd w:val="clear" w:color="auto" w:fill="FFFFFF"/>
        </w:rPr>
        <w:t xml:space="preserve">, tj. </w:t>
      </w:r>
      <w:r w:rsidR="00FD1955">
        <w:rPr>
          <w:shd w:val="clear" w:color="auto" w:fill="FFFFFF"/>
        </w:rPr>
        <w:t xml:space="preserve">odpowiednio o 4,6% i </w:t>
      </w:r>
      <w:r w:rsidR="00994BA3">
        <w:rPr>
          <w:shd w:val="clear" w:color="auto" w:fill="FFFFFF"/>
        </w:rPr>
        <w:t>5</w:t>
      </w:r>
      <w:r w:rsidR="00FD1955">
        <w:rPr>
          <w:shd w:val="clear" w:color="auto" w:fill="FFFFFF"/>
        </w:rPr>
        <w:t>,8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FD1955">
        <w:rPr>
          <w:shd w:val="clear" w:color="auto" w:fill="FFFFFF"/>
        </w:rPr>
        <w:t xml:space="preserve"> 98,4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FD1955">
        <w:rPr>
          <w:shd w:val="clear" w:color="auto" w:fill="FFFFFF"/>
        </w:rPr>
        <w:t>dwunastu</w:t>
      </w:r>
      <w:r w:rsidR="00E01AB1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miesięcy</w:t>
      </w:r>
      <w:r w:rsidR="00336412">
        <w:rPr>
          <w:shd w:val="clear" w:color="auto" w:fill="FFFFFF"/>
        </w:rPr>
        <w:t xml:space="preserve"> </w:t>
      </w:r>
      <w:r w:rsidR="006631D9">
        <w:rPr>
          <w:shd w:val="clear" w:color="auto" w:fill="FFFFFF"/>
        </w:rPr>
        <w:t>2018 r.</w:t>
      </w:r>
      <w:r w:rsidR="00CE2C3A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E01AB1">
        <w:rPr>
          <w:shd w:val="clear" w:color="auto" w:fill="FFFFFF"/>
        </w:rPr>
        <w:t>1</w:t>
      </w:r>
      <w:r w:rsidR="00994BA3">
        <w:rPr>
          <w:shd w:val="clear" w:color="auto" w:fill="FFFFFF"/>
        </w:rPr>
        <w:t xml:space="preserve">364 </w:t>
      </w:r>
      <w:r w:rsidR="001753B5" w:rsidRPr="007D1F83">
        <w:rPr>
          <w:shd w:val="clear" w:color="auto" w:fill="FFFFFF"/>
        </w:rPr>
        <w:t xml:space="preserve">mieszkań </w:t>
      </w:r>
      <w:r w:rsidR="00A0335F" w:rsidRPr="007D1F83">
        <w:rPr>
          <w:shd w:val="clear" w:color="auto" w:fill="FFFFFF"/>
        </w:rPr>
        <w:t xml:space="preserve">wobec </w:t>
      </w:r>
      <w:r w:rsidR="00FD1955">
        <w:rPr>
          <w:shd w:val="clear" w:color="auto" w:fill="FFFFFF"/>
        </w:rPr>
        <w:t>1</w:t>
      </w:r>
      <w:r w:rsidR="00FD1955" w:rsidRPr="00FD1955">
        <w:rPr>
          <w:shd w:val="clear" w:color="auto" w:fill="FFFFFF"/>
        </w:rPr>
        <w:t>732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FD1955">
        <w:rPr>
          <w:shd w:val="clear" w:color="auto" w:fill="FFFFFF"/>
        </w:rPr>
        <w:t>2</w:t>
      </w:r>
      <w:r w:rsidR="00FD1955" w:rsidRPr="00FD1955">
        <w:rPr>
          <w:shd w:val="clear" w:color="auto" w:fill="FFFFFF"/>
        </w:rPr>
        <w:t>996</w:t>
      </w:r>
      <w:r w:rsidR="00FD1955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wobec </w:t>
      </w:r>
      <w:r w:rsidR="00FD1955">
        <w:rPr>
          <w:shd w:val="clear" w:color="auto" w:fill="FFFFFF"/>
        </w:rPr>
        <w:t>3</w:t>
      </w:r>
      <w:r w:rsidR="00FD1955" w:rsidRPr="00FD1955">
        <w:rPr>
          <w:shd w:val="clear" w:color="auto" w:fill="FFFFFF"/>
        </w:rPr>
        <w:t>932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010F1965" w:rsidR="00B43D8E" w:rsidRPr="00FA5128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  <w:r w:rsidR="000B1D63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3B4DDFDB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  <w:r w:rsidR="000B1D63">
              <w:rPr>
                <w:color w:val="000000" w:themeColor="text1"/>
                <w:sz w:val="16"/>
                <w:szCs w:val="16"/>
              </w:rPr>
              <w:t>I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359195D3" w:rsidR="00B43D8E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  <w:r w:rsidR="000B1D63">
              <w:rPr>
                <w:color w:val="000000" w:themeColor="text1"/>
                <w:sz w:val="16"/>
                <w:szCs w:val="16"/>
              </w:rPr>
              <w:t>I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2D2D869C" w:rsidR="00B43D8E" w:rsidRDefault="00E01AB1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0B1D63">
              <w:rPr>
                <w:color w:val="000000" w:themeColor="text1"/>
                <w:sz w:val="16"/>
                <w:szCs w:val="16"/>
              </w:rPr>
              <w:t>I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4691E909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  <w:r w:rsidR="00DA20E3">
              <w:rPr>
                <w:color w:val="000000" w:themeColor="text1"/>
                <w:sz w:val="16"/>
                <w:szCs w:val="16"/>
              </w:rPr>
              <w:t>I</w:t>
            </w:r>
            <w:r w:rsidR="000B1D63">
              <w:rPr>
                <w:color w:val="000000" w:themeColor="text1"/>
                <w:sz w:val="16"/>
                <w:szCs w:val="16"/>
              </w:rPr>
              <w:t>I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477B255D" w:rsidR="00B43D8E" w:rsidRPr="00FA5128" w:rsidRDefault="000B1D6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b/>
                <w:color w:val="000000" w:themeColor="text1"/>
                <w:sz w:val="16"/>
                <w:szCs w:val="16"/>
              </w:rPr>
              <w:t>20 101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47742B81" w:rsidR="00B43D8E" w:rsidRPr="00FA5128" w:rsidRDefault="000B1D6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b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4A556890" w:rsidR="00B43D8E" w:rsidRPr="00FA5128" w:rsidRDefault="006E0A1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0A1C"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480A23EA" w:rsidR="00B43D8E" w:rsidRPr="00FA5128" w:rsidRDefault="004402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b/>
                <w:color w:val="000000" w:themeColor="text1"/>
                <w:sz w:val="16"/>
                <w:szCs w:val="16"/>
              </w:rPr>
              <w:t>268 483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0442255B" w:rsidR="00B43D8E" w:rsidRPr="00FA5128" w:rsidRDefault="004402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3BCC7052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6 542</w:t>
            </w:r>
          </w:p>
        </w:tc>
        <w:tc>
          <w:tcPr>
            <w:tcW w:w="1206" w:type="dxa"/>
            <w:vAlign w:val="center"/>
          </w:tcPr>
          <w:p w14:paraId="0406CC6E" w14:textId="3435C160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1206" w:type="dxa"/>
            <w:vAlign w:val="center"/>
          </w:tcPr>
          <w:p w14:paraId="13DD4AC4" w14:textId="40EAAED5" w:rsidR="00B43D8E" w:rsidRPr="00FA5128" w:rsidRDefault="006E0A1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1206" w:type="dxa"/>
            <w:vAlign w:val="center"/>
          </w:tcPr>
          <w:p w14:paraId="2B89FA86" w14:textId="125550A6" w:rsidR="00B43D8E" w:rsidRPr="00907546" w:rsidRDefault="0044028F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028F">
              <w:rPr>
                <w:rFonts w:ascii="Fira Sans" w:hAnsi="Fira Sans"/>
                <w:color w:val="000000" w:themeColor="text1"/>
                <w:sz w:val="16"/>
                <w:szCs w:val="16"/>
              </w:rPr>
              <w:t>96 777</w:t>
            </w:r>
          </w:p>
        </w:tc>
        <w:tc>
          <w:tcPr>
            <w:tcW w:w="1207" w:type="dxa"/>
            <w:vAlign w:val="center"/>
          </w:tcPr>
          <w:p w14:paraId="675CBECB" w14:textId="7C94CB3C" w:rsidR="00B43D8E" w:rsidRPr="00907546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6C6040BF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13 035</w:t>
            </w:r>
          </w:p>
        </w:tc>
        <w:tc>
          <w:tcPr>
            <w:tcW w:w="1206" w:type="dxa"/>
            <w:vAlign w:val="center"/>
          </w:tcPr>
          <w:p w14:paraId="0735648A" w14:textId="06D9B613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206" w:type="dxa"/>
            <w:vAlign w:val="center"/>
          </w:tcPr>
          <w:p w14:paraId="265EAD38" w14:textId="49DA7A64" w:rsidR="00B43D8E" w:rsidRPr="00FA5128" w:rsidRDefault="006E0A1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E0A1C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206" w:type="dxa"/>
            <w:vAlign w:val="center"/>
          </w:tcPr>
          <w:p w14:paraId="192801D5" w14:textId="76F2983F" w:rsidR="00B43D8E" w:rsidRPr="008A1C80" w:rsidRDefault="0044028F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028F">
              <w:rPr>
                <w:rFonts w:ascii="Fira Sans" w:hAnsi="Fira Sans"/>
                <w:color w:val="000000" w:themeColor="text1"/>
                <w:sz w:val="16"/>
                <w:szCs w:val="16"/>
              </w:rPr>
              <w:t>167 346</w:t>
            </w:r>
          </w:p>
        </w:tc>
        <w:tc>
          <w:tcPr>
            <w:tcW w:w="1207" w:type="dxa"/>
            <w:vAlign w:val="center"/>
          </w:tcPr>
          <w:p w14:paraId="2EDAFC9B" w14:textId="4D1474C2" w:rsidR="00B43D8E" w:rsidRPr="00FA5128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7F4CDFEC" w:rsidR="00B43D8E" w:rsidRPr="00FA5128" w:rsidRDefault="006631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2F99732F" w14:textId="67997140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2CE48FD1" w14:textId="1A9EFE2E" w:rsidR="00B43D8E" w:rsidRPr="00E102B7" w:rsidRDefault="006E0A1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76E122D" w14:textId="3EAF0882" w:rsidR="00B43D8E" w:rsidRPr="00C230EE" w:rsidRDefault="00DA20E3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A20E3">
              <w:rPr>
                <w:rFonts w:ascii="Fira Sans" w:hAnsi="Fira Sans"/>
                <w:color w:val="000000" w:themeColor="text1"/>
                <w:sz w:val="16"/>
                <w:szCs w:val="16"/>
              </w:rPr>
              <w:t>1 364</w:t>
            </w:r>
          </w:p>
        </w:tc>
        <w:tc>
          <w:tcPr>
            <w:tcW w:w="1207" w:type="dxa"/>
            <w:vAlign w:val="center"/>
          </w:tcPr>
          <w:p w14:paraId="34BC2C9A" w14:textId="196DED34" w:rsidR="00B43D8E" w:rsidRPr="00FA5128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78,8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3B844E2D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206" w:type="dxa"/>
            <w:vAlign w:val="center"/>
          </w:tcPr>
          <w:p w14:paraId="57027840" w14:textId="695328BD" w:rsidR="00B43D8E" w:rsidRPr="00FA512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181,8</w:t>
            </w:r>
          </w:p>
        </w:tc>
        <w:tc>
          <w:tcPr>
            <w:tcW w:w="1206" w:type="dxa"/>
            <w:vAlign w:val="center"/>
          </w:tcPr>
          <w:p w14:paraId="14CC0F50" w14:textId="41BFC17A" w:rsidR="00B43D8E" w:rsidRPr="00E102B7" w:rsidRDefault="006E0A1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524,6</w:t>
            </w:r>
          </w:p>
        </w:tc>
        <w:tc>
          <w:tcPr>
            <w:tcW w:w="1206" w:type="dxa"/>
            <w:vAlign w:val="center"/>
          </w:tcPr>
          <w:p w14:paraId="73741E4A" w14:textId="451FF0A1" w:rsidR="00B43D8E" w:rsidRPr="00E87F78" w:rsidRDefault="004402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4028F">
              <w:rPr>
                <w:color w:val="000000" w:themeColor="text1"/>
                <w:sz w:val="16"/>
                <w:szCs w:val="16"/>
              </w:rPr>
              <w:t>1 552</w:t>
            </w:r>
          </w:p>
        </w:tc>
        <w:tc>
          <w:tcPr>
            <w:tcW w:w="1207" w:type="dxa"/>
            <w:vAlign w:val="center"/>
          </w:tcPr>
          <w:p w14:paraId="48BAFFDB" w14:textId="791E5A69" w:rsidR="00B43D8E" w:rsidRPr="00FA5128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74A2F531" w:rsidR="00B43D8E" w:rsidRPr="00A030E6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206" w:type="dxa"/>
            <w:vAlign w:val="center"/>
          </w:tcPr>
          <w:p w14:paraId="6FCFE84F" w14:textId="37AB2427" w:rsidR="00B43D8E" w:rsidRPr="006E0C18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1206" w:type="dxa"/>
            <w:vAlign w:val="center"/>
          </w:tcPr>
          <w:p w14:paraId="161015EA" w14:textId="02DF1EAF" w:rsidR="00B43D8E" w:rsidRPr="00296F96" w:rsidRDefault="006E0A1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219,4</w:t>
            </w:r>
          </w:p>
        </w:tc>
        <w:tc>
          <w:tcPr>
            <w:tcW w:w="1206" w:type="dxa"/>
            <w:vAlign w:val="center"/>
          </w:tcPr>
          <w:p w14:paraId="02256530" w14:textId="765E7105" w:rsidR="00B43D8E" w:rsidRPr="00E87F78" w:rsidRDefault="004402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4028F">
              <w:rPr>
                <w:color w:val="000000" w:themeColor="text1"/>
                <w:sz w:val="16"/>
                <w:szCs w:val="16"/>
              </w:rPr>
              <w:t>1 056</w:t>
            </w:r>
          </w:p>
        </w:tc>
        <w:tc>
          <w:tcPr>
            <w:tcW w:w="1207" w:type="dxa"/>
            <w:vAlign w:val="center"/>
          </w:tcPr>
          <w:p w14:paraId="6FA7983C" w14:textId="4B5901B0" w:rsidR="00B43D8E" w:rsidRPr="009F4F41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color w:val="000000" w:themeColor="text1"/>
                <w:sz w:val="16"/>
                <w:szCs w:val="16"/>
              </w:rPr>
              <w:t>43,6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5E0F03BC" w:rsidR="00B43D8E" w:rsidRPr="00A030E6" w:rsidRDefault="000B1D6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6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63A1E99C" w14:textId="5DF051CD" w:rsidR="00B43D8E" w:rsidRPr="006D4BD3" w:rsidRDefault="000B1D63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0B1D63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58BED5F" w14:textId="05CF042D" w:rsidR="00B43D8E" w:rsidRPr="006D4BD3" w:rsidRDefault="006E0A1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E0A1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41E3E55" w14:textId="24D16A61" w:rsidR="00B43D8E" w:rsidRPr="00E87F78" w:rsidRDefault="00DA20E3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A20E3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207" w:type="dxa"/>
            <w:vAlign w:val="center"/>
          </w:tcPr>
          <w:p w14:paraId="474A4780" w14:textId="22BB8483" w:rsidR="00B43D8E" w:rsidRPr="009F4F41" w:rsidRDefault="004402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28F">
              <w:rPr>
                <w:rFonts w:cs="Arial"/>
                <w:sz w:val="16"/>
                <w:szCs w:val="16"/>
              </w:rPr>
              <w:t>646,7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422DF882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1B4DCC">
        <w:rPr>
          <w:noProof/>
          <w:lang w:eastAsia="pl-PL"/>
        </w:rPr>
        <w:t>grudzień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1B4DCC">
        <w:rPr>
          <w:noProof/>
          <w:lang w:eastAsia="pl-PL"/>
        </w:rPr>
        <w:t>237,3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1B4DCC">
        <w:rPr>
          <w:shd w:val="clear" w:color="auto" w:fill="FFFFFF"/>
        </w:rPr>
        <w:t>6</w:t>
      </w:r>
      <w:r w:rsidR="003C0165" w:rsidRPr="00DA0F32">
        <w:rPr>
          <w:shd w:val="clear" w:color="auto" w:fill="FFFFFF"/>
        </w:rPr>
        <w:t>,</w:t>
      </w:r>
      <w:r w:rsidR="001B4DCC">
        <w:rPr>
          <w:shd w:val="clear" w:color="auto" w:fill="FFFFFF"/>
        </w:rPr>
        <w:t>9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roku</w:t>
      </w:r>
      <w:r w:rsidR="006631D9">
        <w:rPr>
          <w:shd w:val="clear" w:color="auto" w:fill="FFFFFF"/>
        </w:rPr>
        <w:t xml:space="preserve"> 2018</w:t>
      </w:r>
      <w:r w:rsidR="00434C10" w:rsidRPr="00DA0F32">
        <w:rPr>
          <w:shd w:val="clear" w:color="auto" w:fill="FFFFFF"/>
        </w:rPr>
        <w:t xml:space="preserve">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1B4DCC">
        <w:rPr>
          <w:shd w:val="clear" w:color="auto" w:fill="FFFFFF"/>
        </w:rPr>
        <w:t>142,0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1B4DCC">
        <w:rPr>
          <w:shd w:val="clear" w:color="auto" w:fill="FFFFFF"/>
        </w:rPr>
        <w:t>90,3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6283">
        <w:rPr>
          <w:shd w:val="clear" w:color="auto" w:fill="FFFFFF"/>
        </w:rPr>
        <w:t>ącznie 97,9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1B4DCC">
        <w:rPr>
          <w:shd w:val="clear" w:color="auto" w:fill="FFFFFF"/>
        </w:rPr>
        <w:t>7,9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1B4DCC">
        <w:rPr>
          <w:shd w:val="clear" w:color="auto" w:fill="FFFFFF"/>
        </w:rPr>
        <w:t>i 5</w:t>
      </w:r>
      <w:r w:rsidR="00F44D12">
        <w:rPr>
          <w:shd w:val="clear" w:color="auto" w:fill="FFFFFF"/>
        </w:rPr>
        <w:t>,9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D77B37">
        <w:rPr>
          <w:shd w:val="clear" w:color="auto" w:fill="FFFFFF"/>
        </w:rPr>
        <w:t>Natomiast m</w:t>
      </w:r>
      <w:r w:rsidR="009218D1">
        <w:rPr>
          <w:shd w:val="clear" w:color="auto" w:fill="FFFFFF"/>
        </w:rPr>
        <w:t>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B4DCC">
        <w:rPr>
          <w:shd w:val="clear" w:color="auto" w:fill="FFFFFF"/>
        </w:rPr>
        <w:t>2</w:t>
      </w:r>
      <w:r w:rsidR="001B4DCC" w:rsidRPr="001B4DCC">
        <w:rPr>
          <w:shd w:val="clear" w:color="auto" w:fill="FFFFFF"/>
        </w:rPr>
        <w:t xml:space="preserve">058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1B4DCC">
        <w:rPr>
          <w:shd w:val="clear" w:color="auto" w:fill="FFFFFF"/>
        </w:rPr>
        <w:t>2</w:t>
      </w:r>
      <w:r w:rsidR="001B4DCC" w:rsidRPr="001B4DCC">
        <w:rPr>
          <w:shd w:val="clear" w:color="auto" w:fill="FFFFFF"/>
        </w:rPr>
        <w:t>312</w:t>
      </w:r>
      <w:r w:rsidR="00FB21E1">
        <w:rPr>
          <w:shd w:val="clear" w:color="auto" w:fill="FFFFFF"/>
        </w:rPr>
        <w:t xml:space="preserve">), </w:t>
      </w:r>
      <w:r w:rsidR="009134D5">
        <w:rPr>
          <w:shd w:val="clear" w:color="auto" w:fill="FFFFFF"/>
        </w:rPr>
        <w:t>a</w:t>
      </w:r>
      <w:r w:rsidR="00FB21E1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>w</w:t>
      </w:r>
      <w:r w:rsidR="00FB21E1">
        <w:rPr>
          <w:shd w:val="clear" w:color="auto" w:fill="FFFFFF"/>
        </w:rPr>
        <w:t>ięcej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1B4DCC">
        <w:rPr>
          <w:shd w:val="clear" w:color="auto" w:fill="FFFFFF"/>
        </w:rPr>
        <w:t>2</w:t>
      </w:r>
      <w:r w:rsidR="001B4DCC" w:rsidRPr="001B4DCC">
        <w:rPr>
          <w:shd w:val="clear" w:color="auto" w:fill="FFFFFF"/>
        </w:rPr>
        <w:t xml:space="preserve">887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1B4DCC">
        <w:rPr>
          <w:shd w:val="clear" w:color="auto" w:fill="FFFFFF"/>
        </w:rPr>
        <w:t>2</w:t>
      </w:r>
      <w:r w:rsidR="001B4DCC" w:rsidRPr="001B4DCC">
        <w:rPr>
          <w:shd w:val="clear" w:color="auto" w:fill="FFFFFF"/>
        </w:rPr>
        <w:t>664</w:t>
      </w:r>
      <w:r w:rsidR="00336412">
        <w:rPr>
          <w:shd w:val="clear" w:color="auto" w:fill="FFFFFF"/>
        </w:rPr>
        <w:t>).</w:t>
      </w:r>
    </w:p>
    <w:p w14:paraId="5609C1B3" w14:textId="14282768" w:rsidR="0057603C" w:rsidRPr="00007AEB" w:rsidRDefault="004B628B" w:rsidP="00007AE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5B20CB5A" w14:textId="637C80EB" w:rsidR="00035886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2523F3F1" w14:textId="77777777" w:rsidR="00007AEB" w:rsidRDefault="00007AEB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bookmarkStart w:id="0" w:name="_GoBack"/>
      <w:bookmarkEnd w:id="0"/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202A8191" w:rsidR="00EE66D9" w:rsidRPr="00FA5128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  <w:r w:rsidR="001B4DCC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19B96A40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  <w:r w:rsidR="001B4DCC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792DD32B" w:rsidR="00EE66D9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  <w:r w:rsidR="001B4DCC">
              <w:rPr>
                <w:color w:val="000000" w:themeColor="text1"/>
                <w:sz w:val="16"/>
                <w:szCs w:val="16"/>
              </w:rPr>
              <w:t>I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6E0B021E" w:rsidR="00EE66D9" w:rsidRDefault="006D4186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1B4DCC">
              <w:rPr>
                <w:color w:val="000000" w:themeColor="text1"/>
                <w:sz w:val="16"/>
                <w:szCs w:val="16"/>
              </w:rPr>
              <w:t>I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375D2F83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  <w:r w:rsidR="00E46A8B">
              <w:rPr>
                <w:color w:val="000000" w:themeColor="text1"/>
                <w:sz w:val="16"/>
                <w:szCs w:val="16"/>
              </w:rPr>
              <w:t>I</w:t>
            </w:r>
            <w:r w:rsidR="001B4DCC">
              <w:rPr>
                <w:color w:val="000000" w:themeColor="text1"/>
                <w:sz w:val="16"/>
                <w:szCs w:val="16"/>
              </w:rPr>
              <w:t>I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793DB532" w:rsidR="00EE66D9" w:rsidRPr="00FA5128" w:rsidRDefault="001B4D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15 858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3876722A" w:rsidR="00EE66D9" w:rsidRPr="00FA5128" w:rsidRDefault="001B4D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143,0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502173B8" w:rsidR="00EE66D9" w:rsidRPr="00FA5128" w:rsidRDefault="001B4DCC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b/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7298A922" w:rsidR="00EE66D9" w:rsidRPr="00FA5128" w:rsidRDefault="00C4105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b/>
                <w:color w:val="000000" w:themeColor="text1"/>
                <w:sz w:val="16"/>
                <w:szCs w:val="16"/>
              </w:rPr>
              <w:t>237 281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254AD355" w:rsidR="00EE66D9" w:rsidRPr="00FA5128" w:rsidRDefault="00C4105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b/>
                <w:color w:val="000000" w:themeColor="text1"/>
                <w:sz w:val="16"/>
                <w:szCs w:val="16"/>
              </w:rPr>
              <w:t>106,9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1FC04DBC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3 923</w:t>
            </w:r>
          </w:p>
        </w:tc>
        <w:tc>
          <w:tcPr>
            <w:tcW w:w="1206" w:type="dxa"/>
            <w:vAlign w:val="center"/>
          </w:tcPr>
          <w:p w14:paraId="659B9970" w14:textId="420F042E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133,1</w:t>
            </w:r>
          </w:p>
        </w:tc>
        <w:tc>
          <w:tcPr>
            <w:tcW w:w="1206" w:type="dxa"/>
            <w:vAlign w:val="center"/>
          </w:tcPr>
          <w:p w14:paraId="1D5A4EFB" w14:textId="4A96179C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70,5</w:t>
            </w:r>
          </w:p>
        </w:tc>
        <w:tc>
          <w:tcPr>
            <w:tcW w:w="1206" w:type="dxa"/>
            <w:vAlign w:val="center"/>
          </w:tcPr>
          <w:p w14:paraId="2C94BF3D" w14:textId="5A639238" w:rsidR="00EE66D9" w:rsidRPr="00907546" w:rsidRDefault="00C41057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90 314</w:t>
            </w:r>
          </w:p>
        </w:tc>
        <w:tc>
          <w:tcPr>
            <w:tcW w:w="1207" w:type="dxa"/>
            <w:vAlign w:val="center"/>
          </w:tcPr>
          <w:p w14:paraId="617948A5" w14:textId="6C2BD79C" w:rsidR="00EE66D9" w:rsidRPr="00907546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14790B01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11 616</w:t>
            </w:r>
          </w:p>
        </w:tc>
        <w:tc>
          <w:tcPr>
            <w:tcW w:w="1206" w:type="dxa"/>
            <w:vAlign w:val="center"/>
          </w:tcPr>
          <w:p w14:paraId="404214C6" w14:textId="1874214A" w:rsidR="00E467CC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145,7</w:t>
            </w:r>
          </w:p>
        </w:tc>
        <w:tc>
          <w:tcPr>
            <w:tcW w:w="1206" w:type="dxa"/>
            <w:vAlign w:val="center"/>
          </w:tcPr>
          <w:p w14:paraId="4223D169" w14:textId="3ED4C45F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06" w:type="dxa"/>
            <w:vAlign w:val="center"/>
          </w:tcPr>
          <w:p w14:paraId="73258F0B" w14:textId="2CDA3883" w:rsidR="00EE66D9" w:rsidRPr="008A1C80" w:rsidRDefault="00C41057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142 022</w:t>
            </w:r>
          </w:p>
        </w:tc>
        <w:tc>
          <w:tcPr>
            <w:tcW w:w="1207" w:type="dxa"/>
            <w:vAlign w:val="center"/>
          </w:tcPr>
          <w:p w14:paraId="02ED9A67" w14:textId="1B1EDB2D" w:rsidR="00EE66D9" w:rsidRPr="00FA5128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107,9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509595CF" w14:textId="7A2ECB76" w:rsidR="00EE66D9" w:rsidRPr="005241EA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50434901" w:rsidR="00EE66D9" w:rsidRPr="004327B6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139,2</w:t>
            </w:r>
          </w:p>
        </w:tc>
        <w:tc>
          <w:tcPr>
            <w:tcW w:w="1206" w:type="dxa"/>
            <w:vAlign w:val="center"/>
          </w:tcPr>
          <w:p w14:paraId="2E82320F" w14:textId="5E94E491" w:rsidR="00EE66D9" w:rsidRPr="00553B0B" w:rsidRDefault="00C41057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057">
              <w:rPr>
                <w:rFonts w:ascii="Fira Sans" w:hAnsi="Fira Sans"/>
                <w:color w:val="000000" w:themeColor="text1"/>
                <w:sz w:val="16"/>
                <w:szCs w:val="16"/>
              </w:rPr>
              <w:t>1 304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38540557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0E478AF" w14:textId="11FB9D58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1,4</w:t>
            </w:r>
          </w:p>
        </w:tc>
        <w:tc>
          <w:tcPr>
            <w:tcW w:w="1206" w:type="dxa"/>
            <w:vAlign w:val="center"/>
          </w:tcPr>
          <w:p w14:paraId="67F6BC1F" w14:textId="40168751" w:rsidR="00EE66D9" w:rsidRPr="00E102B7" w:rsidRDefault="001B4DC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B4DCC">
              <w:rPr>
                <w:rFonts w:cs="Arial"/>
                <w:sz w:val="16"/>
                <w:szCs w:val="16"/>
              </w:rPr>
              <w:t>0,6</w:t>
            </w:r>
          </w:p>
        </w:tc>
        <w:tc>
          <w:tcPr>
            <w:tcW w:w="1206" w:type="dxa"/>
            <w:vAlign w:val="center"/>
          </w:tcPr>
          <w:p w14:paraId="7F9BD656" w14:textId="77C4BF29" w:rsidR="00EE66D9" w:rsidRPr="00C230EE" w:rsidRDefault="0087042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70421">
              <w:rPr>
                <w:rFonts w:ascii="Fira Sans" w:hAnsi="Fira Sans"/>
                <w:color w:val="000000" w:themeColor="text1"/>
                <w:sz w:val="16"/>
                <w:szCs w:val="16"/>
              </w:rPr>
              <w:t>2 058</w:t>
            </w:r>
          </w:p>
        </w:tc>
        <w:tc>
          <w:tcPr>
            <w:tcW w:w="1207" w:type="dxa"/>
            <w:vAlign w:val="center"/>
          </w:tcPr>
          <w:p w14:paraId="187AA2B9" w14:textId="3154B5EB" w:rsidR="00EE66D9" w:rsidRPr="00FA5128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89,0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08511B9F" w:rsidR="00EE66D9" w:rsidRPr="00FA512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206" w:type="dxa"/>
            <w:vAlign w:val="center"/>
          </w:tcPr>
          <w:p w14:paraId="7B55480A" w14:textId="0030DA77" w:rsidR="00EE66D9" w:rsidRPr="00FA5128" w:rsidRDefault="001B4DCC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13-krotnie więcej</w:t>
            </w:r>
          </w:p>
        </w:tc>
        <w:tc>
          <w:tcPr>
            <w:tcW w:w="1206" w:type="dxa"/>
            <w:vAlign w:val="center"/>
          </w:tcPr>
          <w:p w14:paraId="11B994F5" w14:textId="50A4CA6D" w:rsidR="00EE66D9" w:rsidRPr="00E102B7" w:rsidRDefault="00F206B3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1206" w:type="dxa"/>
            <w:vAlign w:val="center"/>
          </w:tcPr>
          <w:p w14:paraId="17942F15" w14:textId="6778630C" w:rsidR="00EE66D9" w:rsidRPr="00E87F78" w:rsidRDefault="00C41057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41057">
              <w:rPr>
                <w:color w:val="000000" w:themeColor="text1"/>
                <w:sz w:val="16"/>
                <w:szCs w:val="16"/>
              </w:rPr>
              <w:t>1 346</w:t>
            </w:r>
          </w:p>
        </w:tc>
        <w:tc>
          <w:tcPr>
            <w:tcW w:w="1207" w:type="dxa"/>
            <w:vAlign w:val="center"/>
          </w:tcPr>
          <w:p w14:paraId="2ADEF553" w14:textId="7C5E4F86" w:rsidR="00EE66D9" w:rsidRPr="00FA5128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122,6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7D20428B" w:rsidR="00EE66D9" w:rsidRPr="00A030E6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06" w:type="dxa"/>
            <w:vAlign w:val="center"/>
          </w:tcPr>
          <w:p w14:paraId="19796821" w14:textId="09E0F17D" w:rsidR="00EE66D9" w:rsidRPr="006E0C18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231,0</w:t>
            </w:r>
          </w:p>
        </w:tc>
        <w:tc>
          <w:tcPr>
            <w:tcW w:w="1206" w:type="dxa"/>
            <w:vAlign w:val="center"/>
          </w:tcPr>
          <w:p w14:paraId="619C837E" w14:textId="306CDCB0" w:rsidR="00EE66D9" w:rsidRPr="00296F96" w:rsidRDefault="001B4DC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B4DCC">
              <w:rPr>
                <w:rFonts w:cs="Arial"/>
                <w:sz w:val="16"/>
                <w:szCs w:val="16"/>
              </w:rPr>
              <w:t>119,6</w:t>
            </w:r>
          </w:p>
        </w:tc>
        <w:tc>
          <w:tcPr>
            <w:tcW w:w="1206" w:type="dxa"/>
            <w:vAlign w:val="center"/>
          </w:tcPr>
          <w:p w14:paraId="4C6D59E1" w14:textId="399AD2ED" w:rsidR="00EE66D9" w:rsidRPr="00E87F78" w:rsidRDefault="00C41057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41057">
              <w:rPr>
                <w:color w:val="000000" w:themeColor="text1"/>
                <w:sz w:val="16"/>
                <w:szCs w:val="16"/>
              </w:rPr>
              <w:t>1 515</w:t>
            </w:r>
          </w:p>
        </w:tc>
        <w:tc>
          <w:tcPr>
            <w:tcW w:w="1207" w:type="dxa"/>
            <w:vAlign w:val="center"/>
          </w:tcPr>
          <w:p w14:paraId="1A1DF62A" w14:textId="18DA77DC" w:rsidR="00EE66D9" w:rsidRPr="009F4F41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118,0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3ABFF952" w:rsidR="00EE66D9" w:rsidRPr="00A030E6" w:rsidRDefault="001B4DCC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B4DCC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9B21647" w14:textId="45C2304B" w:rsidR="00EE66D9" w:rsidRPr="006E0C18" w:rsidRDefault="00FE19FF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19FF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200D7890" w14:textId="5D9E6235" w:rsidR="00EE66D9" w:rsidRPr="00296F96" w:rsidRDefault="001B4DCC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B4DC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2588F0FD" w:rsidR="00EE66D9" w:rsidRPr="00E87F78" w:rsidRDefault="00E46A8B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46A8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7" w:type="dxa"/>
            <w:vAlign w:val="center"/>
          </w:tcPr>
          <w:p w14:paraId="3348438E" w14:textId="65D2722F" w:rsidR="00EE66D9" w:rsidRPr="009F4F41" w:rsidRDefault="00C4105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1057">
              <w:rPr>
                <w:rFonts w:cs="Arial"/>
                <w:color w:val="000000" w:themeColor="text1"/>
                <w:sz w:val="16"/>
                <w:szCs w:val="16"/>
              </w:rPr>
              <w:t>9,2</w:t>
            </w:r>
          </w:p>
        </w:tc>
      </w:tr>
    </w:tbl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7A08FAFD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0668BF">
        <w:rPr>
          <w:shd w:val="clear" w:color="auto" w:fill="FFFFFF"/>
        </w:rPr>
        <w:t>grudnia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0668BF">
        <w:rPr>
          <w:shd w:val="clear" w:color="auto" w:fill="FFFFFF"/>
        </w:rPr>
        <w:t>825</w:t>
      </w:r>
      <w:r w:rsidR="000C0B2E">
        <w:rPr>
          <w:shd w:val="clear" w:color="auto" w:fill="FFFFFF"/>
        </w:rPr>
        <w:t>,</w:t>
      </w:r>
      <w:r w:rsidR="00FE19FF">
        <w:rPr>
          <w:shd w:val="clear" w:color="auto" w:fill="FFFFFF"/>
        </w:rPr>
        <w:t>8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870421">
        <w:rPr>
          <w:shd w:val="clear" w:color="auto" w:fill="FFFFFF"/>
        </w:rPr>
        <w:t>o 3,8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 w:rsidR="006631D9">
        <w:rPr>
          <w:shd w:val="clear" w:color="auto" w:fill="FFFFFF"/>
        </w:rPr>
        <w:t xml:space="preserve"> roku 2018. 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096C0826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65B7653A" w:rsidR="00047CF8" w:rsidRDefault="00670AB6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3C8D18B7" wp14:editId="0AE97F50">
            <wp:simplePos x="0" y="0"/>
            <wp:positionH relativeFrom="margin">
              <wp:align>right</wp:align>
            </wp:positionH>
            <wp:positionV relativeFrom="paragraph">
              <wp:posOffset>106320</wp:posOffset>
            </wp:positionV>
            <wp:extent cx="5122545" cy="27720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A0748" w14:textId="1E00F518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7B60050" w14:textId="063166E0" w:rsidR="00047CF8" w:rsidRDefault="00440098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5BA4C524">
                <wp:simplePos x="0" y="0"/>
                <wp:positionH relativeFrom="page">
                  <wp:posOffset>5774055</wp:posOffset>
                </wp:positionH>
                <wp:positionV relativeFrom="paragraph">
                  <wp:posOffset>59055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6591D170" w:rsidR="002D36F4" w:rsidRPr="00296B74" w:rsidRDefault="00F25C7B" w:rsidP="00C6203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0668BF">
                              <w:t>grudniu</w:t>
                            </w:r>
                            <w:r w:rsidR="00440098">
                              <w:t xml:space="preserve"> 2019 roku</w:t>
                            </w:r>
                            <w:r w:rsidR="009E21D0" w:rsidRPr="00296B74">
                              <w:t>,</w:t>
                            </w:r>
                            <w:r w:rsidR="00440098">
                              <w:t xml:space="preserve"> w porównaniu </w:t>
                            </w:r>
                            <w:r w:rsidRPr="00296B74">
                              <w:t xml:space="preserve">do </w:t>
                            </w:r>
                            <w:r w:rsidR="00440098">
                              <w:t>miesiąca poprzedniego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FE19FF">
                              <w:t>w</w:t>
                            </w:r>
                            <w:r w:rsidR="00FB21E1">
                              <w:t>z</w:t>
                            </w:r>
                            <w:r w:rsidR="00FE19FF">
                              <w:t>rosła</w:t>
                            </w:r>
                            <w:r w:rsidR="006D4186" w:rsidRPr="006D4186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5861A1">
                              <w:t>(o </w:t>
                            </w:r>
                            <w:r w:rsidR="000668BF">
                              <w:t>17,6</w:t>
                            </w:r>
                            <w:r w:rsidR="002D36F4">
                              <w:t>%</w:t>
                            </w:r>
                            <w:r w:rsidR="006D4186">
                              <w:t>)</w:t>
                            </w:r>
                            <w:r w:rsidR="002D36F4">
                              <w:t xml:space="preserve"> </w:t>
                            </w:r>
                            <w:r w:rsidR="000668BF">
                              <w:t xml:space="preserve">oraz </w:t>
                            </w:r>
                            <w:r w:rsidR="00FE19FF">
                              <w:t>l</w:t>
                            </w:r>
                            <w:r w:rsidR="002D36F4">
                              <w:t>iczba</w:t>
                            </w:r>
                            <w:r w:rsidR="00F84441" w:rsidRPr="00296B74">
                              <w:t xml:space="preserve"> mieszkań, na których budowę wydano pozwo</w:t>
                            </w:r>
                            <w:r w:rsidR="00C62034">
                              <w:t>lenia lub dokonano zgłoszenia z </w:t>
                            </w:r>
                            <w:r w:rsidR="00F84441" w:rsidRPr="00296B74">
                              <w:t xml:space="preserve">projektem budowlanym </w:t>
                            </w:r>
                            <w:r w:rsidR="000668BF">
                              <w:t>(o 3,4%), natomiast spadła liczba mieszkań, których budowę rozpoczęto (o 16,0%).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4.65pt;margin-top:4.65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" filled="f" stroked="f">
                <v:textbox style="mso-fit-shape-to-text:t">
                  <w:txbxContent>
                    <w:p w14:paraId="62FBD940" w14:textId="6591D170" w:rsidR="002D36F4" w:rsidRPr="00296B74" w:rsidRDefault="00F25C7B" w:rsidP="00C6203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0668BF">
                        <w:t>grudniu</w:t>
                      </w:r>
                      <w:r w:rsidR="00440098">
                        <w:t xml:space="preserve"> 2019 roku</w:t>
                      </w:r>
                      <w:r w:rsidR="009E21D0" w:rsidRPr="00296B74">
                        <w:t>,</w:t>
                      </w:r>
                      <w:r w:rsidR="00440098">
                        <w:t xml:space="preserve"> w porównaniu </w:t>
                      </w:r>
                      <w:r w:rsidRPr="00296B74">
                        <w:t xml:space="preserve">do </w:t>
                      </w:r>
                      <w:r w:rsidR="00440098">
                        <w:t xml:space="preserve">miesiąca </w:t>
                      </w:r>
                      <w:r w:rsidR="00440098">
                        <w:t>poprzedniego</w:t>
                      </w:r>
                      <w:bookmarkStart w:id="1" w:name="_GoBack"/>
                      <w:bookmarkEnd w:id="1"/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FE19FF">
                        <w:t>w</w:t>
                      </w:r>
                      <w:r w:rsidR="00FB21E1">
                        <w:t>z</w:t>
                      </w:r>
                      <w:r w:rsidR="00FE19FF">
                        <w:t>rosła</w:t>
                      </w:r>
                      <w:r w:rsidR="006D4186" w:rsidRPr="006D4186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5861A1">
                        <w:t>(o </w:t>
                      </w:r>
                      <w:r w:rsidR="000668BF">
                        <w:t>17,6</w:t>
                      </w:r>
                      <w:r w:rsidR="002D36F4">
                        <w:t>%</w:t>
                      </w:r>
                      <w:r w:rsidR="006D4186">
                        <w:t>)</w:t>
                      </w:r>
                      <w:r w:rsidR="002D36F4">
                        <w:t xml:space="preserve"> </w:t>
                      </w:r>
                      <w:r w:rsidR="000668BF">
                        <w:t xml:space="preserve">oraz </w:t>
                      </w:r>
                      <w:r w:rsidR="00FE19FF">
                        <w:t>l</w:t>
                      </w:r>
                      <w:r w:rsidR="002D36F4">
                        <w:t>iczba</w:t>
                      </w:r>
                      <w:r w:rsidR="00F84441" w:rsidRPr="00296B74">
                        <w:t xml:space="preserve"> mieszkań, na których budowę wydano pozwo</w:t>
                      </w:r>
                      <w:r w:rsidR="00C62034">
                        <w:t>lenia lub dokonano zgłoszenia z </w:t>
                      </w:r>
                      <w:r w:rsidR="00F84441" w:rsidRPr="00296B74">
                        <w:t xml:space="preserve">projektem budowlanym </w:t>
                      </w:r>
                      <w:r w:rsidR="000668BF">
                        <w:t>(o 3,4%), natomiast spadła liczba mieszkań, których budowę rozpoczęto (o 16,0%).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425EE" w:rsidRPr="00C31687">
        <w:rPr>
          <w:b/>
          <w:noProof/>
          <w:sz w:val="18"/>
          <w:szCs w:val="18"/>
          <w:lang w:eastAsia="pl-PL"/>
        </w:rPr>
        <w:t xml:space="preserve">   </w:t>
      </w:r>
    </w:p>
    <w:p w14:paraId="7C36EEE0" w14:textId="010768B0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17DCC804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54861F1C" w14:textId="5E3EE086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870421">
        <w:rPr>
          <w:szCs w:val="19"/>
          <w:shd w:val="clear" w:color="auto" w:fill="FFFFFF"/>
        </w:rPr>
        <w:t>grudzień</w:t>
      </w:r>
      <w:r w:rsidR="005921E2" w:rsidRPr="005921E2">
        <w:rPr>
          <w:szCs w:val="19"/>
          <w:shd w:val="clear" w:color="auto" w:fill="FFFFFF"/>
        </w:rPr>
        <w:t xml:space="preserve"> </w:t>
      </w:r>
      <w:r w:rsidR="000B256C">
        <w:rPr>
          <w:szCs w:val="19"/>
          <w:shd w:val="clear" w:color="auto" w:fill="FFFFFF"/>
        </w:rPr>
        <w:t>2019 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 xml:space="preserve">.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870421">
        <w:rPr>
          <w:szCs w:val="19"/>
          <w:shd w:val="clear" w:color="auto" w:fill="FFFFFF"/>
        </w:rPr>
        <w:t>odpowiednio 48</w:t>
      </w:r>
      <w:r w:rsidR="00A87770">
        <w:rPr>
          <w:szCs w:val="19"/>
          <w:shd w:val="clear" w:color="auto" w:fill="FFFFFF"/>
        </w:rPr>
        <w:t>,9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870421">
        <w:rPr>
          <w:szCs w:val="19"/>
          <w:shd w:val="clear" w:color="auto" w:fill="FFFFFF"/>
        </w:rPr>
        <w:t xml:space="preserve"> i 45,5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4A5B1F">
        <w:rPr>
          <w:szCs w:val="19"/>
          <w:shd w:val="clear" w:color="auto" w:fill="FFFFFF"/>
        </w:rPr>
        <w:t xml:space="preserve">), </w:t>
      </w:r>
      <w:r w:rsidR="004A5B1F" w:rsidRPr="004A5B1F">
        <w:rPr>
          <w:szCs w:val="19"/>
          <w:shd w:val="clear" w:color="auto" w:fill="FFFFFF"/>
        </w:rPr>
        <w:t>wielkopolskim (</w:t>
      </w:r>
      <w:r w:rsidR="00870421">
        <w:rPr>
          <w:szCs w:val="19"/>
          <w:shd w:val="clear" w:color="auto" w:fill="FFFFFF"/>
        </w:rPr>
        <w:t>28,5 tys. i 24,1</w:t>
      </w:r>
      <w:r w:rsidR="004A5B1F">
        <w:rPr>
          <w:szCs w:val="19"/>
          <w:shd w:val="clear" w:color="auto" w:fill="FFFFFF"/>
        </w:rPr>
        <w:t xml:space="preserve"> tys.) oraz </w:t>
      </w:r>
      <w:r w:rsidR="004A5B1F" w:rsidRPr="004A5B1F">
        <w:rPr>
          <w:szCs w:val="19"/>
          <w:shd w:val="clear" w:color="auto" w:fill="FFFFFF"/>
        </w:rPr>
        <w:t xml:space="preserve">dolnośląskim </w:t>
      </w:r>
      <w:r w:rsidR="001030FA" w:rsidRPr="005921E2">
        <w:rPr>
          <w:szCs w:val="19"/>
          <w:shd w:val="clear" w:color="auto" w:fill="FFFFFF"/>
        </w:rPr>
        <w:t>(</w:t>
      </w:r>
      <w:r w:rsidR="00870421">
        <w:rPr>
          <w:szCs w:val="19"/>
          <w:shd w:val="clear" w:color="auto" w:fill="FFFFFF"/>
        </w:rPr>
        <w:t>28,2</w:t>
      </w:r>
      <w:r w:rsidRPr="005921E2">
        <w:rPr>
          <w:szCs w:val="19"/>
          <w:shd w:val="clear" w:color="auto" w:fill="FFFFFF"/>
        </w:rPr>
        <w:t xml:space="preserve"> tys. </w:t>
      </w:r>
      <w:r w:rsidR="00870421">
        <w:rPr>
          <w:szCs w:val="19"/>
          <w:shd w:val="clear" w:color="auto" w:fill="FFFFFF"/>
        </w:rPr>
        <w:t>i 24</w:t>
      </w:r>
      <w:r w:rsidR="001030FA" w:rsidRPr="005921E2">
        <w:rPr>
          <w:szCs w:val="19"/>
          <w:shd w:val="clear" w:color="auto" w:fill="FFFFFF"/>
        </w:rPr>
        <w:t>,</w:t>
      </w:r>
      <w:r w:rsidR="00870421">
        <w:rPr>
          <w:szCs w:val="19"/>
          <w:shd w:val="clear" w:color="auto" w:fill="FFFFFF"/>
        </w:rPr>
        <w:t>6</w:t>
      </w:r>
      <w:r w:rsidRPr="005921E2">
        <w:rPr>
          <w:szCs w:val="19"/>
          <w:shd w:val="clear" w:color="auto" w:fill="FFFFFF"/>
        </w:rPr>
        <w:t xml:space="preserve"> tys.)</w:t>
      </w:r>
      <w:r w:rsidR="007F771F">
        <w:rPr>
          <w:szCs w:val="19"/>
          <w:shd w:val="clear" w:color="auto" w:fill="FFFFFF"/>
        </w:rPr>
        <w:t xml:space="preserve">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870421">
        <w:rPr>
          <w:szCs w:val="19"/>
          <w:shd w:val="clear" w:color="auto" w:fill="FFFFFF"/>
        </w:rPr>
        <w:t>(43,1</w:t>
      </w:r>
      <w:r w:rsidR="0041374E" w:rsidRPr="005921E2">
        <w:rPr>
          <w:szCs w:val="19"/>
          <w:shd w:val="clear" w:color="auto" w:fill="FFFFFF"/>
        </w:rPr>
        <w:t xml:space="preserve"> t</w:t>
      </w:r>
      <w:r w:rsidR="007F771F">
        <w:rPr>
          <w:szCs w:val="19"/>
          <w:shd w:val="clear" w:color="auto" w:fill="FFFFFF"/>
        </w:rPr>
        <w:t xml:space="preserve">ys. </w:t>
      </w:r>
      <w:r w:rsidR="00FB21E1">
        <w:rPr>
          <w:szCs w:val="19"/>
          <w:shd w:val="clear" w:color="auto" w:fill="FFFFFF"/>
        </w:rPr>
        <w:t xml:space="preserve">mieszkań), </w:t>
      </w:r>
      <w:r w:rsidR="00870421">
        <w:rPr>
          <w:szCs w:val="19"/>
          <w:shd w:val="clear" w:color="auto" w:fill="FFFFFF"/>
        </w:rPr>
        <w:t xml:space="preserve">wielkopolskie (22,3 tys.) i </w:t>
      </w:r>
      <w:r w:rsidR="004A5B1F">
        <w:rPr>
          <w:szCs w:val="19"/>
          <w:shd w:val="clear" w:color="auto" w:fill="FFFFFF"/>
        </w:rPr>
        <w:t>małopolskie</w:t>
      </w:r>
      <w:r w:rsidR="0041374E" w:rsidRPr="005921E2">
        <w:rPr>
          <w:szCs w:val="19"/>
          <w:shd w:val="clear" w:color="auto" w:fill="FFFFFF"/>
        </w:rPr>
        <w:t xml:space="preserve"> (</w:t>
      </w:r>
      <w:r w:rsidR="00870421">
        <w:rPr>
          <w:szCs w:val="19"/>
          <w:shd w:val="clear" w:color="auto" w:fill="FFFFFF"/>
        </w:rPr>
        <w:t>21,9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3A6AA3CB" w14:textId="77777777" w:rsidR="00007AEB" w:rsidRDefault="00007AEB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281A7638" w14:textId="77777777" w:rsidR="00007AEB" w:rsidRDefault="00007AEB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0A9245AB" w14:textId="1A360329" w:rsidR="00E56DD9" w:rsidRDefault="003457E4" w:rsidP="00007AEB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870421">
        <w:rPr>
          <w:b/>
          <w:sz w:val="18"/>
          <w:szCs w:val="18"/>
        </w:rPr>
        <w:t>grudzień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28876BDE" w14:textId="6B083160" w:rsidR="00E56DD9" w:rsidRDefault="00870421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417E9F84" wp14:editId="510695AD">
            <wp:simplePos x="0" y="0"/>
            <wp:positionH relativeFrom="margin">
              <wp:align>right</wp:align>
            </wp:positionH>
            <wp:positionV relativeFrom="paragraph">
              <wp:posOffset>18000</wp:posOffset>
            </wp:positionV>
            <wp:extent cx="5122545" cy="3575685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1E6B5" w14:textId="79311539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10049989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735E92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735E9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735E92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735E92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735E92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D651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D651F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D651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1D651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Mieszkania, na których budowę 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ydan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k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D651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  <w:bookmarkStart w:id="1" w:name="_GoBack"/>
                      <w:bookmarkEnd w:id="1"/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3AA56" w14:textId="77777777" w:rsidR="00735E92" w:rsidRDefault="00735E92" w:rsidP="000662E2">
      <w:pPr>
        <w:spacing w:after="0" w:line="240" w:lineRule="auto"/>
      </w:pPr>
      <w:r>
        <w:separator/>
      </w:r>
    </w:p>
  </w:endnote>
  <w:endnote w:type="continuationSeparator" w:id="0">
    <w:p w14:paraId="0856B7E7" w14:textId="77777777" w:rsidR="00735E92" w:rsidRDefault="00735E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A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A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C8938" w14:textId="77777777" w:rsidR="00735E92" w:rsidRDefault="00735E92" w:rsidP="000662E2">
      <w:pPr>
        <w:spacing w:after="0" w:line="240" w:lineRule="auto"/>
      </w:pPr>
      <w:r>
        <w:separator/>
      </w:r>
    </w:p>
  </w:footnote>
  <w:footnote w:type="continuationSeparator" w:id="0">
    <w:p w14:paraId="5DA15837" w14:textId="77777777" w:rsidR="00735E92" w:rsidRDefault="00735E92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  <w:footnote w:id="4">
    <w:p w14:paraId="5CF6A6DD" w14:textId="31219443" w:rsidR="00F206B3" w:rsidRDefault="00F206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06B3">
        <w:rPr>
          <w:sz w:val="16"/>
          <w:szCs w:val="16"/>
        </w:rPr>
        <w:t xml:space="preserve">W </w:t>
      </w:r>
      <w:r>
        <w:rPr>
          <w:sz w:val="16"/>
          <w:szCs w:val="16"/>
        </w:rPr>
        <w:t>listopadzie</w:t>
      </w:r>
      <w:r w:rsidRPr="00F206B3">
        <w:rPr>
          <w:sz w:val="16"/>
          <w:szCs w:val="16"/>
        </w:rPr>
        <w:t xml:space="preserve"> 2019 r. rozpoczęto budowę 1 mieszkania.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EEDB792" w:rsidR="00112A4D" w:rsidRPr="00C97596" w:rsidRDefault="003B1105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21.01.2020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3EEDB792" w:rsidR="00112A4D" w:rsidRPr="00C97596" w:rsidRDefault="003B1105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21.01.2020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2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07360"/>
    <w:rsid w:val="00210A6F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6811"/>
    <w:rsid w:val="00277F85"/>
    <w:rsid w:val="0028004D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4F22"/>
    <w:rsid w:val="00305979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7A5"/>
    <w:rsid w:val="00493B1C"/>
    <w:rsid w:val="004949CA"/>
    <w:rsid w:val="0049621B"/>
    <w:rsid w:val="00497CE2"/>
    <w:rsid w:val="004A284F"/>
    <w:rsid w:val="004A3BC8"/>
    <w:rsid w:val="004A4641"/>
    <w:rsid w:val="004A5B1F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5A92"/>
    <w:rsid w:val="00507AB5"/>
    <w:rsid w:val="00507D35"/>
    <w:rsid w:val="005105EB"/>
    <w:rsid w:val="00510D8A"/>
    <w:rsid w:val="00512F05"/>
    <w:rsid w:val="005149CE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1CC0"/>
    <w:rsid w:val="00562EC2"/>
    <w:rsid w:val="00566275"/>
    <w:rsid w:val="005662CD"/>
    <w:rsid w:val="00567A72"/>
    <w:rsid w:val="00567F82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526E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1419"/>
    <w:rsid w:val="006631D9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3C83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5E92"/>
    <w:rsid w:val="00737DCC"/>
    <w:rsid w:val="00741554"/>
    <w:rsid w:val="00743232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198E"/>
    <w:rsid w:val="007C2970"/>
    <w:rsid w:val="007C2C9F"/>
    <w:rsid w:val="007C3D00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69A1"/>
    <w:rsid w:val="00857E64"/>
    <w:rsid w:val="00860C28"/>
    <w:rsid w:val="00860F7B"/>
    <w:rsid w:val="00863E09"/>
    <w:rsid w:val="008646DA"/>
    <w:rsid w:val="00865B30"/>
    <w:rsid w:val="00865E47"/>
    <w:rsid w:val="00866416"/>
    <w:rsid w:val="00870421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2D5B"/>
    <w:rsid w:val="008B3CA0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3106"/>
    <w:rsid w:val="00904121"/>
    <w:rsid w:val="00904133"/>
    <w:rsid w:val="00905375"/>
    <w:rsid w:val="00905739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770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5633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3D5D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66B3"/>
    <w:rsid w:val="00C3702F"/>
    <w:rsid w:val="00C37A03"/>
    <w:rsid w:val="00C41057"/>
    <w:rsid w:val="00C41642"/>
    <w:rsid w:val="00C41764"/>
    <w:rsid w:val="00C45997"/>
    <w:rsid w:val="00C46C43"/>
    <w:rsid w:val="00C47820"/>
    <w:rsid w:val="00C52C74"/>
    <w:rsid w:val="00C5434F"/>
    <w:rsid w:val="00C561ED"/>
    <w:rsid w:val="00C62034"/>
    <w:rsid w:val="00C64A37"/>
    <w:rsid w:val="00C6552F"/>
    <w:rsid w:val="00C67295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E3423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350E"/>
    <w:rsid w:val="00D766FB"/>
    <w:rsid w:val="00D77B37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D51"/>
    <w:rsid w:val="00DE4BE2"/>
    <w:rsid w:val="00DE6285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Budownictwo_dashboards/Raporty_predefiniowane/RAP_DBD_BUD_9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201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1.emf"/><Relationship Id="rId24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5" Type="http://schemas.openxmlformats.org/officeDocument/2006/relationships/hyperlink" Target="http://swaid.stat.gov.pl/Budownictwo_dashboards/Raporty_predefiniowane/RAP_DBD_BUD_7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49979363266614568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Arkusz1!$B$4:$AW$4</c:f>
              <c:numCache>
                <c:formatCode>General</c:formatCode>
                <c:ptCount val="48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Arkusz1!$B$16:$AW$16</c:f>
              <c:numCache>
                <c:formatCode>General</c:formatCode>
                <c:ptCount val="48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Arkusz1!$B$2:$AW$3</c:f>
              <c:multiLvlStrCache>
                <c:ptCount val="48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Arkusz1!$B$10:$AW$10</c:f>
              <c:numCache>
                <c:formatCode>General</c:formatCode>
                <c:ptCount val="48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78979728"/>
        <c:axId val="-478971024"/>
      </c:lineChart>
      <c:catAx>
        <c:axId val="-47897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7897102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47897102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7897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942168394811563E-2"/>
          <c:y val="0.74174397093493083"/>
          <c:w val="0.91145299846072603"/>
          <c:h val="0.13572258620344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920623440106431"/>
          <c:y val="8.6119442848013733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3241</c:v>
                </c:pt>
                <c:pt idx="1">
                  <c:v>4208</c:v>
                </c:pt>
                <c:pt idx="2">
                  <c:v>5512</c:v>
                </c:pt>
                <c:pt idx="3">
                  <c:v>5701</c:v>
                </c:pt>
                <c:pt idx="4">
                  <c:v>7390</c:v>
                </c:pt>
                <c:pt idx="5">
                  <c:v>9637</c:v>
                </c:pt>
                <c:pt idx="6">
                  <c:v>10570</c:v>
                </c:pt>
                <c:pt idx="7">
                  <c:v>9772</c:v>
                </c:pt>
                <c:pt idx="8">
                  <c:v>11109</c:v>
                </c:pt>
                <c:pt idx="9">
                  <c:v>14065</c:v>
                </c:pt>
                <c:pt idx="10">
                  <c:v>17776</c:v>
                </c:pt>
                <c:pt idx="11">
                  <c:v>21639</c:v>
                </c:pt>
                <c:pt idx="12">
                  <c:v>24590</c:v>
                </c:pt>
                <c:pt idx="13">
                  <c:v>22525</c:v>
                </c:pt>
                <c:pt idx="14">
                  <c:v>24087</c:v>
                </c:pt>
                <c:pt idx="15">
                  <c:v>45459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4050</c:v>
                </c:pt>
                <c:pt idx="1">
                  <c:v>4144</c:v>
                </c:pt>
                <c:pt idx="2">
                  <c:v>6439</c:v>
                </c:pt>
                <c:pt idx="3">
                  <c:v>8209</c:v>
                </c:pt>
                <c:pt idx="4">
                  <c:v>8899</c:v>
                </c:pt>
                <c:pt idx="5">
                  <c:v>10653</c:v>
                </c:pt>
                <c:pt idx="6">
                  <c:v>12078</c:v>
                </c:pt>
                <c:pt idx="7">
                  <c:v>12337</c:v>
                </c:pt>
                <c:pt idx="8">
                  <c:v>12860</c:v>
                </c:pt>
                <c:pt idx="9">
                  <c:v>14401</c:v>
                </c:pt>
                <c:pt idx="10">
                  <c:v>20406</c:v>
                </c:pt>
                <c:pt idx="11">
                  <c:v>25357</c:v>
                </c:pt>
                <c:pt idx="12">
                  <c:v>28201</c:v>
                </c:pt>
                <c:pt idx="13">
                  <c:v>23066</c:v>
                </c:pt>
                <c:pt idx="14">
                  <c:v>28513</c:v>
                </c:pt>
                <c:pt idx="15">
                  <c:v>48870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Małopolskie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2721</c:v>
                </c:pt>
                <c:pt idx="1">
                  <c:v>3825</c:v>
                </c:pt>
                <c:pt idx="2">
                  <c:v>4173</c:v>
                </c:pt>
                <c:pt idx="3">
                  <c:v>5811</c:v>
                </c:pt>
                <c:pt idx="4">
                  <c:v>6087</c:v>
                </c:pt>
                <c:pt idx="5">
                  <c:v>7283</c:v>
                </c:pt>
                <c:pt idx="6">
                  <c:v>8043</c:v>
                </c:pt>
                <c:pt idx="7">
                  <c:v>8972</c:v>
                </c:pt>
                <c:pt idx="8">
                  <c:v>9175</c:v>
                </c:pt>
                <c:pt idx="9">
                  <c:v>9742</c:v>
                </c:pt>
                <c:pt idx="10">
                  <c:v>14004</c:v>
                </c:pt>
                <c:pt idx="11">
                  <c:v>18343</c:v>
                </c:pt>
                <c:pt idx="12">
                  <c:v>21773</c:v>
                </c:pt>
                <c:pt idx="13">
                  <c:v>21896</c:v>
                </c:pt>
                <c:pt idx="14">
                  <c:v>22273</c:v>
                </c:pt>
                <c:pt idx="15">
                  <c:v>43103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478983536"/>
        <c:axId val="-478976464"/>
      </c:barChart>
      <c:catAx>
        <c:axId val="-4789835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78976464"/>
        <c:crosses val="autoZero"/>
        <c:auto val="1"/>
        <c:lblAlgn val="ctr"/>
        <c:lblOffset val="100"/>
        <c:noMultiLvlLbl val="0"/>
      </c:catAx>
      <c:valAx>
        <c:axId val="-478976464"/>
        <c:scaling>
          <c:orientation val="minMax"/>
          <c:max val="5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47898353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2543288908279122"/>
          <c:w val="0.83688211129506873"/>
          <c:h val="0.129409609627246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BA5EC-D239-48CA-B381-810086A9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styczeń-listopad 2019 roku</vt:lpstr>
    </vt:vector>
  </TitlesOfParts>
  <Company>Główny Urząd Statystyczny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styczeń-grudzień 2019 roku</dc:title>
  <dc:subject>Budownictwo mieszkaniowe w okresie styczeń-grudzień 2019 roku</dc:subject>
  <dc:creator>Główny Urząd Statystyczny</dc:creator>
  <cp:keywords>mieszkania oddane do użytkowania; mieszkania w budowie; mieszkania rozpoczęte; pozwolenie na budowę; powierzchnia użytkowa</cp:keywords>
  <cp:lastPrinted>2020-01-17T14:05:00Z</cp:lastPrinted>
  <dcterms:created xsi:type="dcterms:W3CDTF">2020-01-16T14:02:00Z</dcterms:created>
  <dcterms:modified xsi:type="dcterms:W3CDTF">2020-01-21T06:18:00Z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