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bookmarkStart w:id="0" w:name="_GoBack"/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FE14A7">
        <w:t>okresie styczeń-wrzesień</w:t>
      </w:r>
      <w:r w:rsidR="001172AE">
        <w:t xml:space="preserve"> 2020 roku</w:t>
      </w:r>
    </w:p>
    <w:bookmarkEnd w:id="0"/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E14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4,1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D12538" w:rsidP="00883763">
                            <w:pPr>
                              <w:pStyle w:val="tekstnaniebieskimtle"/>
                            </w:pPr>
                            <w:r>
                              <w:t>Spadek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E14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4,1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D12538" w:rsidP="00883763">
                      <w:pPr>
                        <w:pStyle w:val="tekstnaniebieskimtle"/>
                      </w:pPr>
                      <w:r>
                        <w:t>Spadek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FE14A7">
        <w:rPr>
          <w:shd w:val="clear" w:color="auto" w:fill="FFFFFF"/>
        </w:rPr>
        <w:t>okresie styczeń-wrzesień</w:t>
      </w:r>
      <w:r w:rsidR="00B253FF">
        <w:rPr>
          <w:shd w:val="clear" w:color="auto" w:fill="FFFFFF"/>
        </w:rPr>
        <w:t xml:space="preserve"> 2020</w:t>
      </w:r>
      <w:r w:rsidR="00CF7929" w:rsidRPr="002A2B09">
        <w:rPr>
          <w:shd w:val="clear" w:color="auto" w:fill="FFFFFF"/>
        </w:rPr>
        <w:t xml:space="preserve"> roku </w:t>
      </w:r>
      <w:r w:rsidR="00D12538">
        <w:rPr>
          <w:shd w:val="clear" w:color="auto" w:fill="FFFFFF"/>
        </w:rPr>
        <w:t>spadek</w:t>
      </w:r>
      <w:r w:rsidR="00662AAF" w:rsidRPr="00662AAF">
        <w:rPr>
          <w:shd w:val="clear" w:color="auto" w:fill="FFFFFF"/>
        </w:rPr>
        <w:t xml:space="preserve"> przychodów </w:t>
      </w:r>
      <w:r w:rsidR="00A526F5">
        <w:rPr>
          <w:shd w:val="clear" w:color="auto" w:fill="FFFFFF"/>
        </w:rPr>
        <w:t>ogółem</w:t>
      </w:r>
      <w:r w:rsidR="00CB1408">
        <w:rPr>
          <w:shd w:val="clear" w:color="auto" w:fill="FFFFFF"/>
        </w:rPr>
        <w:t xml:space="preserve"> </w:t>
      </w:r>
      <w:r w:rsidR="00FE14A7">
        <w:rPr>
          <w:shd w:val="clear" w:color="auto" w:fill="FFFFFF"/>
        </w:rPr>
        <w:t>(4,1</w:t>
      </w:r>
      <w:r w:rsidR="00662AAF" w:rsidRPr="00662AAF">
        <w:rPr>
          <w:shd w:val="clear" w:color="auto" w:fill="FFFFFF"/>
        </w:rPr>
        <w:t>%) by</w:t>
      </w:r>
      <w:r w:rsidR="00662AAF">
        <w:rPr>
          <w:shd w:val="clear" w:color="auto" w:fill="FFFFFF"/>
        </w:rPr>
        <w:t>ł</w:t>
      </w:r>
      <w:r w:rsidR="00B42DD1">
        <w:rPr>
          <w:shd w:val="clear" w:color="auto" w:fill="FFFFFF"/>
        </w:rPr>
        <w:t xml:space="preserve"> większy</w:t>
      </w:r>
      <w:r w:rsidR="00CB1408">
        <w:rPr>
          <w:shd w:val="clear" w:color="auto" w:fill="FFFFFF"/>
        </w:rPr>
        <w:t xml:space="preserve"> niż s</w:t>
      </w:r>
      <w:r w:rsidR="00FE14A7">
        <w:rPr>
          <w:shd w:val="clear" w:color="auto" w:fill="FFFFFF"/>
        </w:rPr>
        <w:t>padek kosztów ich uzyskania (3,8</w:t>
      </w:r>
      <w:r w:rsidR="00662AAF" w:rsidRPr="00662AAF">
        <w:rPr>
          <w:shd w:val="clear" w:color="auto" w:fill="FFFFFF"/>
        </w:rPr>
        <w:t>%</w:t>
      </w:r>
      <w:r w:rsidR="00662AAF">
        <w:rPr>
          <w:shd w:val="clear" w:color="auto" w:fill="FFFFFF"/>
        </w:rPr>
        <w:t>). 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>ych przedsiębiorstw były niższe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>Pogorszyły</w:t>
      </w:r>
      <w:r w:rsidR="00294738">
        <w:rPr>
          <w:shd w:val="clear" w:color="auto" w:fill="FFFFFF"/>
        </w:rPr>
        <w:t xml:space="preserve"> się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FE5DA2" w:rsidRPr="00FE5DA2">
        <w:rPr>
          <w:shd w:val="clear" w:color="auto" w:fill="FFFFFF"/>
        </w:rPr>
        <w:t>Nakłady inwestycyjne były niższe o 7,2% od notowanych w okresie styczeń-wrzesień 2019 roku (kiedy miał miejsce wzrost o 15,2%).</w:t>
      </w:r>
    </w:p>
    <w:p w:rsidR="00685123" w:rsidRDefault="00685123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CB1408">
        <w:rPr>
          <w:b w:val="0"/>
        </w:rPr>
        <w:t>były ni</w:t>
      </w:r>
      <w:r>
        <w:rPr>
          <w:b w:val="0"/>
        </w:rPr>
        <w:t xml:space="preserve">ższe o </w:t>
      </w:r>
      <w:r w:rsidR="00FE14A7">
        <w:rPr>
          <w:b w:val="0"/>
        </w:rPr>
        <w:t>4,1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01106A">
        <w:rPr>
          <w:b w:val="0"/>
        </w:rPr>
        <w:t>szty ich uzyskania spadły o 3,8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E13D08">
        <w:rPr>
          <w:b w:val="0"/>
        </w:rPr>
        <w:t xml:space="preserve">Pogorszył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C91628">
        <w:rPr>
          <w:b w:val="0"/>
        </w:rPr>
        <w:t>95,1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C91628">
        <w:rPr>
          <w:b w:val="0"/>
        </w:rPr>
        <w:t>95,4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C91628">
        <w:rPr>
          <w:b w:val="0"/>
        </w:rPr>
        <w:t>spadły o 4,6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C91628">
        <w:rPr>
          <w:b w:val="0"/>
        </w:rPr>
        <w:t>4,7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0D07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 był niższy o 11,4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4IEQ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0D07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 był niższy o 11,4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C91628">
        <w:rPr>
          <w:b w:val="0"/>
        </w:rPr>
        <w:t>105,5</w:t>
      </w:r>
      <w:r w:rsidR="0081208E">
        <w:rPr>
          <w:b w:val="0"/>
        </w:rPr>
        <w:t xml:space="preserve"> mld zł i był </w:t>
      </w:r>
      <w:r w:rsidR="00A3573C">
        <w:rPr>
          <w:b w:val="0"/>
        </w:rPr>
        <w:t>ni</w:t>
      </w:r>
      <w:r w:rsidR="0081208E">
        <w:rPr>
          <w:b w:val="0"/>
        </w:rPr>
        <w:t>ższy o </w:t>
      </w:r>
      <w:r w:rsidR="00C91628">
        <w:rPr>
          <w:b w:val="0"/>
        </w:rPr>
        <w:t>3,8</w:t>
      </w:r>
      <w:r w:rsidR="001C0B72">
        <w:rPr>
          <w:b w:val="0"/>
        </w:rPr>
        <w:t xml:space="preserve">% niż w </w:t>
      </w:r>
      <w:r w:rsidR="00445C34">
        <w:rPr>
          <w:b w:val="0"/>
        </w:rPr>
        <w:t>analogicznym okresie roku ubiegłego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445C34">
        <w:rPr>
          <w:b w:val="0"/>
        </w:rPr>
        <w:t>11,0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445C34">
        <w:rPr>
          <w:b w:val="0"/>
        </w:rPr>
        <w:t>4,5</w:t>
      </w:r>
      <w:r w:rsidR="0081208E" w:rsidRPr="00DD07B8">
        <w:rPr>
          <w:b w:val="0"/>
        </w:rPr>
        <w:t xml:space="preserve"> mld zł niż przed rokiem. Zanotowano </w:t>
      </w:r>
      <w:r w:rsidR="00445C34">
        <w:rPr>
          <w:b w:val="0"/>
        </w:rPr>
        <w:t xml:space="preserve">znaczne </w:t>
      </w:r>
      <w:r w:rsidR="001951F5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C37A8D">
        <w:rPr>
          <w:b w:val="0"/>
        </w:rPr>
        <w:t xml:space="preserve">minus </w:t>
      </w:r>
      <w:r w:rsidR="00445C34">
        <w:rPr>
          <w:b w:val="0"/>
        </w:rPr>
        <w:t>12,2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445C34">
        <w:rPr>
          <w:b w:val="0"/>
        </w:rPr>
        <w:t>minus 0,2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</w:t>
      </w:r>
      <w:r w:rsidR="00445C34">
        <w:rPr>
          <w:b w:val="0"/>
        </w:rPr>
        <w:t xml:space="preserve">okresie styczeń-wrzesień </w:t>
      </w:r>
      <w:r w:rsidR="001951F5">
        <w:rPr>
          <w:b w:val="0"/>
        </w:rPr>
        <w:t>2019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0D07D5">
        <w:rPr>
          <w:b w:val="0"/>
        </w:rPr>
        <w:t>104,3</w:t>
      </w:r>
      <w:r>
        <w:rPr>
          <w:b w:val="0"/>
        </w:rPr>
        <w:t xml:space="preserve"> mld zł wobec </w:t>
      </w:r>
      <w:r w:rsidR="000D07D5">
        <w:rPr>
          <w:b w:val="0"/>
        </w:rPr>
        <w:t>115,9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0D07D5">
        <w:rPr>
          <w:b w:val="0"/>
        </w:rPr>
        <w:t>18,9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0D07D5">
        <w:rPr>
          <w:b w:val="0"/>
        </w:rPr>
        <w:t>19,5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0D07D5">
        <w:rPr>
          <w:b w:val="0"/>
        </w:rPr>
        <w:t>85</w:t>
      </w:r>
      <w:r w:rsidR="00593C58">
        <w:rPr>
          <w:b w:val="0"/>
        </w:rPr>
        <w:t>,4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1951F5">
        <w:rPr>
          <w:b w:val="0"/>
        </w:rPr>
        <w:t>ni</w:t>
      </w:r>
      <w:r>
        <w:rPr>
          <w:b w:val="0"/>
        </w:rPr>
        <w:t xml:space="preserve">ższy o </w:t>
      </w:r>
      <w:r w:rsidR="000D07D5">
        <w:rPr>
          <w:b w:val="0"/>
        </w:rPr>
        <w:t>11,4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8D2681">
        <w:rPr>
          <w:b w:val="0"/>
        </w:rPr>
        <w:t>119,2</w:t>
      </w:r>
      <w:r>
        <w:rPr>
          <w:b w:val="0"/>
        </w:rPr>
        <w:t xml:space="preserve"> mld zł i był </w:t>
      </w:r>
      <w:r w:rsidR="008D2681">
        <w:rPr>
          <w:b w:val="0"/>
        </w:rPr>
        <w:t>wy</w:t>
      </w:r>
      <w:r>
        <w:rPr>
          <w:b w:val="0"/>
        </w:rPr>
        <w:t xml:space="preserve">ższy o </w:t>
      </w:r>
      <w:r w:rsidR="008D2681">
        <w:rPr>
          <w:b w:val="0"/>
        </w:rPr>
        <w:t>5,0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8D2681">
        <w:rPr>
          <w:b w:val="0"/>
        </w:rPr>
        <w:t>okresie styczeń-wrzesień</w:t>
      </w:r>
      <w:r w:rsidR="00F96984">
        <w:rPr>
          <w:b w:val="0"/>
        </w:rPr>
        <w:t xml:space="preserve"> 2019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8D2681">
        <w:rPr>
          <w:b w:val="0"/>
        </w:rPr>
        <w:t>33,7</w:t>
      </w:r>
      <w:r w:rsidRPr="00DD07B8">
        <w:rPr>
          <w:b w:val="0"/>
        </w:rPr>
        <w:t xml:space="preserve"> mld zł i z</w:t>
      </w:r>
      <w:r w:rsidR="006409D7">
        <w:rPr>
          <w:b w:val="0"/>
        </w:rPr>
        <w:t>więk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8D2681">
        <w:rPr>
          <w:b w:val="0"/>
        </w:rPr>
        <w:t>16,0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EE7CBD">
        <w:rPr>
          <w:b w:val="0"/>
        </w:rPr>
        <w:t>Podobnie jak przed rokiem z</w:t>
      </w:r>
      <w:r w:rsidR="00797F16">
        <w:rPr>
          <w:b w:val="0"/>
        </w:rPr>
        <w:t xml:space="preserve">ysk netto wykazało </w:t>
      </w:r>
      <w:r w:rsidR="008D2681">
        <w:rPr>
          <w:b w:val="0"/>
        </w:rPr>
        <w:t>77,7</w:t>
      </w:r>
      <w:r w:rsidRPr="006361E6">
        <w:rPr>
          <w:b w:val="0"/>
        </w:rPr>
        <w:t>% o</w:t>
      </w:r>
      <w:r w:rsidR="00EE7CBD">
        <w:rPr>
          <w:b w:val="0"/>
        </w:rPr>
        <w:t>gółu przedsiębiorstw</w:t>
      </w:r>
      <w:r w:rsidRPr="006361E6">
        <w:rPr>
          <w:b w:val="0"/>
        </w:rPr>
        <w:t>, a uzyskane</w:t>
      </w:r>
      <w:r w:rsidR="006361E6">
        <w:rPr>
          <w:b w:val="0"/>
        </w:rPr>
        <w:t xml:space="preserve"> przez nie przychody stanowiły </w:t>
      </w:r>
      <w:r w:rsidR="008D2681">
        <w:rPr>
          <w:b w:val="0"/>
        </w:rPr>
        <w:t>77</w:t>
      </w:r>
      <w:r w:rsidR="00323E9B">
        <w:rPr>
          <w:b w:val="0"/>
        </w:rPr>
        <w:t>,4</w:t>
      </w:r>
      <w:r w:rsidRPr="006361E6">
        <w:rPr>
          <w:b w:val="0"/>
        </w:rPr>
        <w:t>% przyc</w:t>
      </w:r>
      <w:r w:rsidR="008D2681">
        <w:rPr>
          <w:b w:val="0"/>
        </w:rPr>
        <w:t xml:space="preserve">hodów ogółem </w:t>
      </w:r>
      <w:r w:rsidRPr="00C40424">
        <w:rPr>
          <w:b w:val="0"/>
        </w:rPr>
        <w:t>badanych przedsiębior</w:t>
      </w:r>
      <w:r w:rsidR="003A414D" w:rsidRPr="00C40424">
        <w:rPr>
          <w:b w:val="0"/>
        </w:rPr>
        <w:t xml:space="preserve">stw (wobec </w:t>
      </w:r>
      <w:r w:rsidR="008D2681">
        <w:rPr>
          <w:b w:val="0"/>
        </w:rPr>
        <w:t>85,2</w:t>
      </w:r>
      <w:r w:rsidRPr="00C40424">
        <w:rPr>
          <w:b w:val="0"/>
        </w:rPr>
        <w:t xml:space="preserve">% przed rokiem). </w:t>
      </w:r>
      <w:r w:rsidRPr="00500A1B">
        <w:rPr>
          <w:b w:val="0"/>
        </w:rPr>
        <w:t>W przetwórstwie przemys</w:t>
      </w:r>
      <w:r w:rsidR="00C92B84" w:rsidRPr="00500A1B">
        <w:rPr>
          <w:b w:val="0"/>
        </w:rPr>
        <w:t xml:space="preserve">łowym zysk netto odnotowało </w:t>
      </w:r>
      <w:r w:rsidR="008D2681">
        <w:rPr>
          <w:b w:val="0"/>
        </w:rPr>
        <w:t>81,0% jednostek (przed rokiem 80,0</w:t>
      </w:r>
      <w:r w:rsidRPr="00500A1B">
        <w:rPr>
          <w:b w:val="0"/>
        </w:rPr>
        <w:t>%), a udział uzyskanych przez nie przychodów w przychodach wszystkich p</w:t>
      </w:r>
      <w:r w:rsidR="00C40424" w:rsidRPr="00500A1B">
        <w:rPr>
          <w:b w:val="0"/>
        </w:rPr>
        <w:t>odmiotów tej sekcji wyniósł 7</w:t>
      </w:r>
      <w:r w:rsidR="008D2681">
        <w:rPr>
          <w:b w:val="0"/>
        </w:rPr>
        <w:t>4,5</w:t>
      </w:r>
      <w:r w:rsidR="00A501AC" w:rsidRPr="00500A1B">
        <w:rPr>
          <w:b w:val="0"/>
        </w:rPr>
        <w:t xml:space="preserve">% (wobec </w:t>
      </w:r>
      <w:r w:rsidR="00500A1B" w:rsidRPr="00500A1B">
        <w:rPr>
          <w:b w:val="0"/>
        </w:rPr>
        <w:t>odpowiednio 87,2</w:t>
      </w:r>
      <w:r w:rsidRPr="00500A1B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086B78">
        <w:rPr>
          <w:sz w:val="18"/>
          <w:szCs w:val="18"/>
        </w:rPr>
        <w:t xml:space="preserve">w </w:t>
      </w:r>
      <w:r w:rsidR="00EE7CBD">
        <w:rPr>
          <w:sz w:val="18"/>
          <w:szCs w:val="18"/>
        </w:rPr>
        <w:t>okresie styczeń-wrzesień</w:t>
      </w:r>
      <w:r w:rsidR="001951F5" w:rsidRPr="00DC15C8">
        <w:rPr>
          <w:sz w:val="18"/>
          <w:szCs w:val="18"/>
        </w:rPr>
        <w:t xml:space="preserve"> w latach 2</w:t>
      </w:r>
      <w:r w:rsidR="00DC15C8" w:rsidRPr="00DC15C8">
        <w:rPr>
          <w:sz w:val="18"/>
          <w:szCs w:val="18"/>
        </w:rPr>
        <w:t>001</w:t>
      </w:r>
      <w:r w:rsidR="001951F5" w:rsidRPr="00DC15C8">
        <w:rPr>
          <w:sz w:val="18"/>
          <w:szCs w:val="18"/>
        </w:rPr>
        <w:t>-2020</w:t>
      </w:r>
    </w:p>
    <w:p w:rsidR="00B211AB" w:rsidRDefault="000961F8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4944110" cy="3011805"/>
            <wp:effectExtent l="0" t="0" r="889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251BD4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I-I</w:t>
            </w:r>
            <w:r w:rsidR="006B7A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251B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="00B91AA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251BD4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6B7A46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B91AA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6B7A46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2 383 038,7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2 285 069,2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2 323 022,5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2 215 114,6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2 267 106,1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2 180 755,1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2 213 344,9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2 109 652,1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109 677,6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105 462,5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6 502,8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11 035,0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169,7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-12 183,4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115 932,6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104 314,0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96 449,8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85 447,3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114 198,2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119 190,1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17 748,4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33 742,8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190,1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B7A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B7A46" w:rsidRDefault="006B7A46" w:rsidP="006B7A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A46" w:rsidRPr="00957F9B" w:rsidRDefault="006B7A46" w:rsidP="006B7A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621030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AF36AA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ogorszenie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wskaźnika rentowności obrotu netto 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615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górnictwie i wydobywaniu</w:t>
                            </w:r>
                            <w:r w:rsidR="00E53F59" w:rsidRPr="00E53F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B615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10</w:t>
                            </w:r>
                            <w:r w:rsidR="003C4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,8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1646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style="position:absolute;margin-left:415.5pt;margin-top:48.9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VYr3PfAAAACwEAAA8AAAAAAAAAAAAAAAAAawQAAGRycy9kb3ducmV2LnhtbFBLBQYAAAAABAAE&#10;APMAAAB3BQAAAAA=&#10;" filled="f" stroked="f">
                <v:textbox>
                  <w:txbxContent>
                    <w:p w:rsidR="007413CF" w:rsidRPr="00BF2F65" w:rsidRDefault="00AF36AA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ogorszenie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wskaźnika rentowności obrotu netto 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615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górnictwie i wydobywaniu</w:t>
                      </w:r>
                      <w:r w:rsidR="00E53F59" w:rsidRPr="00E53F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B615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10</w:t>
                      </w:r>
                      <w:r w:rsidR="003C4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,8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1646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AC2E51">
        <w:rPr>
          <w:b w:val="0"/>
        </w:rPr>
        <w:t>95,4</w:t>
      </w:r>
      <w:r w:rsidR="005A2748">
        <w:rPr>
          <w:b w:val="0"/>
        </w:rPr>
        <w:t xml:space="preserve">% (wobec </w:t>
      </w:r>
      <w:r w:rsidR="00AC2E51">
        <w:rPr>
          <w:b w:val="0"/>
        </w:rPr>
        <w:t>95,1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AC2E51">
        <w:rPr>
          <w:b w:val="0"/>
        </w:rPr>
        <w:t xml:space="preserve"> zwiększył się z 4,7</w:t>
      </w:r>
      <w:r w:rsidR="00251BD4">
        <w:rPr>
          <w:b w:val="0"/>
        </w:rPr>
        <w:t>%</w:t>
      </w:r>
      <w:r w:rsidR="00AC2E51">
        <w:rPr>
          <w:b w:val="0"/>
        </w:rPr>
        <w:t xml:space="preserve"> do 4,8</w:t>
      </w:r>
      <w:r w:rsidR="00710F70">
        <w:rPr>
          <w:b w:val="0"/>
        </w:rPr>
        <w:t>%,</w:t>
      </w:r>
      <w:r w:rsidR="00251BD4">
        <w:rPr>
          <w:b w:val="0"/>
        </w:rPr>
        <w:t xml:space="preserve"> </w:t>
      </w:r>
      <w:r w:rsidR="00AC2E51">
        <w:rPr>
          <w:b w:val="0"/>
        </w:rPr>
        <w:t xml:space="preserve">obniżył się </w:t>
      </w:r>
      <w:r w:rsidR="00251BD4">
        <w:rPr>
          <w:b w:val="0"/>
        </w:rPr>
        <w:t xml:space="preserve">wskaźnik rentowności obrotu brutto </w:t>
      </w:r>
      <w:r w:rsidR="00AC2E51">
        <w:rPr>
          <w:b w:val="0"/>
        </w:rPr>
        <w:t>z 4,9% do 4,6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90547D">
        <w:rPr>
          <w:b w:val="0"/>
        </w:rPr>
        <w:br/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AC2E51">
        <w:rPr>
          <w:b w:val="0"/>
        </w:rPr>
        <w:t>z 4,0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3</w:t>
      </w:r>
      <w:r w:rsidR="00AC2E51">
        <w:rPr>
          <w:b w:val="0"/>
        </w:rPr>
        <w:t>,7</w:t>
      </w:r>
      <w:r w:rsidR="00710F70">
        <w:rPr>
          <w:b w:val="0"/>
        </w:rPr>
        <w:t>%</w:t>
      </w:r>
      <w:r w:rsidR="00583934" w:rsidRPr="007A2842">
        <w:rPr>
          <w:b w:val="0"/>
        </w:rPr>
        <w:t>.</w:t>
      </w:r>
    </w:p>
    <w:p w:rsidR="000F051C" w:rsidRPr="009D1CA1" w:rsidRDefault="00115944" w:rsidP="00F93481">
      <w:pPr>
        <w:pStyle w:val="LID"/>
        <w:rPr>
          <w:b w:val="0"/>
        </w:rPr>
      </w:pPr>
      <w:r w:rsidRPr="00B615EF">
        <w:rPr>
          <w:b w:val="0"/>
        </w:rPr>
        <w:t xml:space="preserve">Pogorszenie wskaźnika rentowności obrotu netto odnotowano m.in. w </w:t>
      </w:r>
      <w:r w:rsidR="00B615EF">
        <w:rPr>
          <w:b w:val="0"/>
        </w:rPr>
        <w:t>górnictwie i wydobywaniu (z 4,4% do minus 6,4</w:t>
      </w:r>
      <w:r w:rsidR="00B615EF" w:rsidRPr="00B615EF">
        <w:rPr>
          <w:b w:val="0"/>
        </w:rPr>
        <w:t xml:space="preserve">%), </w:t>
      </w:r>
      <w:r w:rsidRPr="00B615EF">
        <w:rPr>
          <w:b w:val="0"/>
        </w:rPr>
        <w:t>zak</w:t>
      </w:r>
      <w:r w:rsidR="00B615EF">
        <w:rPr>
          <w:b w:val="0"/>
        </w:rPr>
        <w:t>waterowaniu i gastronomii (z 7,3</w:t>
      </w:r>
      <w:r w:rsidRPr="00B615EF">
        <w:rPr>
          <w:b w:val="0"/>
        </w:rPr>
        <w:t xml:space="preserve">% </w:t>
      </w:r>
      <w:r w:rsidR="00F43895" w:rsidRPr="00B615EF">
        <w:rPr>
          <w:b w:val="0"/>
        </w:rPr>
        <w:t xml:space="preserve">przed rokiem </w:t>
      </w:r>
      <w:r w:rsidR="00B615EF">
        <w:rPr>
          <w:b w:val="0"/>
        </w:rPr>
        <w:t>do minus 3,4</w:t>
      </w:r>
      <w:r w:rsidRPr="00B615EF">
        <w:rPr>
          <w:b w:val="0"/>
        </w:rPr>
        <w:t>%), pozostałej dział</w:t>
      </w:r>
      <w:r w:rsidR="00B615EF">
        <w:rPr>
          <w:b w:val="0"/>
        </w:rPr>
        <w:t>alności usługowej (z 7,2% do</w:t>
      </w:r>
      <w:r w:rsidR="003C4BDC" w:rsidRPr="00B615EF">
        <w:rPr>
          <w:b w:val="0"/>
        </w:rPr>
        <w:t xml:space="preserve"> 0,9</w:t>
      </w:r>
      <w:r w:rsidRPr="00B615EF">
        <w:rPr>
          <w:b w:val="0"/>
        </w:rPr>
        <w:t>%), transporcie</w:t>
      </w:r>
      <w:r w:rsidR="003C4BDC" w:rsidRPr="00B615EF">
        <w:rPr>
          <w:b w:val="0"/>
        </w:rPr>
        <w:t xml:space="preserve"> i gospoda</w:t>
      </w:r>
      <w:r w:rsidR="00B615EF">
        <w:rPr>
          <w:b w:val="0"/>
        </w:rPr>
        <w:t>rce magazynowej (z 3,8</w:t>
      </w:r>
      <w:r w:rsidR="00F9306B" w:rsidRPr="00B615EF">
        <w:rPr>
          <w:b w:val="0"/>
        </w:rPr>
        <w:t>% do</w:t>
      </w:r>
      <w:r w:rsidR="00B615EF">
        <w:rPr>
          <w:b w:val="0"/>
        </w:rPr>
        <w:t xml:space="preserve"> 2,2</w:t>
      </w:r>
      <w:r w:rsidRPr="00B615EF">
        <w:rPr>
          <w:b w:val="0"/>
        </w:rPr>
        <w:t xml:space="preserve">%), </w:t>
      </w:r>
      <w:r w:rsidR="003C4BDC" w:rsidRPr="00B615EF">
        <w:rPr>
          <w:b w:val="0"/>
        </w:rPr>
        <w:t>działalności profesjonalne</w:t>
      </w:r>
      <w:r w:rsidR="00B615EF">
        <w:rPr>
          <w:b w:val="0"/>
        </w:rPr>
        <w:t>j, naukowej i technicznej (z 8,2% do 7</w:t>
      </w:r>
      <w:r w:rsidR="003C4BDC" w:rsidRPr="00B615EF">
        <w:rPr>
          <w:b w:val="0"/>
        </w:rPr>
        <w:t xml:space="preserve">,2%), </w:t>
      </w:r>
      <w:r w:rsidRPr="00B615EF">
        <w:rPr>
          <w:b w:val="0"/>
        </w:rPr>
        <w:t>przetwó</w:t>
      </w:r>
      <w:r w:rsidR="00B615EF">
        <w:rPr>
          <w:b w:val="0"/>
        </w:rPr>
        <w:t>rstwie przemysłowym (z 4,7% do 4,1%) oraz w</w:t>
      </w:r>
      <w:r w:rsidRPr="00B615EF">
        <w:rPr>
          <w:b w:val="0"/>
        </w:rPr>
        <w:t xml:space="preserve"> </w:t>
      </w:r>
      <w:r w:rsidR="00F83607" w:rsidRPr="00B615EF">
        <w:rPr>
          <w:b w:val="0"/>
        </w:rPr>
        <w:t xml:space="preserve">administrowaniu i </w:t>
      </w:r>
      <w:r w:rsidR="00B615EF">
        <w:rPr>
          <w:b w:val="0"/>
        </w:rPr>
        <w:t>działalności wspierającej (z 4,0% do 3,7</w:t>
      </w:r>
      <w:r w:rsidR="00F83607" w:rsidRPr="00B615EF">
        <w:rPr>
          <w:b w:val="0"/>
        </w:rPr>
        <w:t>%)</w:t>
      </w:r>
      <w:r w:rsidR="00B615EF">
        <w:rPr>
          <w:b w:val="0"/>
        </w:rPr>
        <w:t>.</w:t>
      </w:r>
      <w:r w:rsidR="00F83607" w:rsidRPr="00B615EF">
        <w:rPr>
          <w:b w:val="0"/>
        </w:rPr>
        <w:t xml:space="preserve"> </w:t>
      </w:r>
      <w:r w:rsidR="00336911" w:rsidRPr="00B615EF">
        <w:rPr>
          <w:b w:val="0"/>
        </w:rPr>
        <w:t xml:space="preserve">Poprawę wskaźnika rentowności obrotu netto odnotowano </w:t>
      </w:r>
      <w:r w:rsidR="000F051C" w:rsidRPr="00B615EF">
        <w:rPr>
          <w:b w:val="0"/>
        </w:rPr>
        <w:t>w</w:t>
      </w:r>
      <w:r w:rsidR="0049265E" w:rsidRPr="00B615EF">
        <w:rPr>
          <w:b w:val="0"/>
        </w:rPr>
        <w:t xml:space="preserve"> </w:t>
      </w:r>
      <w:r w:rsidR="00712D54">
        <w:rPr>
          <w:b w:val="0"/>
        </w:rPr>
        <w:t xml:space="preserve">dostawie wody; </w:t>
      </w:r>
      <w:r w:rsidR="009D1CA1" w:rsidRPr="00B615EF">
        <w:rPr>
          <w:b w:val="0"/>
        </w:rPr>
        <w:t>gospodarowaniu ściekami</w:t>
      </w:r>
      <w:r w:rsidR="00712D54">
        <w:rPr>
          <w:b w:val="0"/>
        </w:rPr>
        <w:t xml:space="preserve"> i odpadami; rekultywacji (z 6,6% do 8,2%), budownictwie (z 3,7% do 4,7</w:t>
      </w:r>
      <w:r w:rsidR="009D1CA1" w:rsidRPr="00B615EF">
        <w:rPr>
          <w:b w:val="0"/>
        </w:rPr>
        <w:t xml:space="preserve">%), </w:t>
      </w:r>
      <w:r w:rsidR="00712D54">
        <w:rPr>
          <w:b w:val="0"/>
        </w:rPr>
        <w:t xml:space="preserve">informacji i komunikacji (z 7,7% do 8,3%), </w:t>
      </w:r>
      <w:r w:rsidR="00EB7CDD" w:rsidRPr="00B615EF">
        <w:rPr>
          <w:b w:val="0"/>
        </w:rPr>
        <w:t>obs</w:t>
      </w:r>
      <w:r w:rsidR="00EB7CDD">
        <w:rPr>
          <w:b w:val="0"/>
        </w:rPr>
        <w:t>łudze rynku nieruchomości (z 7,1% do 7,5</w:t>
      </w:r>
      <w:r w:rsidR="00EB7CDD" w:rsidRPr="00B615EF">
        <w:rPr>
          <w:b w:val="0"/>
        </w:rPr>
        <w:t>%)</w:t>
      </w:r>
      <w:r w:rsidR="00EB7CDD">
        <w:rPr>
          <w:b w:val="0"/>
        </w:rPr>
        <w:t xml:space="preserve">, </w:t>
      </w:r>
      <w:r w:rsidR="00EB7CDD" w:rsidRPr="00B615EF">
        <w:rPr>
          <w:b w:val="0"/>
        </w:rPr>
        <w:t>wytwarzaniu i zaopatrywaniu w energię elektryczną, gaz, parę wodną i g</w:t>
      </w:r>
      <w:r w:rsidR="00EB7CDD">
        <w:rPr>
          <w:b w:val="0"/>
        </w:rPr>
        <w:t xml:space="preserve">orącą wodę (z 6,4% do 6,7%) </w:t>
      </w:r>
      <w:r w:rsidR="00EB7CDD" w:rsidRPr="00B615EF">
        <w:rPr>
          <w:b w:val="0"/>
        </w:rPr>
        <w:t xml:space="preserve">oraz w handlu; naprawie pojazdów </w:t>
      </w:r>
      <w:r w:rsidR="00EB7CDD">
        <w:rPr>
          <w:b w:val="0"/>
        </w:rPr>
        <w:t>samochodowych (z 2,1% do 2,4%).</w:t>
      </w:r>
    </w:p>
    <w:p w:rsidR="0084470C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</w:t>
      </w:r>
      <w:r w:rsidR="00AC2E51">
        <w:rPr>
          <w:b w:val="0"/>
        </w:rPr>
        <w:t>inansowej I stopnia wyniósł 42,9</w:t>
      </w:r>
      <w:r w:rsidR="002717B9">
        <w:rPr>
          <w:b w:val="0"/>
        </w:rPr>
        <w:t>% (wobec 3</w:t>
      </w:r>
      <w:r w:rsidR="00AC2E51">
        <w:rPr>
          <w:b w:val="0"/>
        </w:rPr>
        <w:t>5,4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</w:t>
      </w:r>
      <w:r w:rsidR="00AC2E51">
        <w:rPr>
          <w:b w:val="0"/>
        </w:rPr>
        <w:t>ości finansowej II stopnia 104,0% (wobec 98,7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 w:rsidR="00D8117F">
        <w:rPr>
          <w:b w:val="0"/>
        </w:rPr>
        <w:br/>
      </w:r>
      <w:r w:rsidRPr="006A4389">
        <w:rPr>
          <w:b w:val="0"/>
        </w:rPr>
        <w:t>I</w:t>
      </w:r>
      <w:r w:rsidR="002717B9" w:rsidRPr="006A4389">
        <w:rPr>
          <w:b w:val="0"/>
        </w:rPr>
        <w:t xml:space="preserve"> s</w:t>
      </w:r>
      <w:r w:rsidR="00975F50">
        <w:rPr>
          <w:b w:val="0"/>
        </w:rPr>
        <w:t>topnia powyżej 20% uzyskało 62,1</w:t>
      </w:r>
      <w:r w:rsidR="00B56404">
        <w:rPr>
          <w:b w:val="0"/>
        </w:rPr>
        <w:t>% przedsięb</w:t>
      </w:r>
      <w:r w:rsidR="00026241">
        <w:rPr>
          <w:b w:val="0"/>
        </w:rPr>
        <w:t>io</w:t>
      </w:r>
      <w:r w:rsidR="00975F50">
        <w:rPr>
          <w:b w:val="0"/>
        </w:rPr>
        <w:t>rstw (wobec 50,5</w:t>
      </w:r>
      <w:r w:rsidRPr="006A4389">
        <w:rPr>
          <w:b w:val="0"/>
        </w:rPr>
        <w:t>% przed rokiem). Wskaźnik płynności II stopnia w przedziale</w:t>
      </w:r>
      <w:r w:rsidR="00975F50">
        <w:rPr>
          <w:b w:val="0"/>
        </w:rPr>
        <w:t xml:space="preserve"> od 100% do 130% odnotowało 12,2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975F50">
        <w:rPr>
          <w:b w:val="0"/>
        </w:rPr>
        <w:t>ec 12,0</w:t>
      </w:r>
      <w:r w:rsidRPr="006A4389">
        <w:rPr>
          <w:b w:val="0"/>
        </w:rPr>
        <w:t>% przed rokiem).</w:t>
      </w: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E62598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5121275" cy="3456940"/>
            <wp:effectExtent l="0" t="0" r="317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Pr="00BA5B22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5D665D" w:rsidRPr="00A9459D">
        <w:rPr>
          <w:b w:val="0"/>
        </w:rPr>
        <w:t>wynagrodzeń (</w:t>
      </w:r>
      <w:r w:rsidR="005D665D">
        <w:rPr>
          <w:b w:val="0"/>
        </w:rPr>
        <w:t>o 0,8</w:t>
      </w:r>
      <w:r w:rsidR="005D665D" w:rsidRPr="00A9459D">
        <w:rPr>
          <w:b w:val="0"/>
        </w:rPr>
        <w:t xml:space="preserve"> p. proc.), amortyzacji</w:t>
      </w:r>
      <w:r w:rsidR="005D665D">
        <w:rPr>
          <w:b w:val="0"/>
        </w:rPr>
        <w:t xml:space="preserve"> (o 0,7</w:t>
      </w:r>
      <w:r w:rsidR="005D665D" w:rsidRPr="00A9459D">
        <w:rPr>
          <w:b w:val="0"/>
        </w:rPr>
        <w:t xml:space="preserve"> p. proc.),</w:t>
      </w:r>
      <w:r w:rsidR="005D665D">
        <w:rPr>
          <w:b w:val="0"/>
        </w:rPr>
        <w:t xml:space="preserve"> </w:t>
      </w:r>
      <w:r w:rsidR="005D665D" w:rsidRPr="00A9459D">
        <w:rPr>
          <w:b w:val="0"/>
        </w:rPr>
        <w:t>podatków i opłat</w:t>
      </w:r>
      <w:r w:rsidR="005D665D">
        <w:rPr>
          <w:b w:val="0"/>
        </w:rPr>
        <w:t xml:space="preserve"> (o 0,5 p.proc.), </w:t>
      </w:r>
      <w:r w:rsidR="00022BC4" w:rsidRPr="00A9459D">
        <w:rPr>
          <w:b w:val="0"/>
        </w:rPr>
        <w:t xml:space="preserve">usług </w:t>
      </w:r>
      <w:r w:rsidR="00A9459D">
        <w:rPr>
          <w:b w:val="0"/>
        </w:rPr>
        <w:t xml:space="preserve">obcych </w:t>
      </w:r>
      <w:r w:rsidR="005D665D">
        <w:rPr>
          <w:b w:val="0"/>
        </w:rPr>
        <w:t xml:space="preserve">(o 0,4 p.proc.), </w:t>
      </w:r>
      <w:r w:rsidR="005D665D" w:rsidRPr="00A9459D">
        <w:rPr>
          <w:b w:val="0"/>
        </w:rPr>
        <w:t>zużycia energii</w:t>
      </w:r>
      <w:r w:rsidR="005D665D">
        <w:rPr>
          <w:b w:val="0"/>
        </w:rPr>
        <w:t xml:space="preserve"> i </w:t>
      </w:r>
      <w:r w:rsidR="005D665D" w:rsidRPr="00A9459D">
        <w:rPr>
          <w:b w:val="0"/>
        </w:rPr>
        <w:t>ubezpieczeń społecznych i innych świadczeń (p</w:t>
      </w:r>
      <w:r w:rsidR="005D665D">
        <w:rPr>
          <w:b w:val="0"/>
        </w:rPr>
        <w:t>o 0,2</w:t>
      </w:r>
      <w:r w:rsidR="005D665D" w:rsidRPr="00A9459D">
        <w:rPr>
          <w:b w:val="0"/>
        </w:rPr>
        <w:t xml:space="preserve"> p. proc.)</w:t>
      </w:r>
      <w:r w:rsidR="005D665D">
        <w:rPr>
          <w:b w:val="0"/>
        </w:rPr>
        <w:t xml:space="preserve"> oraz </w:t>
      </w:r>
      <w:r w:rsidR="005D665D" w:rsidRPr="00A9459D">
        <w:rPr>
          <w:b w:val="0"/>
        </w:rPr>
        <w:t>pozostałych kosztów rodzajowych</w:t>
      </w:r>
      <w:r w:rsidR="005D665D">
        <w:rPr>
          <w:b w:val="0"/>
        </w:rPr>
        <w:t xml:space="preserve">(o 0,1 p. proc.). </w:t>
      </w:r>
      <w:r w:rsidR="00E235DD" w:rsidRPr="00A9459D">
        <w:rPr>
          <w:b w:val="0"/>
        </w:rPr>
        <w:t xml:space="preserve">Zmniejszył się udział </w:t>
      </w:r>
      <w:r w:rsidR="005D665D">
        <w:rPr>
          <w:b w:val="0"/>
        </w:rPr>
        <w:t>zużycia materiałów (o 2,9</w:t>
      </w:r>
      <w:r w:rsidR="00022BC4" w:rsidRPr="00A9459D">
        <w:rPr>
          <w:b w:val="0"/>
        </w:rPr>
        <w:t xml:space="preserve"> p. proc.).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350AE0">
        <w:rPr>
          <w:sz w:val="18"/>
          <w:szCs w:val="18"/>
        </w:rPr>
        <w:t>okresie styczeń-wrzesień</w:t>
      </w:r>
      <w:r w:rsidR="00B31EB3">
        <w:rPr>
          <w:sz w:val="18"/>
          <w:szCs w:val="18"/>
        </w:rPr>
        <w:t xml:space="preserve"> 2020</w:t>
      </w:r>
      <w:r>
        <w:rPr>
          <w:sz w:val="18"/>
          <w:szCs w:val="18"/>
        </w:rPr>
        <w:t xml:space="preserve"> roku</w:t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B17CFB" w:rsidRDefault="00A25F61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45405" cy="3389630"/>
            <wp:effectExtent l="0" t="0" r="0" b="127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EC42DC" w:rsidRPr="00EC42DC" w:rsidRDefault="00A23A1A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FA20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3649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7,2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9D6E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 2019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FA20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3649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7,2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9D6E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 2019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358E" w:rsidRPr="008C358E">
        <w:rPr>
          <w:b w:val="0"/>
        </w:rPr>
        <w:t>Z grupy przeds</w:t>
      </w:r>
      <w:r w:rsidR="008C358E">
        <w:rPr>
          <w:b w:val="0"/>
        </w:rPr>
        <w:t>iębiorstw objętych badaniem 53,1</w:t>
      </w:r>
      <w:r w:rsidR="008C358E" w:rsidRPr="008C358E">
        <w:rPr>
          <w:b w:val="0"/>
        </w:rPr>
        <w:t>% wykazało</w:t>
      </w:r>
      <w:r w:rsidR="008C358E">
        <w:rPr>
          <w:b w:val="0"/>
        </w:rPr>
        <w:t xml:space="preserve"> w okresie styczeń-wrzesień 2020</w:t>
      </w:r>
      <w:r w:rsidR="008C358E" w:rsidRPr="008C358E">
        <w:rPr>
          <w:b w:val="0"/>
        </w:rPr>
        <w:t xml:space="preserve"> roku przychody netto ze sprzedaży produktów, towarów i m</w:t>
      </w:r>
      <w:r w:rsidR="008C358E">
        <w:rPr>
          <w:b w:val="0"/>
        </w:rPr>
        <w:t>ateriałów na eksport (wobec 53,2</w:t>
      </w:r>
      <w:r w:rsidR="008C358E" w:rsidRPr="008C358E">
        <w:rPr>
          <w:b w:val="0"/>
        </w:rPr>
        <w:t>% rok wcześniej).</w:t>
      </w:r>
      <w:r w:rsidR="008C358E">
        <w:rPr>
          <w:b w:val="0"/>
        </w:rPr>
        <w:t xml:space="preserve">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8C358E">
        <w:rPr>
          <w:b w:val="0"/>
        </w:rPr>
        <w:t xml:space="preserve"> był o 7,7</w:t>
      </w:r>
      <w:r w:rsidR="00EC42DC" w:rsidRPr="00E2185D">
        <w:rPr>
          <w:b w:val="0"/>
        </w:rPr>
        <w:t xml:space="preserve">% </w:t>
      </w:r>
      <w:r w:rsidR="006D79D1">
        <w:rPr>
          <w:b w:val="0"/>
        </w:rPr>
        <w:t>ni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8C358E">
        <w:rPr>
          <w:b w:val="0"/>
        </w:rPr>
        <w:t>dmiotów zmniejszył się z 25,4% do 24,6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zysk netto wykazało </w:t>
      </w:r>
      <w:r w:rsidR="008A4983">
        <w:rPr>
          <w:b w:val="0"/>
        </w:rPr>
        <w:t>80,9% przedsiębiorstw wobec 80,1</w:t>
      </w:r>
      <w:r w:rsidR="00EC42DC" w:rsidRPr="001B5354">
        <w:rPr>
          <w:b w:val="0"/>
        </w:rPr>
        <w:t>% przed rokiem. 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282C1D">
        <w:rPr>
          <w:b w:val="0"/>
        </w:rPr>
        <w:t xml:space="preserve"> uległy pogorszeniu, ale</w:t>
      </w:r>
      <w:r w:rsidR="00636C9A" w:rsidRPr="001B5354">
        <w:rPr>
          <w:b w:val="0"/>
        </w:rPr>
        <w:t xml:space="preserve"> były nieznacznie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3649E8" w:rsidP="00211438">
      <w:pPr>
        <w:pStyle w:val="LID"/>
        <w:rPr>
          <w:b w:val="0"/>
          <w:highlight w:val="yellow"/>
        </w:rPr>
      </w:pPr>
      <w:r w:rsidRPr="003649E8">
        <w:rPr>
          <w:b w:val="0"/>
        </w:rPr>
        <w:t xml:space="preserve">Nakłady inwestycyjne badanych przedsiębiorstw w okresie styczeń-wrzesień br. wyniosły </w:t>
      </w:r>
      <w:r w:rsidR="00CA79C0">
        <w:rPr>
          <w:b w:val="0"/>
        </w:rPr>
        <w:br/>
      </w:r>
      <w:r w:rsidRPr="003649E8">
        <w:rPr>
          <w:b w:val="0"/>
        </w:rPr>
        <w:t>97,1 mld zł i były (w cenach stałych) o 7,2% niższe niż przed rokiem (wobec wzrostu o 15,2% w analogicznym okresie ub. roku i spadku o 6,1% w pierwszym półroczu br.). Nakłady na budynki i budowle obniżyły się o 3,4%, natomiast na zakupy zmniejszyły się o 9,3%. Udział zakupów w nakładach ogółem zmniejszył się z 62,2% przed rokiem do 60,2%. Nakłady reali-zowało 78,2% badanych podmiotów (wobec 80,2% w analogicznym okresie ub. roku).</w:t>
      </w:r>
    </w:p>
    <w:p w:rsidR="0048623F" w:rsidRPr="001F3A2A" w:rsidRDefault="003649E8" w:rsidP="00082A93">
      <w:pPr>
        <w:pStyle w:val="LID"/>
        <w:rPr>
          <w:b w:val="0"/>
        </w:rPr>
      </w:pPr>
      <w:r w:rsidRPr="003649E8">
        <w:rPr>
          <w:b w:val="0"/>
        </w:rPr>
        <w:t>Najgłębszy spadek nakładów (w cenach bieżących) no</w:t>
      </w:r>
      <w:r>
        <w:rPr>
          <w:b w:val="0"/>
        </w:rPr>
        <w:t>towano w handlu; naprawie pojaz</w:t>
      </w:r>
      <w:r w:rsidRPr="003649E8">
        <w:rPr>
          <w:b w:val="0"/>
        </w:rPr>
        <w:t>dów samochodowych (o 17,7% wobec wzrostu o 3,5%) oraz w wytwarzaniu i zaopatrywaniu w energię elektryczną, gaz, parę wodną i gorącą wodę (o 13,4% wobec wzrostu o 27,8% przed rokiem). Niższe niż rok wcześniej były również nakł</w:t>
      </w:r>
      <w:r>
        <w:rPr>
          <w:b w:val="0"/>
        </w:rPr>
        <w:t>ady w administrowaniu i działal</w:t>
      </w:r>
      <w:r w:rsidRPr="003649E8">
        <w:rPr>
          <w:b w:val="0"/>
        </w:rPr>
        <w:t>ności wspierającej (o 9,5% wobec wzrostu o 23,2%), górn</w:t>
      </w:r>
      <w:r>
        <w:rPr>
          <w:b w:val="0"/>
        </w:rPr>
        <w:t>ictwie i wydobywaniu (o 8,0% wo</w:t>
      </w:r>
      <w:r w:rsidRPr="003649E8">
        <w:rPr>
          <w:b w:val="0"/>
        </w:rPr>
        <w:t>bec wzrostu o 21,0%), przetwórstwie przemysłowym (o 7,6% w</w:t>
      </w:r>
      <w:r>
        <w:rPr>
          <w:b w:val="0"/>
        </w:rPr>
        <w:t>obec wzrostu o 13,4%), infor</w:t>
      </w:r>
      <w:r w:rsidRPr="003649E8">
        <w:rPr>
          <w:b w:val="0"/>
        </w:rPr>
        <w:t xml:space="preserve">macji i komunikacji (6,9% wobec wzrostu o 12,9%). Wzrost nakładów wystąpił natomiast w obsłudze rynku nieruchomości (o 81,3% wobec wzrostu </w:t>
      </w:r>
      <w:r>
        <w:rPr>
          <w:b w:val="0"/>
        </w:rPr>
        <w:t>o 21,3% przed rokiem), budownic</w:t>
      </w:r>
      <w:r w:rsidRPr="003649E8">
        <w:rPr>
          <w:b w:val="0"/>
        </w:rPr>
        <w:t>twie (o 14,4% wobec spadku o 11,5%), transporcie i gospo</w:t>
      </w:r>
      <w:r>
        <w:rPr>
          <w:b w:val="0"/>
        </w:rPr>
        <w:t>darce magazynowej (o 7,0% wo</w:t>
      </w:r>
      <w:r w:rsidRPr="003649E8">
        <w:rPr>
          <w:b w:val="0"/>
        </w:rPr>
        <w:t>bec wzrostu o 22,0%), oraz dostawie wody; gospodarowan</w:t>
      </w:r>
      <w:r>
        <w:rPr>
          <w:b w:val="0"/>
        </w:rPr>
        <w:t>iu ściekami i odpadami; rekulty</w:t>
      </w:r>
      <w:r w:rsidRPr="003649E8">
        <w:rPr>
          <w:b w:val="0"/>
        </w:rPr>
        <w:t>wacji (o 1,8% wobec wzrostu o 22,2%).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09519F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75885" cy="3139440"/>
            <wp:effectExtent l="0" t="0" r="5715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8C358E">
        <w:rPr>
          <w:b w:val="0"/>
        </w:rPr>
        <w:t xml:space="preserve"> 17 392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>przedsiębiorstw niefinansowych 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883763" w:rsidRPr="00D8117F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661B52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0A27E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="00883763" w:rsidRPr="000A27E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="00B9042B" w:rsidRPr="009553C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Sekretariat-PZ@stat.gov.pl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1172A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EB173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3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13136F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13136F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13136F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13136F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5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13136F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13136F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13136F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13136F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13136F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13136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13136F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B4115D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B4115D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B4115D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  <w:bookmarkStart w:id="1" w:name="_GoBack"/>
                      <w:bookmarkEnd w:id="1"/>
                    </w:p>
                    <w:p w:rsidR="00907735" w:rsidRPr="00973F85" w:rsidRDefault="00B4115D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2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B4115D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B4115D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B4115D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B4115D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B4115D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B4115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B4115D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1"/>
      <w:footerReference w:type="default" r:id="rId6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6F" w:rsidRDefault="0013136F" w:rsidP="000662E2">
      <w:pPr>
        <w:spacing w:after="0" w:line="240" w:lineRule="auto"/>
      </w:pPr>
      <w:r>
        <w:separator/>
      </w:r>
    </w:p>
  </w:endnote>
  <w:endnote w:type="continuationSeparator" w:id="0">
    <w:p w:rsidR="0013136F" w:rsidRDefault="001313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46F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46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46F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6F" w:rsidRDefault="0013136F" w:rsidP="000662E2">
      <w:pPr>
        <w:spacing w:after="0" w:line="240" w:lineRule="auto"/>
      </w:pPr>
      <w:r>
        <w:separator/>
      </w:r>
    </w:p>
  </w:footnote>
  <w:footnote w:type="continuationSeparator" w:id="0">
    <w:p w:rsidR="0013136F" w:rsidRDefault="0013136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FE14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1A7517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FE14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1A7517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8B8"/>
    <w:rsid w:val="0001106A"/>
    <w:rsid w:val="00013ABE"/>
    <w:rsid w:val="000141D0"/>
    <w:rsid w:val="0001460C"/>
    <w:rsid w:val="000146F1"/>
    <w:rsid w:val="000152F5"/>
    <w:rsid w:val="00022BC4"/>
    <w:rsid w:val="00023A86"/>
    <w:rsid w:val="00023B80"/>
    <w:rsid w:val="00026241"/>
    <w:rsid w:val="000278B4"/>
    <w:rsid w:val="000310E4"/>
    <w:rsid w:val="0003316A"/>
    <w:rsid w:val="00033B22"/>
    <w:rsid w:val="00033C4B"/>
    <w:rsid w:val="000408B0"/>
    <w:rsid w:val="00044738"/>
    <w:rsid w:val="0004582E"/>
    <w:rsid w:val="000470AA"/>
    <w:rsid w:val="00052655"/>
    <w:rsid w:val="00057CA1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DD8"/>
    <w:rsid w:val="000765A6"/>
    <w:rsid w:val="000802BD"/>
    <w:rsid w:val="000806F7"/>
    <w:rsid w:val="000821D5"/>
    <w:rsid w:val="00082A93"/>
    <w:rsid w:val="000839E8"/>
    <w:rsid w:val="000846AD"/>
    <w:rsid w:val="00086B78"/>
    <w:rsid w:val="00091911"/>
    <w:rsid w:val="00091D4E"/>
    <w:rsid w:val="000930E0"/>
    <w:rsid w:val="0009519F"/>
    <w:rsid w:val="000961F8"/>
    <w:rsid w:val="00097840"/>
    <w:rsid w:val="000A0312"/>
    <w:rsid w:val="000A1700"/>
    <w:rsid w:val="000A27E6"/>
    <w:rsid w:val="000A3366"/>
    <w:rsid w:val="000A5CB8"/>
    <w:rsid w:val="000B0727"/>
    <w:rsid w:val="000B79D7"/>
    <w:rsid w:val="000C135D"/>
    <w:rsid w:val="000C2198"/>
    <w:rsid w:val="000C3E8A"/>
    <w:rsid w:val="000C68DA"/>
    <w:rsid w:val="000D02F0"/>
    <w:rsid w:val="000D07D5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136F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208B"/>
    <w:rsid w:val="00156D7E"/>
    <w:rsid w:val="00162325"/>
    <w:rsid w:val="00164659"/>
    <w:rsid w:val="00167B95"/>
    <w:rsid w:val="001726A0"/>
    <w:rsid w:val="00173156"/>
    <w:rsid w:val="00173F3C"/>
    <w:rsid w:val="0017716C"/>
    <w:rsid w:val="001807FB"/>
    <w:rsid w:val="00181965"/>
    <w:rsid w:val="00181EA7"/>
    <w:rsid w:val="0018337E"/>
    <w:rsid w:val="0018741F"/>
    <w:rsid w:val="00187619"/>
    <w:rsid w:val="00191AD0"/>
    <w:rsid w:val="001951DA"/>
    <w:rsid w:val="001951F5"/>
    <w:rsid w:val="001A2492"/>
    <w:rsid w:val="001A5C06"/>
    <w:rsid w:val="001A7517"/>
    <w:rsid w:val="001B0AF0"/>
    <w:rsid w:val="001B3B8F"/>
    <w:rsid w:val="001B3D79"/>
    <w:rsid w:val="001B5023"/>
    <w:rsid w:val="001B5354"/>
    <w:rsid w:val="001C0B72"/>
    <w:rsid w:val="001C1398"/>
    <w:rsid w:val="001C2DAF"/>
    <w:rsid w:val="001C3269"/>
    <w:rsid w:val="001C7304"/>
    <w:rsid w:val="001D1490"/>
    <w:rsid w:val="001D1DB4"/>
    <w:rsid w:val="001D3F83"/>
    <w:rsid w:val="001D5A8A"/>
    <w:rsid w:val="001E0287"/>
    <w:rsid w:val="001E55E4"/>
    <w:rsid w:val="001F05EB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2ECF"/>
    <w:rsid w:val="00244E56"/>
    <w:rsid w:val="00246F3A"/>
    <w:rsid w:val="00251BD4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293B"/>
    <w:rsid w:val="00274EE4"/>
    <w:rsid w:val="00276811"/>
    <w:rsid w:val="00282699"/>
    <w:rsid w:val="00282A6B"/>
    <w:rsid w:val="00282ADF"/>
    <w:rsid w:val="00282C1D"/>
    <w:rsid w:val="002843B6"/>
    <w:rsid w:val="00284646"/>
    <w:rsid w:val="002926DF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20012"/>
    <w:rsid w:val="00322EDD"/>
    <w:rsid w:val="00323E9B"/>
    <w:rsid w:val="003316E5"/>
    <w:rsid w:val="00332320"/>
    <w:rsid w:val="003356A8"/>
    <w:rsid w:val="00336911"/>
    <w:rsid w:val="00340588"/>
    <w:rsid w:val="003414CD"/>
    <w:rsid w:val="00341D19"/>
    <w:rsid w:val="00347D72"/>
    <w:rsid w:val="003507F4"/>
    <w:rsid w:val="00350AE0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691A"/>
    <w:rsid w:val="00407DAB"/>
    <w:rsid w:val="00413DC6"/>
    <w:rsid w:val="00416748"/>
    <w:rsid w:val="0041742F"/>
    <w:rsid w:val="004212E7"/>
    <w:rsid w:val="00421E79"/>
    <w:rsid w:val="004222F7"/>
    <w:rsid w:val="0042446D"/>
    <w:rsid w:val="00426175"/>
    <w:rsid w:val="00426BDF"/>
    <w:rsid w:val="004272C3"/>
    <w:rsid w:val="00427BF8"/>
    <w:rsid w:val="00430CB4"/>
    <w:rsid w:val="00431C02"/>
    <w:rsid w:val="004364FB"/>
    <w:rsid w:val="00437395"/>
    <w:rsid w:val="004373CE"/>
    <w:rsid w:val="00440697"/>
    <w:rsid w:val="00442EE7"/>
    <w:rsid w:val="004445BE"/>
    <w:rsid w:val="00444E5A"/>
    <w:rsid w:val="00445047"/>
    <w:rsid w:val="004451D6"/>
    <w:rsid w:val="00445C34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54E6"/>
    <w:rsid w:val="00475FD9"/>
    <w:rsid w:val="00477B36"/>
    <w:rsid w:val="00482BEF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2801"/>
    <w:rsid w:val="004D59EF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3DB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5B80"/>
    <w:rsid w:val="00556CF1"/>
    <w:rsid w:val="00557272"/>
    <w:rsid w:val="005605AA"/>
    <w:rsid w:val="00564AA3"/>
    <w:rsid w:val="00564CC9"/>
    <w:rsid w:val="005658E5"/>
    <w:rsid w:val="00566A2C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E0799"/>
    <w:rsid w:val="005E41E4"/>
    <w:rsid w:val="005E4242"/>
    <w:rsid w:val="005E4C55"/>
    <w:rsid w:val="005E765D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61E0"/>
    <w:rsid w:val="00647291"/>
    <w:rsid w:val="00647D62"/>
    <w:rsid w:val="006505C7"/>
    <w:rsid w:val="006507BF"/>
    <w:rsid w:val="006519DD"/>
    <w:rsid w:val="00651BFA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812AF"/>
    <w:rsid w:val="00681A15"/>
    <w:rsid w:val="0068327D"/>
    <w:rsid w:val="00685123"/>
    <w:rsid w:val="00685A14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54A9"/>
    <w:rsid w:val="006A5567"/>
    <w:rsid w:val="006A66C6"/>
    <w:rsid w:val="006B0E9E"/>
    <w:rsid w:val="006B1315"/>
    <w:rsid w:val="006B1C0F"/>
    <w:rsid w:val="006B21C4"/>
    <w:rsid w:val="006B5AE4"/>
    <w:rsid w:val="006B74AA"/>
    <w:rsid w:val="006B74C7"/>
    <w:rsid w:val="006B7A46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4211"/>
    <w:rsid w:val="007148B7"/>
    <w:rsid w:val="007201FC"/>
    <w:rsid w:val="007211B1"/>
    <w:rsid w:val="007217D5"/>
    <w:rsid w:val="00721CB0"/>
    <w:rsid w:val="00731F4B"/>
    <w:rsid w:val="0073442D"/>
    <w:rsid w:val="00737EC9"/>
    <w:rsid w:val="007400EC"/>
    <w:rsid w:val="007413CF"/>
    <w:rsid w:val="007431B0"/>
    <w:rsid w:val="00746187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E3314"/>
    <w:rsid w:val="007E3974"/>
    <w:rsid w:val="007E45C0"/>
    <w:rsid w:val="007E4B03"/>
    <w:rsid w:val="007F1A30"/>
    <w:rsid w:val="007F324B"/>
    <w:rsid w:val="007F564A"/>
    <w:rsid w:val="007F6D04"/>
    <w:rsid w:val="00800039"/>
    <w:rsid w:val="00801DD9"/>
    <w:rsid w:val="0080553C"/>
    <w:rsid w:val="00805B46"/>
    <w:rsid w:val="00807B63"/>
    <w:rsid w:val="00807D73"/>
    <w:rsid w:val="0081208E"/>
    <w:rsid w:val="0081504C"/>
    <w:rsid w:val="0082072B"/>
    <w:rsid w:val="0082363E"/>
    <w:rsid w:val="00824F31"/>
    <w:rsid w:val="00825DC2"/>
    <w:rsid w:val="008264BB"/>
    <w:rsid w:val="00831A77"/>
    <w:rsid w:val="00834A2C"/>
    <w:rsid w:val="00834AD3"/>
    <w:rsid w:val="008363EC"/>
    <w:rsid w:val="00843795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8A"/>
    <w:rsid w:val="00883763"/>
    <w:rsid w:val="00885F79"/>
    <w:rsid w:val="00886332"/>
    <w:rsid w:val="008928BA"/>
    <w:rsid w:val="008A0BCE"/>
    <w:rsid w:val="008A26D9"/>
    <w:rsid w:val="008A3CB6"/>
    <w:rsid w:val="008A4983"/>
    <w:rsid w:val="008A5F9F"/>
    <w:rsid w:val="008A66C1"/>
    <w:rsid w:val="008B3BD2"/>
    <w:rsid w:val="008C0C29"/>
    <w:rsid w:val="008C2412"/>
    <w:rsid w:val="008C2C4B"/>
    <w:rsid w:val="008C358E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5F50"/>
    <w:rsid w:val="00976CA9"/>
    <w:rsid w:val="00977927"/>
    <w:rsid w:val="00977C19"/>
    <w:rsid w:val="0098135C"/>
    <w:rsid w:val="0098156A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FA3"/>
    <w:rsid w:val="00A008B4"/>
    <w:rsid w:val="00A01A76"/>
    <w:rsid w:val="00A030B3"/>
    <w:rsid w:val="00A04A47"/>
    <w:rsid w:val="00A06A7A"/>
    <w:rsid w:val="00A103D4"/>
    <w:rsid w:val="00A133CC"/>
    <w:rsid w:val="00A139F5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312F3"/>
    <w:rsid w:val="00A317F7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7C9E"/>
    <w:rsid w:val="00A47D80"/>
    <w:rsid w:val="00A501AC"/>
    <w:rsid w:val="00A5065B"/>
    <w:rsid w:val="00A526F5"/>
    <w:rsid w:val="00A53132"/>
    <w:rsid w:val="00A53494"/>
    <w:rsid w:val="00A54548"/>
    <w:rsid w:val="00A56338"/>
    <w:rsid w:val="00A563F2"/>
    <w:rsid w:val="00A566E8"/>
    <w:rsid w:val="00A5777E"/>
    <w:rsid w:val="00A7059D"/>
    <w:rsid w:val="00A717E0"/>
    <w:rsid w:val="00A71DC0"/>
    <w:rsid w:val="00A73D90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49DE"/>
    <w:rsid w:val="00AA5DD8"/>
    <w:rsid w:val="00AA710D"/>
    <w:rsid w:val="00AB588D"/>
    <w:rsid w:val="00AB6D25"/>
    <w:rsid w:val="00AB7179"/>
    <w:rsid w:val="00AB7D9A"/>
    <w:rsid w:val="00AC0D36"/>
    <w:rsid w:val="00AC2E51"/>
    <w:rsid w:val="00AC5769"/>
    <w:rsid w:val="00AD0501"/>
    <w:rsid w:val="00AD1528"/>
    <w:rsid w:val="00AD2E7D"/>
    <w:rsid w:val="00AD2F46"/>
    <w:rsid w:val="00AD676B"/>
    <w:rsid w:val="00AE2D4B"/>
    <w:rsid w:val="00AE4F99"/>
    <w:rsid w:val="00AF2D28"/>
    <w:rsid w:val="00AF3175"/>
    <w:rsid w:val="00AF36AA"/>
    <w:rsid w:val="00AF5464"/>
    <w:rsid w:val="00AF6712"/>
    <w:rsid w:val="00AF6B6C"/>
    <w:rsid w:val="00AF6ECF"/>
    <w:rsid w:val="00B02ECB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A13"/>
    <w:rsid w:val="00B3022C"/>
    <w:rsid w:val="00B31E5A"/>
    <w:rsid w:val="00B31EB3"/>
    <w:rsid w:val="00B33130"/>
    <w:rsid w:val="00B36472"/>
    <w:rsid w:val="00B3665D"/>
    <w:rsid w:val="00B4115D"/>
    <w:rsid w:val="00B42DD1"/>
    <w:rsid w:val="00B5074C"/>
    <w:rsid w:val="00B510C9"/>
    <w:rsid w:val="00B56065"/>
    <w:rsid w:val="00B56404"/>
    <w:rsid w:val="00B615EF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68C9"/>
    <w:rsid w:val="00B76BFB"/>
    <w:rsid w:val="00B77927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E7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F063A"/>
    <w:rsid w:val="00BF25ED"/>
    <w:rsid w:val="00BF4700"/>
    <w:rsid w:val="00BF61C3"/>
    <w:rsid w:val="00BF7F61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500A"/>
    <w:rsid w:val="00C45D00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38A1"/>
    <w:rsid w:val="00C74693"/>
    <w:rsid w:val="00C75084"/>
    <w:rsid w:val="00C76D09"/>
    <w:rsid w:val="00C76D68"/>
    <w:rsid w:val="00C77C0E"/>
    <w:rsid w:val="00C77FF0"/>
    <w:rsid w:val="00C818A7"/>
    <w:rsid w:val="00C82A3D"/>
    <w:rsid w:val="00C84929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A756D"/>
    <w:rsid w:val="00CA79C0"/>
    <w:rsid w:val="00CB1408"/>
    <w:rsid w:val="00CB1B0D"/>
    <w:rsid w:val="00CB2FD4"/>
    <w:rsid w:val="00CB6A45"/>
    <w:rsid w:val="00CB72CE"/>
    <w:rsid w:val="00CB7F71"/>
    <w:rsid w:val="00CC0A14"/>
    <w:rsid w:val="00CC105D"/>
    <w:rsid w:val="00CC2523"/>
    <w:rsid w:val="00CC50A9"/>
    <w:rsid w:val="00CC6B7A"/>
    <w:rsid w:val="00CC739E"/>
    <w:rsid w:val="00CD088A"/>
    <w:rsid w:val="00CD0BA0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7C59"/>
    <w:rsid w:val="00D70EF7"/>
    <w:rsid w:val="00D7454D"/>
    <w:rsid w:val="00D75D92"/>
    <w:rsid w:val="00D76CF3"/>
    <w:rsid w:val="00D77818"/>
    <w:rsid w:val="00D8117F"/>
    <w:rsid w:val="00D83363"/>
    <w:rsid w:val="00D8397C"/>
    <w:rsid w:val="00D870E0"/>
    <w:rsid w:val="00D877CE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6597"/>
    <w:rsid w:val="00DC15C8"/>
    <w:rsid w:val="00DC47CA"/>
    <w:rsid w:val="00DC6708"/>
    <w:rsid w:val="00DC6C4A"/>
    <w:rsid w:val="00DD04DA"/>
    <w:rsid w:val="00DD07B8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3874"/>
    <w:rsid w:val="00E045BD"/>
    <w:rsid w:val="00E0623E"/>
    <w:rsid w:val="00E07B93"/>
    <w:rsid w:val="00E1025B"/>
    <w:rsid w:val="00E11A04"/>
    <w:rsid w:val="00E13B89"/>
    <w:rsid w:val="00E13D08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AEB"/>
    <w:rsid w:val="00E522A7"/>
    <w:rsid w:val="00E5365D"/>
    <w:rsid w:val="00E53EE8"/>
    <w:rsid w:val="00E53F59"/>
    <w:rsid w:val="00E54452"/>
    <w:rsid w:val="00E544E3"/>
    <w:rsid w:val="00E545DA"/>
    <w:rsid w:val="00E62598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F02"/>
    <w:rsid w:val="00EB1390"/>
    <w:rsid w:val="00EB1733"/>
    <w:rsid w:val="00EB2C71"/>
    <w:rsid w:val="00EB4340"/>
    <w:rsid w:val="00EB556D"/>
    <w:rsid w:val="00EB5A7D"/>
    <w:rsid w:val="00EB5AD4"/>
    <w:rsid w:val="00EB7CDD"/>
    <w:rsid w:val="00EC0033"/>
    <w:rsid w:val="00EC044F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7CBD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749F"/>
    <w:rsid w:val="00F57898"/>
    <w:rsid w:val="00F61D4D"/>
    <w:rsid w:val="00F6258C"/>
    <w:rsid w:val="00F65C79"/>
    <w:rsid w:val="00F66770"/>
    <w:rsid w:val="00F67D8F"/>
    <w:rsid w:val="00F716A2"/>
    <w:rsid w:val="00F72B6A"/>
    <w:rsid w:val="00F739B3"/>
    <w:rsid w:val="00F76B67"/>
    <w:rsid w:val="00F802BE"/>
    <w:rsid w:val="00F80E93"/>
    <w:rsid w:val="00F8128C"/>
    <w:rsid w:val="00F83607"/>
    <w:rsid w:val="00F83E9A"/>
    <w:rsid w:val="00F8501D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6086"/>
    <w:rsid w:val="00F96984"/>
    <w:rsid w:val="00FA20AE"/>
    <w:rsid w:val="00FA3614"/>
    <w:rsid w:val="00FA5128"/>
    <w:rsid w:val="00FA64AB"/>
    <w:rsid w:val="00FA6850"/>
    <w:rsid w:val="00FB09EE"/>
    <w:rsid w:val="00FB10B6"/>
    <w:rsid w:val="00FB42D4"/>
    <w:rsid w:val="00FB5906"/>
    <w:rsid w:val="00FB762F"/>
    <w:rsid w:val="00FB7CF0"/>
    <w:rsid w:val="00FC2AED"/>
    <w:rsid w:val="00FC32F1"/>
    <w:rsid w:val="00FC46B7"/>
    <w:rsid w:val="00FC7D5A"/>
    <w:rsid w:val="00FD0580"/>
    <w:rsid w:val="00FD320B"/>
    <w:rsid w:val="00FD5EA7"/>
    <w:rsid w:val="00FD6357"/>
    <w:rsid w:val="00FD77B8"/>
    <w:rsid w:val="00FE14A7"/>
    <w:rsid w:val="00FE4BBB"/>
    <w:rsid w:val="00FE5DA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587,pojecie.html" TargetMode="External"/><Relationship Id="rId21" Type="http://schemas.openxmlformats.org/officeDocument/2006/relationships/hyperlink" Target="mailto:Sekretariat-PZ@stat.gov.p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hyperlink" Target="http://stat.gov.pl/metainformacje/slownik-pojec/pojecia-stosowane-w-statystyce-publicznej/585,pojecie.html" TargetMode="External"/><Relationship Id="rId4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0" Type="http://schemas.openxmlformats.org/officeDocument/2006/relationships/hyperlink" Target="http://bdm.stat.gov.pl/" TargetMode="External"/><Relationship Id="rId55" Type="http://schemas.openxmlformats.org/officeDocument/2006/relationships/hyperlink" Target="http://stat.gov.pl/metainformacje/slownik-pojec/pojecia-stosowane-w-statystyce-publicznej/583,pojecie.html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stat.gov.pl/obszary-tematyczne/podmioty-gospodarcze-wyniki-finansowe/przedsiebiorstwa-niefinansowe/wyniki-finansowe-przedsiebiorstw-niefinansowych-w-okresie-styczen-czerwiec-2020-roku,12,40.html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hyperlink" Target="http://swaid.stat.gov.pl/SitePagesDBW/PrzedsiebiorstwaNiefinansowe.aspx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588,pojecie.html" TargetMode="External"/><Relationship Id="rId45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53" Type="http://schemas.openxmlformats.org/officeDocument/2006/relationships/hyperlink" Target="http://stat.gov.pl/metainformacje/slownik-pojec/pojecia-stosowane-w-statystyce-publicznej/613,pojecie.html" TargetMode="External"/><Relationship Id="rId58" Type="http://schemas.openxmlformats.org/officeDocument/2006/relationships/hyperlink" Target="http://stat.gov.pl/metainformacje/slownik-pojec/pojecia-stosowane-w-statystyce-publicznej/584,pojecie.html" TargetMode="Externa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hyperlink" Target="http://stat.gov.pl/metainformacje/slownik-pojec/pojecia-stosowane-w-statystyce-publicznej/223,pojecie.html" TargetMode="External"/><Relationship Id="rId48" Type="http://schemas.openxmlformats.org/officeDocument/2006/relationships/hyperlink" Target="https://bdl.stat.gov.pl/BDL/start" TargetMode="External"/><Relationship Id="rId56" Type="http://schemas.openxmlformats.org/officeDocument/2006/relationships/hyperlink" Target="http://stat.gov.pl/metainformacje/slownik-pojec/pojecia-stosowane-w-statystyce-publicznej/587,pojecie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583,pojecie.html" TargetMode="External"/><Relationship Id="rId46" Type="http://schemas.openxmlformats.org/officeDocument/2006/relationships/hyperlink" Target="https://stat.gov.pl/obszary-tematyczne/podmioty-gospodarcze-wyniki-finansowe/przedsiebiorstwa-niefinansowe/wyniki-finansowe-przedsiebiorstw-niefinansowych-w-okresie-styczen-czerwiec-2020-roku,12,40.html" TargetMode="External"/><Relationship Id="rId59" Type="http://schemas.openxmlformats.org/officeDocument/2006/relationships/hyperlink" Target="http://stat.gov.pl/metainformacje/slownik-pojec/pojecia-stosowane-w-statystyce-publicznej/585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584,pojecie.html" TargetMode="External"/><Relationship Id="rId54" Type="http://schemas.openxmlformats.org/officeDocument/2006/relationships/hyperlink" Target="http://stat.gov.pl/metainformacje/slownik-pojec/pojecia-stosowane-w-statystyce-publicznej/615,pojecie.html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49" Type="http://schemas.openxmlformats.org/officeDocument/2006/relationships/hyperlink" Target="http://swaid.stat.gov.pl/SitePagesDBW/PrzedsiebiorstwaNiefinansowe.aspx" TargetMode="External"/><Relationship Id="rId57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52" Type="http://schemas.openxmlformats.org/officeDocument/2006/relationships/hyperlink" Target="http://stat.gov.pl/metainformacje/slownik-pojec/pojecia-stosowane-w-statystyce-publicznej/158,pojecie.html" TargetMode="External"/><Relationship Id="rId60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BF758-E1C9-4CC4-A9E6-890D917F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2020-11-20T14:49:00Z</dcterms:created>
  <dcterms:modified xsi:type="dcterms:W3CDTF">2020-11-20T14:49:00Z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