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6573D5">
        <w:t>2019 roku</w:t>
      </w:r>
    </w:p>
    <w:p w:rsidR="00393761" w:rsidRPr="00001C5B" w:rsidRDefault="00A23A1A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259080</wp:posOffset>
                </wp:positionV>
                <wp:extent cx="1664335" cy="1125220"/>
                <wp:effectExtent l="0" t="0" r="0" b="0"/>
                <wp:wrapTight wrapText="bothSides">
                  <wp:wrapPolygon edited="0">
                    <wp:start x="742" y="0"/>
                    <wp:lineTo x="742" y="21210"/>
                    <wp:lineTo x="20768" y="21210"/>
                    <wp:lineTo x="20768" y="0"/>
                    <wp:lineTo x="742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dów </w:t>
                            </w:r>
                            <w:r w:rsidR="00CD5A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kosztów 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do 201</w:t>
                            </w:r>
                            <w:r w:rsidR="00A534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6B21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CD5A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5,8</w:t>
                            </w:r>
                            <w:r w:rsidR="00BF47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95pt;margin-top:20.4pt;width:131.0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dów </w:t>
                      </w:r>
                      <w:r w:rsidR="00CD5A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kosztów 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do 201</w:t>
                      </w:r>
                      <w:r w:rsidR="00A534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6B21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CD5A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5,8</w:t>
                      </w:r>
                      <w:r w:rsidR="00BF47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5,8%</w:t>
                            </w:r>
                          </w:p>
                          <w:p w:rsidR="00883763" w:rsidRPr="00A220D1" w:rsidRDefault="008E6D15" w:rsidP="00883763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C4345F">
                              <w:t xml:space="preserve"> przychodów</w:t>
                            </w:r>
                            <w:r w:rsidR="00A220D1">
                              <w:t xml:space="preserve"> </w:t>
                            </w:r>
                            <w:r w:rsidR="00EE3AA7">
                              <w:t xml:space="preserve">i kosztów </w:t>
                            </w:r>
                            <w:r w:rsidR="00A220D1">
                              <w:t>z 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JtKQIAACo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5,8%</w:t>
                      </w:r>
                    </w:p>
                    <w:p w:rsidR="00883763" w:rsidRPr="00A220D1" w:rsidRDefault="008E6D15" w:rsidP="00883763">
                      <w:pPr>
                        <w:pStyle w:val="tekstnaniebieskimtle"/>
                      </w:pPr>
                      <w:r>
                        <w:t>Wzrost</w:t>
                      </w:r>
                      <w:r w:rsidR="00C4345F">
                        <w:t xml:space="preserve"> przychodów</w:t>
                      </w:r>
                      <w:r w:rsidR="00A220D1">
                        <w:t xml:space="preserve"> </w:t>
                      </w:r>
                      <w:r w:rsidR="00EE3AA7">
                        <w:t xml:space="preserve">i kosztów </w:t>
                      </w:r>
                      <w:r w:rsidR="00A220D1">
                        <w:t>z 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CF7929" w:rsidRPr="002A2B09">
        <w:rPr>
          <w:shd w:val="clear" w:color="auto" w:fill="FFFFFF"/>
        </w:rPr>
        <w:t>201</w:t>
      </w:r>
      <w:r w:rsidR="00265633">
        <w:rPr>
          <w:shd w:val="clear" w:color="auto" w:fill="FFFFFF"/>
        </w:rPr>
        <w:t>9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</w:t>
      </w:r>
      <w:r w:rsidR="006F20B2">
        <w:rPr>
          <w:shd w:val="clear" w:color="auto" w:fill="FFFFFF"/>
        </w:rPr>
        <w:t>ych przedsiębiorstw były wyższe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CD5A2C">
        <w:rPr>
          <w:shd w:val="clear" w:color="auto" w:fill="FFFFFF"/>
        </w:rPr>
        <w:t>Nieznacznie poprawiły</w:t>
      </w:r>
      <w:r w:rsidR="00294738">
        <w:rPr>
          <w:shd w:val="clear" w:color="auto" w:fill="FFFFFF"/>
        </w:rPr>
        <w:t xml:space="preserve"> się wskaźniki ekonomiczno-finansowe. </w:t>
      </w:r>
      <w:r w:rsidR="003E4D16" w:rsidRPr="00A3364B">
        <w:rPr>
          <w:shd w:val="clear" w:color="auto" w:fill="FFFFFF"/>
        </w:rPr>
        <w:t>Nakłady</w:t>
      </w:r>
      <w:r w:rsidR="00A3364B" w:rsidRPr="00A3364B">
        <w:rPr>
          <w:shd w:val="clear" w:color="auto" w:fill="FFFFFF"/>
        </w:rPr>
        <w:t xml:space="preserve"> inwestycyjne były wyższe o 11,4</w:t>
      </w:r>
      <w:r w:rsidR="00D30F69" w:rsidRPr="00A3364B">
        <w:rPr>
          <w:shd w:val="clear" w:color="auto" w:fill="FFFFFF"/>
        </w:rPr>
        <w:t xml:space="preserve">% od notowanych w </w:t>
      </w:r>
      <w:r w:rsidR="00636C9A">
        <w:rPr>
          <w:shd w:val="clear" w:color="auto" w:fill="FFFFFF"/>
        </w:rPr>
        <w:t xml:space="preserve">2018 </w:t>
      </w:r>
      <w:r w:rsidR="003E4D16" w:rsidRPr="00A3364B">
        <w:rPr>
          <w:shd w:val="clear" w:color="auto" w:fill="FFFFFF"/>
        </w:rPr>
        <w:t xml:space="preserve">roku </w:t>
      </w:r>
      <w:r w:rsidR="00636C9A">
        <w:rPr>
          <w:shd w:val="clear" w:color="auto" w:fill="FFFFFF"/>
        </w:rPr>
        <w:t>(kiedy miał miejsce</w:t>
      </w:r>
      <w:r w:rsidR="00A3364B" w:rsidRPr="00A3364B">
        <w:rPr>
          <w:shd w:val="clear" w:color="auto" w:fill="FFFFFF"/>
        </w:rPr>
        <w:t xml:space="preserve"> wzrost o 12,2</w:t>
      </w:r>
      <w:r w:rsidR="003E4D16" w:rsidRPr="00A3364B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D5A2C">
        <w:rPr>
          <w:b w:val="0"/>
        </w:rPr>
        <w:t xml:space="preserve">i koszty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A47C9E">
        <w:rPr>
          <w:b w:val="0"/>
        </w:rPr>
        <w:t>5,8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CD5A2C">
        <w:rPr>
          <w:b w:val="0"/>
        </w:rPr>
        <w:t xml:space="preserve">. </w:t>
      </w:r>
      <w:r w:rsidR="00993562">
        <w:rPr>
          <w:b w:val="0"/>
        </w:rPr>
        <w:t>Nieznacznie p</w:t>
      </w:r>
      <w:r w:rsidR="00A47C9E">
        <w:rPr>
          <w:b w:val="0"/>
        </w:rPr>
        <w:t>oprawił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A47C9E">
        <w:rPr>
          <w:b w:val="0"/>
        </w:rPr>
        <w:t>95,5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A47C9E">
        <w:rPr>
          <w:b w:val="0"/>
        </w:rPr>
        <w:t>95,4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A47C9E">
        <w:rPr>
          <w:b w:val="0"/>
        </w:rPr>
        <w:t>wzrosły o 6,0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18337E">
        <w:rPr>
          <w:b w:val="0"/>
        </w:rPr>
        <w:t>wrosły w skali roku</w:t>
      </w:r>
      <w:r>
        <w:rPr>
          <w:b w:val="0"/>
        </w:rPr>
        <w:t xml:space="preserve"> </w:t>
      </w:r>
      <w:r w:rsidR="00F045E7">
        <w:rPr>
          <w:b w:val="0"/>
        </w:rPr>
        <w:t xml:space="preserve">o </w:t>
      </w:r>
      <w:r w:rsidR="00A47C9E">
        <w:rPr>
          <w:b w:val="0"/>
        </w:rPr>
        <w:t>6</w:t>
      </w:r>
      <w:r w:rsidR="00616D15">
        <w:rPr>
          <w:b w:val="0"/>
        </w:rPr>
        <w:t>,</w:t>
      </w:r>
      <w:r w:rsidR="00F866F5">
        <w:rPr>
          <w:b w:val="0"/>
        </w:rPr>
        <w:t>1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5801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finansowy netto był wy</w:t>
                            </w:r>
                            <w:r w:rsidR="00C37A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ższy o 7,5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8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5801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finansowy netto był wy</w:t>
                      </w:r>
                      <w:r w:rsidR="00C37A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ższy o 7,5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993562">
        <w:rPr>
          <w:b w:val="0"/>
        </w:rPr>
        <w:t>144,0</w:t>
      </w:r>
      <w:r w:rsidR="0081208E">
        <w:rPr>
          <w:b w:val="0"/>
        </w:rPr>
        <w:t xml:space="preserve"> mld zł i był </w:t>
      </w:r>
      <w:r w:rsidR="00EC1081">
        <w:rPr>
          <w:b w:val="0"/>
        </w:rPr>
        <w:t>wy</w:t>
      </w:r>
      <w:r w:rsidR="0081208E">
        <w:rPr>
          <w:b w:val="0"/>
        </w:rPr>
        <w:t>ższy o </w:t>
      </w:r>
      <w:r w:rsidR="00EC1081">
        <w:rPr>
          <w:b w:val="0"/>
        </w:rPr>
        <w:t>4</w:t>
      </w:r>
      <w:r w:rsidR="00993562">
        <w:rPr>
          <w:b w:val="0"/>
        </w:rPr>
        <w:t>,6</w:t>
      </w:r>
      <w:r w:rsidR="001C0B72">
        <w:rPr>
          <w:b w:val="0"/>
        </w:rPr>
        <w:t xml:space="preserve">% niż w </w:t>
      </w:r>
      <w:r w:rsidR="00636C9A">
        <w:rPr>
          <w:b w:val="0"/>
        </w:rPr>
        <w:t xml:space="preserve">2018 </w:t>
      </w:r>
      <w:r w:rsidR="00F045E7">
        <w:rPr>
          <w:b w:val="0"/>
        </w:rPr>
        <w:t>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C37A8D">
        <w:rPr>
          <w:b w:val="0"/>
        </w:rPr>
        <w:t>4,2 mld zł i był wy</w:t>
      </w:r>
      <w:r w:rsidR="0081208E">
        <w:rPr>
          <w:b w:val="0"/>
        </w:rPr>
        <w:t xml:space="preserve">ższy o </w:t>
      </w:r>
      <w:r w:rsidR="00636C9A">
        <w:rPr>
          <w:b w:val="0"/>
        </w:rPr>
        <w:t>0,7</w:t>
      </w:r>
      <w:r w:rsidR="0081208E" w:rsidRPr="00DD07B8">
        <w:rPr>
          <w:b w:val="0"/>
        </w:rPr>
        <w:t xml:space="preserve"> mld zł niż przed rokiem. Zanotowano </w:t>
      </w:r>
      <w:r w:rsidR="00A84322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C37A8D">
        <w:rPr>
          <w:b w:val="0"/>
        </w:rPr>
        <w:t>minus 0,9</w:t>
      </w:r>
      <w:r w:rsidR="00AD2E7D">
        <w:rPr>
          <w:b w:val="0"/>
        </w:rPr>
        <w:t xml:space="preserve"> mld zł wobec</w:t>
      </w:r>
      <w:r w:rsidR="00C37A8D">
        <w:rPr>
          <w:b w:val="0"/>
        </w:rPr>
        <w:t xml:space="preserve"> minus 3,4</w:t>
      </w:r>
      <w:r w:rsidR="007D1E30">
        <w:rPr>
          <w:b w:val="0"/>
        </w:rPr>
        <w:t xml:space="preserve"> </w:t>
      </w:r>
      <w:r w:rsidR="00C37A8D">
        <w:rPr>
          <w:b w:val="0"/>
        </w:rPr>
        <w:t xml:space="preserve">mld zł w </w:t>
      </w:r>
      <w:r w:rsidR="007D1E30">
        <w:rPr>
          <w:b w:val="0"/>
        </w:rPr>
        <w:t>2018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C37A8D">
        <w:rPr>
          <w:b w:val="0"/>
        </w:rPr>
        <w:t>147,3</w:t>
      </w:r>
      <w:r>
        <w:rPr>
          <w:b w:val="0"/>
        </w:rPr>
        <w:t xml:space="preserve"> mld zł wobec </w:t>
      </w:r>
      <w:r w:rsidR="00C37A8D">
        <w:rPr>
          <w:b w:val="0"/>
        </w:rPr>
        <w:t>137,7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C37A8D">
        <w:rPr>
          <w:b w:val="0"/>
        </w:rPr>
        <w:t>26,1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C37A8D">
        <w:rPr>
          <w:b w:val="0"/>
        </w:rPr>
        <w:t>25</w:t>
      </w:r>
      <w:r w:rsidR="00665E74">
        <w:rPr>
          <w:b w:val="0"/>
        </w:rPr>
        <w:t>,0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C37A8D">
        <w:rPr>
          <w:b w:val="0"/>
        </w:rPr>
        <w:t>121,2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642015">
        <w:rPr>
          <w:b w:val="0"/>
        </w:rPr>
        <w:t>wy</w:t>
      </w:r>
      <w:r>
        <w:rPr>
          <w:b w:val="0"/>
        </w:rPr>
        <w:t xml:space="preserve">ższy o </w:t>
      </w:r>
      <w:r w:rsidR="00C37A8D">
        <w:rPr>
          <w:b w:val="0"/>
        </w:rPr>
        <w:t>7,5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242ECF">
        <w:rPr>
          <w:b w:val="0"/>
        </w:rPr>
        <w:t>1</w:t>
      </w:r>
      <w:r w:rsidR="006919DE">
        <w:rPr>
          <w:b w:val="0"/>
        </w:rPr>
        <w:t>4</w:t>
      </w:r>
      <w:r w:rsidR="00242ECF">
        <w:rPr>
          <w:b w:val="0"/>
        </w:rPr>
        <w:t>3,6</w:t>
      </w:r>
      <w:r>
        <w:rPr>
          <w:b w:val="0"/>
        </w:rPr>
        <w:t xml:space="preserve"> mld zł i był </w:t>
      </w:r>
      <w:r w:rsidR="00CF2215">
        <w:rPr>
          <w:b w:val="0"/>
        </w:rPr>
        <w:t>wy</w:t>
      </w:r>
      <w:r>
        <w:rPr>
          <w:b w:val="0"/>
        </w:rPr>
        <w:t xml:space="preserve">ższy o </w:t>
      </w:r>
      <w:r w:rsidR="00242ECF">
        <w:rPr>
          <w:b w:val="0"/>
        </w:rPr>
        <w:t>4,2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</w:t>
      </w:r>
      <w:r w:rsidR="00CF2215">
        <w:rPr>
          <w:b w:val="0"/>
        </w:rPr>
        <w:t>2018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242ECF">
        <w:rPr>
          <w:b w:val="0"/>
        </w:rPr>
        <w:t>22,4</w:t>
      </w:r>
      <w:r w:rsidRPr="00DD07B8">
        <w:rPr>
          <w:b w:val="0"/>
        </w:rPr>
        <w:t xml:space="preserve"> mld zł i z</w:t>
      </w:r>
      <w:r w:rsidR="00242ECF">
        <w:rPr>
          <w:b w:val="0"/>
        </w:rPr>
        <w:t>mniejszyła</w:t>
      </w:r>
      <w:r w:rsidRPr="00DD07B8">
        <w:rPr>
          <w:b w:val="0"/>
        </w:rPr>
        <w:t xml:space="preserve"> się o </w:t>
      </w:r>
      <w:r w:rsidR="00242ECF">
        <w:rPr>
          <w:b w:val="0"/>
        </w:rPr>
        <w:t>10,7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242ECF">
        <w:rPr>
          <w:b w:val="0"/>
        </w:rPr>
        <w:t>81,8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242ECF">
        <w:rPr>
          <w:b w:val="0"/>
        </w:rPr>
        <w:t>80</w:t>
      </w:r>
      <w:r w:rsidR="006919DE">
        <w:rPr>
          <w:b w:val="0"/>
        </w:rPr>
        <w:t>,6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242ECF">
        <w:rPr>
          <w:b w:val="0"/>
        </w:rPr>
        <w:t>87,6</w:t>
      </w:r>
      <w:r w:rsidRPr="006361E6">
        <w:rPr>
          <w:b w:val="0"/>
        </w:rPr>
        <w:t>% przychodów z całokształtu działalności badanych przedsiębior</w:t>
      </w:r>
      <w:r w:rsidR="003A414D">
        <w:rPr>
          <w:b w:val="0"/>
        </w:rPr>
        <w:t xml:space="preserve">stw (wobec </w:t>
      </w:r>
      <w:r w:rsidR="00242ECF">
        <w:rPr>
          <w:b w:val="0"/>
        </w:rPr>
        <w:t>85,9</w:t>
      </w:r>
      <w:r w:rsidRPr="006361E6">
        <w:rPr>
          <w:b w:val="0"/>
        </w:rPr>
        <w:t>% przed ro</w:t>
      </w:r>
      <w:r w:rsidRPr="00EE0341">
        <w:rPr>
          <w:b w:val="0"/>
        </w:rPr>
        <w:t>kiem). W przetwórstwie przemys</w:t>
      </w:r>
      <w:r w:rsidR="00C92B84" w:rsidRPr="00EE0341">
        <w:rPr>
          <w:b w:val="0"/>
        </w:rPr>
        <w:t xml:space="preserve">łowym zysk netto odnotowało </w:t>
      </w:r>
      <w:r w:rsidR="00647D62" w:rsidRPr="00EE0341">
        <w:rPr>
          <w:b w:val="0"/>
        </w:rPr>
        <w:t>8</w:t>
      </w:r>
      <w:r w:rsidR="00EE0341" w:rsidRPr="00EE0341">
        <w:rPr>
          <w:b w:val="0"/>
        </w:rPr>
        <w:t>3,2% jednostek (przed rokiem 82,3</w:t>
      </w:r>
      <w:r w:rsidRPr="00EE0341">
        <w:rPr>
          <w:b w:val="0"/>
        </w:rPr>
        <w:t>%), a udział uzyskanych przez nie przychodów w przychodach wszystkich p</w:t>
      </w:r>
      <w:r w:rsidR="00EE0341" w:rsidRPr="00EE0341">
        <w:rPr>
          <w:b w:val="0"/>
        </w:rPr>
        <w:t>odmiotów tej sekcji wyniósł 90,3</w:t>
      </w:r>
      <w:r w:rsidR="00A501AC" w:rsidRPr="00EE0341">
        <w:rPr>
          <w:b w:val="0"/>
        </w:rPr>
        <w:t xml:space="preserve">% (wobec </w:t>
      </w:r>
      <w:r w:rsidR="00EE0341" w:rsidRPr="00EE0341">
        <w:rPr>
          <w:b w:val="0"/>
        </w:rPr>
        <w:t>odpowiednio 89,9</w:t>
      </w:r>
      <w:r w:rsidRPr="00EE0341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086B78">
        <w:rPr>
          <w:sz w:val="18"/>
          <w:szCs w:val="18"/>
        </w:rPr>
        <w:t>w latach 2000-2019</w:t>
      </w:r>
    </w:p>
    <w:p w:rsidR="0081208E" w:rsidRDefault="009B028F" w:rsidP="00685123">
      <w:pPr>
        <w:pStyle w:val="LID"/>
        <w:contextualSpacing/>
        <w:rPr>
          <w:sz w:val="18"/>
          <w:szCs w:val="18"/>
        </w:rPr>
      </w:pPr>
      <w: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4940550" cy="3002280"/>
            <wp:effectExtent l="0" t="0" r="0" b="7620"/>
            <wp:wrapNone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251BD4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5B1B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-X</w:t>
            </w:r>
            <w:r w:rsidR="00251B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B1B59">
              <w:rPr>
                <w:rFonts w:eastAsia="Times New Roman" w:cs="Calibri"/>
                <w:sz w:val="16"/>
                <w:szCs w:val="16"/>
                <w:lang w:eastAsia="pl-PL"/>
              </w:rPr>
              <w:t>-X</w:t>
            </w:r>
            <w:r w:rsidR="00251BD4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51BD4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3 057 031,9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3 235 515,6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2 974 308,2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3 152 983,9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2 919 314,3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3 088 204,9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2 836 665,7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3 008 985,2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137 642,5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143 998,7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3 468,0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4 224,9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121,8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-3 392,9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-912,9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137 717,6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147 310,6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112 696,3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121 188,8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137 829,1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143 625,6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25 132,8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22 436,9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51BD4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51BD4" w:rsidRDefault="00251BD4" w:rsidP="00251BD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1BD4" w:rsidRPr="00957F9B" w:rsidRDefault="00251BD4" w:rsidP="00251B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539115</wp:posOffset>
                </wp:positionV>
                <wp:extent cx="1577340" cy="12192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126FEA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Największą p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oprawę wskaźnika rentowności obrotu netto 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926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informacji i komunikacji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4926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3,4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1646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415.8pt;margin-top:42.45pt;width:124.2pt;height:9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" filled="f" stroked="f">
                <v:textbox>
                  <w:txbxContent>
                    <w:p w:rsidR="007413CF" w:rsidRPr="00BF2F65" w:rsidRDefault="00126FEA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Największą p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oprawę wskaźnika rentowności obrotu netto 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926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informacji i komunikacji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4926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3,4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1646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251BD4">
        <w:rPr>
          <w:b w:val="0"/>
        </w:rPr>
        <w:t>95,4</w:t>
      </w:r>
      <w:r w:rsidR="005A2748">
        <w:rPr>
          <w:b w:val="0"/>
        </w:rPr>
        <w:t xml:space="preserve">% (wobec </w:t>
      </w:r>
      <w:r w:rsidR="00251BD4">
        <w:rPr>
          <w:b w:val="0"/>
        </w:rPr>
        <w:t>95,5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251BD4">
        <w:rPr>
          <w:b w:val="0"/>
        </w:rPr>
        <w:t xml:space="preserve"> utrzymał się na niezmienionym poziomie – 4,6%, a wskaźnik rentowności obrotu brutto zwiększył się z 4,5% do 4,6%.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251BD4">
        <w:rPr>
          <w:b w:val="0"/>
        </w:rPr>
        <w:t xml:space="preserve"> utrzymał się na niezmienionym poziomie</w:t>
      </w:r>
      <w:r w:rsidR="00583934" w:rsidRPr="007A2842">
        <w:rPr>
          <w:b w:val="0"/>
        </w:rPr>
        <w:t xml:space="preserve"> </w:t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251BD4">
        <w:rPr>
          <w:b w:val="0"/>
        </w:rPr>
        <w:t>3,7</w:t>
      </w:r>
      <w:r w:rsidR="00583934" w:rsidRPr="007A2842">
        <w:rPr>
          <w:b w:val="0"/>
        </w:rPr>
        <w:t>%.</w:t>
      </w:r>
    </w:p>
    <w:p w:rsidR="000F051C" w:rsidRPr="000F051C" w:rsidRDefault="00336911" w:rsidP="00072CAA">
      <w:pPr>
        <w:pStyle w:val="LID"/>
        <w:rPr>
          <w:b w:val="0"/>
        </w:rPr>
      </w:pPr>
      <w:r w:rsidRPr="00072CAA">
        <w:rPr>
          <w:b w:val="0"/>
        </w:rPr>
        <w:t xml:space="preserve">Poprawę wskaźnika rentowności obrotu netto odnotowano </w:t>
      </w:r>
      <w:r w:rsidR="000F051C" w:rsidRPr="00072CAA">
        <w:rPr>
          <w:b w:val="0"/>
        </w:rPr>
        <w:t>w</w:t>
      </w:r>
      <w:r w:rsidR="0049265E" w:rsidRPr="0049265E">
        <w:rPr>
          <w:b w:val="0"/>
        </w:rPr>
        <w:t xml:space="preserve"> informacji </w:t>
      </w:r>
      <w:r w:rsidR="0049265E">
        <w:rPr>
          <w:b w:val="0"/>
        </w:rPr>
        <w:t xml:space="preserve">i komunikacji (z 4,1% do 7,5%), </w:t>
      </w:r>
      <w:r w:rsidR="0049265E" w:rsidRPr="0049265E">
        <w:rPr>
          <w:b w:val="0"/>
        </w:rPr>
        <w:t>działalności profesjonalnej, naukowej i technicznej (z 3,6% do 6,7%), zakwaterowaniu i gastronomii (z 6,4% do 8,0%), administrowaniu i działalności wspierającej (z 3,2% do 4,1%), dostawie wody; gospodarowaniu ściekami i odpadami; rekultywacji (z 4,4% do 5,3%), budownictwie (z 3,7% do 4,0%), handlu; naprawie pojazdów samochodowych (z 2,1% do 2,3%), w pozostałej działalności usługowej (z 6,</w:t>
      </w:r>
      <w:r w:rsidR="0049265E">
        <w:rPr>
          <w:b w:val="0"/>
        </w:rPr>
        <w:t xml:space="preserve">5% do 6,6%) oraz w transporcie i </w:t>
      </w:r>
      <w:r w:rsidR="0049265E" w:rsidRPr="0049265E">
        <w:rPr>
          <w:b w:val="0"/>
        </w:rPr>
        <w:t>gospodarce magazynowej (z 2,9% do 3,0%).</w:t>
      </w:r>
      <w:r w:rsidR="004451D6">
        <w:rPr>
          <w:b w:val="0"/>
        </w:rPr>
        <w:t xml:space="preserve"> </w:t>
      </w:r>
      <w:r w:rsidR="00023B80">
        <w:rPr>
          <w:b w:val="0"/>
        </w:rPr>
        <w:t>O</w:t>
      </w:r>
      <w:r w:rsidR="00AF3175" w:rsidRPr="00072CAA">
        <w:rPr>
          <w:b w:val="0"/>
        </w:rPr>
        <w:t xml:space="preserve">słabienie wskaźnika rentowności obrotu netto odnotowano w </w:t>
      </w:r>
      <w:r w:rsidR="004451D6" w:rsidRPr="004451D6">
        <w:rPr>
          <w:b w:val="0"/>
        </w:rPr>
        <w:t>górnictwie i wydobywaniu (z 6,6% do 2,6%), wytwarzaniu i zaopatrywaniu w energię elektryczną, gaz, parę wodną i gorącą wodę (z 5,3% do 4,8%), obsłudze rynku nieruchomości (z 6,3% do 5,8%) oraz w przetwórstwie przemysłowym (z 4,5% do 4,3%).</w:t>
      </w:r>
    </w:p>
    <w:p w:rsidR="00C40EC5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57775A">
        <w:rPr>
          <w:b w:val="0"/>
        </w:rPr>
        <w:t>8,1</w:t>
      </w:r>
      <w:r w:rsidR="002717B9">
        <w:rPr>
          <w:b w:val="0"/>
        </w:rPr>
        <w:t>% (wobec 3</w:t>
      </w:r>
      <w:r w:rsidR="0057775A">
        <w:rPr>
          <w:b w:val="0"/>
        </w:rPr>
        <w:t>6,2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57775A">
        <w:rPr>
          <w:b w:val="0"/>
        </w:rPr>
        <w:t>ności finansowej II stopnia 98,9% (wobec 98,4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57775A">
        <w:rPr>
          <w:b w:val="0"/>
        </w:rPr>
        <w:t>topnia powyżej 20% uzyskało 52,6</w:t>
      </w:r>
      <w:r w:rsidR="00B56404">
        <w:rPr>
          <w:b w:val="0"/>
        </w:rPr>
        <w:t>% przedsięb</w:t>
      </w:r>
      <w:r w:rsidR="00026241">
        <w:rPr>
          <w:b w:val="0"/>
        </w:rPr>
        <w:t>io</w:t>
      </w:r>
      <w:r w:rsidR="0057775A">
        <w:rPr>
          <w:b w:val="0"/>
        </w:rPr>
        <w:t>rstw (wobec 49,8</w:t>
      </w:r>
      <w:r w:rsidRPr="006A4389">
        <w:rPr>
          <w:b w:val="0"/>
        </w:rPr>
        <w:t>% przed rokiem). Wskaźnik płynności II stopnia w przedziale</w:t>
      </w:r>
      <w:r w:rsidR="0057775A">
        <w:rPr>
          <w:b w:val="0"/>
        </w:rPr>
        <w:t xml:space="preserve"> od 100% do 130% odnotowało 11,7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57775A">
        <w:rPr>
          <w:b w:val="0"/>
        </w:rPr>
        <w:t>ec 12,3</w:t>
      </w:r>
      <w:r w:rsidRPr="006A4389">
        <w:rPr>
          <w:b w:val="0"/>
        </w:rPr>
        <w:t>% przed rokiem).</w:t>
      </w: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675356" w:rsidRDefault="006E35C2" w:rsidP="00685123">
      <w:pPr>
        <w:pStyle w:val="LID"/>
        <w:contextualSpacing/>
      </w:pPr>
      <w:r>
        <w:drawing>
          <wp:anchor distT="0" distB="0" distL="114300" distR="114300" simplePos="0" relativeHeight="2516843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5114925" cy="3451860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E35C2" w:rsidRDefault="006E35C2" w:rsidP="00685123">
      <w:pPr>
        <w:pStyle w:val="LID"/>
        <w:contextualSpacing/>
      </w:pPr>
    </w:p>
    <w:p w:rsidR="006E35C2" w:rsidRDefault="006E35C2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3F016C" w:rsidP="00685123">
      <w:pPr>
        <w:pStyle w:val="LID"/>
        <w:contextualSpacing/>
      </w:pPr>
      <w:r>
        <w:drawing>
          <wp:inline distT="0" distB="0" distL="0" distR="0" wp14:anchorId="47C26FD3" wp14:editId="757E0748">
            <wp:extent cx="5114925" cy="3451860"/>
            <wp:effectExtent l="0" t="0" r="9525" b="1524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0D10D7" w:rsidRPr="00917AE0" w:rsidRDefault="00917AE0" w:rsidP="003F01DA">
      <w:pPr>
        <w:pStyle w:val="LID"/>
        <w:contextualSpacing/>
        <w:rPr>
          <w:b w:val="0"/>
        </w:rPr>
      </w:pPr>
      <w:r w:rsidRPr="00E235DD">
        <w:rPr>
          <w:b w:val="0"/>
        </w:rPr>
        <w:t>W strukturze rodzajowej koszt</w:t>
      </w:r>
      <w:r w:rsidR="00800039" w:rsidRPr="00E235DD">
        <w:rPr>
          <w:b w:val="0"/>
        </w:rPr>
        <w:t>ów ogółem zwiększył się udział</w:t>
      </w:r>
      <w:r w:rsidR="0094093B">
        <w:rPr>
          <w:b w:val="0"/>
        </w:rPr>
        <w:t xml:space="preserve"> </w:t>
      </w:r>
      <w:r w:rsidR="002B14A0">
        <w:rPr>
          <w:b w:val="0"/>
        </w:rPr>
        <w:t>wynagrodzeń</w:t>
      </w:r>
      <w:r w:rsidR="001D1490">
        <w:rPr>
          <w:b w:val="0"/>
        </w:rPr>
        <w:t xml:space="preserve"> (o 0,4 p. proc.)</w:t>
      </w:r>
      <w:r w:rsidR="002B14A0">
        <w:rPr>
          <w:b w:val="0"/>
        </w:rPr>
        <w:t xml:space="preserve">, </w:t>
      </w:r>
      <w:r w:rsidR="0094093B">
        <w:rPr>
          <w:b w:val="0"/>
        </w:rPr>
        <w:t>amortyzacji</w:t>
      </w:r>
      <w:r w:rsidR="001D1490">
        <w:rPr>
          <w:b w:val="0"/>
        </w:rPr>
        <w:t xml:space="preserve"> i</w:t>
      </w:r>
      <w:r w:rsidR="002B14A0">
        <w:rPr>
          <w:b w:val="0"/>
        </w:rPr>
        <w:t xml:space="preserve"> pozostałych kosztów rodzajowych</w:t>
      </w:r>
      <w:r w:rsidR="0094093B">
        <w:rPr>
          <w:b w:val="0"/>
        </w:rPr>
        <w:t xml:space="preserve"> (</w:t>
      </w:r>
      <w:r w:rsidR="002B14A0">
        <w:rPr>
          <w:b w:val="0"/>
        </w:rPr>
        <w:t>p</w:t>
      </w:r>
      <w:r w:rsidR="003A2D70">
        <w:rPr>
          <w:b w:val="0"/>
        </w:rPr>
        <w:t>o 0,3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</w:t>
      </w:r>
      <w:r w:rsidR="00543557">
        <w:rPr>
          <w:b w:val="0"/>
        </w:rPr>
        <w:t>o</w:t>
      </w:r>
      <w:r w:rsidR="002B14A0">
        <w:rPr>
          <w:b w:val="0"/>
        </w:rPr>
        <w:t xml:space="preserve">c.) oraz </w:t>
      </w:r>
      <w:r w:rsidR="001D1490" w:rsidRPr="00E235DD">
        <w:rPr>
          <w:b w:val="0"/>
        </w:rPr>
        <w:t>ubezpieczeń społecznych i innych świadczeń</w:t>
      </w:r>
      <w:r w:rsidR="001D1490">
        <w:rPr>
          <w:b w:val="0"/>
        </w:rPr>
        <w:t xml:space="preserve"> (o 0,1 p. proc.).</w:t>
      </w:r>
      <w:r w:rsidR="00933A7A">
        <w:rPr>
          <w:b w:val="0"/>
        </w:rPr>
        <w:t xml:space="preserve"> </w:t>
      </w:r>
      <w:r w:rsidR="00E235DD" w:rsidRPr="00E235DD">
        <w:rPr>
          <w:b w:val="0"/>
        </w:rPr>
        <w:t xml:space="preserve">Zmniejszył się udział </w:t>
      </w:r>
      <w:r w:rsidR="003A2D70">
        <w:rPr>
          <w:b w:val="0"/>
        </w:rPr>
        <w:t>zużycia materiałów (o 1,0</w:t>
      </w:r>
      <w:r w:rsidR="00DE055A">
        <w:rPr>
          <w:b w:val="0"/>
        </w:rPr>
        <w:t xml:space="preserve"> p. proc.) oraz </w:t>
      </w:r>
      <w:r w:rsidR="00E235DD" w:rsidRPr="00E235DD">
        <w:rPr>
          <w:b w:val="0"/>
        </w:rPr>
        <w:t>usług obcych</w:t>
      </w:r>
      <w:r w:rsidR="003A2D70">
        <w:rPr>
          <w:b w:val="0"/>
        </w:rPr>
        <w:t xml:space="preserve"> </w:t>
      </w:r>
      <w:r w:rsidR="00DE055A">
        <w:rPr>
          <w:b w:val="0"/>
        </w:rPr>
        <w:t>(</w:t>
      </w:r>
      <w:r w:rsidR="00933A7A">
        <w:rPr>
          <w:b w:val="0"/>
        </w:rPr>
        <w:t>o 0,1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proc.)</w:t>
      </w:r>
      <w:r w:rsidR="0094093B">
        <w:rPr>
          <w:b w:val="0"/>
        </w:rPr>
        <w:t xml:space="preserve">. </w:t>
      </w:r>
      <w:r w:rsidR="00E235DD">
        <w:rPr>
          <w:b w:val="0"/>
        </w:rPr>
        <w:t xml:space="preserve">Udział </w:t>
      </w:r>
      <w:r w:rsidR="00933A7A">
        <w:rPr>
          <w:b w:val="0"/>
        </w:rPr>
        <w:t xml:space="preserve">zużycia energii </w:t>
      </w:r>
      <w:r w:rsidR="003A2D70">
        <w:rPr>
          <w:b w:val="0"/>
        </w:rPr>
        <w:t xml:space="preserve">oraz podatków i opłat pozostał </w:t>
      </w:r>
      <w:r w:rsidR="00E235DD">
        <w:rPr>
          <w:b w:val="0"/>
        </w:rPr>
        <w:t>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2616C2">
        <w:rPr>
          <w:sz w:val="18"/>
          <w:szCs w:val="18"/>
        </w:rPr>
        <w:t>2019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666D8D" w:rsidRDefault="005007E9" w:rsidP="00901A19">
      <w:pPr>
        <w:pStyle w:val="LID"/>
        <w:contextualSpacing/>
        <w:rPr>
          <w:sz w:val="18"/>
          <w:szCs w:val="18"/>
        </w:rPr>
      </w:pPr>
      <w:r>
        <w:drawing>
          <wp:anchor distT="0" distB="0" distL="114300" distR="114300" simplePos="0" relativeHeight="2516833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5122545" cy="3369310"/>
            <wp:effectExtent l="0" t="0" r="1905" b="254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EC42DC">
      <w:pPr>
        <w:pStyle w:val="LID"/>
      </w:pPr>
    </w:p>
    <w:p w:rsidR="00D870E0" w:rsidRDefault="00D870E0" w:rsidP="00EC42DC">
      <w:pPr>
        <w:pStyle w:val="LID"/>
      </w:pPr>
    </w:p>
    <w:p w:rsidR="00D24422" w:rsidRDefault="00D24422" w:rsidP="00EC42DC">
      <w:pPr>
        <w:pStyle w:val="LID"/>
      </w:pPr>
    </w:p>
    <w:p w:rsidR="00EC42DC" w:rsidRPr="00EC42DC" w:rsidRDefault="00A23A1A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2114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11,4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5826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2114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11,4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5826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8E4C2D">
        <w:rPr>
          <w:b w:val="0"/>
        </w:rPr>
        <w:t>iębiorstw objętych badaniem 53,7</w:t>
      </w:r>
      <w:r w:rsidR="00EC42DC" w:rsidRPr="00E2185D">
        <w:rPr>
          <w:b w:val="0"/>
        </w:rPr>
        <w:t xml:space="preserve">% wykazało w </w:t>
      </w:r>
      <w:r w:rsidR="00416748">
        <w:rPr>
          <w:b w:val="0"/>
        </w:rPr>
        <w:t>2019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8E4C2D">
        <w:rPr>
          <w:b w:val="0"/>
        </w:rPr>
        <w:t>51,0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8E4C2D">
        <w:rPr>
          <w:b w:val="0"/>
        </w:rPr>
        <w:t xml:space="preserve"> był o 9,6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5A2237">
        <w:rPr>
          <w:b w:val="0"/>
        </w:rPr>
        <w:t xml:space="preserve"> podmiotów zwiększył się z 24,4% do 25,2</w:t>
      </w:r>
      <w:r w:rsidR="00EC42DC" w:rsidRPr="00F4691D">
        <w:rPr>
          <w:b w:val="0"/>
        </w:rPr>
        <w:t xml:space="preserve">%. </w:t>
      </w:r>
      <w:r w:rsidR="00EC42DC" w:rsidRPr="008F51B8">
        <w:rPr>
          <w:b w:val="0"/>
        </w:rPr>
        <w:t>Spośród jednostek ekspor</w:t>
      </w:r>
      <w:r w:rsidR="00824F31" w:rsidRPr="008F51B8">
        <w:rPr>
          <w:b w:val="0"/>
        </w:rPr>
        <w:t>tując</w:t>
      </w:r>
      <w:r w:rsidR="008F51B8" w:rsidRPr="008F51B8">
        <w:rPr>
          <w:b w:val="0"/>
        </w:rPr>
        <w:t xml:space="preserve">ych, zysk netto wykazało </w:t>
      </w:r>
      <w:r w:rsidR="009D41C7" w:rsidRPr="008F51B8">
        <w:rPr>
          <w:b w:val="0"/>
        </w:rPr>
        <w:t>8</w:t>
      </w:r>
      <w:r w:rsidR="00F00EC9">
        <w:rPr>
          <w:b w:val="0"/>
        </w:rPr>
        <w:t>3,2% przedsiębiorstw wobec 82,6</w:t>
      </w:r>
      <w:r w:rsidR="00EC42DC" w:rsidRPr="008F51B8">
        <w:rPr>
          <w:b w:val="0"/>
        </w:rPr>
        <w:t>% przed rokiem. Podstawowe re</w:t>
      </w:r>
      <w:r w:rsidR="0086012A">
        <w:rPr>
          <w:b w:val="0"/>
        </w:rPr>
        <w:t xml:space="preserve">lacje ekonomiczno-finansowe </w:t>
      </w:r>
      <w:r w:rsidR="009E1A54">
        <w:rPr>
          <w:b w:val="0"/>
        </w:rPr>
        <w:t>ekspo</w:t>
      </w:r>
      <w:r w:rsidR="00636C9A">
        <w:rPr>
          <w:b w:val="0"/>
        </w:rPr>
        <w:t xml:space="preserve">rterów były nieznacznie </w:t>
      </w:r>
      <w:r w:rsidR="00EC42DC" w:rsidRPr="008F51B8">
        <w:rPr>
          <w:b w:val="0"/>
        </w:rPr>
        <w:t>lepsze niż dla ogółu badanych przedsiębiorstw.</w:t>
      </w:r>
    </w:p>
    <w:p w:rsidR="00211438" w:rsidRPr="00211438" w:rsidRDefault="00211438" w:rsidP="00211438">
      <w:pPr>
        <w:pStyle w:val="LID"/>
        <w:rPr>
          <w:b w:val="0"/>
        </w:rPr>
      </w:pPr>
      <w:r w:rsidRPr="00211438">
        <w:rPr>
          <w:b w:val="0"/>
        </w:rPr>
        <w:t xml:space="preserve">W 2019 roku br. nakłady ogółem badanych przedsiębiorstw wyniosły 159,6 mld zł i były (w cenach stałych) o 11,4% wyższe niż w 2018 roku (kiedy notowano wzrost o 12,2%). Wyższe niż przed rokiem były zarówno nakłady na budynki i budowle (wzrost o 14,0%) jak i na maszyny, urządzenia techniczne i narzędzia (wzrost o 6,0%) oraz na środki transportu (wzrost o 24,1%). Udział zakupów w nakładach ogółem zmniejszył się do 60,7% z 62,6% przed rokiem. </w:t>
      </w:r>
    </w:p>
    <w:p w:rsidR="00082A93" w:rsidRDefault="00211438" w:rsidP="00211438">
      <w:pPr>
        <w:pStyle w:val="LID"/>
        <w:rPr>
          <w:b w:val="0"/>
        </w:rPr>
      </w:pPr>
      <w:r w:rsidRPr="00211438">
        <w:rPr>
          <w:b w:val="0"/>
        </w:rPr>
        <w:t>Wzrost nakładów (w cenach bieżących) notowano m.in. w obsłudze rynku nieruchomości (o 24,9% wobec wzrostu przed rokiem o 16,7%), administrowaniu i działalności wspierającej (o 23,7% wobec wzrostu przed rokiem o 1,4%), w dostawie wody; gospodarowaniu ściekami i odpadami; rekultywacji (o 21,8% wobec wzrostu przed rokiem o 27,8%), górnictwie i wydobywaniu (o 20,9% wobec wzrostu przed rokiem o 30,0%), w wytwarzaniu i zaopatrywaniu w energię elektryczną, gaz, parę wodną i gorącą wodę (o 12,7% wobec spadku przed rokiem o 0,4%), w transporcie i gospodarce magazynowej (o 12,4% wobec wzrostu przed rokiem o 30,8%), w przetwórstwie przemysłowym (o 11,2% wobec wzrostu o 6,7%). Spadek nakładów wystąpił w zakwaterowaniu i gastronomii (o 7,1% wobec wzrostu przed rokiem o 44,4%).</w:t>
      </w:r>
    </w:p>
    <w:p w:rsidR="0048623F" w:rsidRPr="001F3A2A" w:rsidRDefault="0048623F" w:rsidP="00082A93">
      <w:pPr>
        <w:pStyle w:val="LID"/>
        <w:contextualSpacing/>
        <w:rPr>
          <w:b w:val="0"/>
        </w:rPr>
      </w:pPr>
    </w:p>
    <w:p w:rsidR="002B3CF8" w:rsidRDefault="002B3CF8" w:rsidP="00E41C21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341D19" w:rsidP="00685123">
      <w:pPr>
        <w:pStyle w:val="LID"/>
        <w:contextualSpacing/>
      </w:pPr>
      <w:r>
        <w:drawing>
          <wp:anchor distT="0" distB="0" distL="114300" distR="114300" simplePos="0" relativeHeight="2516823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000625" cy="3200400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8539D6" w:rsidRDefault="008539D6" w:rsidP="00685123">
      <w:pPr>
        <w:pStyle w:val="LID"/>
        <w:contextualSpacing/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6461E0">
        <w:rPr>
          <w:b w:val="0"/>
        </w:rPr>
        <w:t xml:space="preserve"> 17 739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883763" w:rsidRPr="000A27E6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661B52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A27E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="00883763" w:rsidRPr="000A27E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2" w:history="1">
              <w:r w:rsidR="00B9042B" w:rsidRPr="009553C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Sekretariat-PZ@stat.gov.pl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A27E6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3" w:history="1">
              <w:r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4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CF3D5F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CF3D5F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CF3D5F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CF3D5F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CF3D5F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CF3D5F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CF3D5F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CF3D5F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CF3D5F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CF3D5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CF3D5F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oJ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lbnBzcYH0g&#10;7R2OU0BTS4sW3U/OepqAivsfO3CSM/3Jkn+L6XweRyZt5sU1ic3cZWRzGQErCKrigbNxuQ5pzCJV&#10;i3fkc6OSA/FBjEyOlOllJwmPUxhH53Kfsl7/Fatf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BbXKoJ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65507A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65507A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65507A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7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65507A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65507A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65507A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65507A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65507A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65507A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65507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65507A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2"/>
      <w:footerReference w:type="default" r:id="rId6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5F" w:rsidRDefault="00CF3D5F" w:rsidP="000662E2">
      <w:pPr>
        <w:spacing w:after="0" w:line="240" w:lineRule="auto"/>
      </w:pPr>
      <w:r>
        <w:separator/>
      </w:r>
    </w:p>
  </w:endnote>
  <w:endnote w:type="continuationSeparator" w:id="0">
    <w:p w:rsidR="00CF3D5F" w:rsidRDefault="00CF3D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553C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553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9553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5F" w:rsidRDefault="00CF3D5F" w:rsidP="000662E2">
      <w:pPr>
        <w:spacing w:after="0" w:line="240" w:lineRule="auto"/>
      </w:pPr>
      <w:r>
        <w:separator/>
      </w:r>
    </w:p>
  </w:footnote>
  <w:footnote w:type="continuationSeparator" w:id="0">
    <w:p w:rsidR="00CF3D5F" w:rsidRDefault="00CF3D5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1A75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23.03.2020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1A75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23.03.2020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3ABE"/>
    <w:rsid w:val="000141D0"/>
    <w:rsid w:val="0001460C"/>
    <w:rsid w:val="000146F1"/>
    <w:rsid w:val="000152F5"/>
    <w:rsid w:val="00023A86"/>
    <w:rsid w:val="00023B80"/>
    <w:rsid w:val="00026241"/>
    <w:rsid w:val="000278B4"/>
    <w:rsid w:val="000310E4"/>
    <w:rsid w:val="0003316A"/>
    <w:rsid w:val="00033C4B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0AFB"/>
    <w:rsid w:val="00072CAA"/>
    <w:rsid w:val="0007322E"/>
    <w:rsid w:val="000741C2"/>
    <w:rsid w:val="00074DD8"/>
    <w:rsid w:val="000765A6"/>
    <w:rsid w:val="000802BD"/>
    <w:rsid w:val="000806F7"/>
    <w:rsid w:val="000821D5"/>
    <w:rsid w:val="00082A93"/>
    <w:rsid w:val="000846AD"/>
    <w:rsid w:val="00086B78"/>
    <w:rsid w:val="00091D4E"/>
    <w:rsid w:val="000930E0"/>
    <w:rsid w:val="00097840"/>
    <w:rsid w:val="000A0312"/>
    <w:rsid w:val="000A1700"/>
    <w:rsid w:val="000A27E6"/>
    <w:rsid w:val="000A3366"/>
    <w:rsid w:val="000A5CB8"/>
    <w:rsid w:val="000B0727"/>
    <w:rsid w:val="000B79D7"/>
    <w:rsid w:val="000C135D"/>
    <w:rsid w:val="000C2198"/>
    <w:rsid w:val="000C3E8A"/>
    <w:rsid w:val="000C68DA"/>
    <w:rsid w:val="000D02F0"/>
    <w:rsid w:val="000D10D7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F051C"/>
    <w:rsid w:val="000F3664"/>
    <w:rsid w:val="000F3A38"/>
    <w:rsid w:val="00100942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62325"/>
    <w:rsid w:val="00164659"/>
    <w:rsid w:val="00167B95"/>
    <w:rsid w:val="00173156"/>
    <w:rsid w:val="00173F3C"/>
    <w:rsid w:val="0017716C"/>
    <w:rsid w:val="001807FB"/>
    <w:rsid w:val="00181965"/>
    <w:rsid w:val="0018337E"/>
    <w:rsid w:val="0018741F"/>
    <w:rsid w:val="00187619"/>
    <w:rsid w:val="00191AD0"/>
    <w:rsid w:val="001951DA"/>
    <w:rsid w:val="001A2492"/>
    <w:rsid w:val="001A7517"/>
    <w:rsid w:val="001B3B8F"/>
    <w:rsid w:val="001B3D79"/>
    <w:rsid w:val="001B5023"/>
    <w:rsid w:val="001C0B72"/>
    <w:rsid w:val="001C1398"/>
    <w:rsid w:val="001C2DAF"/>
    <w:rsid w:val="001C3269"/>
    <w:rsid w:val="001C7304"/>
    <w:rsid w:val="001D1490"/>
    <w:rsid w:val="001D1DB4"/>
    <w:rsid w:val="001D5A8A"/>
    <w:rsid w:val="001E0287"/>
    <w:rsid w:val="001E55E4"/>
    <w:rsid w:val="001F05EB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304AB"/>
    <w:rsid w:val="0023454E"/>
    <w:rsid w:val="00237700"/>
    <w:rsid w:val="0024084C"/>
    <w:rsid w:val="00241627"/>
    <w:rsid w:val="00242ECF"/>
    <w:rsid w:val="00251BD4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293B"/>
    <w:rsid w:val="00274EE4"/>
    <w:rsid w:val="00276811"/>
    <w:rsid w:val="00282699"/>
    <w:rsid w:val="00282ADF"/>
    <w:rsid w:val="002843B6"/>
    <w:rsid w:val="002926DF"/>
    <w:rsid w:val="00294738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14A0"/>
    <w:rsid w:val="002B3CF8"/>
    <w:rsid w:val="002B6B12"/>
    <w:rsid w:val="002B6CDC"/>
    <w:rsid w:val="002C350F"/>
    <w:rsid w:val="002C7E8C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2320"/>
    <w:rsid w:val="003356A8"/>
    <w:rsid w:val="00336911"/>
    <w:rsid w:val="00340588"/>
    <w:rsid w:val="003414CD"/>
    <w:rsid w:val="00341D19"/>
    <w:rsid w:val="00347D72"/>
    <w:rsid w:val="003507F4"/>
    <w:rsid w:val="00351836"/>
    <w:rsid w:val="003529CC"/>
    <w:rsid w:val="00354C86"/>
    <w:rsid w:val="00355443"/>
    <w:rsid w:val="00356ACC"/>
    <w:rsid w:val="00356CBD"/>
    <w:rsid w:val="00356EB9"/>
    <w:rsid w:val="00357611"/>
    <w:rsid w:val="0036265A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7D18"/>
    <w:rsid w:val="003A1B36"/>
    <w:rsid w:val="003A2D70"/>
    <w:rsid w:val="003A382F"/>
    <w:rsid w:val="003A3BF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FD6"/>
    <w:rsid w:val="003C59E0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E1091"/>
    <w:rsid w:val="003E14CE"/>
    <w:rsid w:val="003E28E7"/>
    <w:rsid w:val="003E4D16"/>
    <w:rsid w:val="003E6808"/>
    <w:rsid w:val="003E7CBC"/>
    <w:rsid w:val="003F016C"/>
    <w:rsid w:val="003F01DA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628"/>
    <w:rsid w:val="004019A9"/>
    <w:rsid w:val="00402700"/>
    <w:rsid w:val="0040691A"/>
    <w:rsid w:val="00407DAB"/>
    <w:rsid w:val="00413DC6"/>
    <w:rsid w:val="00416748"/>
    <w:rsid w:val="0041742F"/>
    <w:rsid w:val="004212E7"/>
    <w:rsid w:val="00421E79"/>
    <w:rsid w:val="004222F7"/>
    <w:rsid w:val="0042446D"/>
    <w:rsid w:val="00426175"/>
    <w:rsid w:val="00426BDF"/>
    <w:rsid w:val="004272C3"/>
    <w:rsid w:val="00427BF8"/>
    <w:rsid w:val="00431C02"/>
    <w:rsid w:val="004364FB"/>
    <w:rsid w:val="00437395"/>
    <w:rsid w:val="004373CE"/>
    <w:rsid w:val="00440697"/>
    <w:rsid w:val="00442EE7"/>
    <w:rsid w:val="00444E5A"/>
    <w:rsid w:val="00445047"/>
    <w:rsid w:val="004451D6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54E6"/>
    <w:rsid w:val="00477B36"/>
    <w:rsid w:val="00482BEF"/>
    <w:rsid w:val="0048623F"/>
    <w:rsid w:val="00486A49"/>
    <w:rsid w:val="0049265E"/>
    <w:rsid w:val="004931A7"/>
    <w:rsid w:val="004946CD"/>
    <w:rsid w:val="0049621B"/>
    <w:rsid w:val="004A134B"/>
    <w:rsid w:val="004A237F"/>
    <w:rsid w:val="004A61B8"/>
    <w:rsid w:val="004A61E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2801"/>
    <w:rsid w:val="004D59EF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42A7"/>
    <w:rsid w:val="00505A92"/>
    <w:rsid w:val="005065F3"/>
    <w:rsid w:val="00506741"/>
    <w:rsid w:val="00512E3D"/>
    <w:rsid w:val="005160B1"/>
    <w:rsid w:val="0051623E"/>
    <w:rsid w:val="005203F1"/>
    <w:rsid w:val="00521BC3"/>
    <w:rsid w:val="00523DB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5571"/>
    <w:rsid w:val="00545CA4"/>
    <w:rsid w:val="0054726F"/>
    <w:rsid w:val="00550441"/>
    <w:rsid w:val="005520D8"/>
    <w:rsid w:val="00555B80"/>
    <w:rsid w:val="00556CF1"/>
    <w:rsid w:val="00557272"/>
    <w:rsid w:val="005605AA"/>
    <w:rsid w:val="00564AA3"/>
    <w:rsid w:val="00564CC9"/>
    <w:rsid w:val="005658E5"/>
    <w:rsid w:val="00566A2C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BFF"/>
    <w:rsid w:val="005916D7"/>
    <w:rsid w:val="005922DC"/>
    <w:rsid w:val="00597AA2"/>
    <w:rsid w:val="00597E9C"/>
    <w:rsid w:val="005A1009"/>
    <w:rsid w:val="005A2237"/>
    <w:rsid w:val="005A2748"/>
    <w:rsid w:val="005A2B57"/>
    <w:rsid w:val="005A6488"/>
    <w:rsid w:val="005A698C"/>
    <w:rsid w:val="005B00A1"/>
    <w:rsid w:val="005B1B59"/>
    <w:rsid w:val="005B66B3"/>
    <w:rsid w:val="005B70BD"/>
    <w:rsid w:val="005C0BEF"/>
    <w:rsid w:val="005C6676"/>
    <w:rsid w:val="005C66B1"/>
    <w:rsid w:val="005D2E20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36C9A"/>
    <w:rsid w:val="00642015"/>
    <w:rsid w:val="006461E0"/>
    <w:rsid w:val="00647291"/>
    <w:rsid w:val="00647D62"/>
    <w:rsid w:val="006505C7"/>
    <w:rsid w:val="006507BF"/>
    <w:rsid w:val="006519DD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812AF"/>
    <w:rsid w:val="00681A15"/>
    <w:rsid w:val="0068327D"/>
    <w:rsid w:val="00685123"/>
    <w:rsid w:val="00685A14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66C6"/>
    <w:rsid w:val="006B0E9E"/>
    <w:rsid w:val="006B1315"/>
    <w:rsid w:val="006B21C4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E35C2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119F4"/>
    <w:rsid w:val="00714211"/>
    <w:rsid w:val="007201FC"/>
    <w:rsid w:val="007211B1"/>
    <w:rsid w:val="007217D5"/>
    <w:rsid w:val="00721CB0"/>
    <w:rsid w:val="00731F4B"/>
    <w:rsid w:val="00737EC9"/>
    <w:rsid w:val="007413CF"/>
    <w:rsid w:val="007431B0"/>
    <w:rsid w:val="00746187"/>
    <w:rsid w:val="00747D1A"/>
    <w:rsid w:val="00750EAA"/>
    <w:rsid w:val="00752C52"/>
    <w:rsid w:val="00756001"/>
    <w:rsid w:val="00757BE2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434F"/>
    <w:rsid w:val="007C49A5"/>
    <w:rsid w:val="007C6E7B"/>
    <w:rsid w:val="007D0B39"/>
    <w:rsid w:val="007D1E30"/>
    <w:rsid w:val="007D3319"/>
    <w:rsid w:val="007D335D"/>
    <w:rsid w:val="007D43A9"/>
    <w:rsid w:val="007E3314"/>
    <w:rsid w:val="007E45C0"/>
    <w:rsid w:val="007E4B03"/>
    <w:rsid w:val="007F1A30"/>
    <w:rsid w:val="007F324B"/>
    <w:rsid w:val="007F564A"/>
    <w:rsid w:val="007F6D04"/>
    <w:rsid w:val="00800039"/>
    <w:rsid w:val="00801DD9"/>
    <w:rsid w:val="0080553C"/>
    <w:rsid w:val="00805B46"/>
    <w:rsid w:val="00807B63"/>
    <w:rsid w:val="0081208E"/>
    <w:rsid w:val="0081504C"/>
    <w:rsid w:val="0082072B"/>
    <w:rsid w:val="0082363E"/>
    <w:rsid w:val="00824F31"/>
    <w:rsid w:val="00825DC2"/>
    <w:rsid w:val="008264BB"/>
    <w:rsid w:val="00831A77"/>
    <w:rsid w:val="00834AD3"/>
    <w:rsid w:val="008363EC"/>
    <w:rsid w:val="00843795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70608"/>
    <w:rsid w:val="008710D3"/>
    <w:rsid w:val="008710E7"/>
    <w:rsid w:val="00873F5B"/>
    <w:rsid w:val="00876070"/>
    <w:rsid w:val="0088258A"/>
    <w:rsid w:val="00883763"/>
    <w:rsid w:val="00886332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E4C2D"/>
    <w:rsid w:val="008E6D15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9D3"/>
    <w:rsid w:val="009065C7"/>
    <w:rsid w:val="00907735"/>
    <w:rsid w:val="00907D8D"/>
    <w:rsid w:val="009127BA"/>
    <w:rsid w:val="00914480"/>
    <w:rsid w:val="0091452B"/>
    <w:rsid w:val="00917AE0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3562"/>
    <w:rsid w:val="009957D9"/>
    <w:rsid w:val="00996B56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5A"/>
    <w:rsid w:val="009C1AB2"/>
    <w:rsid w:val="009C25D2"/>
    <w:rsid w:val="009C28F8"/>
    <w:rsid w:val="009C4485"/>
    <w:rsid w:val="009C49A2"/>
    <w:rsid w:val="009C6602"/>
    <w:rsid w:val="009C7251"/>
    <w:rsid w:val="009D34F6"/>
    <w:rsid w:val="009D41C7"/>
    <w:rsid w:val="009E1339"/>
    <w:rsid w:val="009E1A54"/>
    <w:rsid w:val="009E1BE7"/>
    <w:rsid w:val="009E1FD1"/>
    <w:rsid w:val="009E2E91"/>
    <w:rsid w:val="009E5FA3"/>
    <w:rsid w:val="00A008B4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20D1"/>
    <w:rsid w:val="00A22CCE"/>
    <w:rsid w:val="00A23A1A"/>
    <w:rsid w:val="00A26CDF"/>
    <w:rsid w:val="00A26D9C"/>
    <w:rsid w:val="00A312F3"/>
    <w:rsid w:val="00A317F7"/>
    <w:rsid w:val="00A32068"/>
    <w:rsid w:val="00A3336F"/>
    <w:rsid w:val="00A3364B"/>
    <w:rsid w:val="00A34C24"/>
    <w:rsid w:val="00A35151"/>
    <w:rsid w:val="00A365F4"/>
    <w:rsid w:val="00A410EF"/>
    <w:rsid w:val="00A41E44"/>
    <w:rsid w:val="00A47C9E"/>
    <w:rsid w:val="00A47D80"/>
    <w:rsid w:val="00A501AC"/>
    <w:rsid w:val="00A53132"/>
    <w:rsid w:val="00A53494"/>
    <w:rsid w:val="00A563F2"/>
    <w:rsid w:val="00A566E8"/>
    <w:rsid w:val="00A5777E"/>
    <w:rsid w:val="00A7059D"/>
    <w:rsid w:val="00A71DC0"/>
    <w:rsid w:val="00A73D90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E3F"/>
    <w:rsid w:val="00A963DF"/>
    <w:rsid w:val="00A97F97"/>
    <w:rsid w:val="00AA5DD8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D676B"/>
    <w:rsid w:val="00AE2D4B"/>
    <w:rsid w:val="00AE4F99"/>
    <w:rsid w:val="00AF2D28"/>
    <w:rsid w:val="00AF3175"/>
    <w:rsid w:val="00AF5464"/>
    <w:rsid w:val="00AF6712"/>
    <w:rsid w:val="00AF6B6C"/>
    <w:rsid w:val="00AF6ECF"/>
    <w:rsid w:val="00B02ECB"/>
    <w:rsid w:val="00B10068"/>
    <w:rsid w:val="00B11B69"/>
    <w:rsid w:val="00B14952"/>
    <w:rsid w:val="00B14E82"/>
    <w:rsid w:val="00B15988"/>
    <w:rsid w:val="00B21571"/>
    <w:rsid w:val="00B219C8"/>
    <w:rsid w:val="00B24B97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56404"/>
    <w:rsid w:val="00B653AB"/>
    <w:rsid w:val="00B65F9E"/>
    <w:rsid w:val="00B660C8"/>
    <w:rsid w:val="00B66B19"/>
    <w:rsid w:val="00B724B1"/>
    <w:rsid w:val="00B72583"/>
    <w:rsid w:val="00B733CD"/>
    <w:rsid w:val="00B7445B"/>
    <w:rsid w:val="00B744D6"/>
    <w:rsid w:val="00B768C9"/>
    <w:rsid w:val="00B76BFB"/>
    <w:rsid w:val="00B863DC"/>
    <w:rsid w:val="00B9042B"/>
    <w:rsid w:val="00B914E9"/>
    <w:rsid w:val="00B92566"/>
    <w:rsid w:val="00B9277C"/>
    <w:rsid w:val="00B93908"/>
    <w:rsid w:val="00B9497E"/>
    <w:rsid w:val="00B956EE"/>
    <w:rsid w:val="00B96718"/>
    <w:rsid w:val="00B97D6F"/>
    <w:rsid w:val="00B97FE7"/>
    <w:rsid w:val="00BA226E"/>
    <w:rsid w:val="00BA2BA1"/>
    <w:rsid w:val="00BA2E76"/>
    <w:rsid w:val="00BA3562"/>
    <w:rsid w:val="00BA4E79"/>
    <w:rsid w:val="00BA71DF"/>
    <w:rsid w:val="00BA73B1"/>
    <w:rsid w:val="00BB4F09"/>
    <w:rsid w:val="00BC15CE"/>
    <w:rsid w:val="00BC6F65"/>
    <w:rsid w:val="00BC71CF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F063A"/>
    <w:rsid w:val="00BF25ED"/>
    <w:rsid w:val="00BF4700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EC5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4693"/>
    <w:rsid w:val="00C75084"/>
    <w:rsid w:val="00C76D09"/>
    <w:rsid w:val="00C76D68"/>
    <w:rsid w:val="00C77C0E"/>
    <w:rsid w:val="00C818A7"/>
    <w:rsid w:val="00C82A3D"/>
    <w:rsid w:val="00C906BC"/>
    <w:rsid w:val="00C91687"/>
    <w:rsid w:val="00C924A8"/>
    <w:rsid w:val="00C92B84"/>
    <w:rsid w:val="00C930FB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B0D"/>
    <w:rsid w:val="00CB6A45"/>
    <w:rsid w:val="00CB72CE"/>
    <w:rsid w:val="00CB7F71"/>
    <w:rsid w:val="00CC0A14"/>
    <w:rsid w:val="00CC2523"/>
    <w:rsid w:val="00CC50A9"/>
    <w:rsid w:val="00CC739E"/>
    <w:rsid w:val="00CD088A"/>
    <w:rsid w:val="00CD0BA0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DD6"/>
    <w:rsid w:val="00CF5899"/>
    <w:rsid w:val="00CF6933"/>
    <w:rsid w:val="00CF7929"/>
    <w:rsid w:val="00D00796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7C59"/>
    <w:rsid w:val="00D70EF7"/>
    <w:rsid w:val="00D7454D"/>
    <w:rsid w:val="00D76CF3"/>
    <w:rsid w:val="00D77818"/>
    <w:rsid w:val="00D83363"/>
    <w:rsid w:val="00D8397C"/>
    <w:rsid w:val="00D870E0"/>
    <w:rsid w:val="00D9352C"/>
    <w:rsid w:val="00D93D38"/>
    <w:rsid w:val="00D94561"/>
    <w:rsid w:val="00D94EED"/>
    <w:rsid w:val="00D96026"/>
    <w:rsid w:val="00D96537"/>
    <w:rsid w:val="00D9777E"/>
    <w:rsid w:val="00DA17DD"/>
    <w:rsid w:val="00DA4FC6"/>
    <w:rsid w:val="00DA7C1C"/>
    <w:rsid w:val="00DB147A"/>
    <w:rsid w:val="00DB1B7A"/>
    <w:rsid w:val="00DB1E8E"/>
    <w:rsid w:val="00DB6597"/>
    <w:rsid w:val="00DC6708"/>
    <w:rsid w:val="00DC6C4A"/>
    <w:rsid w:val="00DD04DA"/>
    <w:rsid w:val="00DD07B8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45BD"/>
    <w:rsid w:val="00E0623E"/>
    <w:rsid w:val="00E07B93"/>
    <w:rsid w:val="00E11A04"/>
    <w:rsid w:val="00E13B89"/>
    <w:rsid w:val="00E17B77"/>
    <w:rsid w:val="00E2008C"/>
    <w:rsid w:val="00E21356"/>
    <w:rsid w:val="00E2185D"/>
    <w:rsid w:val="00E23337"/>
    <w:rsid w:val="00E235DD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EE8"/>
    <w:rsid w:val="00E54452"/>
    <w:rsid w:val="00E544E3"/>
    <w:rsid w:val="00E545DA"/>
    <w:rsid w:val="00E65CCC"/>
    <w:rsid w:val="00E664C5"/>
    <w:rsid w:val="00E66883"/>
    <w:rsid w:val="00E671A2"/>
    <w:rsid w:val="00E70FA9"/>
    <w:rsid w:val="00E76D26"/>
    <w:rsid w:val="00E7769B"/>
    <w:rsid w:val="00E8349F"/>
    <w:rsid w:val="00E8404E"/>
    <w:rsid w:val="00E908A7"/>
    <w:rsid w:val="00E911D6"/>
    <w:rsid w:val="00E95303"/>
    <w:rsid w:val="00E95499"/>
    <w:rsid w:val="00E96F1C"/>
    <w:rsid w:val="00E97F02"/>
    <w:rsid w:val="00EB1390"/>
    <w:rsid w:val="00EB1733"/>
    <w:rsid w:val="00EB2C71"/>
    <w:rsid w:val="00EB4340"/>
    <w:rsid w:val="00EB556D"/>
    <w:rsid w:val="00EB5A7D"/>
    <w:rsid w:val="00EB5AD4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477E"/>
    <w:rsid w:val="00F4691D"/>
    <w:rsid w:val="00F472AF"/>
    <w:rsid w:val="00F500E8"/>
    <w:rsid w:val="00F5749F"/>
    <w:rsid w:val="00F57898"/>
    <w:rsid w:val="00F61D4D"/>
    <w:rsid w:val="00F6258C"/>
    <w:rsid w:val="00F65C79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501D"/>
    <w:rsid w:val="00F86024"/>
    <w:rsid w:val="00F8611A"/>
    <w:rsid w:val="00F866F5"/>
    <w:rsid w:val="00F9523C"/>
    <w:rsid w:val="00F96086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0580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584,pojecie.html" TargetMode="External"/><Relationship Id="rId47" Type="http://schemas.openxmlformats.org/officeDocument/2006/relationships/hyperlink" Target="http://stat.gov.pl/sygnalne/informacje-sygnalne/" TargetMode="External"/><Relationship Id="rId50" Type="http://schemas.openxmlformats.org/officeDocument/2006/relationships/hyperlink" Target="http://swaid.stat.gov.pl/SitePagesDBW/PrzedsiebiorstwaNiefinansowe.aspx" TargetMode="External"/><Relationship Id="rId55" Type="http://schemas.openxmlformats.org/officeDocument/2006/relationships/hyperlink" Target="http://stat.gov.pl/metainformacje/slownik-pojec/pojecia-stosowane-w-statystyce-publicznej/615,pojecie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://stat.gov.pl/metainformacje/slownik-pojec/pojecia-stosowane-w-statystyce-publicznej/613,pojecie.html" TargetMode="External"/><Relationship Id="rId40" Type="http://schemas.openxmlformats.org/officeDocument/2006/relationships/hyperlink" Target="http://stat.gov.pl/metainformacje/slownik-pojec/pojecia-stosowane-w-statystyce-publicznej/587,pojecie.html" TargetMode="External"/><Relationship Id="rId45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53" Type="http://schemas.openxmlformats.org/officeDocument/2006/relationships/hyperlink" Target="http://stat.gov.pl/metainformacje/slownik-pojec/pojecia-stosowane-w-statystyce-publicznej/158,pojecie.html" TargetMode="External"/><Relationship Id="rId58" Type="http://schemas.openxmlformats.org/officeDocument/2006/relationships/hyperlink" Target="http://stat.gov.pl/metainformacje/slownik-pojec/pojecia-stosowane-w-statystyce-publicznej/588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23,pojecie.html" TargetMode="External"/><Relationship Id="rId19" Type="http://schemas.openxmlformats.org/officeDocument/2006/relationships/footer" Target="footer1.xml"/><Relationship Id="rId14" Type="http://schemas.openxmlformats.org/officeDocument/2006/relationships/chart" Target="charts/chart2.xml"/><Relationship Id="rId22" Type="http://schemas.openxmlformats.org/officeDocument/2006/relationships/hyperlink" Target="mailto:Sekretariat-PZ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://stat.gov.pl/metainformacje/slownik-pojec/pojecia-stosowane-w-statystyce-publicznej/395,pojecie.html" TargetMode="External"/><Relationship Id="rId43" Type="http://schemas.openxmlformats.org/officeDocument/2006/relationships/hyperlink" Target="http://stat.gov.pl/metainformacje/slownik-pojec/pojecia-stosowane-w-statystyce-publicznej/585,pojecie.html" TargetMode="External"/><Relationship Id="rId4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6" Type="http://schemas.openxmlformats.org/officeDocument/2006/relationships/hyperlink" Target="http://stat.gov.pl/metainformacje/slownik-pojec/pojecia-stosowane-w-statystyce-publicznej/58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PrzedsiebiorstwaNiefinansowe.aspx" TargetMode="External"/><Relationship Id="rId38" Type="http://schemas.openxmlformats.org/officeDocument/2006/relationships/hyperlink" Target="http://stat.gov.pl/metainformacje/slownik-pojec/pojecia-stosowane-w-statystyce-publicznej/615,pojecie.html" TargetMode="External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59" Type="http://schemas.openxmlformats.org/officeDocument/2006/relationships/hyperlink" Target="http://stat.gov.pl/metainformacje/slownik-pojec/pojecia-stosowane-w-statystyce-publicznej/584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588,pojecie.html" TargetMode="External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6" Type="http://schemas.openxmlformats.org/officeDocument/2006/relationships/hyperlink" Target="http://stat.gov.pl/metainformacje/slownik-pojec/pojecia-stosowane-w-statystyce-publicznej/158,pojecie.html" TargetMode="External"/><Relationship Id="rId49" Type="http://schemas.openxmlformats.org/officeDocument/2006/relationships/hyperlink" Target="https://bdl.stat.gov.pl/BDL/start" TargetMode="External"/><Relationship Id="rId57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4" Type="http://schemas.openxmlformats.org/officeDocument/2006/relationships/hyperlink" Target="http://stat.gov.pl/metainformacje/slownik-pojec/pojecia-stosowane-w-statystyce-publicznej/223,pojecie.html" TargetMode="External"/><Relationship Id="rId52" Type="http://schemas.openxmlformats.org/officeDocument/2006/relationships/hyperlink" Target="http://stat.gov.pl/metainformacje/slownik-pojec/pojecia-stosowane-w-statystyce-publicznej/395,pojecie.html" TargetMode="External"/><Relationship Id="rId60" Type="http://schemas.openxmlformats.org/officeDocument/2006/relationships/hyperlink" Target="http://stat.gov.pl/metainformacje/slownik-pojec/pojecia-stosowane-w-statystyce-publicznej/585,pojecie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9" Type="http://schemas.openxmlformats.org/officeDocument/2006/relationships/hyperlink" Target="http://stat.gov.pl/metainformacje/slownik-pojec/pojecia-stosowane-w-statystyce-publicznej/58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17021540946435E-2"/>
          <c:y val="9.4963748343338289E-2"/>
          <c:w val="0.91786301587301589"/>
          <c:h val="0.62683027565716731"/>
        </c:manualLayout>
      </c:layout>
      <c:lineChart>
        <c:grouping val="standard"/>
        <c:varyColors val="0"/>
        <c:ser>
          <c:idx val="1"/>
          <c:order val="0"/>
          <c:tx>
            <c:strRef>
              <c:f>'Arkusz1 (2)'!$C$26</c:f>
              <c:strCache>
                <c:ptCount val="1"/>
                <c:pt idx="0">
                  <c:v>Wskaźnik rentowności sprzedaży brutto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numRef>
              <c:f>'Arkusz1 (2)'!$D$25:$W$25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'Arkusz1 (2)'!$D$26:$W$26</c:f>
              <c:numCache>
                <c:formatCode>General</c:formatCode>
                <c:ptCount val="20"/>
                <c:pt idx="0">
                  <c:v>3</c:v>
                </c:pt>
                <c:pt idx="1">
                  <c:v>2.6</c:v>
                </c:pt>
                <c:pt idx="2">
                  <c:v>3.3</c:v>
                </c:pt>
                <c:pt idx="3">
                  <c:v>4.4000000000000004</c:v>
                </c:pt>
                <c:pt idx="4">
                  <c:v>5.9</c:v>
                </c:pt>
                <c:pt idx="5">
                  <c:v>5.3</c:v>
                </c:pt>
                <c:pt idx="6">
                  <c:v>5.5</c:v>
                </c:pt>
                <c:pt idx="7">
                  <c:v>5.6</c:v>
                </c:pt>
                <c:pt idx="8">
                  <c:v>5</c:v>
                </c:pt>
                <c:pt idx="9">
                  <c:v>5</c:v>
                </c:pt>
                <c:pt idx="10">
                  <c:v>5.2</c:v>
                </c:pt>
                <c:pt idx="11">
                  <c:v>5.3</c:v>
                </c:pt>
                <c:pt idx="12">
                  <c:v>4.3</c:v>
                </c:pt>
                <c:pt idx="13">
                  <c:v>4.3</c:v>
                </c:pt>
                <c:pt idx="14">
                  <c:v>4.5</c:v>
                </c:pt>
                <c:pt idx="15">
                  <c:v>4.5</c:v>
                </c:pt>
                <c:pt idx="16">
                  <c:v>5</c:v>
                </c:pt>
                <c:pt idx="17">
                  <c:v>4.9000000000000004</c:v>
                </c:pt>
                <c:pt idx="18">
                  <c:v>4.5999999999999996</c:v>
                </c:pt>
                <c:pt idx="19">
                  <c:v>4.5999999999999996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'Arkusz1 (2)'!$C$27</c:f>
              <c:strCache>
                <c:ptCount val="1"/>
                <c:pt idx="0">
                  <c:v>Wskaźnik rentowności obrotu brutto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numRef>
              <c:f>'Arkusz1 (2)'!$D$25:$W$25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'Arkusz1 (2)'!$D$27:$W$27</c:f>
              <c:numCache>
                <c:formatCode>General</c:formatCode>
                <c:ptCount val="20"/>
                <c:pt idx="0">
                  <c:v>1.9</c:v>
                </c:pt>
                <c:pt idx="1">
                  <c:v>0.7</c:v>
                </c:pt>
                <c:pt idx="2">
                  <c:v>0.8</c:v>
                </c:pt>
                <c:pt idx="3">
                  <c:v>2.8</c:v>
                </c:pt>
                <c:pt idx="4">
                  <c:v>6</c:v>
                </c:pt>
                <c:pt idx="5">
                  <c:v>4.9000000000000004</c:v>
                </c:pt>
                <c:pt idx="6">
                  <c:v>5.8</c:v>
                </c:pt>
                <c:pt idx="7">
                  <c:v>6.1</c:v>
                </c:pt>
                <c:pt idx="8">
                  <c:v>4.2</c:v>
                </c:pt>
                <c:pt idx="9">
                  <c:v>5</c:v>
                </c:pt>
                <c:pt idx="10">
                  <c:v>5.3</c:v>
                </c:pt>
                <c:pt idx="11">
                  <c:v>5.4</c:v>
                </c:pt>
                <c:pt idx="12">
                  <c:v>4.2</c:v>
                </c:pt>
                <c:pt idx="13">
                  <c:v>4.5</c:v>
                </c:pt>
                <c:pt idx="14">
                  <c:v>4.3</c:v>
                </c:pt>
                <c:pt idx="15">
                  <c:v>4.3</c:v>
                </c:pt>
                <c:pt idx="16">
                  <c:v>5</c:v>
                </c:pt>
                <c:pt idx="17">
                  <c:v>5.2</c:v>
                </c:pt>
                <c:pt idx="18">
                  <c:v>4.5</c:v>
                </c:pt>
                <c:pt idx="19">
                  <c:v>4.5999999999999996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'Arkusz1 (2)'!$C$28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rgbClr val="001D77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numRef>
              <c:f>'Arkusz1 (2)'!$D$25:$W$25</c:f>
              <c:numCache>
                <c:formatCode>General</c:formatCode>
                <c:ptCount val="20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</c:numCache>
            </c:numRef>
          </c:cat>
          <c:val>
            <c:numRef>
              <c:f>'Arkusz1 (2)'!$D$28:$W$28</c:f>
              <c:numCache>
                <c:formatCode>General</c:formatCode>
                <c:ptCount val="20"/>
                <c:pt idx="0">
                  <c:v>0.7</c:v>
                </c:pt>
                <c:pt idx="1">
                  <c:v>-0.3</c:v>
                </c:pt>
                <c:pt idx="2">
                  <c:v>-0.2</c:v>
                </c:pt>
                <c:pt idx="3">
                  <c:v>1.7</c:v>
                </c:pt>
                <c:pt idx="4">
                  <c:v>4.8</c:v>
                </c:pt>
                <c:pt idx="5">
                  <c:v>3.9</c:v>
                </c:pt>
                <c:pt idx="6">
                  <c:v>4.7</c:v>
                </c:pt>
                <c:pt idx="7">
                  <c:v>5</c:v>
                </c:pt>
                <c:pt idx="8">
                  <c:v>3.3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4.5</c:v>
                </c:pt>
                <c:pt idx="12">
                  <c:v>3.4</c:v>
                </c:pt>
                <c:pt idx="13">
                  <c:v>3.8</c:v>
                </c:pt>
                <c:pt idx="14">
                  <c:v>3.7</c:v>
                </c:pt>
                <c:pt idx="15">
                  <c:v>3.6</c:v>
                </c:pt>
                <c:pt idx="16">
                  <c:v>4.2</c:v>
                </c:pt>
                <c:pt idx="17">
                  <c:v>4.4000000000000004</c:v>
                </c:pt>
                <c:pt idx="18">
                  <c:v>3.7</c:v>
                </c:pt>
                <c:pt idx="19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5832512"/>
        <c:axId val="825829792"/>
      </c:lineChart>
      <c:catAx>
        <c:axId val="82583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29792"/>
        <c:crosses val="autoZero"/>
        <c:auto val="1"/>
        <c:lblAlgn val="ctr"/>
        <c:lblOffset val="100"/>
        <c:noMultiLvlLbl val="0"/>
      </c:catAx>
      <c:valAx>
        <c:axId val="825829792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3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922926447574373E-3"/>
          <c:y val="0.85964400389037665"/>
          <c:w val="0.99008333333333332"/>
          <c:h val="0.117036052600023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605829420970266E-2"/>
          <c:y val="6.8276150999095522E-2"/>
          <c:w val="0.92302582159624413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Arkusz2!$C$4:$Z$4</c:f>
              <c:numCache>
                <c:formatCode>#\ ##0.0</c:formatCode>
                <c:ptCount val="24"/>
                <c:pt idx="0">
                  <c:v>3.8</c:v>
                </c:pt>
                <c:pt idx="1">
                  <c:v>3.9</c:v>
                </c:pt>
                <c:pt idx="2">
                  <c:v>4.2</c:v>
                </c:pt>
                <c:pt idx="3">
                  <c:v>3.7</c:v>
                </c:pt>
                <c:pt idx="4">
                  <c:v>3.9</c:v>
                </c:pt>
                <c:pt idx="5">
                  <c:v>4.5</c:v>
                </c:pt>
                <c:pt idx="6" formatCode="General">
                  <c:v>3.9</c:v>
                </c:pt>
                <c:pt idx="7" formatCode="General">
                  <c:v>3.6</c:v>
                </c:pt>
                <c:pt idx="8">
                  <c:v>4.2</c:v>
                </c:pt>
                <c:pt idx="9">
                  <c:v>4.9000000000000004</c:v>
                </c:pt>
                <c:pt idx="10">
                  <c:v>4.7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4.9000000000000004</c:v>
                </c:pt>
                <c:pt idx="14">
                  <c:v>4.5999999999999996</c:v>
                </c:pt>
                <c:pt idx="15">
                  <c:v>4.4000000000000004</c:v>
                </c:pt>
                <c:pt idx="16">
                  <c:v>3.9</c:v>
                </c:pt>
                <c:pt idx="17">
                  <c:v>4.3</c:v>
                </c:pt>
                <c:pt idx="18">
                  <c:v>4.2</c:v>
                </c:pt>
                <c:pt idx="19">
                  <c:v>3.7</c:v>
                </c:pt>
                <c:pt idx="20">
                  <c:v>3.4</c:v>
                </c:pt>
                <c:pt idx="21">
                  <c:v>4.2</c:v>
                </c:pt>
                <c:pt idx="22">
                  <c:v>4</c:v>
                </c:pt>
                <c:pt idx="23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5833056"/>
        <c:axId val="825830880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Arkusz2!$C$5:$Z$5</c:f>
              <c:numCache>
                <c:formatCode>#\ ##0.0</c:formatCode>
                <c:ptCount val="24"/>
                <c:pt idx="0">
                  <c:v>2.7</c:v>
                </c:pt>
                <c:pt idx="1">
                  <c:v>1.8</c:v>
                </c:pt>
                <c:pt idx="2">
                  <c:v>3.3</c:v>
                </c:pt>
                <c:pt idx="3">
                  <c:v>1.5</c:v>
                </c:pt>
                <c:pt idx="4">
                  <c:v>-2.2000000000000002</c:v>
                </c:pt>
                <c:pt idx="5">
                  <c:v>-0.7</c:v>
                </c:pt>
                <c:pt idx="6" formatCode="General">
                  <c:v>-0.9</c:v>
                </c:pt>
                <c:pt idx="7" formatCode="General">
                  <c:v>-3.1</c:v>
                </c:pt>
                <c:pt idx="8">
                  <c:v>-0.7</c:v>
                </c:pt>
                <c:pt idx="9">
                  <c:v>-0.7</c:v>
                </c:pt>
                <c:pt idx="10">
                  <c:v>1.3</c:v>
                </c:pt>
                <c:pt idx="11">
                  <c:v>2.8</c:v>
                </c:pt>
                <c:pt idx="12">
                  <c:v>12.2</c:v>
                </c:pt>
                <c:pt idx="13">
                  <c:v>9.1999999999999993</c:v>
                </c:pt>
                <c:pt idx="14">
                  <c:v>8.8000000000000007</c:v>
                </c:pt>
                <c:pt idx="15">
                  <c:v>10.1</c:v>
                </c:pt>
                <c:pt idx="16">
                  <c:v>9.8000000000000007</c:v>
                </c:pt>
                <c:pt idx="17">
                  <c:v>9.3000000000000007</c:v>
                </c:pt>
                <c:pt idx="18">
                  <c:v>6.8</c:v>
                </c:pt>
                <c:pt idx="19">
                  <c:v>6.6</c:v>
                </c:pt>
                <c:pt idx="20">
                  <c:v>5.7</c:v>
                </c:pt>
                <c:pt idx="21">
                  <c:v>5.5</c:v>
                </c:pt>
                <c:pt idx="22">
                  <c:v>4.4000000000000004</c:v>
                </c:pt>
                <c:pt idx="23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Arkusz2!$C$6:$Z$6</c:f>
              <c:numCache>
                <c:formatCode>#\ ##0.0</c:formatCode>
                <c:ptCount val="24"/>
                <c:pt idx="0">
                  <c:v>4.8</c:v>
                </c:pt>
                <c:pt idx="1">
                  <c:v>4</c:v>
                </c:pt>
                <c:pt idx="2">
                  <c:v>4.2</c:v>
                </c:pt>
                <c:pt idx="3">
                  <c:v>3.6</c:v>
                </c:pt>
                <c:pt idx="4">
                  <c:v>4.9000000000000004</c:v>
                </c:pt>
                <c:pt idx="5">
                  <c:v>5.2</c:v>
                </c:pt>
                <c:pt idx="6" formatCode="General">
                  <c:v>4.9000000000000004</c:v>
                </c:pt>
                <c:pt idx="7" formatCode="General">
                  <c:v>4.7</c:v>
                </c:pt>
                <c:pt idx="8">
                  <c:v>5.2</c:v>
                </c:pt>
                <c:pt idx="9">
                  <c:v>5.9</c:v>
                </c:pt>
                <c:pt idx="10">
                  <c:v>5.7</c:v>
                </c:pt>
                <c:pt idx="11">
                  <c:v>5.2</c:v>
                </c:pt>
                <c:pt idx="12">
                  <c:v>5.6</c:v>
                </c:pt>
                <c:pt idx="13">
                  <c:v>5.4</c:v>
                </c:pt>
                <c:pt idx="14">
                  <c:v>5.0999999999999996</c:v>
                </c:pt>
                <c:pt idx="15">
                  <c:v>4.8</c:v>
                </c:pt>
                <c:pt idx="16">
                  <c:v>4.8</c:v>
                </c:pt>
                <c:pt idx="17">
                  <c:v>5</c:v>
                </c:pt>
                <c:pt idx="18">
                  <c:v>5</c:v>
                </c:pt>
                <c:pt idx="19">
                  <c:v>4.5</c:v>
                </c:pt>
                <c:pt idx="20">
                  <c:v>4.8</c:v>
                </c:pt>
                <c:pt idx="21">
                  <c:v>4.8</c:v>
                </c:pt>
                <c:pt idx="22">
                  <c:v>4.7</c:v>
                </c:pt>
                <c:pt idx="23">
                  <c:v>4.3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Arkusz2!$C$7:$Z$7</c:f>
              <c:numCache>
                <c:formatCode>#\ ##0.0</c:formatCode>
                <c:ptCount val="24"/>
                <c:pt idx="0">
                  <c:v>9.1999999999999993</c:v>
                </c:pt>
                <c:pt idx="1">
                  <c:v>12.4</c:v>
                </c:pt>
                <c:pt idx="2">
                  <c:v>12.8</c:v>
                </c:pt>
                <c:pt idx="3">
                  <c:v>10.7</c:v>
                </c:pt>
                <c:pt idx="4">
                  <c:v>9.1</c:v>
                </c:pt>
                <c:pt idx="5">
                  <c:v>12</c:v>
                </c:pt>
                <c:pt idx="6" formatCode="General">
                  <c:v>5.0999999999999996</c:v>
                </c:pt>
                <c:pt idx="7" formatCode="General">
                  <c:v>2.4</c:v>
                </c:pt>
                <c:pt idx="8">
                  <c:v>9.1999999999999993</c:v>
                </c:pt>
                <c:pt idx="9">
                  <c:v>10.9</c:v>
                </c:pt>
                <c:pt idx="10">
                  <c:v>7.6</c:v>
                </c:pt>
                <c:pt idx="11">
                  <c:v>7.1</c:v>
                </c:pt>
                <c:pt idx="12">
                  <c:v>9.9</c:v>
                </c:pt>
                <c:pt idx="13">
                  <c:v>13.8</c:v>
                </c:pt>
                <c:pt idx="14">
                  <c:v>12.4</c:v>
                </c:pt>
                <c:pt idx="15">
                  <c:v>9.1999999999999993</c:v>
                </c:pt>
                <c:pt idx="16">
                  <c:v>8.8000000000000007</c:v>
                </c:pt>
                <c:pt idx="17">
                  <c:v>9.4</c:v>
                </c:pt>
                <c:pt idx="18">
                  <c:v>7.8</c:v>
                </c:pt>
                <c:pt idx="19">
                  <c:v>5.3</c:v>
                </c:pt>
                <c:pt idx="20">
                  <c:v>3.4</c:v>
                </c:pt>
                <c:pt idx="21">
                  <c:v>8</c:v>
                </c:pt>
                <c:pt idx="22">
                  <c:v>6.4</c:v>
                </c:pt>
                <c:pt idx="23">
                  <c:v>4.8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Arkusz2!$C$8:$Z$8</c:f>
              <c:numCache>
                <c:formatCode>#\ ##0.0</c:formatCode>
                <c:ptCount val="24"/>
                <c:pt idx="0">
                  <c:v>-0.8</c:v>
                </c:pt>
                <c:pt idx="1">
                  <c:v>0.7</c:v>
                </c:pt>
                <c:pt idx="2">
                  <c:v>2.2999999999999998</c:v>
                </c:pt>
                <c:pt idx="3">
                  <c:v>2.7</c:v>
                </c:pt>
                <c:pt idx="4">
                  <c:v>2</c:v>
                </c:pt>
                <c:pt idx="5">
                  <c:v>2.7</c:v>
                </c:pt>
                <c:pt idx="6" formatCode="General">
                  <c:v>3.2</c:v>
                </c:pt>
                <c:pt idx="7" formatCode="General">
                  <c:v>6.6</c:v>
                </c:pt>
                <c:pt idx="8">
                  <c:v>1.2</c:v>
                </c:pt>
                <c:pt idx="9">
                  <c:v>5.9</c:v>
                </c:pt>
                <c:pt idx="10">
                  <c:v>4.3</c:v>
                </c:pt>
                <c:pt idx="11">
                  <c:v>4.0999999999999996</c:v>
                </c:pt>
                <c:pt idx="12">
                  <c:v>-1.1000000000000001</c:v>
                </c:pt>
                <c:pt idx="13">
                  <c:v>2</c:v>
                </c:pt>
                <c:pt idx="14">
                  <c:v>3</c:v>
                </c:pt>
                <c:pt idx="15">
                  <c:v>2.8</c:v>
                </c:pt>
                <c:pt idx="16">
                  <c:v>0.8</c:v>
                </c:pt>
                <c:pt idx="17">
                  <c:v>1.6</c:v>
                </c:pt>
                <c:pt idx="18">
                  <c:v>2.9</c:v>
                </c:pt>
                <c:pt idx="19">
                  <c:v>3.7</c:v>
                </c:pt>
                <c:pt idx="20">
                  <c:v>2.7</c:v>
                </c:pt>
                <c:pt idx="21">
                  <c:v>2.9</c:v>
                </c:pt>
                <c:pt idx="22">
                  <c:v>3.7</c:v>
                </c:pt>
                <c:pt idx="23">
                  <c:v>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tx1">
                  <a:alpha val="3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Arkusz2!$C$9:$Z$9</c:f>
              <c:numCache>
                <c:formatCode>#\ ##0.0</c:formatCode>
                <c:ptCount val="24"/>
                <c:pt idx="0">
                  <c:v>0.9</c:v>
                </c:pt>
                <c:pt idx="1">
                  <c:v>1.5</c:v>
                </c:pt>
                <c:pt idx="2">
                  <c:v>1.5</c:v>
                </c:pt>
                <c:pt idx="3">
                  <c:v>1.9</c:v>
                </c:pt>
                <c:pt idx="4">
                  <c:v>1</c:v>
                </c:pt>
                <c:pt idx="5">
                  <c:v>1.5</c:v>
                </c:pt>
                <c:pt idx="6" formatCode="General">
                  <c:v>1.8</c:v>
                </c:pt>
                <c:pt idx="7" formatCode="General">
                  <c:v>1.9</c:v>
                </c:pt>
                <c:pt idx="8">
                  <c:v>1.7</c:v>
                </c:pt>
                <c:pt idx="9">
                  <c:v>2.1</c:v>
                </c:pt>
                <c:pt idx="10">
                  <c:v>2.4</c:v>
                </c:pt>
                <c:pt idx="11">
                  <c:v>2.2999999999999998</c:v>
                </c:pt>
                <c:pt idx="12">
                  <c:v>1.5</c:v>
                </c:pt>
                <c:pt idx="13">
                  <c:v>1.9</c:v>
                </c:pt>
                <c:pt idx="14">
                  <c:v>1.8</c:v>
                </c:pt>
                <c:pt idx="15">
                  <c:v>2.2000000000000002</c:v>
                </c:pt>
                <c:pt idx="16">
                  <c:v>1.5</c:v>
                </c:pt>
                <c:pt idx="17">
                  <c:v>1.9</c:v>
                </c:pt>
                <c:pt idx="18">
                  <c:v>2.1</c:v>
                </c:pt>
                <c:pt idx="19">
                  <c:v>2.1</c:v>
                </c:pt>
                <c:pt idx="20">
                  <c:v>1.4</c:v>
                </c:pt>
                <c:pt idx="21">
                  <c:v>2</c:v>
                </c:pt>
                <c:pt idx="22">
                  <c:v>2.1</c:v>
                </c:pt>
                <c:pt idx="23">
                  <c:v>2.2999999999999998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Arkusz2!$C$10:$Z$10</c:f>
              <c:numCache>
                <c:formatCode>#\ ##0.0</c:formatCode>
                <c:ptCount val="24"/>
                <c:pt idx="0">
                  <c:v>2.2999999999999998</c:v>
                </c:pt>
                <c:pt idx="1">
                  <c:v>3.3</c:v>
                </c:pt>
                <c:pt idx="2">
                  <c:v>3.5</c:v>
                </c:pt>
                <c:pt idx="3">
                  <c:v>2.2000000000000002</c:v>
                </c:pt>
                <c:pt idx="4">
                  <c:v>3.7</c:v>
                </c:pt>
                <c:pt idx="5">
                  <c:v>3.8</c:v>
                </c:pt>
                <c:pt idx="6" formatCode="General">
                  <c:v>4.7</c:v>
                </c:pt>
                <c:pt idx="7" formatCode="General">
                  <c:v>3.4</c:v>
                </c:pt>
                <c:pt idx="8">
                  <c:v>4.4000000000000004</c:v>
                </c:pt>
                <c:pt idx="9">
                  <c:v>4.3</c:v>
                </c:pt>
                <c:pt idx="10">
                  <c:v>4.5</c:v>
                </c:pt>
                <c:pt idx="11">
                  <c:v>3.6</c:v>
                </c:pt>
                <c:pt idx="12">
                  <c:v>3.6</c:v>
                </c:pt>
                <c:pt idx="13">
                  <c:v>3.9</c:v>
                </c:pt>
                <c:pt idx="14">
                  <c:v>4.0999999999999996</c:v>
                </c:pt>
                <c:pt idx="15">
                  <c:v>3.9</c:v>
                </c:pt>
                <c:pt idx="16">
                  <c:v>2.5</c:v>
                </c:pt>
                <c:pt idx="17">
                  <c:v>3.8</c:v>
                </c:pt>
                <c:pt idx="18">
                  <c:v>4.5999999999999996</c:v>
                </c:pt>
                <c:pt idx="19">
                  <c:v>2.9</c:v>
                </c:pt>
                <c:pt idx="20">
                  <c:v>3.2</c:v>
                </c:pt>
                <c:pt idx="21">
                  <c:v>3.6</c:v>
                </c:pt>
                <c:pt idx="22">
                  <c:v>3.8</c:v>
                </c:pt>
                <c:pt idx="23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5833056"/>
        <c:axId val="825830880"/>
      </c:lineChart>
      <c:catAx>
        <c:axId val="82583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30880"/>
        <c:crosses val="autoZero"/>
        <c:auto val="0"/>
        <c:lblAlgn val="ctr"/>
        <c:lblOffset val="100"/>
        <c:noMultiLvlLbl val="0"/>
      </c:catAx>
      <c:valAx>
        <c:axId val="825830880"/>
        <c:scaling>
          <c:orientation val="minMax"/>
          <c:max val="16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330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0099743326786135"/>
          <c:w val="0.99188079365079362"/>
          <c:h val="0.29199243306507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605829420970266E-2"/>
          <c:y val="6.8276150999095522E-2"/>
          <c:w val="0.92302582159624413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Arkusz2!$C$4:$Z$4</c:f>
              <c:numCache>
                <c:formatCode>#\ ##0.0</c:formatCode>
                <c:ptCount val="24"/>
                <c:pt idx="0">
                  <c:v>3.8</c:v>
                </c:pt>
                <c:pt idx="1">
                  <c:v>3.9</c:v>
                </c:pt>
                <c:pt idx="2">
                  <c:v>4.2</c:v>
                </c:pt>
                <c:pt idx="3">
                  <c:v>3.7</c:v>
                </c:pt>
                <c:pt idx="4">
                  <c:v>3.9</c:v>
                </c:pt>
                <c:pt idx="5">
                  <c:v>4.5</c:v>
                </c:pt>
                <c:pt idx="6" formatCode="General">
                  <c:v>3.9</c:v>
                </c:pt>
                <c:pt idx="7" formatCode="General">
                  <c:v>3.6</c:v>
                </c:pt>
                <c:pt idx="8">
                  <c:v>4.2</c:v>
                </c:pt>
                <c:pt idx="9">
                  <c:v>4.9000000000000004</c:v>
                </c:pt>
                <c:pt idx="10">
                  <c:v>4.7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4.9000000000000004</c:v>
                </c:pt>
                <c:pt idx="14">
                  <c:v>4.5999999999999996</c:v>
                </c:pt>
                <c:pt idx="15">
                  <c:v>4.4000000000000004</c:v>
                </c:pt>
                <c:pt idx="16">
                  <c:v>3.9</c:v>
                </c:pt>
                <c:pt idx="17">
                  <c:v>4.3</c:v>
                </c:pt>
                <c:pt idx="18">
                  <c:v>4.2</c:v>
                </c:pt>
                <c:pt idx="19">
                  <c:v>3.7</c:v>
                </c:pt>
                <c:pt idx="20">
                  <c:v>3.4</c:v>
                </c:pt>
                <c:pt idx="21">
                  <c:v>4.2</c:v>
                </c:pt>
                <c:pt idx="22">
                  <c:v>4</c:v>
                </c:pt>
                <c:pt idx="23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5831968"/>
        <c:axId val="825831424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Arkusz2!$C$5:$Z$5</c:f>
              <c:numCache>
                <c:formatCode>#\ ##0.0</c:formatCode>
                <c:ptCount val="24"/>
                <c:pt idx="0">
                  <c:v>2.7</c:v>
                </c:pt>
                <c:pt idx="1">
                  <c:v>1.8</c:v>
                </c:pt>
                <c:pt idx="2">
                  <c:v>3.3</c:v>
                </c:pt>
                <c:pt idx="3">
                  <c:v>1.5</c:v>
                </c:pt>
                <c:pt idx="4">
                  <c:v>-2.2000000000000002</c:v>
                </c:pt>
                <c:pt idx="5">
                  <c:v>-0.7</c:v>
                </c:pt>
                <c:pt idx="6" formatCode="General">
                  <c:v>-0.9</c:v>
                </c:pt>
                <c:pt idx="7" formatCode="General">
                  <c:v>-3.1</c:v>
                </c:pt>
                <c:pt idx="8">
                  <c:v>-0.7</c:v>
                </c:pt>
                <c:pt idx="9">
                  <c:v>-0.7</c:v>
                </c:pt>
                <c:pt idx="10">
                  <c:v>1.3</c:v>
                </c:pt>
                <c:pt idx="11">
                  <c:v>2.8</c:v>
                </c:pt>
                <c:pt idx="12">
                  <c:v>12.2</c:v>
                </c:pt>
                <c:pt idx="13">
                  <c:v>9.1999999999999993</c:v>
                </c:pt>
                <c:pt idx="14">
                  <c:v>8.8000000000000007</c:v>
                </c:pt>
                <c:pt idx="15">
                  <c:v>10.1</c:v>
                </c:pt>
                <c:pt idx="16">
                  <c:v>9.8000000000000007</c:v>
                </c:pt>
                <c:pt idx="17">
                  <c:v>9.3000000000000007</c:v>
                </c:pt>
                <c:pt idx="18">
                  <c:v>6.8</c:v>
                </c:pt>
                <c:pt idx="19">
                  <c:v>6.6</c:v>
                </c:pt>
                <c:pt idx="20">
                  <c:v>5.7</c:v>
                </c:pt>
                <c:pt idx="21">
                  <c:v>5.5</c:v>
                </c:pt>
                <c:pt idx="22">
                  <c:v>4.4000000000000004</c:v>
                </c:pt>
                <c:pt idx="23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Arkusz2!$C$6:$Z$6</c:f>
              <c:numCache>
                <c:formatCode>#\ ##0.0</c:formatCode>
                <c:ptCount val="24"/>
                <c:pt idx="0">
                  <c:v>4.8</c:v>
                </c:pt>
                <c:pt idx="1">
                  <c:v>4</c:v>
                </c:pt>
                <c:pt idx="2">
                  <c:v>4.2</c:v>
                </c:pt>
                <c:pt idx="3">
                  <c:v>3.6</c:v>
                </c:pt>
                <c:pt idx="4">
                  <c:v>4.9000000000000004</c:v>
                </c:pt>
                <c:pt idx="5">
                  <c:v>5.2</c:v>
                </c:pt>
                <c:pt idx="6" formatCode="General">
                  <c:v>4.9000000000000004</c:v>
                </c:pt>
                <c:pt idx="7" formatCode="General">
                  <c:v>4.7</c:v>
                </c:pt>
                <c:pt idx="8">
                  <c:v>5.2</c:v>
                </c:pt>
                <c:pt idx="9">
                  <c:v>5.9</c:v>
                </c:pt>
                <c:pt idx="10">
                  <c:v>5.7</c:v>
                </c:pt>
                <c:pt idx="11">
                  <c:v>5.2</c:v>
                </c:pt>
                <c:pt idx="12">
                  <c:v>5.6</c:v>
                </c:pt>
                <c:pt idx="13">
                  <c:v>5.4</c:v>
                </c:pt>
                <c:pt idx="14">
                  <c:v>5.0999999999999996</c:v>
                </c:pt>
                <c:pt idx="15">
                  <c:v>4.8</c:v>
                </c:pt>
                <c:pt idx="16">
                  <c:v>4.8</c:v>
                </c:pt>
                <c:pt idx="17">
                  <c:v>5</c:v>
                </c:pt>
                <c:pt idx="18">
                  <c:v>5</c:v>
                </c:pt>
                <c:pt idx="19">
                  <c:v>4.5</c:v>
                </c:pt>
                <c:pt idx="20">
                  <c:v>4.8</c:v>
                </c:pt>
                <c:pt idx="21">
                  <c:v>4.8</c:v>
                </c:pt>
                <c:pt idx="22">
                  <c:v>4.7</c:v>
                </c:pt>
                <c:pt idx="23">
                  <c:v>4.3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Arkusz2!$C$7:$Z$7</c:f>
              <c:numCache>
                <c:formatCode>#\ ##0.0</c:formatCode>
                <c:ptCount val="24"/>
                <c:pt idx="0">
                  <c:v>9.1999999999999993</c:v>
                </c:pt>
                <c:pt idx="1">
                  <c:v>12.4</c:v>
                </c:pt>
                <c:pt idx="2">
                  <c:v>12.8</c:v>
                </c:pt>
                <c:pt idx="3">
                  <c:v>10.7</c:v>
                </c:pt>
                <c:pt idx="4">
                  <c:v>9.1</c:v>
                </c:pt>
                <c:pt idx="5">
                  <c:v>12</c:v>
                </c:pt>
                <c:pt idx="6" formatCode="General">
                  <c:v>5.0999999999999996</c:v>
                </c:pt>
                <c:pt idx="7" formatCode="General">
                  <c:v>2.4</c:v>
                </c:pt>
                <c:pt idx="8">
                  <c:v>9.1999999999999993</c:v>
                </c:pt>
                <c:pt idx="9">
                  <c:v>10.9</c:v>
                </c:pt>
                <c:pt idx="10">
                  <c:v>7.6</c:v>
                </c:pt>
                <c:pt idx="11">
                  <c:v>7.1</c:v>
                </c:pt>
                <c:pt idx="12">
                  <c:v>9.9</c:v>
                </c:pt>
                <c:pt idx="13">
                  <c:v>13.8</c:v>
                </c:pt>
                <c:pt idx="14">
                  <c:v>12.4</c:v>
                </c:pt>
                <c:pt idx="15">
                  <c:v>9.1999999999999993</c:v>
                </c:pt>
                <c:pt idx="16">
                  <c:v>8.8000000000000007</c:v>
                </c:pt>
                <c:pt idx="17">
                  <c:v>9.4</c:v>
                </c:pt>
                <c:pt idx="18">
                  <c:v>7.8</c:v>
                </c:pt>
                <c:pt idx="19">
                  <c:v>5.3</c:v>
                </c:pt>
                <c:pt idx="20">
                  <c:v>3.4</c:v>
                </c:pt>
                <c:pt idx="21">
                  <c:v>8</c:v>
                </c:pt>
                <c:pt idx="22">
                  <c:v>6.4</c:v>
                </c:pt>
                <c:pt idx="23">
                  <c:v>4.8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Arkusz2!$C$8:$Z$8</c:f>
              <c:numCache>
                <c:formatCode>#\ ##0.0</c:formatCode>
                <c:ptCount val="24"/>
                <c:pt idx="0">
                  <c:v>-0.8</c:v>
                </c:pt>
                <c:pt idx="1">
                  <c:v>0.7</c:v>
                </c:pt>
                <c:pt idx="2">
                  <c:v>2.2999999999999998</c:v>
                </c:pt>
                <c:pt idx="3">
                  <c:v>2.7</c:v>
                </c:pt>
                <c:pt idx="4">
                  <c:v>2</c:v>
                </c:pt>
                <c:pt idx="5">
                  <c:v>2.7</c:v>
                </c:pt>
                <c:pt idx="6" formatCode="General">
                  <c:v>3.2</c:v>
                </c:pt>
                <c:pt idx="7" formatCode="General">
                  <c:v>6.6</c:v>
                </c:pt>
                <c:pt idx="8">
                  <c:v>1.2</c:v>
                </c:pt>
                <c:pt idx="9">
                  <c:v>5.9</c:v>
                </c:pt>
                <c:pt idx="10">
                  <c:v>4.3</c:v>
                </c:pt>
                <c:pt idx="11">
                  <c:v>4.0999999999999996</c:v>
                </c:pt>
                <c:pt idx="12">
                  <c:v>-1.1000000000000001</c:v>
                </c:pt>
                <c:pt idx="13">
                  <c:v>2</c:v>
                </c:pt>
                <c:pt idx="14">
                  <c:v>3</c:v>
                </c:pt>
                <c:pt idx="15">
                  <c:v>2.8</c:v>
                </c:pt>
                <c:pt idx="16">
                  <c:v>0.8</c:v>
                </c:pt>
                <c:pt idx="17">
                  <c:v>1.6</c:v>
                </c:pt>
                <c:pt idx="18">
                  <c:v>2.9</c:v>
                </c:pt>
                <c:pt idx="19">
                  <c:v>3.7</c:v>
                </c:pt>
                <c:pt idx="20">
                  <c:v>2.7</c:v>
                </c:pt>
                <c:pt idx="21">
                  <c:v>2.9</c:v>
                </c:pt>
                <c:pt idx="22">
                  <c:v>3.7</c:v>
                </c:pt>
                <c:pt idx="23">
                  <c:v>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tx1">
                  <a:alpha val="3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Arkusz2!$C$9:$Z$9</c:f>
              <c:numCache>
                <c:formatCode>#\ ##0.0</c:formatCode>
                <c:ptCount val="24"/>
                <c:pt idx="0">
                  <c:v>0.9</c:v>
                </c:pt>
                <c:pt idx="1">
                  <c:v>1.5</c:v>
                </c:pt>
                <c:pt idx="2">
                  <c:v>1.5</c:v>
                </c:pt>
                <c:pt idx="3">
                  <c:v>1.9</c:v>
                </c:pt>
                <c:pt idx="4">
                  <c:v>1</c:v>
                </c:pt>
                <c:pt idx="5">
                  <c:v>1.5</c:v>
                </c:pt>
                <c:pt idx="6" formatCode="General">
                  <c:v>1.8</c:v>
                </c:pt>
                <c:pt idx="7" formatCode="General">
                  <c:v>1.9</c:v>
                </c:pt>
                <c:pt idx="8">
                  <c:v>1.7</c:v>
                </c:pt>
                <c:pt idx="9">
                  <c:v>2.1</c:v>
                </c:pt>
                <c:pt idx="10">
                  <c:v>2.4</c:v>
                </c:pt>
                <c:pt idx="11">
                  <c:v>2.2999999999999998</c:v>
                </c:pt>
                <c:pt idx="12">
                  <c:v>1.5</c:v>
                </c:pt>
                <c:pt idx="13">
                  <c:v>1.9</c:v>
                </c:pt>
                <c:pt idx="14">
                  <c:v>1.8</c:v>
                </c:pt>
                <c:pt idx="15">
                  <c:v>2.2000000000000002</c:v>
                </c:pt>
                <c:pt idx="16">
                  <c:v>1.5</c:v>
                </c:pt>
                <c:pt idx="17">
                  <c:v>1.9</c:v>
                </c:pt>
                <c:pt idx="18">
                  <c:v>2.1</c:v>
                </c:pt>
                <c:pt idx="19">
                  <c:v>2.1</c:v>
                </c:pt>
                <c:pt idx="20">
                  <c:v>1.4</c:v>
                </c:pt>
                <c:pt idx="21">
                  <c:v>2</c:v>
                </c:pt>
                <c:pt idx="22">
                  <c:v>2.1</c:v>
                </c:pt>
                <c:pt idx="23">
                  <c:v>2.2999999999999998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Arkusz2!$C$10:$Z$10</c:f>
              <c:numCache>
                <c:formatCode>#\ ##0.0</c:formatCode>
                <c:ptCount val="24"/>
                <c:pt idx="0">
                  <c:v>2.2999999999999998</c:v>
                </c:pt>
                <c:pt idx="1">
                  <c:v>3.3</c:v>
                </c:pt>
                <c:pt idx="2">
                  <c:v>3.5</c:v>
                </c:pt>
                <c:pt idx="3">
                  <c:v>2.2000000000000002</c:v>
                </c:pt>
                <c:pt idx="4">
                  <c:v>3.7</c:v>
                </c:pt>
                <c:pt idx="5">
                  <c:v>3.8</c:v>
                </c:pt>
                <c:pt idx="6" formatCode="General">
                  <c:v>4.7</c:v>
                </c:pt>
                <c:pt idx="7" formatCode="General">
                  <c:v>3.4</c:v>
                </c:pt>
                <c:pt idx="8">
                  <c:v>4.4000000000000004</c:v>
                </c:pt>
                <c:pt idx="9">
                  <c:v>4.3</c:v>
                </c:pt>
                <c:pt idx="10">
                  <c:v>4.5</c:v>
                </c:pt>
                <c:pt idx="11">
                  <c:v>3.6</c:v>
                </c:pt>
                <c:pt idx="12">
                  <c:v>3.6</c:v>
                </c:pt>
                <c:pt idx="13">
                  <c:v>3.9</c:v>
                </c:pt>
                <c:pt idx="14">
                  <c:v>4.0999999999999996</c:v>
                </c:pt>
                <c:pt idx="15">
                  <c:v>3.9</c:v>
                </c:pt>
                <c:pt idx="16">
                  <c:v>2.5</c:v>
                </c:pt>
                <c:pt idx="17">
                  <c:v>3.8</c:v>
                </c:pt>
                <c:pt idx="18">
                  <c:v>4.5999999999999996</c:v>
                </c:pt>
                <c:pt idx="19">
                  <c:v>2.9</c:v>
                </c:pt>
                <c:pt idx="20">
                  <c:v>3.2</c:v>
                </c:pt>
                <c:pt idx="21">
                  <c:v>3.6</c:v>
                </c:pt>
                <c:pt idx="22">
                  <c:v>3.8</c:v>
                </c:pt>
                <c:pt idx="23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5831968"/>
        <c:axId val="825831424"/>
      </c:lineChart>
      <c:catAx>
        <c:axId val="8258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31424"/>
        <c:crosses val="autoZero"/>
        <c:auto val="0"/>
        <c:lblAlgn val="ctr"/>
        <c:lblOffset val="100"/>
        <c:noMultiLvlLbl val="0"/>
      </c:catAx>
      <c:valAx>
        <c:axId val="825831424"/>
        <c:scaling>
          <c:orientation val="minMax"/>
          <c:max val="16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2583196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0099743326786135"/>
          <c:w val="0.99188079365079362"/>
          <c:h val="0.29199243306507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2071111111111117E-2"/>
          <c:y val="0.15380523587204312"/>
          <c:w val="0.42144151017214398"/>
          <c:h val="0.65413291619275826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alpha val="50000"/>
                </a:schemeClr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tx1">
                  <a:alpha val="30000"/>
                </a:schemeClr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tx1">
                  <a:alpha val="1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(-1,0)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1.6502934272300471E-2"/>
                  <c:y val="4.767978712228263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4.1814456181533656E-2"/>
                  <c:y val="-7.94496124831274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587050078247247E-2"/>
                      <c:h val="0.1134905545228924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624413145508E-3"/>
                  <c:y val="3.242869209791063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4F43D84A-B737-49D3-A87E-685ACF2EE328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(+0,4)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5.7790492957746362E-3"/>
                  <c:y val="1.13212737442516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(+0,3)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9.5178990610328418E-3"/>
                  <c:y val="-4.915844196537822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3.7131748826291076E-2"/>
                  <c:y val="-9.17828691004859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(+0,3)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'IV kw 2019'!$M$25:$M$32</c:f>
              <c:strCache>
                <c:ptCount val="8"/>
                <c:pt idx="0">
                  <c:v>  Zużycie materiałów</c:v>
                </c:pt>
                <c:pt idx="1">
                  <c:v>  Zużycie energii</c:v>
                </c:pt>
                <c:pt idx="2">
                  <c:v>  Usługi obce</c:v>
                </c:pt>
                <c:pt idx="3">
                  <c:v>  Wynagrodzenia</c:v>
                </c:pt>
                <c:pt idx="4">
                  <c:v>  Amortyzacja</c:v>
                </c:pt>
                <c:pt idx="5">
                  <c:v>  Podatki i opłaty</c:v>
                </c:pt>
                <c:pt idx="6">
                  <c:v>  Ubezpieczenia społeczne 
  i inne świadczenia</c:v>
                </c:pt>
                <c:pt idx="7">
                  <c:v>  Pozostałe koszty rodzajowe</c:v>
                </c:pt>
              </c:strCache>
            </c:strRef>
          </c:cat>
          <c:val>
            <c:numRef>
              <c:f>'IV kw 2019'!$N$25:$N$32</c:f>
              <c:numCache>
                <c:formatCode>#\ ##0.0</c:formatCode>
                <c:ptCount val="8"/>
                <c:pt idx="0">
                  <c:v>41.6</c:v>
                </c:pt>
                <c:pt idx="1">
                  <c:v>2.2999999999999998</c:v>
                </c:pt>
                <c:pt idx="2">
                  <c:v>22.9</c:v>
                </c:pt>
                <c:pt idx="3">
                  <c:v>15.7</c:v>
                </c:pt>
                <c:pt idx="4">
                  <c:v>5.6</c:v>
                </c:pt>
                <c:pt idx="5">
                  <c:v>5.3</c:v>
                </c:pt>
                <c:pt idx="6">
                  <c:v>3.6</c:v>
                </c:pt>
                <c:pt idx="7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782922355977354"/>
          <c:y val="8.3130967468116615E-2"/>
          <c:w val="0.35115590766823163"/>
          <c:h val="0.69227522776446215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013231266285191E-2"/>
          <c:y val="8.6290933431978717E-2"/>
          <c:w val="0.9140986824212517"/>
          <c:h val="0.631405255377560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 w="25400">
              <a:noFill/>
            </a:ln>
          </c:spPr>
          <c:invertIfNegative val="0"/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Arkusz2!$C$13:$Z$13</c:f>
              <c:numCache>
                <c:formatCode>General</c:formatCode>
                <c:ptCount val="24"/>
                <c:pt idx="0">
                  <c:v>16.299999999999997</c:v>
                </c:pt>
                <c:pt idx="1">
                  <c:v>14.400000000000006</c:v>
                </c:pt>
                <c:pt idx="2">
                  <c:v>15</c:v>
                </c:pt>
                <c:pt idx="3">
                  <c:v>16.900000000000006</c:v>
                </c:pt>
                <c:pt idx="4">
                  <c:v>15.400000000000006</c:v>
                </c:pt>
                <c:pt idx="5">
                  <c:v>10.900000000000006</c:v>
                </c:pt>
                <c:pt idx="6">
                  <c:v>12.299999999999997</c:v>
                </c:pt>
                <c:pt idx="7" formatCode="#\ ##0.0">
                  <c:v>11.900000000000006</c:v>
                </c:pt>
                <c:pt idx="8" formatCode="#\ ##0.0">
                  <c:v>-8.9000000000000057</c:v>
                </c:pt>
                <c:pt idx="9" formatCode="#\ ##0.0">
                  <c:v>-7.0999999999999943</c:v>
                </c:pt>
                <c:pt idx="10" formatCode="#\ ##0.0">
                  <c:v>-9.0999999999999943</c:v>
                </c:pt>
                <c:pt idx="11" formatCode="#\ ##0.0">
                  <c:v>-13.200000000000003</c:v>
                </c:pt>
                <c:pt idx="12" formatCode="#\ ##0.0">
                  <c:v>-0.40000000000000568</c:v>
                </c:pt>
                <c:pt idx="13" formatCode="#\ ##0.0">
                  <c:v>-1.0999999999999943</c:v>
                </c:pt>
                <c:pt idx="14" formatCode="#\ ##0.0">
                  <c:v>-1</c:v>
                </c:pt>
                <c:pt idx="15" formatCode="#\ ##0.0">
                  <c:v>3.4000000000000057</c:v>
                </c:pt>
                <c:pt idx="16" formatCode="#\ ##0.0">
                  <c:v>6.5999999999999943</c:v>
                </c:pt>
                <c:pt idx="17" formatCode="#\ ##0.0">
                  <c:v>10.299999999999997</c:v>
                </c:pt>
                <c:pt idx="18" formatCode="#\ ##0.0">
                  <c:v>12.400000000000006</c:v>
                </c:pt>
                <c:pt idx="19" formatCode="#\ ##0.0">
                  <c:v>12.200000000000003</c:v>
                </c:pt>
                <c:pt idx="20" formatCode="#\ ##0.0">
                  <c:v>21.700000000000003</c:v>
                </c:pt>
                <c:pt idx="21" formatCode="#\ ##0.0">
                  <c:v>19</c:v>
                </c:pt>
                <c:pt idx="22" formatCode="#\ ##0.0">
                  <c:v>16</c:v>
                </c:pt>
                <c:pt idx="23" formatCode="#\ ##0.0">
                  <c:v>11.400000000000006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9531376"/>
        <c:axId val="869530288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Arkusz2!$C$14:$Z$14</c:f>
              <c:numCache>
                <c:formatCode>General</c:formatCode>
                <c:ptCount val="24"/>
                <c:pt idx="0">
                  <c:v>15.099999999999994</c:v>
                </c:pt>
                <c:pt idx="1">
                  <c:v>15.599999999999994</c:v>
                </c:pt>
                <c:pt idx="2">
                  <c:v>14.799999999999997</c:v>
                </c:pt>
                <c:pt idx="3">
                  <c:v>15.299999999999997</c:v>
                </c:pt>
                <c:pt idx="4">
                  <c:v>15.900000000000006</c:v>
                </c:pt>
                <c:pt idx="5">
                  <c:v>14.099999999999994</c:v>
                </c:pt>
                <c:pt idx="6">
                  <c:v>13.700000000000003</c:v>
                </c:pt>
                <c:pt idx="7" formatCode="#\ ##0.0">
                  <c:v>10</c:v>
                </c:pt>
                <c:pt idx="8" formatCode="#\ ##0.0">
                  <c:v>-11.299999999999997</c:v>
                </c:pt>
                <c:pt idx="9" formatCode="#\ ##0.0">
                  <c:v>-14.700000000000003</c:v>
                </c:pt>
                <c:pt idx="10" formatCode="#\ ##0.0">
                  <c:v>-17.799999999999997</c:v>
                </c:pt>
                <c:pt idx="11" formatCode="#\ ##0.0">
                  <c:v>-20.099999999999994</c:v>
                </c:pt>
                <c:pt idx="12" formatCode="#\ ##0.0">
                  <c:v>-11.099999999999994</c:v>
                </c:pt>
                <c:pt idx="13" formatCode="#\ ##0.0">
                  <c:v>-9.0999999999999943</c:v>
                </c:pt>
                <c:pt idx="14" formatCode="#\ ##0.0">
                  <c:v>-6.2999999999999972</c:v>
                </c:pt>
                <c:pt idx="15" formatCode="#\ ##0.0">
                  <c:v>2</c:v>
                </c:pt>
                <c:pt idx="16" formatCode="#\ ##0.0">
                  <c:v>10.299999999999997</c:v>
                </c:pt>
                <c:pt idx="17" formatCode="#\ ##0.0">
                  <c:v>15.200000000000003</c:v>
                </c:pt>
                <c:pt idx="18" formatCode="#\ ##0.0">
                  <c:v>18.599999999999994</c:v>
                </c:pt>
                <c:pt idx="19" formatCode="#\ ##0.0">
                  <c:v>15.299999999999997</c:v>
                </c:pt>
                <c:pt idx="20" formatCode="#\ ##0.0">
                  <c:v>32.599999999999994</c:v>
                </c:pt>
                <c:pt idx="21" formatCode="#\ ##0.0">
                  <c:v>23.599999999999994</c:v>
                </c:pt>
                <c:pt idx="22" formatCode="#\ ##0.0">
                  <c:v>17.900000000000006</c:v>
                </c:pt>
                <c:pt idx="23" formatCode="#\ ##0.0">
                  <c:v>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Arkusz2!$C$15:$Z$15</c:f>
              <c:numCache>
                <c:formatCode>General</c:formatCode>
                <c:ptCount val="24"/>
                <c:pt idx="0">
                  <c:v>9.9000000000000057</c:v>
                </c:pt>
                <c:pt idx="1">
                  <c:v>9.9000000000000057</c:v>
                </c:pt>
                <c:pt idx="2">
                  <c:v>12.799999999999997</c:v>
                </c:pt>
                <c:pt idx="3">
                  <c:v>15.200000000000003</c:v>
                </c:pt>
                <c:pt idx="4">
                  <c:v>19.799999999999997</c:v>
                </c:pt>
                <c:pt idx="5">
                  <c:v>10.900000000000006</c:v>
                </c:pt>
                <c:pt idx="6">
                  <c:v>13.200000000000003</c:v>
                </c:pt>
                <c:pt idx="7" formatCode="#\ ##0.0">
                  <c:v>11</c:v>
                </c:pt>
                <c:pt idx="8" formatCode="#\ ##0.0">
                  <c:v>-9.5</c:v>
                </c:pt>
                <c:pt idx="9" formatCode="#\ ##0.0">
                  <c:v>-3.2999999999999972</c:v>
                </c:pt>
                <c:pt idx="10" formatCode="#\ ##0.0">
                  <c:v>-4.2999999999999972</c:v>
                </c:pt>
                <c:pt idx="11" formatCode="#\ ##0.0">
                  <c:v>-5.4000000000000057</c:v>
                </c:pt>
                <c:pt idx="12" formatCode="#\ ##0.0">
                  <c:v>5.0999999999999943</c:v>
                </c:pt>
                <c:pt idx="13" formatCode="#\ ##0.0">
                  <c:v>1.2999999999999972</c:v>
                </c:pt>
                <c:pt idx="14" formatCode="#\ ##0.0">
                  <c:v>-1.4000000000000057</c:v>
                </c:pt>
                <c:pt idx="15" formatCode="#\ ##0.0">
                  <c:v>1.5999999999999943</c:v>
                </c:pt>
                <c:pt idx="16" formatCode="#\ ##0.0">
                  <c:v>2.9000000000000057</c:v>
                </c:pt>
                <c:pt idx="17" formatCode="#\ ##0.0">
                  <c:v>10.599999999999994</c:v>
                </c:pt>
                <c:pt idx="18" formatCode="#\ ##0.0">
                  <c:v>12.599999999999994</c:v>
                </c:pt>
                <c:pt idx="19" formatCode="#\ ##0.0">
                  <c:v>12.599999999999994</c:v>
                </c:pt>
                <c:pt idx="20" formatCode="#\ ##0.0">
                  <c:v>13.299999999999997</c:v>
                </c:pt>
                <c:pt idx="21" formatCode="#\ ##0.0">
                  <c:v>12.299999999999997</c:v>
                </c:pt>
                <c:pt idx="22" formatCode="#\ ##0.0">
                  <c:v>12.400000000000006</c:v>
                </c:pt>
                <c:pt idx="23" formatCode="#\ ##0.0">
                  <c:v>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chemeClr val="tx1">
                  <a:alpha val="3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2014</c:v>
                  </c:pt>
                  <c:pt idx="4">
                    <c:v>2015</c:v>
                  </c:pt>
                  <c:pt idx="8">
                    <c:v>2016</c:v>
                  </c:pt>
                  <c:pt idx="12">
                    <c:v>2017</c:v>
                  </c:pt>
                  <c:pt idx="16">
                    <c:v>2018</c:v>
                  </c:pt>
                  <c:pt idx="20">
                    <c:v>2019</c:v>
                  </c:pt>
                </c:lvl>
              </c:multiLvlStrCache>
            </c:multiLvlStrRef>
          </c:cat>
          <c:val>
            <c:numRef>
              <c:f>Arkusz2!$C$16:$Z$16</c:f>
              <c:numCache>
                <c:formatCode>General</c:formatCode>
                <c:ptCount val="24"/>
                <c:pt idx="0">
                  <c:v>46.599999999999994</c:v>
                </c:pt>
                <c:pt idx="1">
                  <c:v>22.5</c:v>
                </c:pt>
                <c:pt idx="2">
                  <c:v>19.099999999999994</c:v>
                </c:pt>
                <c:pt idx="3">
                  <c:v>24</c:v>
                </c:pt>
                <c:pt idx="4">
                  <c:v>-5.4000000000000057</c:v>
                </c:pt>
                <c:pt idx="5">
                  <c:v>9.9999999999994316E-2</c:v>
                </c:pt>
                <c:pt idx="6">
                  <c:v>3</c:v>
                </c:pt>
                <c:pt idx="7" formatCode="#\ ##0.0">
                  <c:v>21</c:v>
                </c:pt>
                <c:pt idx="8" formatCode="#\ ##0.0">
                  <c:v>0.90000000000000568</c:v>
                </c:pt>
                <c:pt idx="9" formatCode="#\ ##0.0">
                  <c:v>3.7000000000000028</c:v>
                </c:pt>
                <c:pt idx="10" formatCode="#\ ##0.0">
                  <c:v>2.9000000000000057</c:v>
                </c:pt>
                <c:pt idx="11" formatCode="#\ ##0.0">
                  <c:v>-18.5</c:v>
                </c:pt>
                <c:pt idx="12" formatCode="#\ ##0.0">
                  <c:v>7</c:v>
                </c:pt>
                <c:pt idx="13" formatCode="#\ ##0.0">
                  <c:v>10.700000000000003</c:v>
                </c:pt>
                <c:pt idx="14" formatCode="#\ ##0.0">
                  <c:v>15.799999999999997</c:v>
                </c:pt>
                <c:pt idx="15" formatCode="#\ ##0.0">
                  <c:v>15.599999999999994</c:v>
                </c:pt>
                <c:pt idx="16" formatCode="#\ ##0.0">
                  <c:v>13.299999999999997</c:v>
                </c:pt>
                <c:pt idx="17" formatCode="#\ ##0.0">
                  <c:v>0.90000000000000568</c:v>
                </c:pt>
                <c:pt idx="18" formatCode="#\ ##0.0">
                  <c:v>-9.9999999999994316E-2</c:v>
                </c:pt>
                <c:pt idx="19" formatCode="#\ ##0.0">
                  <c:v>3.9000000000000057</c:v>
                </c:pt>
                <c:pt idx="20" formatCode="#\ ##0.0">
                  <c:v>27.599999999999994</c:v>
                </c:pt>
                <c:pt idx="21" formatCode="#\ ##0.0">
                  <c:v>32.300000000000011</c:v>
                </c:pt>
                <c:pt idx="22" formatCode="#\ ##0.0">
                  <c:v>24.400000000000006</c:v>
                </c:pt>
                <c:pt idx="23" formatCode="#\ ##0.0">
                  <c:v>24.099999999999994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9531376"/>
        <c:axId val="869530288"/>
      </c:lineChart>
      <c:catAx>
        <c:axId val="86953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5400000" vert="horz"/>
          <a:lstStyle/>
          <a:p>
            <a:pPr>
              <a:defRPr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869530288"/>
        <c:crosses val="autoZero"/>
        <c:auto val="1"/>
        <c:lblAlgn val="ctr"/>
        <c:lblOffset val="100"/>
        <c:tickLblSkip val="1"/>
        <c:noMultiLvlLbl val="0"/>
      </c:catAx>
      <c:valAx>
        <c:axId val="869530288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1.4825146856642921E-2"/>
              <c:y val="1.0809898762654669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8695313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8233920759905011E-2"/>
          <c:y val="0.88885764279465063"/>
          <c:w val="0.97160734908136481"/>
          <c:h val="0.10323709536307957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0.00148</cdr:x>
      <cdr:y>0</cdr:y>
    </cdr:from>
    <cdr:to>
      <cdr:x>0.08003</cdr:x>
      <cdr:y>0.08495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620" y="0"/>
          <a:ext cx="404614" cy="2615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0.07217</cdr:x>
      <cdr:y>0.06272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0"/>
          <a:ext cx="368300" cy="226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0.29513</cdr:x>
      <cdr:y>0.01894</cdr:y>
    </cdr:from>
    <cdr:to>
      <cdr:x>0.89626</cdr:x>
      <cdr:y>0.12006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59289" y="79397"/>
          <a:ext cx="3787131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0.07217</cdr:x>
      <cdr:y>0.06272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0"/>
          <a:ext cx="368300" cy="226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0.29513</cdr:x>
      <cdr:y>0.01894</cdr:y>
    </cdr:from>
    <cdr:to>
      <cdr:x>0.89626</cdr:x>
      <cdr:y>0.12006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59289" y="79397"/>
          <a:ext cx="3787131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0.50275</cdr:x>
      <cdr:y>0.83984</cdr:y>
    </cdr:from>
    <cdr:to>
      <cdr:x>0.97434</cdr:x>
      <cdr:y>0.92308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575358" y="2829681"/>
          <a:ext cx="2415741" cy="280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Zmiany do okresu</a:t>
          </a:r>
          <a:r>
            <a:rPr lang="pl-PL" sz="9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I-XII</a:t>
          </a:r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 2018 r.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331768-A51D-4ACD-B639-56EE89EB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2019 roku</dc:title>
  <dc:subject>Wyniki finansowe przedsiębiorstw niefinansowych w 2019 roku</dc:subject>
  <dc:creator>Główny Urząd Statystyczny</dc:creator>
  <cp:keywords>przedsiębiorstwa niefinansowe; nakłady inwestycyjne; wyniki finansowe przedsiębiorstw niefinansowych; przychody przedsiębiorstw niefinansowych; koszty przedsiębiorstw niefinansowych; koszty rodzajowe przedsiębiorstw niefinansowych; wskaźniki rentowności przedsiębiorstw niefinansowych; wskaźniki płynności finansowej przedsiębiorstw niefinansowych; przychody ze sprzedaży na eksport przedsiębiorstw niefinansowych</cp:keywords>
  <cp:lastModifiedBy>Pasiak Karol</cp:lastModifiedBy>
  <cp:revision>85</cp:revision>
  <cp:lastPrinted>2019-08-20T13:45:00Z</cp:lastPrinted>
  <dcterms:created xsi:type="dcterms:W3CDTF">2019-08-22T07:10:00Z</dcterms:created>
  <dcterms:modified xsi:type="dcterms:W3CDTF">2020-03-20T09:56:00Z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