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i według krajów w </w:t>
      </w:r>
      <w:r w:rsidR="005D5E2C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201</w:t>
      </w:r>
      <w:r w:rsidR="00FF0040">
        <w:rPr>
          <w:rFonts w:ascii="Fira Sans Extra Condensed SemiB" w:hAnsi="Fira Sans Extra Condensed SemiB" w:cs="Arial"/>
          <w:color w:val="auto"/>
          <w:sz w:val="40"/>
          <w:szCs w:val="40"/>
        </w:rPr>
        <w:t>9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7A" w:rsidRPr="009A5C86" w:rsidRDefault="00FD327A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FD327A" w:rsidRPr="009A5C86" w:rsidRDefault="00FD327A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DF6110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7A" w:rsidRPr="00B66B19" w:rsidRDefault="008A21A1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8.5pt;height:28.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FD327A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FD327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7,6%</w:t>
                            </w:r>
                          </w:p>
                          <w:p w:rsidR="00FD327A" w:rsidRPr="00B747B6" w:rsidRDefault="00FD327A" w:rsidP="001C3C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Pr="00B747B6">
                              <w:t xml:space="preserve"> </w:t>
                            </w:r>
                            <w:r>
                              <w:t>eksportu</w:t>
                            </w:r>
                            <w:r w:rsidRPr="00B747B6">
                              <w:t xml:space="preserve"> </w:t>
                            </w:r>
                            <w:r>
                              <w:t>do analogicznego okresu ubiegłego roku (</w:t>
                            </w:r>
                            <w:r w:rsidRPr="00B747B6">
                              <w:t xml:space="preserve">w </w:t>
                            </w:r>
                            <w:r>
                              <w:t>PLN)</w:t>
                            </w:r>
                          </w:p>
                          <w:p w:rsidR="00FD327A" w:rsidRPr="00FF0040" w:rsidRDefault="00FD327A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FD327A" w:rsidRPr="00B66B19" w:rsidRDefault="00FD327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8.5pt;height:28.5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7,6%</w:t>
                      </w:r>
                    </w:p>
                    <w:p w:rsidR="00FD327A" w:rsidRPr="00B747B6" w:rsidRDefault="00FD327A" w:rsidP="001C3C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Pr="00B747B6">
                        <w:t xml:space="preserve"> </w:t>
                      </w:r>
                      <w:r>
                        <w:t>eksportu</w:t>
                      </w:r>
                      <w:r w:rsidRPr="00B747B6">
                        <w:t xml:space="preserve"> </w:t>
                      </w:r>
                      <w:r>
                        <w:t>do analogicznego okresu ubiegłego roku (</w:t>
                      </w:r>
                      <w:r w:rsidRPr="00B747B6">
                        <w:t xml:space="preserve">w </w:t>
                      </w:r>
                      <w:r>
                        <w:t>PLN)</w:t>
                      </w:r>
                    </w:p>
                    <w:p w:rsidR="00FD327A" w:rsidRPr="00FF0040" w:rsidRDefault="00FD327A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DF6110">
        <w:t>Obroty towarowe handlu zagranicznego</w:t>
      </w:r>
      <w:r w:rsidR="005F3D74" w:rsidRPr="00DF6110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DF6110">
        <w:rPr>
          <w:rFonts w:cs="Arial"/>
        </w:rPr>
        <w:t xml:space="preserve"> </w:t>
      </w:r>
      <w:r w:rsidR="00746E1A">
        <w:rPr>
          <w:rFonts w:cs="Arial"/>
        </w:rPr>
        <w:t xml:space="preserve">w </w:t>
      </w:r>
      <w:r w:rsidR="007319A8">
        <w:rPr>
          <w:rFonts w:cs="Arial"/>
        </w:rPr>
        <w:t>2019</w:t>
      </w:r>
      <w:r w:rsidR="00694174">
        <w:rPr>
          <w:rFonts w:cs="Arial"/>
        </w:rPr>
        <w:t xml:space="preserve"> r</w:t>
      </w:r>
      <w:r w:rsidR="008D4576">
        <w:rPr>
          <w:rFonts w:cs="Arial"/>
        </w:rPr>
        <w:t>.</w:t>
      </w:r>
      <w:r w:rsidR="00694174">
        <w:rPr>
          <w:rFonts w:cs="Arial"/>
        </w:rPr>
        <w:t xml:space="preserve"> według danych </w:t>
      </w:r>
      <w:r w:rsidR="00746E1A">
        <w:rPr>
          <w:rFonts w:cs="Arial"/>
        </w:rPr>
        <w:t>ostatecznych</w:t>
      </w:r>
      <w:r w:rsidR="00694174" w:rsidRPr="00DF6110">
        <w:rPr>
          <w:rFonts w:cs="Arial"/>
        </w:rPr>
        <w:t xml:space="preserve"> </w:t>
      </w:r>
      <w:r w:rsidR="00992926" w:rsidRPr="00DF6110">
        <w:rPr>
          <w:rFonts w:cs="Arial"/>
        </w:rPr>
        <w:t xml:space="preserve">wyniosły </w:t>
      </w:r>
      <w:r w:rsidR="00690129" w:rsidRPr="00DF6110">
        <w:rPr>
          <w:rFonts w:cs="Arial"/>
        </w:rPr>
        <w:t xml:space="preserve">w cenach bieżących </w:t>
      </w:r>
      <w:r w:rsidR="00367091">
        <w:rPr>
          <w:rFonts w:cs="Arial"/>
          <w:bCs/>
          <w:color w:val="000000"/>
        </w:rPr>
        <w:t>1 023,6</w:t>
      </w:r>
      <w:r w:rsidR="00FA48F8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DF6110">
        <w:rPr>
          <w:rFonts w:cs="Arial"/>
        </w:rPr>
        <w:t>ml</w:t>
      </w:r>
      <w:r w:rsidR="00F70DA2" w:rsidRPr="00DF6110">
        <w:rPr>
          <w:rFonts w:cs="Arial"/>
        </w:rPr>
        <w:t>d</w:t>
      </w:r>
      <w:r w:rsidR="00690129" w:rsidRPr="00DF6110">
        <w:rPr>
          <w:rFonts w:cs="Arial"/>
        </w:rPr>
        <w:t> </w:t>
      </w:r>
      <w:r w:rsidR="00EB4BA2" w:rsidRPr="00DF6110">
        <w:rPr>
          <w:rFonts w:cs="Arial"/>
        </w:rPr>
        <w:t>PLN</w:t>
      </w:r>
      <w:r w:rsidR="00992926" w:rsidRPr="00DF6110">
        <w:rPr>
          <w:rFonts w:cs="Arial"/>
        </w:rPr>
        <w:t xml:space="preserve"> w  eksporcie oraz </w:t>
      </w:r>
      <w:r w:rsidR="00690129" w:rsidRPr="00DF6110">
        <w:rPr>
          <w:rFonts w:cs="Arial"/>
        </w:rPr>
        <w:t> </w:t>
      </w:r>
      <w:r w:rsidR="00694174">
        <w:rPr>
          <w:rFonts w:cs="Arial"/>
          <w:bCs/>
          <w:color w:val="000000"/>
        </w:rPr>
        <w:t>1 0</w:t>
      </w:r>
      <w:r w:rsidR="00367091">
        <w:rPr>
          <w:rFonts w:cs="Arial"/>
          <w:bCs/>
          <w:color w:val="000000"/>
        </w:rPr>
        <w:t>18</w:t>
      </w:r>
      <w:r w:rsidR="00694174">
        <w:rPr>
          <w:rFonts w:cs="Arial"/>
          <w:bCs/>
          <w:color w:val="000000"/>
        </w:rPr>
        <w:t>,</w:t>
      </w:r>
      <w:r w:rsidR="00367091">
        <w:rPr>
          <w:rFonts w:cs="Arial"/>
          <w:bCs/>
          <w:color w:val="000000"/>
        </w:rPr>
        <w:t>5</w:t>
      </w:r>
      <w:r w:rsidR="00690129" w:rsidRPr="00DF6110">
        <w:rPr>
          <w:rFonts w:cs="Arial"/>
          <w:bCs/>
          <w:color w:val="000000"/>
        </w:rPr>
        <w:t xml:space="preserve"> </w:t>
      </w:r>
      <w:r w:rsidR="00F70DA2" w:rsidRPr="00DF6110">
        <w:rPr>
          <w:rFonts w:cs="Arial"/>
        </w:rPr>
        <w:t>mld</w:t>
      </w:r>
      <w:r w:rsidR="00690129" w:rsidRPr="00DF6110">
        <w:rPr>
          <w:rFonts w:cs="Arial"/>
        </w:rPr>
        <w:t xml:space="preserve"> </w:t>
      </w:r>
      <w:r w:rsidR="00EB4BA2" w:rsidRPr="00DF6110">
        <w:rPr>
          <w:rFonts w:cs="Arial"/>
        </w:rPr>
        <w:t>PLN</w:t>
      </w:r>
      <w:r w:rsidR="00992926" w:rsidRPr="00DF6110">
        <w:rPr>
          <w:rFonts w:cs="Arial"/>
        </w:rPr>
        <w:t xml:space="preserve"> w imporcie</w:t>
      </w:r>
      <w:r w:rsidR="00690129" w:rsidRPr="00DF6110">
        <w:rPr>
          <w:rFonts w:cs="Arial"/>
        </w:rPr>
        <w:t xml:space="preserve">. </w:t>
      </w:r>
      <w:r w:rsidR="00586CD0">
        <w:rPr>
          <w:rFonts w:cs="Arial"/>
        </w:rPr>
        <w:t>Dodatnie</w:t>
      </w:r>
      <w:r w:rsidR="00690129" w:rsidRPr="00DF6110">
        <w:rPr>
          <w:rFonts w:cs="Arial"/>
          <w:spacing w:val="-3"/>
        </w:rPr>
        <w:t xml:space="preserve"> saldo ukształtowało się na poziomie</w:t>
      </w:r>
      <w:r w:rsidR="00690129" w:rsidRPr="00690129">
        <w:rPr>
          <w:rFonts w:cs="Arial"/>
          <w:spacing w:val="-3"/>
        </w:rPr>
        <w:t xml:space="preserve"> </w:t>
      </w:r>
      <w:r w:rsidR="00367091">
        <w:rPr>
          <w:rFonts w:cs="Arial"/>
          <w:spacing w:val="-3"/>
        </w:rPr>
        <w:t>5,1</w:t>
      </w:r>
      <w:r w:rsidR="00690129" w:rsidRPr="00690129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</w:t>
      </w:r>
      <w:r w:rsidR="00EB4BA2">
        <w:rPr>
          <w:rFonts w:cs="Arial"/>
          <w:spacing w:val="-3"/>
        </w:rPr>
        <w:t>PLN</w:t>
      </w:r>
      <w:r w:rsidR="00690129" w:rsidRPr="00690129">
        <w:rPr>
          <w:rFonts w:cs="Arial"/>
          <w:spacing w:val="-3"/>
        </w:rPr>
        <w:t xml:space="preserve">, </w:t>
      </w:r>
      <w:r w:rsidR="00992926">
        <w:rPr>
          <w:rFonts w:cs="Arial"/>
          <w:spacing w:val="-3"/>
        </w:rPr>
        <w:t>podczas gdy</w:t>
      </w:r>
      <w:r w:rsidR="00690129" w:rsidRPr="00690129">
        <w:rPr>
          <w:rFonts w:cs="Arial"/>
          <w:spacing w:val="-3"/>
        </w:rPr>
        <w:t xml:space="preserve"> </w:t>
      </w:r>
      <w:r w:rsidR="009D0070" w:rsidRPr="00EB4BA2">
        <w:t>w</w:t>
      </w:r>
      <w:r w:rsidR="007319A8">
        <w:rPr>
          <w:rFonts w:cs="Arial"/>
          <w:spacing w:val="-3"/>
        </w:rPr>
        <w:t xml:space="preserve"> 201</w:t>
      </w:r>
      <w:r w:rsidR="00694174">
        <w:rPr>
          <w:rFonts w:cs="Arial"/>
          <w:spacing w:val="-3"/>
        </w:rPr>
        <w:t>8</w:t>
      </w:r>
      <w:r w:rsidR="007319A8">
        <w:rPr>
          <w:rFonts w:cs="Arial"/>
          <w:spacing w:val="-3"/>
        </w:rPr>
        <w:t xml:space="preserve"> r.</w:t>
      </w:r>
      <w:r w:rsidR="003E0EA7">
        <w:rPr>
          <w:rFonts w:cs="Arial"/>
          <w:spacing w:val="-3"/>
        </w:rPr>
        <w:t xml:space="preserve">  </w:t>
      </w:r>
      <w:r w:rsidR="00690129" w:rsidRPr="00690129">
        <w:rPr>
          <w:rFonts w:cs="Arial"/>
          <w:spacing w:val="-3"/>
        </w:rPr>
        <w:t xml:space="preserve">wyniosło </w:t>
      </w:r>
      <w:r w:rsidR="00D41FA3" w:rsidRPr="0027314E">
        <w:rPr>
          <w:rFonts w:cs="Arial"/>
          <w:spacing w:val="-3"/>
        </w:rPr>
        <w:t xml:space="preserve">minus </w:t>
      </w:r>
      <w:r w:rsidR="009B442A">
        <w:rPr>
          <w:rFonts w:cs="Arial"/>
          <w:spacing w:val="-3"/>
        </w:rPr>
        <w:t>1</w:t>
      </w:r>
      <w:r w:rsidR="00694174">
        <w:rPr>
          <w:rFonts w:cs="Arial"/>
          <w:spacing w:val="-3"/>
        </w:rPr>
        <w:t>9</w:t>
      </w:r>
      <w:r w:rsidR="009B442A">
        <w:rPr>
          <w:rFonts w:cs="Arial"/>
          <w:spacing w:val="-3"/>
        </w:rPr>
        <w:t>,</w:t>
      </w:r>
      <w:r w:rsidR="007319A8">
        <w:rPr>
          <w:rFonts w:cs="Arial"/>
          <w:spacing w:val="-3"/>
        </w:rPr>
        <w:t>5</w:t>
      </w:r>
      <w:r w:rsidR="00EB4BA2">
        <w:t xml:space="preserve"> </w:t>
      </w:r>
      <w:r w:rsidR="00690129" w:rsidRPr="00EB4BA2">
        <w:t>ml</w:t>
      </w:r>
      <w:r w:rsidR="00F70DA2" w:rsidRPr="00EB4BA2">
        <w:t>d</w:t>
      </w:r>
      <w:r w:rsidR="00EB4BA2">
        <w:t xml:space="preserve"> </w:t>
      </w:r>
      <w:r w:rsidR="00EB4BA2" w:rsidRPr="00EB4BA2">
        <w:t>PLN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4B64A7" w:rsidRPr="009A5C86">
        <w:rPr>
          <w:rFonts w:cs="Arial"/>
        </w:rPr>
        <w:t xml:space="preserve">W porównaniu </w:t>
      </w:r>
      <w:r w:rsidR="00694174">
        <w:t>z</w:t>
      </w:r>
      <w:r w:rsidR="007319A8">
        <w:t xml:space="preserve"> </w:t>
      </w:r>
      <w:r w:rsidR="003E0EA7">
        <w:rPr>
          <w:rFonts w:cs="Arial"/>
          <w:spacing w:val="-3"/>
        </w:rPr>
        <w:t>201</w:t>
      </w:r>
      <w:r w:rsidR="00DD08C1">
        <w:rPr>
          <w:rFonts w:cs="Arial"/>
          <w:spacing w:val="-3"/>
        </w:rPr>
        <w:t>8</w:t>
      </w:r>
      <w:r w:rsidR="004B64A7" w:rsidRPr="009A5C86">
        <w:rPr>
          <w:rFonts w:cs="Arial"/>
          <w:spacing w:val="-3"/>
        </w:rPr>
        <w:t xml:space="preserve"> r</w:t>
      </w:r>
      <w:r w:rsidR="008D4576">
        <w:rPr>
          <w:rFonts w:cs="Arial"/>
          <w:spacing w:val="-3"/>
        </w:rPr>
        <w:t xml:space="preserve">. </w:t>
      </w:r>
      <w:r w:rsidR="004B64A7" w:rsidRPr="009A5C86">
        <w:rPr>
          <w:rFonts w:cs="Arial"/>
        </w:rPr>
        <w:t xml:space="preserve">eksport </w:t>
      </w:r>
      <w:r w:rsidR="00093633">
        <w:rPr>
          <w:rFonts w:cs="Arial"/>
        </w:rPr>
        <w:t xml:space="preserve">wzrósł o </w:t>
      </w:r>
      <w:r w:rsidR="00367091">
        <w:rPr>
          <w:rFonts w:cs="Arial"/>
        </w:rPr>
        <w:t>7</w:t>
      </w:r>
      <w:r w:rsidR="00694174">
        <w:rPr>
          <w:rFonts w:cs="Arial"/>
        </w:rPr>
        <w:t>,6</w:t>
      </w:r>
      <w:r w:rsidR="004B64A7" w:rsidRPr="009A5C86">
        <w:rPr>
          <w:rFonts w:cs="Arial"/>
        </w:rPr>
        <w:t>%, a import o </w:t>
      </w:r>
      <w:r w:rsidR="00367091">
        <w:rPr>
          <w:rFonts w:cs="Arial"/>
        </w:rPr>
        <w:t>4</w:t>
      </w:r>
      <w:r w:rsidR="0044566C">
        <w:rPr>
          <w:rFonts w:cs="Arial"/>
        </w:rPr>
        <w:t>,</w:t>
      </w:r>
      <w:r w:rsidR="00367091">
        <w:rPr>
          <w:rFonts w:cs="Arial"/>
        </w:rPr>
        <w:t>9</w:t>
      </w:r>
      <w:r w:rsidR="003E0EA7">
        <w:rPr>
          <w:rFonts w:cs="Arial"/>
        </w:rPr>
        <w:t>%</w:t>
      </w:r>
      <w:r w:rsidR="004B64A7">
        <w:rPr>
          <w:rFonts w:cs="Arial"/>
        </w:rPr>
        <w:t>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7A" w:rsidRPr="00D616D2" w:rsidRDefault="00FD327A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FD327A" w:rsidRPr="00D616D2" w:rsidRDefault="00FD327A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</w:t>
      </w:r>
      <w:r w:rsidRPr="00326316">
        <w:rPr>
          <w:rFonts w:cs="Arial"/>
          <w:spacing w:val="-3"/>
          <w:szCs w:val="19"/>
        </w:rPr>
        <w:t xml:space="preserve">wyniósł </w:t>
      </w:r>
      <w:r w:rsidR="00950E8A">
        <w:rPr>
          <w:rFonts w:cs="Arial"/>
          <w:bCs/>
          <w:color w:val="000000"/>
          <w:szCs w:val="19"/>
        </w:rPr>
        <w:t>267,1</w:t>
      </w:r>
      <w:r w:rsidR="00F70DA2" w:rsidRPr="0027314E">
        <w:rPr>
          <w:rFonts w:cs="Arial"/>
          <w:bCs/>
          <w:color w:val="000000"/>
          <w:szCs w:val="19"/>
        </w:rPr>
        <w:t xml:space="preserve"> </w:t>
      </w:r>
      <w:r w:rsidRPr="0027314E">
        <w:rPr>
          <w:rFonts w:cs="Arial"/>
          <w:spacing w:val="-3"/>
          <w:szCs w:val="19"/>
        </w:rPr>
        <w:t>ml</w:t>
      </w:r>
      <w:r w:rsidR="00F70DA2" w:rsidRPr="0027314E">
        <w:rPr>
          <w:rFonts w:cs="Arial"/>
          <w:spacing w:val="-3"/>
          <w:szCs w:val="19"/>
        </w:rPr>
        <w:t>d</w:t>
      </w:r>
      <w:r w:rsidRPr="0027314E">
        <w:rPr>
          <w:rFonts w:cs="Arial"/>
          <w:spacing w:val="-3"/>
          <w:szCs w:val="19"/>
        </w:rPr>
        <w:t xml:space="preserve"> USD, a import </w:t>
      </w:r>
      <w:r w:rsidR="009B442A">
        <w:rPr>
          <w:rFonts w:cs="Arial"/>
          <w:bCs/>
          <w:color w:val="000000"/>
          <w:szCs w:val="19"/>
        </w:rPr>
        <w:t>2</w:t>
      </w:r>
      <w:r w:rsidR="007F5D5B">
        <w:rPr>
          <w:rFonts w:cs="Arial"/>
          <w:bCs/>
          <w:color w:val="000000"/>
          <w:szCs w:val="19"/>
        </w:rPr>
        <w:t>6</w:t>
      </w:r>
      <w:r w:rsidR="00950E8A">
        <w:rPr>
          <w:rFonts w:cs="Arial"/>
          <w:bCs/>
          <w:color w:val="000000"/>
          <w:szCs w:val="19"/>
        </w:rPr>
        <w:t>5</w:t>
      </w:r>
      <w:r w:rsidR="007F5D5B">
        <w:rPr>
          <w:rFonts w:cs="Arial"/>
          <w:bCs/>
          <w:color w:val="000000"/>
          <w:szCs w:val="19"/>
        </w:rPr>
        <w:t>,</w:t>
      </w:r>
      <w:r w:rsidR="00950E8A">
        <w:rPr>
          <w:rFonts w:cs="Arial"/>
          <w:bCs/>
          <w:color w:val="000000"/>
          <w:szCs w:val="19"/>
        </w:rPr>
        <w:t>8</w:t>
      </w:r>
      <w:r w:rsidRPr="00326316">
        <w:rPr>
          <w:rFonts w:cs="Arial"/>
          <w:spacing w:val="-3"/>
          <w:szCs w:val="19"/>
        </w:rPr>
        <w:t xml:space="preserve"> ml</w:t>
      </w:r>
      <w:r w:rsidR="00F70DA2" w:rsidRPr="00326316">
        <w:rPr>
          <w:rFonts w:cs="Arial"/>
          <w:spacing w:val="-3"/>
          <w:szCs w:val="19"/>
        </w:rPr>
        <w:t>d</w:t>
      </w:r>
      <w:r w:rsidR="003E0EA7">
        <w:rPr>
          <w:rFonts w:cs="Arial"/>
          <w:spacing w:val="-3"/>
          <w:szCs w:val="19"/>
        </w:rPr>
        <w:t xml:space="preserve"> USD </w:t>
      </w:r>
      <w:r w:rsidRPr="0084092E">
        <w:rPr>
          <w:rFonts w:cs="Arial"/>
          <w:spacing w:val="-3"/>
          <w:szCs w:val="19"/>
        </w:rPr>
        <w:t>(</w:t>
      </w:r>
      <w:r w:rsidR="00950E8A">
        <w:rPr>
          <w:rFonts w:cs="Arial"/>
          <w:spacing w:val="-3"/>
          <w:szCs w:val="19"/>
        </w:rPr>
        <w:t>wzrost</w:t>
      </w:r>
      <w:r w:rsidR="003E0EA7">
        <w:rPr>
          <w:rFonts w:cs="Arial"/>
          <w:spacing w:val="-3"/>
          <w:szCs w:val="19"/>
        </w:rPr>
        <w:t xml:space="preserve"> </w:t>
      </w:r>
      <w:r w:rsidR="003A6F6A">
        <w:rPr>
          <w:rFonts w:cs="Arial"/>
          <w:spacing w:val="-3"/>
          <w:szCs w:val="19"/>
        </w:rPr>
        <w:t>w eksporcie</w:t>
      </w:r>
      <w:r w:rsidRPr="0084092E">
        <w:rPr>
          <w:rFonts w:cs="Arial"/>
          <w:spacing w:val="-3"/>
          <w:szCs w:val="19"/>
        </w:rPr>
        <w:t xml:space="preserve"> o </w:t>
      </w:r>
      <w:r w:rsidR="00950E8A">
        <w:rPr>
          <w:rFonts w:cs="Arial"/>
          <w:spacing w:val="-3"/>
          <w:szCs w:val="19"/>
        </w:rPr>
        <w:t>0,9</w:t>
      </w:r>
      <w:r w:rsidR="00682774">
        <w:rPr>
          <w:rFonts w:cs="Arial"/>
          <w:spacing w:val="-3"/>
          <w:szCs w:val="19"/>
        </w:rPr>
        <w:t>%</w:t>
      </w:r>
      <w:r w:rsidR="003A6F6A">
        <w:rPr>
          <w:rFonts w:cs="Arial"/>
          <w:spacing w:val="-3"/>
          <w:szCs w:val="19"/>
        </w:rPr>
        <w:t xml:space="preserve">, a </w:t>
      </w:r>
      <w:r w:rsidR="00950E8A">
        <w:rPr>
          <w:rFonts w:cs="Arial"/>
          <w:spacing w:val="-3"/>
          <w:szCs w:val="19"/>
        </w:rPr>
        <w:t xml:space="preserve">spadek </w:t>
      </w:r>
      <w:r w:rsidR="003A6F6A">
        <w:rPr>
          <w:rFonts w:cs="Arial"/>
          <w:spacing w:val="-3"/>
          <w:szCs w:val="19"/>
        </w:rPr>
        <w:t>w imporcie</w:t>
      </w:r>
      <w:r w:rsidR="00682774">
        <w:rPr>
          <w:rFonts w:cs="Arial"/>
          <w:spacing w:val="-3"/>
          <w:szCs w:val="19"/>
        </w:rPr>
        <w:t xml:space="preserve"> o </w:t>
      </w:r>
      <w:r w:rsidR="00950E8A">
        <w:rPr>
          <w:rFonts w:cs="Arial"/>
          <w:spacing w:val="-3"/>
          <w:szCs w:val="19"/>
        </w:rPr>
        <w:t>1</w:t>
      </w:r>
      <w:r w:rsidR="007F5D5B">
        <w:rPr>
          <w:rFonts w:cs="Arial"/>
          <w:spacing w:val="-3"/>
          <w:szCs w:val="19"/>
        </w:rPr>
        <w:t>,</w:t>
      </w:r>
      <w:r w:rsidR="00950E8A">
        <w:rPr>
          <w:rFonts w:cs="Arial"/>
          <w:spacing w:val="-3"/>
          <w:szCs w:val="19"/>
        </w:rPr>
        <w:t>6</w:t>
      </w:r>
      <w:r w:rsidRPr="0084092E">
        <w:rPr>
          <w:rFonts w:cs="Arial"/>
          <w:spacing w:val="-3"/>
          <w:szCs w:val="19"/>
        </w:rPr>
        <w:t xml:space="preserve">%). </w:t>
      </w:r>
      <w:r w:rsidR="00DF6110">
        <w:rPr>
          <w:rFonts w:cs="Arial"/>
          <w:spacing w:val="-3"/>
          <w:szCs w:val="19"/>
        </w:rPr>
        <w:t>Dodatnie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</w:t>
      </w:r>
      <w:r w:rsidR="00950E8A">
        <w:rPr>
          <w:rFonts w:cs="Arial"/>
          <w:bCs/>
          <w:color w:val="000000"/>
          <w:szCs w:val="19"/>
        </w:rPr>
        <w:t>1,3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> USD</w:t>
      </w:r>
      <w:r w:rsidR="00EB4BA2">
        <w:rPr>
          <w:rFonts w:cs="Arial"/>
          <w:spacing w:val="-3"/>
          <w:szCs w:val="19"/>
        </w:rPr>
        <w:t xml:space="preserve">, </w:t>
      </w:r>
      <w:r w:rsidR="00657AC6">
        <w:t xml:space="preserve">a </w:t>
      </w:r>
      <w:r w:rsidR="00657AC6" w:rsidRPr="0084092E">
        <w:rPr>
          <w:rFonts w:cs="Arial"/>
          <w:spacing w:val="-3"/>
          <w:szCs w:val="19"/>
        </w:rPr>
        <w:t>w </w:t>
      </w:r>
      <w:r w:rsidR="00237411">
        <w:rPr>
          <w:rFonts w:cs="Arial"/>
          <w:spacing w:val="-3"/>
          <w:szCs w:val="19"/>
        </w:rPr>
        <w:t>2018</w:t>
      </w:r>
      <w:r w:rsidR="00657AC6">
        <w:rPr>
          <w:rFonts w:cs="Arial"/>
          <w:spacing w:val="-3"/>
          <w:szCs w:val="19"/>
        </w:rPr>
        <w:t xml:space="preserve"> r</w:t>
      </w:r>
      <w:r w:rsidR="007E035E">
        <w:rPr>
          <w:rFonts w:cs="Arial"/>
          <w:spacing w:val="-3"/>
          <w:szCs w:val="19"/>
        </w:rPr>
        <w:t>.</w:t>
      </w:r>
      <w:r w:rsidR="00657AC6">
        <w:rPr>
          <w:rFonts w:cs="Arial"/>
          <w:spacing w:val="-3"/>
          <w:szCs w:val="19"/>
        </w:rPr>
        <w:t xml:space="preserve"> </w:t>
      </w:r>
      <w:r w:rsidR="00657AC6" w:rsidRPr="0027314E">
        <w:rPr>
          <w:rFonts w:cs="Arial"/>
          <w:spacing w:val="-3"/>
          <w:szCs w:val="19"/>
        </w:rPr>
        <w:t xml:space="preserve">wyniosło </w:t>
      </w:r>
      <w:r w:rsidR="00922F19" w:rsidRPr="0027314E">
        <w:rPr>
          <w:rFonts w:cs="Arial"/>
          <w:spacing w:val="-3"/>
          <w:szCs w:val="19"/>
        </w:rPr>
        <w:t xml:space="preserve">minus </w:t>
      </w:r>
      <w:r w:rsidR="007F5D5B">
        <w:rPr>
          <w:rFonts w:cs="Arial"/>
          <w:spacing w:val="-3"/>
          <w:szCs w:val="19"/>
        </w:rPr>
        <w:t>5,4</w:t>
      </w:r>
      <w:r w:rsidR="00657AC6" w:rsidRPr="0027314E">
        <w:rPr>
          <w:rFonts w:cs="Arial"/>
          <w:spacing w:val="-3"/>
          <w:szCs w:val="19"/>
        </w:rPr>
        <w:t xml:space="preserve"> mld </w:t>
      </w:r>
      <w:r w:rsidR="00A5504C" w:rsidRPr="0027314E">
        <w:rPr>
          <w:rFonts w:cs="Arial"/>
          <w:spacing w:val="-3"/>
          <w:szCs w:val="19"/>
        </w:rPr>
        <w:t>USD</w:t>
      </w:r>
      <w:r w:rsidR="00657AC6" w:rsidRPr="0027314E">
        <w:rPr>
          <w:rFonts w:cs="Arial"/>
          <w:szCs w:val="19"/>
        </w:rPr>
        <w:t>.</w:t>
      </w:r>
    </w:p>
    <w:p w:rsidR="00277A82" w:rsidRPr="0075433B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color w:val="FF0000"/>
          <w:szCs w:val="19"/>
        </w:rPr>
      </w:pPr>
      <w:r w:rsidRPr="005B60E0">
        <w:rPr>
          <w:color w:val="222222"/>
          <w:szCs w:val="19"/>
          <w:shd w:val="clear" w:color="auto" w:fill="FDFDFD"/>
        </w:rPr>
        <w:t xml:space="preserve">Eksport wyrażony w euro wyniósł </w:t>
      </w:r>
      <w:r w:rsidR="007F5D5B">
        <w:rPr>
          <w:rFonts w:cs="Arial"/>
          <w:bCs/>
          <w:color w:val="000000"/>
          <w:szCs w:val="19"/>
        </w:rPr>
        <w:t>23</w:t>
      </w:r>
      <w:r w:rsidR="009975D0">
        <w:rPr>
          <w:rFonts w:cs="Arial"/>
          <w:bCs/>
          <w:color w:val="000000"/>
          <w:szCs w:val="19"/>
        </w:rPr>
        <w:t>8</w:t>
      </w:r>
      <w:r w:rsidR="007F5D5B">
        <w:rPr>
          <w:rFonts w:cs="Arial"/>
          <w:bCs/>
          <w:color w:val="000000"/>
          <w:szCs w:val="19"/>
        </w:rPr>
        <w:t>,</w:t>
      </w:r>
      <w:r w:rsidR="009975D0">
        <w:rPr>
          <w:rFonts w:cs="Arial"/>
          <w:bCs/>
          <w:color w:val="000000"/>
          <w:szCs w:val="19"/>
        </w:rPr>
        <w:t>1</w:t>
      </w:r>
      <w:r w:rsidRPr="005B60E0">
        <w:rPr>
          <w:color w:val="222222"/>
          <w:szCs w:val="19"/>
          <w:shd w:val="clear" w:color="auto" w:fill="FDFDFD"/>
        </w:rPr>
        <w:t xml:space="preserve"> mld </w:t>
      </w:r>
      <w:r w:rsidRPr="007547B3">
        <w:rPr>
          <w:szCs w:val="19"/>
          <w:shd w:val="clear" w:color="auto" w:fill="FDFDFD"/>
        </w:rPr>
        <w:t xml:space="preserve">EUR, a import </w:t>
      </w:r>
      <w:r w:rsidR="006A0CA8" w:rsidRPr="007547B3">
        <w:rPr>
          <w:rFonts w:cs="Arial"/>
          <w:bCs/>
          <w:szCs w:val="19"/>
        </w:rPr>
        <w:t>2</w:t>
      </w:r>
      <w:r w:rsidR="007F5D5B" w:rsidRPr="007547B3">
        <w:rPr>
          <w:rFonts w:cs="Arial"/>
          <w:bCs/>
          <w:szCs w:val="19"/>
        </w:rPr>
        <w:t>3</w:t>
      </w:r>
      <w:r w:rsidR="009975D0" w:rsidRPr="007547B3">
        <w:rPr>
          <w:rFonts w:cs="Arial"/>
          <w:bCs/>
          <w:szCs w:val="19"/>
        </w:rPr>
        <w:t>7</w:t>
      </w:r>
      <w:r w:rsidR="007F5D5B" w:rsidRPr="007547B3">
        <w:rPr>
          <w:rFonts w:cs="Arial"/>
          <w:bCs/>
          <w:szCs w:val="19"/>
        </w:rPr>
        <w:t>,0</w:t>
      </w:r>
      <w:r w:rsidRPr="007547B3">
        <w:rPr>
          <w:rFonts w:cs="Arial"/>
          <w:bCs/>
          <w:szCs w:val="19"/>
        </w:rPr>
        <w:t xml:space="preserve"> </w:t>
      </w:r>
      <w:r w:rsidRPr="007547B3">
        <w:rPr>
          <w:szCs w:val="19"/>
          <w:shd w:val="clear" w:color="auto" w:fill="FDFDFD"/>
        </w:rPr>
        <w:t>mld EUR</w:t>
      </w:r>
      <w:r w:rsidRPr="007547B3">
        <w:rPr>
          <w:rFonts w:cs="Arial"/>
          <w:szCs w:val="19"/>
        </w:rPr>
        <w:t xml:space="preserve"> </w:t>
      </w:r>
      <w:r w:rsidR="00A1647A" w:rsidRPr="007547B3">
        <w:rPr>
          <w:rFonts w:cs="Arial"/>
          <w:szCs w:val="19"/>
        </w:rPr>
        <w:t>(</w:t>
      </w:r>
      <w:r w:rsidR="00682774" w:rsidRPr="007547B3">
        <w:rPr>
          <w:rFonts w:cs="Arial"/>
          <w:szCs w:val="19"/>
        </w:rPr>
        <w:t>wzr</w:t>
      </w:r>
      <w:r w:rsidR="00A1647A" w:rsidRPr="007547B3">
        <w:rPr>
          <w:rFonts w:cs="Arial"/>
          <w:szCs w:val="19"/>
        </w:rPr>
        <w:t>ost</w:t>
      </w:r>
      <w:r w:rsidR="00682774" w:rsidRPr="007547B3">
        <w:rPr>
          <w:rFonts w:cs="Arial"/>
          <w:szCs w:val="19"/>
        </w:rPr>
        <w:t> w eksporcie o </w:t>
      </w:r>
      <w:r w:rsidR="009975D0" w:rsidRPr="007547B3">
        <w:rPr>
          <w:rFonts w:cs="Arial"/>
          <w:szCs w:val="19"/>
        </w:rPr>
        <w:t>6</w:t>
      </w:r>
      <w:r w:rsidR="007F5D5B" w:rsidRPr="007547B3">
        <w:rPr>
          <w:rFonts w:cs="Arial"/>
          <w:szCs w:val="19"/>
        </w:rPr>
        <w:t>,5</w:t>
      </w:r>
      <w:r w:rsidR="00277A82" w:rsidRPr="007547B3">
        <w:rPr>
          <w:rFonts w:cs="Arial"/>
          <w:szCs w:val="19"/>
        </w:rPr>
        <w:t xml:space="preserve">%, a w imporcie o </w:t>
      </w:r>
      <w:r w:rsidR="009975D0" w:rsidRPr="007547B3">
        <w:rPr>
          <w:rFonts w:cs="Arial"/>
          <w:szCs w:val="19"/>
        </w:rPr>
        <w:t>3</w:t>
      </w:r>
      <w:r w:rsidR="006A0CA8" w:rsidRPr="007547B3">
        <w:rPr>
          <w:rFonts w:cs="Arial"/>
          <w:szCs w:val="19"/>
        </w:rPr>
        <w:t>,</w:t>
      </w:r>
      <w:r w:rsidR="009975D0" w:rsidRPr="007547B3">
        <w:rPr>
          <w:rFonts w:cs="Arial"/>
          <w:szCs w:val="19"/>
        </w:rPr>
        <w:t>9</w:t>
      </w:r>
      <w:r w:rsidR="00A1647A" w:rsidRPr="007547B3">
        <w:rPr>
          <w:rFonts w:cs="Arial"/>
          <w:szCs w:val="19"/>
        </w:rPr>
        <w:t>%)</w:t>
      </w:r>
      <w:r w:rsidR="00277A82" w:rsidRPr="007547B3">
        <w:rPr>
          <w:rFonts w:cs="Arial"/>
          <w:szCs w:val="19"/>
        </w:rPr>
        <w:t xml:space="preserve">. </w:t>
      </w:r>
      <w:r w:rsidR="00125191" w:rsidRPr="007547B3">
        <w:rPr>
          <w:rFonts w:cs="Arial"/>
          <w:szCs w:val="19"/>
        </w:rPr>
        <w:t xml:space="preserve">Dodatnie </w:t>
      </w:r>
      <w:r w:rsidR="00277A82" w:rsidRPr="007547B3">
        <w:rPr>
          <w:rFonts w:cs="Arial"/>
          <w:szCs w:val="19"/>
        </w:rPr>
        <w:t xml:space="preserve">saldo </w:t>
      </w:r>
      <w:r w:rsidR="00EB4BA2" w:rsidRPr="007547B3">
        <w:rPr>
          <w:rFonts w:cs="Arial"/>
          <w:szCs w:val="19"/>
        </w:rPr>
        <w:t>wyniosło</w:t>
      </w:r>
      <w:r w:rsidR="00D54D58" w:rsidRPr="007547B3">
        <w:rPr>
          <w:rFonts w:cs="Arial"/>
          <w:szCs w:val="19"/>
        </w:rPr>
        <w:t xml:space="preserve"> </w:t>
      </w:r>
      <w:r w:rsidR="008E7391" w:rsidRPr="007547B3">
        <w:rPr>
          <w:rFonts w:cs="Arial"/>
          <w:szCs w:val="19"/>
        </w:rPr>
        <w:t>1,</w:t>
      </w:r>
      <w:r w:rsidR="0075433B" w:rsidRPr="007547B3">
        <w:rPr>
          <w:rFonts w:cs="Arial"/>
          <w:szCs w:val="19"/>
        </w:rPr>
        <w:t>2</w:t>
      </w:r>
      <w:r w:rsidR="00277A82" w:rsidRPr="007547B3">
        <w:rPr>
          <w:rFonts w:cs="Arial"/>
          <w:bCs/>
          <w:szCs w:val="19"/>
        </w:rPr>
        <w:t xml:space="preserve"> </w:t>
      </w:r>
      <w:r w:rsidR="00277A82" w:rsidRPr="007547B3">
        <w:t>ml</w:t>
      </w:r>
      <w:r w:rsidR="00A844E6" w:rsidRPr="007547B3">
        <w:t>d</w:t>
      </w:r>
      <w:r w:rsidR="00EB4BA2" w:rsidRPr="007547B3">
        <w:t xml:space="preserve"> </w:t>
      </w:r>
      <w:r w:rsidR="00277A82" w:rsidRPr="005B60E0">
        <w:t>EUR</w:t>
      </w:r>
      <w:r w:rsidR="00D54D58" w:rsidRPr="005B60E0">
        <w:t xml:space="preserve">, a </w:t>
      </w:r>
      <w:r w:rsidR="00D54D58" w:rsidRPr="005B60E0">
        <w:rPr>
          <w:rFonts w:cs="Arial"/>
          <w:spacing w:val="-3"/>
          <w:szCs w:val="19"/>
        </w:rPr>
        <w:t>w </w:t>
      </w:r>
      <w:r w:rsidR="006A0CA8">
        <w:rPr>
          <w:rFonts w:cs="Arial"/>
          <w:spacing w:val="-3"/>
          <w:szCs w:val="19"/>
        </w:rPr>
        <w:t>2018</w:t>
      </w:r>
      <w:r w:rsidR="00D54D58" w:rsidRPr="005B60E0">
        <w:rPr>
          <w:rFonts w:cs="Arial"/>
          <w:spacing w:val="-3"/>
          <w:szCs w:val="19"/>
        </w:rPr>
        <w:t xml:space="preserve"> r</w:t>
      </w:r>
      <w:r w:rsidR="007E035E" w:rsidRPr="005B60E0">
        <w:rPr>
          <w:rFonts w:cs="Arial"/>
          <w:spacing w:val="-3"/>
          <w:szCs w:val="19"/>
        </w:rPr>
        <w:t>.</w:t>
      </w:r>
      <w:r w:rsidR="00D54D58" w:rsidRPr="005B60E0">
        <w:rPr>
          <w:rFonts w:cs="Arial"/>
          <w:spacing w:val="-3"/>
          <w:szCs w:val="19"/>
        </w:rPr>
        <w:t xml:space="preserve"> wyniosło </w:t>
      </w:r>
      <w:r w:rsidR="00B22A2B" w:rsidRPr="005B60E0">
        <w:rPr>
          <w:rFonts w:cs="Arial"/>
          <w:spacing w:val="-3"/>
          <w:szCs w:val="19"/>
        </w:rPr>
        <w:t xml:space="preserve">minus </w:t>
      </w:r>
      <w:r w:rsidR="007F5D5B">
        <w:rPr>
          <w:rFonts w:cs="Arial"/>
          <w:spacing w:val="-3"/>
          <w:szCs w:val="19"/>
        </w:rPr>
        <w:t>4,6</w:t>
      </w:r>
      <w:r w:rsidR="00D54D58" w:rsidRPr="005B60E0">
        <w:rPr>
          <w:rFonts w:cs="Arial"/>
          <w:spacing w:val="-3"/>
          <w:szCs w:val="19"/>
        </w:rPr>
        <w:t xml:space="preserve"> mld EUR</w:t>
      </w:r>
      <w:r w:rsidR="00277A82" w:rsidRPr="005B60E0">
        <w:rPr>
          <w:rFonts w:cs="Arial"/>
          <w:szCs w:val="19"/>
        </w:rPr>
        <w:t>.</w:t>
      </w:r>
    </w:p>
    <w:p w:rsidR="007324AA" w:rsidRDefault="007324A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D5DDE" w:rsidRDefault="00FD5DDE" w:rsidP="00F802BE">
      <w:pPr>
        <w:pStyle w:val="Nagwek1"/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Default="00FD327A" w:rsidP="00F802BE">
                            <w:pPr>
                              <w:pStyle w:val="tekstzboku"/>
                            </w:pPr>
                          </w:p>
                          <w:p w:rsidR="00FD327A" w:rsidRPr="00074DD8" w:rsidRDefault="00FD327A" w:rsidP="00F802BE">
                            <w:pPr>
                              <w:pStyle w:val="tekstzboku"/>
                            </w:pPr>
                          </w:p>
                          <w:p w:rsidR="00FD327A" w:rsidRPr="00D616D2" w:rsidRDefault="00FD327A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Default="00FD327A" w:rsidP="00F802BE">
                      <w:pPr>
                        <w:pStyle w:val="tekstzboku"/>
                      </w:pPr>
                    </w:p>
                    <w:p w:rsidR="00FD327A" w:rsidRPr="00074DD8" w:rsidRDefault="00FD327A" w:rsidP="00F802BE">
                      <w:pPr>
                        <w:pStyle w:val="tekstzboku"/>
                      </w:pPr>
                    </w:p>
                    <w:p w:rsidR="00FD327A" w:rsidRPr="00D616D2" w:rsidRDefault="00FD327A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Pr="007547B3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</w:t>
      </w:r>
      <w:r w:rsidR="00FD327A">
        <w:rPr>
          <w:rFonts w:cs="Arial"/>
          <w:spacing w:val="-3"/>
        </w:rPr>
        <w:t>miała</w:t>
      </w:r>
      <w:r>
        <w:rPr>
          <w:rFonts w:cs="Arial"/>
          <w:spacing w:val="-3"/>
        </w:rPr>
        <w:t xml:space="preserve">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7547B3">
        <w:rPr>
          <w:rFonts w:cs="Arial"/>
        </w:rPr>
        <w:t>–</w:t>
      </w:r>
      <w:r w:rsidR="00992926" w:rsidRPr="007547B3">
        <w:rPr>
          <w:rFonts w:cs="Arial"/>
          <w:spacing w:val="-3"/>
        </w:rPr>
        <w:t xml:space="preserve"> </w:t>
      </w:r>
      <w:r w:rsidR="00385406" w:rsidRPr="007547B3">
        <w:rPr>
          <w:rFonts w:cs="Arial"/>
          <w:spacing w:val="-3"/>
        </w:rPr>
        <w:t>8</w:t>
      </w:r>
      <w:r w:rsidR="00CC587A" w:rsidRPr="007547B3">
        <w:rPr>
          <w:rFonts w:cs="Arial"/>
          <w:spacing w:val="-3"/>
        </w:rPr>
        <w:t>6</w:t>
      </w:r>
      <w:r w:rsidR="00385406" w:rsidRPr="007547B3">
        <w:rPr>
          <w:rFonts w:cs="Arial"/>
          <w:spacing w:val="-3"/>
        </w:rPr>
        <w:t>,</w:t>
      </w:r>
      <w:r w:rsidR="006C1E70" w:rsidRPr="007547B3">
        <w:rPr>
          <w:rFonts w:cs="Arial"/>
          <w:spacing w:val="-3"/>
        </w:rPr>
        <w:t>8</w:t>
      </w:r>
      <w:r w:rsidRPr="007547B3">
        <w:rPr>
          <w:rFonts w:cs="Arial"/>
          <w:spacing w:val="-3"/>
        </w:rPr>
        <w:t>%</w:t>
      </w:r>
      <w:r w:rsidR="00992926" w:rsidRPr="007547B3">
        <w:rPr>
          <w:rFonts w:cs="Arial"/>
          <w:spacing w:val="-3"/>
        </w:rPr>
        <w:t xml:space="preserve"> </w:t>
      </w:r>
      <w:r w:rsidRPr="007547B3">
        <w:rPr>
          <w:rFonts w:cs="Arial"/>
          <w:spacing w:val="-3"/>
        </w:rPr>
        <w:t>(w tym UE</w:t>
      </w:r>
      <w:r w:rsidR="00992926" w:rsidRPr="007547B3">
        <w:rPr>
          <w:rFonts w:cs="Arial"/>
          <w:spacing w:val="-3"/>
        </w:rPr>
        <w:t> </w:t>
      </w:r>
      <w:r w:rsidR="000A4E78" w:rsidRPr="007547B3">
        <w:rPr>
          <w:rFonts w:cs="Arial"/>
          <w:spacing w:val="-3"/>
        </w:rPr>
        <w:t>80,0</w:t>
      </w:r>
      <w:r w:rsidRPr="007547B3">
        <w:rPr>
          <w:rFonts w:cs="Arial"/>
          <w:spacing w:val="-3"/>
        </w:rPr>
        <w:t xml:space="preserve">%), a w imporcie </w:t>
      </w:r>
      <w:r w:rsidRPr="007547B3">
        <w:rPr>
          <w:rFonts w:cs="Arial"/>
        </w:rPr>
        <w:t xml:space="preserve">– </w:t>
      </w:r>
      <w:r w:rsidR="00F600D4" w:rsidRPr="007547B3">
        <w:rPr>
          <w:rFonts w:cs="Arial"/>
          <w:spacing w:val="-3"/>
        </w:rPr>
        <w:t>6</w:t>
      </w:r>
      <w:r w:rsidR="00257543" w:rsidRPr="007547B3">
        <w:rPr>
          <w:rFonts w:cs="Arial"/>
          <w:spacing w:val="-3"/>
        </w:rPr>
        <w:t>5,</w:t>
      </w:r>
      <w:r w:rsidR="000A4E78" w:rsidRPr="007547B3">
        <w:rPr>
          <w:rFonts w:cs="Arial"/>
          <w:spacing w:val="-3"/>
        </w:rPr>
        <w:t>8</w:t>
      </w:r>
      <w:r w:rsidR="007D6BC4" w:rsidRPr="007547B3">
        <w:rPr>
          <w:rFonts w:cs="Arial"/>
          <w:spacing w:val="-3"/>
        </w:rPr>
        <w:t xml:space="preserve">% (w tym UE </w:t>
      </w:r>
      <w:r w:rsidR="00F600D4" w:rsidRPr="007547B3">
        <w:rPr>
          <w:rFonts w:cs="Arial"/>
          <w:spacing w:val="-3"/>
        </w:rPr>
        <w:t>5</w:t>
      </w:r>
      <w:r w:rsidR="000A4E78" w:rsidRPr="007547B3">
        <w:rPr>
          <w:rFonts w:cs="Arial"/>
          <w:spacing w:val="-3"/>
        </w:rPr>
        <w:t>8</w:t>
      </w:r>
      <w:r w:rsidR="00257543" w:rsidRPr="007547B3">
        <w:rPr>
          <w:rFonts w:cs="Arial"/>
          <w:spacing w:val="-3"/>
        </w:rPr>
        <w:t>,</w:t>
      </w:r>
      <w:r w:rsidR="000A4E78" w:rsidRPr="007547B3">
        <w:rPr>
          <w:rFonts w:cs="Arial"/>
          <w:spacing w:val="-3"/>
        </w:rPr>
        <w:t>1</w:t>
      </w:r>
      <w:r w:rsidRPr="007547B3">
        <w:rPr>
          <w:rFonts w:cs="Arial"/>
          <w:spacing w:val="-3"/>
        </w:rPr>
        <w:t xml:space="preserve">%), wobec odpowiednio </w:t>
      </w:r>
      <w:r w:rsidR="00832FBE" w:rsidRPr="007547B3">
        <w:rPr>
          <w:rFonts w:cs="Arial"/>
          <w:spacing w:val="-3"/>
        </w:rPr>
        <w:t>8</w:t>
      </w:r>
      <w:r w:rsidR="00385406" w:rsidRPr="007547B3">
        <w:rPr>
          <w:rFonts w:cs="Arial"/>
          <w:spacing w:val="-3"/>
        </w:rPr>
        <w:t>7,</w:t>
      </w:r>
      <w:r w:rsidR="00BC4ED9" w:rsidRPr="007547B3">
        <w:rPr>
          <w:rFonts w:cs="Arial"/>
          <w:spacing w:val="-3"/>
        </w:rPr>
        <w:t>1</w:t>
      </w:r>
      <w:r w:rsidRPr="007547B3">
        <w:rPr>
          <w:rFonts w:cs="Arial"/>
          <w:spacing w:val="-3"/>
        </w:rPr>
        <w:t xml:space="preserve">% (w tym UE </w:t>
      </w:r>
      <w:r w:rsidR="00F600D4" w:rsidRPr="007547B3">
        <w:rPr>
          <w:rFonts w:cs="Arial"/>
          <w:spacing w:val="-3"/>
        </w:rPr>
        <w:t>8</w:t>
      </w:r>
      <w:r w:rsidR="004F5D89" w:rsidRPr="007547B3">
        <w:rPr>
          <w:rFonts w:cs="Arial"/>
          <w:spacing w:val="-3"/>
        </w:rPr>
        <w:t>0</w:t>
      </w:r>
      <w:r w:rsidR="00F600D4" w:rsidRPr="007547B3">
        <w:rPr>
          <w:rFonts w:cs="Arial"/>
          <w:spacing w:val="-3"/>
        </w:rPr>
        <w:t>,</w:t>
      </w:r>
      <w:r w:rsidR="00BC4ED9" w:rsidRPr="007547B3">
        <w:rPr>
          <w:rFonts w:cs="Arial"/>
          <w:spacing w:val="-3"/>
        </w:rPr>
        <w:t>6</w:t>
      </w:r>
      <w:r w:rsidRPr="007547B3">
        <w:rPr>
          <w:rFonts w:cs="Arial"/>
          <w:spacing w:val="-3"/>
        </w:rPr>
        <w:t>%) i</w:t>
      </w:r>
      <w:r w:rsidR="00992926" w:rsidRPr="007547B3">
        <w:rPr>
          <w:rFonts w:cs="Arial"/>
          <w:spacing w:val="-3"/>
        </w:rPr>
        <w:t> </w:t>
      </w:r>
      <w:r w:rsidR="00BC4ED9" w:rsidRPr="007547B3">
        <w:rPr>
          <w:rFonts w:cs="Arial"/>
          <w:spacing w:val="-3"/>
        </w:rPr>
        <w:t>65,9</w:t>
      </w:r>
      <w:r w:rsidRPr="007547B3">
        <w:rPr>
          <w:rFonts w:cs="Arial"/>
          <w:spacing w:val="-3"/>
        </w:rPr>
        <w:t xml:space="preserve">% (w tym UE </w:t>
      </w:r>
      <w:r w:rsidR="0032506F" w:rsidRPr="007547B3">
        <w:rPr>
          <w:rFonts w:cs="Arial"/>
          <w:spacing w:val="-3"/>
        </w:rPr>
        <w:t>5</w:t>
      </w:r>
      <w:r w:rsidR="00BC4ED9" w:rsidRPr="007547B3">
        <w:rPr>
          <w:rFonts w:cs="Arial"/>
          <w:spacing w:val="-3"/>
        </w:rPr>
        <w:t>8</w:t>
      </w:r>
      <w:r w:rsidR="0032506F" w:rsidRPr="007547B3">
        <w:rPr>
          <w:rFonts w:cs="Arial"/>
          <w:spacing w:val="-3"/>
        </w:rPr>
        <w:t>,</w:t>
      </w:r>
      <w:r w:rsidR="00BC4ED9" w:rsidRPr="007547B3">
        <w:rPr>
          <w:rFonts w:cs="Arial"/>
          <w:spacing w:val="-3"/>
        </w:rPr>
        <w:t>8</w:t>
      </w:r>
      <w:r w:rsidRPr="007547B3">
        <w:rPr>
          <w:rFonts w:cs="Arial"/>
          <w:spacing w:val="-3"/>
        </w:rPr>
        <w:t>%) w </w:t>
      </w:r>
      <w:r w:rsidR="006058C1" w:rsidRPr="007547B3">
        <w:rPr>
          <w:rFonts w:cs="Arial"/>
          <w:spacing w:val="-3"/>
        </w:rPr>
        <w:t>2018</w:t>
      </w:r>
      <w:r w:rsidRPr="007547B3">
        <w:rPr>
          <w:rFonts w:cs="Arial"/>
          <w:spacing w:val="-3"/>
        </w:rPr>
        <w:t xml:space="preserve"> r</w:t>
      </w:r>
      <w:r w:rsidR="00E530F1">
        <w:rPr>
          <w:rFonts w:cs="Arial"/>
          <w:spacing w:val="-3"/>
        </w:rPr>
        <w:t>.</w:t>
      </w:r>
      <w:r w:rsidR="008720A0" w:rsidRPr="007547B3">
        <w:rPr>
          <w:shd w:val="clear" w:color="auto" w:fill="FFFFFF"/>
        </w:rPr>
        <w:t xml:space="preserve"> </w:t>
      </w:r>
      <w:r w:rsidR="00FD327A">
        <w:rPr>
          <w:shd w:val="clear" w:color="auto" w:fill="FFFFFF"/>
        </w:rPr>
        <w:t>Najmniejszy n</w:t>
      </w:r>
      <w:r w:rsidR="008720A0" w:rsidRPr="007547B3">
        <w:rPr>
          <w:shd w:val="clear" w:color="auto" w:fill="FFFFFF"/>
        </w:rPr>
        <w:t xml:space="preserve">atomiast </w:t>
      </w:r>
      <w:r w:rsidR="00701D51" w:rsidRPr="007547B3">
        <w:rPr>
          <w:shd w:val="clear" w:color="auto" w:fill="FFFFFF"/>
        </w:rPr>
        <w:t xml:space="preserve">udział </w:t>
      </w:r>
      <w:r w:rsidR="00D626BB" w:rsidRPr="007547B3">
        <w:rPr>
          <w:shd w:val="clear" w:color="auto" w:fill="FFFFFF"/>
        </w:rPr>
        <w:t>odnotowano</w:t>
      </w:r>
      <w:r w:rsidR="00701D51" w:rsidRPr="007547B3">
        <w:rPr>
          <w:shd w:val="clear" w:color="auto" w:fill="FFFFFF"/>
        </w:rPr>
        <w:t xml:space="preserve"> z krajami </w:t>
      </w:r>
      <w:r w:rsidR="00701D51" w:rsidRPr="007547B3">
        <w:rPr>
          <w:rFonts w:cs="Arial"/>
          <w:spacing w:val="-3"/>
        </w:rPr>
        <w:t>Europy Środkowo-Wschodniej</w:t>
      </w:r>
      <w:r w:rsidR="00EA7416" w:rsidRPr="007547B3">
        <w:rPr>
          <w:rFonts w:cs="Arial"/>
          <w:spacing w:val="-3"/>
        </w:rPr>
        <w:t xml:space="preserve">, który </w:t>
      </w:r>
      <w:r w:rsidR="00701D51" w:rsidRPr="007547B3">
        <w:rPr>
          <w:rFonts w:cs="Arial"/>
          <w:spacing w:val="-3"/>
        </w:rPr>
        <w:t xml:space="preserve">w eksporcie ogółem wyniósł </w:t>
      </w:r>
      <w:r w:rsidR="00CC587A" w:rsidRPr="007547B3">
        <w:rPr>
          <w:rFonts w:cs="Arial"/>
          <w:spacing w:val="-3"/>
        </w:rPr>
        <w:t>6,</w:t>
      </w:r>
      <w:r w:rsidR="000A4E78" w:rsidRPr="007547B3">
        <w:rPr>
          <w:rFonts w:cs="Arial"/>
          <w:spacing w:val="-3"/>
        </w:rPr>
        <w:t>0</w:t>
      </w:r>
      <w:r w:rsidR="00185BAA" w:rsidRPr="007547B3">
        <w:rPr>
          <w:rFonts w:cs="Arial"/>
          <w:spacing w:val="-3"/>
        </w:rPr>
        <w:t>%</w:t>
      </w:r>
      <w:r w:rsidR="00701D51" w:rsidRPr="007547B3">
        <w:rPr>
          <w:rFonts w:cs="Arial"/>
          <w:spacing w:val="-3"/>
        </w:rPr>
        <w:t>, a</w:t>
      </w:r>
      <w:r w:rsidR="00036E65" w:rsidRPr="007547B3">
        <w:rPr>
          <w:rFonts w:cs="Arial"/>
          <w:spacing w:val="-3"/>
        </w:rPr>
        <w:t> </w:t>
      </w:r>
      <w:r w:rsidR="00701D51" w:rsidRPr="007547B3">
        <w:rPr>
          <w:rFonts w:cs="Arial"/>
          <w:spacing w:val="-3"/>
        </w:rPr>
        <w:t>w</w:t>
      </w:r>
      <w:r w:rsidR="00036E65" w:rsidRPr="007547B3">
        <w:rPr>
          <w:rFonts w:cs="Arial"/>
          <w:spacing w:val="-3"/>
        </w:rPr>
        <w:t> </w:t>
      </w:r>
      <w:r w:rsidR="00701D51" w:rsidRPr="007547B3">
        <w:rPr>
          <w:rFonts w:cs="Arial"/>
          <w:spacing w:val="-3"/>
        </w:rPr>
        <w:t xml:space="preserve">imporcie </w:t>
      </w:r>
      <w:r w:rsidR="00CC587A" w:rsidRPr="007547B3">
        <w:rPr>
          <w:rFonts w:cs="Arial"/>
          <w:spacing w:val="-3"/>
        </w:rPr>
        <w:t>7,</w:t>
      </w:r>
      <w:r w:rsidR="000A4E78" w:rsidRPr="007547B3">
        <w:rPr>
          <w:rFonts w:cs="Arial"/>
          <w:spacing w:val="-3"/>
        </w:rPr>
        <w:t>8</w:t>
      </w:r>
      <w:r w:rsidR="00185BAA" w:rsidRPr="007547B3">
        <w:rPr>
          <w:rFonts w:cs="Arial"/>
          <w:spacing w:val="-3"/>
        </w:rPr>
        <w:t>%</w:t>
      </w:r>
      <w:r w:rsidR="00701D51" w:rsidRPr="007547B3">
        <w:rPr>
          <w:rFonts w:cs="Arial"/>
          <w:spacing w:val="-3"/>
        </w:rPr>
        <w:t xml:space="preserve">, wobec odpowiednio </w:t>
      </w:r>
      <w:r w:rsidR="0008639F" w:rsidRPr="007547B3">
        <w:rPr>
          <w:rFonts w:cs="Arial"/>
          <w:spacing w:val="-3"/>
        </w:rPr>
        <w:t>5,</w:t>
      </w:r>
      <w:r w:rsidR="00BC4ED9" w:rsidRPr="007547B3">
        <w:rPr>
          <w:rFonts w:cs="Arial"/>
          <w:spacing w:val="-3"/>
        </w:rPr>
        <w:t>8</w:t>
      </w:r>
      <w:r w:rsidR="00185BAA" w:rsidRPr="007547B3">
        <w:rPr>
          <w:rFonts w:cs="Arial"/>
          <w:spacing w:val="-3"/>
        </w:rPr>
        <w:t xml:space="preserve">% i </w:t>
      </w:r>
      <w:r w:rsidR="00036E65" w:rsidRPr="007547B3">
        <w:rPr>
          <w:rFonts w:cs="Arial"/>
          <w:spacing w:val="-3"/>
        </w:rPr>
        <w:t>8,</w:t>
      </w:r>
      <w:r w:rsidR="00BC4ED9" w:rsidRPr="007547B3">
        <w:rPr>
          <w:rFonts w:cs="Arial"/>
          <w:spacing w:val="-3"/>
        </w:rPr>
        <w:t>9</w:t>
      </w:r>
      <w:r w:rsidR="00185BAA" w:rsidRPr="007547B3">
        <w:rPr>
          <w:rFonts w:cs="Arial"/>
          <w:spacing w:val="-3"/>
        </w:rPr>
        <w:t>%</w:t>
      </w:r>
      <w:r w:rsidR="00701D51" w:rsidRPr="007547B3">
        <w:rPr>
          <w:rFonts w:cs="Arial"/>
          <w:spacing w:val="-3"/>
        </w:rPr>
        <w:t xml:space="preserve"> </w:t>
      </w:r>
      <w:r w:rsidR="00036E65" w:rsidRPr="007547B3">
        <w:rPr>
          <w:rFonts w:cs="Arial"/>
          <w:spacing w:val="-3"/>
        </w:rPr>
        <w:t>w 201</w:t>
      </w:r>
      <w:r w:rsidR="00F600D4" w:rsidRPr="007547B3">
        <w:rPr>
          <w:rFonts w:cs="Arial"/>
          <w:spacing w:val="-3"/>
        </w:rPr>
        <w:t>8</w:t>
      </w:r>
      <w:r w:rsidR="00036E65" w:rsidRPr="007547B3">
        <w:rPr>
          <w:rFonts w:cs="Arial"/>
          <w:spacing w:val="-3"/>
        </w:rPr>
        <w:t xml:space="preserve"> r.</w:t>
      </w:r>
    </w:p>
    <w:p w:rsidR="00345F7C" w:rsidRDefault="008720A0" w:rsidP="002D45CF">
      <w:pPr>
        <w:rPr>
          <w:rFonts w:cs="Arial"/>
          <w:spacing w:val="-3"/>
        </w:rPr>
      </w:pPr>
      <w:r w:rsidRPr="007547B3">
        <w:rPr>
          <w:rFonts w:cs="Arial"/>
          <w:spacing w:val="-3"/>
        </w:rPr>
        <w:t xml:space="preserve">Ujemne salda odnotowano z krajami rozwijającymi się – minus </w:t>
      </w:r>
      <w:r w:rsidR="008E7391" w:rsidRPr="007547B3">
        <w:rPr>
          <w:rFonts w:cs="Arial"/>
          <w:spacing w:val="-3"/>
        </w:rPr>
        <w:t>1</w:t>
      </w:r>
      <w:r w:rsidR="00BC4ED9" w:rsidRPr="007547B3">
        <w:rPr>
          <w:rFonts w:cs="Arial"/>
          <w:spacing w:val="-3"/>
        </w:rPr>
        <w:t>9</w:t>
      </w:r>
      <w:r w:rsidR="000A4E78" w:rsidRPr="007547B3">
        <w:rPr>
          <w:rFonts w:cs="Arial"/>
          <w:spacing w:val="-3"/>
        </w:rPr>
        <w:t>5</w:t>
      </w:r>
      <w:r w:rsidR="008E7391" w:rsidRPr="007547B3">
        <w:rPr>
          <w:rFonts w:cs="Arial"/>
          <w:spacing w:val="-3"/>
        </w:rPr>
        <w:t>,</w:t>
      </w:r>
      <w:r w:rsidR="006C1E70" w:rsidRPr="007547B3">
        <w:rPr>
          <w:rFonts w:cs="Arial"/>
          <w:spacing w:val="-3"/>
        </w:rPr>
        <w:t>5</w:t>
      </w:r>
      <w:r w:rsidR="00F70DA2" w:rsidRPr="007547B3">
        <w:rPr>
          <w:rFonts w:cs="Arial"/>
        </w:rPr>
        <w:t xml:space="preserve"> </w:t>
      </w:r>
      <w:r w:rsidRPr="007547B3">
        <w:rPr>
          <w:rFonts w:cs="Arial"/>
          <w:spacing w:val="-3"/>
        </w:rPr>
        <w:t>ml</w:t>
      </w:r>
      <w:r w:rsidR="00F70DA2" w:rsidRPr="007547B3">
        <w:rPr>
          <w:rFonts w:cs="Arial"/>
          <w:spacing w:val="-3"/>
        </w:rPr>
        <w:t>d</w:t>
      </w:r>
      <w:r w:rsidRPr="007547B3">
        <w:rPr>
          <w:rFonts w:cs="Arial"/>
          <w:spacing w:val="-3"/>
        </w:rPr>
        <w:t xml:space="preserve"> </w:t>
      </w:r>
      <w:r w:rsidR="00A52A97" w:rsidRPr="007547B3">
        <w:rPr>
          <w:rFonts w:cs="Arial"/>
          <w:spacing w:val="-3"/>
        </w:rPr>
        <w:t>PLN</w:t>
      </w:r>
      <w:r w:rsidRPr="007547B3">
        <w:rPr>
          <w:rFonts w:cs="Arial"/>
          <w:spacing w:val="-3"/>
        </w:rPr>
        <w:t xml:space="preserve"> (minus </w:t>
      </w:r>
      <w:r w:rsidR="00BC4ED9" w:rsidRPr="007547B3">
        <w:rPr>
          <w:rFonts w:cs="Arial"/>
          <w:spacing w:val="-3"/>
        </w:rPr>
        <w:t>5</w:t>
      </w:r>
      <w:r w:rsidR="000A4E78" w:rsidRPr="007547B3">
        <w:rPr>
          <w:rFonts w:cs="Arial"/>
          <w:spacing w:val="-3"/>
        </w:rPr>
        <w:t>1</w:t>
      </w:r>
      <w:r w:rsidR="00BC4ED9" w:rsidRPr="007547B3">
        <w:rPr>
          <w:rFonts w:cs="Arial"/>
          <w:spacing w:val="-3"/>
        </w:rPr>
        <w:t>,</w:t>
      </w:r>
      <w:r w:rsidR="000A4E78" w:rsidRPr="007547B3">
        <w:rPr>
          <w:rFonts w:cs="Arial"/>
          <w:spacing w:val="-3"/>
        </w:rPr>
        <w:t>0</w:t>
      </w:r>
      <w:r w:rsidR="0008639F" w:rsidRPr="007547B3">
        <w:rPr>
          <w:rFonts w:cs="Arial"/>
          <w:spacing w:val="-3"/>
        </w:rPr>
        <w:t xml:space="preserve"> </w:t>
      </w:r>
      <w:r w:rsidRPr="007547B3">
        <w:rPr>
          <w:rFonts w:cs="Arial"/>
          <w:spacing w:val="-3"/>
        </w:rPr>
        <w:t>ml</w:t>
      </w:r>
      <w:r w:rsidR="00F70DA2" w:rsidRPr="007547B3">
        <w:rPr>
          <w:rFonts w:cs="Arial"/>
          <w:spacing w:val="-3"/>
        </w:rPr>
        <w:t>d</w:t>
      </w:r>
      <w:r w:rsidRPr="007547B3">
        <w:rPr>
          <w:rFonts w:cs="Arial"/>
          <w:spacing w:val="-3"/>
        </w:rPr>
        <w:t xml:space="preserve"> USD, minus </w:t>
      </w:r>
      <w:r w:rsidR="006058C1" w:rsidRPr="007547B3">
        <w:rPr>
          <w:rFonts w:cs="Arial"/>
          <w:spacing w:val="-3"/>
        </w:rPr>
        <w:t>4</w:t>
      </w:r>
      <w:r w:rsidR="00BC4ED9" w:rsidRPr="007547B3">
        <w:rPr>
          <w:rFonts w:cs="Arial"/>
          <w:spacing w:val="-3"/>
        </w:rPr>
        <w:t>5</w:t>
      </w:r>
      <w:r w:rsidR="006058C1" w:rsidRPr="007547B3">
        <w:rPr>
          <w:rFonts w:cs="Arial"/>
          <w:spacing w:val="-3"/>
        </w:rPr>
        <w:t>,</w:t>
      </w:r>
      <w:r w:rsidR="000A4E78" w:rsidRPr="007547B3">
        <w:rPr>
          <w:rFonts w:cs="Arial"/>
          <w:spacing w:val="-3"/>
        </w:rPr>
        <w:t>5</w:t>
      </w:r>
      <w:r w:rsidRPr="007547B3">
        <w:rPr>
          <w:rFonts w:cs="Arial"/>
        </w:rPr>
        <w:t xml:space="preserve"> </w:t>
      </w:r>
      <w:r w:rsidRPr="007547B3">
        <w:rPr>
          <w:rFonts w:cs="Arial"/>
          <w:spacing w:val="-3"/>
        </w:rPr>
        <w:t>ml</w:t>
      </w:r>
      <w:r w:rsidR="00F70DA2" w:rsidRPr="007547B3">
        <w:rPr>
          <w:rFonts w:cs="Arial"/>
          <w:spacing w:val="-3"/>
        </w:rPr>
        <w:t>d</w:t>
      </w:r>
      <w:r w:rsidRPr="007547B3">
        <w:rPr>
          <w:rFonts w:cs="Arial"/>
          <w:spacing w:val="-3"/>
        </w:rPr>
        <w:t xml:space="preserve"> EUR) i z krajami Europy Środkowo-Wschodniej – minus </w:t>
      </w:r>
      <w:r w:rsidR="008E7391" w:rsidRPr="007547B3">
        <w:rPr>
          <w:rFonts w:cs="Arial"/>
          <w:spacing w:val="-3"/>
        </w:rPr>
        <w:t>1</w:t>
      </w:r>
      <w:r w:rsidR="00BC4ED9" w:rsidRPr="007547B3">
        <w:rPr>
          <w:rFonts w:cs="Arial"/>
          <w:spacing w:val="-3"/>
        </w:rPr>
        <w:t>7</w:t>
      </w:r>
      <w:r w:rsidR="008E7391" w:rsidRPr="007547B3">
        <w:rPr>
          <w:rFonts w:cs="Arial"/>
          <w:spacing w:val="-3"/>
        </w:rPr>
        <w:t>,</w:t>
      </w:r>
      <w:r w:rsidR="000A4E78" w:rsidRPr="007547B3">
        <w:rPr>
          <w:rFonts w:cs="Arial"/>
          <w:spacing w:val="-3"/>
        </w:rPr>
        <w:t>7</w:t>
      </w:r>
      <w:r w:rsidR="0008639F" w:rsidRPr="007547B3">
        <w:rPr>
          <w:rFonts w:cs="Arial"/>
          <w:spacing w:val="-3"/>
        </w:rPr>
        <w:t xml:space="preserve"> </w:t>
      </w:r>
      <w:r w:rsidR="00F70DA2" w:rsidRPr="007547B3">
        <w:rPr>
          <w:rFonts w:cs="Arial"/>
          <w:spacing w:val="-3"/>
        </w:rPr>
        <w:t>mld</w:t>
      </w:r>
      <w:r w:rsidRPr="007547B3">
        <w:rPr>
          <w:rFonts w:cs="Arial"/>
          <w:spacing w:val="-3"/>
        </w:rPr>
        <w:t xml:space="preserve"> </w:t>
      </w:r>
      <w:r w:rsidR="00A52A97" w:rsidRPr="007547B3">
        <w:rPr>
          <w:rFonts w:cs="Arial"/>
          <w:spacing w:val="-3"/>
        </w:rPr>
        <w:t>PLN</w:t>
      </w:r>
      <w:r w:rsidRPr="007547B3">
        <w:rPr>
          <w:rFonts w:cs="Arial"/>
          <w:spacing w:val="-3"/>
        </w:rPr>
        <w:t xml:space="preserve"> (minus </w:t>
      </w:r>
      <w:r w:rsidR="00BC4ED9" w:rsidRPr="007547B3">
        <w:rPr>
          <w:rFonts w:cs="Arial"/>
          <w:spacing w:val="-3"/>
        </w:rPr>
        <w:t>4,</w:t>
      </w:r>
      <w:r w:rsidR="006C1E70" w:rsidRPr="007547B3">
        <w:rPr>
          <w:rFonts w:cs="Arial"/>
          <w:spacing w:val="-3"/>
        </w:rPr>
        <w:t>6</w:t>
      </w:r>
      <w:r w:rsidRPr="007547B3">
        <w:rPr>
          <w:rFonts w:cs="Arial"/>
        </w:rPr>
        <w:t xml:space="preserve"> </w:t>
      </w:r>
      <w:r w:rsidR="00F70DA2" w:rsidRPr="007547B3">
        <w:rPr>
          <w:rFonts w:cs="Arial"/>
          <w:spacing w:val="-3"/>
        </w:rPr>
        <w:t>mld</w:t>
      </w:r>
      <w:r w:rsidRPr="007547B3">
        <w:rPr>
          <w:rFonts w:cs="Arial"/>
          <w:spacing w:val="-3"/>
        </w:rPr>
        <w:t xml:space="preserve"> USD, minus </w:t>
      </w:r>
      <w:r w:rsidR="00BC4ED9" w:rsidRPr="007547B3">
        <w:rPr>
          <w:rFonts w:cs="Arial"/>
          <w:spacing w:val="-3"/>
        </w:rPr>
        <w:t>4,1</w:t>
      </w:r>
      <w:r w:rsidRPr="007547B3">
        <w:rPr>
          <w:rFonts w:cs="Arial"/>
        </w:rPr>
        <w:t xml:space="preserve"> </w:t>
      </w:r>
      <w:r w:rsidR="00FC0B7D" w:rsidRPr="007547B3">
        <w:rPr>
          <w:rFonts w:cs="Arial"/>
          <w:spacing w:val="-3"/>
        </w:rPr>
        <w:t>mld</w:t>
      </w:r>
      <w:r w:rsidRPr="007547B3">
        <w:rPr>
          <w:rFonts w:cs="Arial"/>
          <w:spacing w:val="-3"/>
        </w:rPr>
        <w:t xml:space="preserve"> EUR). Dodatnie saldo uzyskano w obrotach z  krajami rozwiniętymi </w:t>
      </w:r>
      <w:r w:rsidR="006058C1" w:rsidRPr="007547B3">
        <w:rPr>
          <w:rFonts w:cs="Arial"/>
        </w:rPr>
        <w:t>2</w:t>
      </w:r>
      <w:r w:rsidR="000A4E78" w:rsidRPr="007547B3">
        <w:rPr>
          <w:rFonts w:cs="Arial"/>
        </w:rPr>
        <w:t>18</w:t>
      </w:r>
      <w:r w:rsidR="006058C1" w:rsidRPr="007547B3">
        <w:rPr>
          <w:rFonts w:cs="Arial"/>
        </w:rPr>
        <w:t>,</w:t>
      </w:r>
      <w:r w:rsidR="006C1E70" w:rsidRPr="007547B3">
        <w:rPr>
          <w:rFonts w:cs="Arial"/>
        </w:rPr>
        <w:t>2</w:t>
      </w:r>
      <w:r w:rsidRPr="007547B3">
        <w:rPr>
          <w:rFonts w:cs="Arial"/>
          <w:spacing w:val="-3"/>
        </w:rPr>
        <w:t xml:space="preserve"> ml</w:t>
      </w:r>
      <w:r w:rsidR="00F70DA2" w:rsidRPr="007547B3">
        <w:rPr>
          <w:rFonts w:cs="Arial"/>
          <w:spacing w:val="-3"/>
        </w:rPr>
        <w:t>d</w:t>
      </w:r>
      <w:r w:rsidRPr="007547B3">
        <w:rPr>
          <w:rFonts w:cs="Arial"/>
          <w:spacing w:val="-3"/>
        </w:rPr>
        <w:t xml:space="preserve"> </w:t>
      </w:r>
      <w:r w:rsidR="00A52A97" w:rsidRPr="007547B3">
        <w:rPr>
          <w:rFonts w:cs="Arial"/>
          <w:spacing w:val="-3"/>
        </w:rPr>
        <w:t>PLN</w:t>
      </w:r>
      <w:r w:rsidRPr="007547B3">
        <w:rPr>
          <w:rFonts w:cs="Arial"/>
          <w:spacing w:val="-3"/>
        </w:rPr>
        <w:t xml:space="preserve"> (</w:t>
      </w:r>
      <w:r w:rsidR="006058C1" w:rsidRPr="007547B3">
        <w:rPr>
          <w:rFonts w:cs="Arial"/>
          <w:spacing w:val="-3"/>
        </w:rPr>
        <w:t>5</w:t>
      </w:r>
      <w:r w:rsidR="000A4E78" w:rsidRPr="007547B3">
        <w:rPr>
          <w:rFonts w:cs="Arial"/>
          <w:spacing w:val="-3"/>
        </w:rPr>
        <w:t>6</w:t>
      </w:r>
      <w:r w:rsidR="006058C1" w:rsidRPr="007547B3">
        <w:rPr>
          <w:rFonts w:cs="Arial"/>
          <w:spacing w:val="-3"/>
        </w:rPr>
        <w:t>,</w:t>
      </w:r>
      <w:r w:rsidR="000A4E78" w:rsidRPr="007547B3">
        <w:rPr>
          <w:rFonts w:cs="Arial"/>
          <w:spacing w:val="-3"/>
        </w:rPr>
        <w:t>9</w:t>
      </w:r>
      <w:r w:rsidRPr="007547B3">
        <w:rPr>
          <w:rFonts w:cs="Arial"/>
        </w:rPr>
        <w:t xml:space="preserve"> </w:t>
      </w:r>
      <w:r w:rsidR="00F70DA2" w:rsidRPr="007547B3">
        <w:rPr>
          <w:rFonts w:cs="Arial"/>
          <w:spacing w:val="-3"/>
        </w:rPr>
        <w:t>mld</w:t>
      </w:r>
      <w:r w:rsidRPr="007547B3">
        <w:rPr>
          <w:rFonts w:cs="Arial"/>
          <w:spacing w:val="-3"/>
        </w:rPr>
        <w:t xml:space="preserve"> USD, </w:t>
      </w:r>
      <w:r w:rsidR="00BC4ED9" w:rsidRPr="007547B3">
        <w:rPr>
          <w:rFonts w:cs="Arial"/>
          <w:spacing w:val="-3"/>
        </w:rPr>
        <w:t>5</w:t>
      </w:r>
      <w:r w:rsidR="000A4E78" w:rsidRPr="007547B3">
        <w:rPr>
          <w:rFonts w:cs="Arial"/>
          <w:spacing w:val="-3"/>
        </w:rPr>
        <w:t>0</w:t>
      </w:r>
      <w:r w:rsidR="008E7391" w:rsidRPr="007547B3">
        <w:rPr>
          <w:rFonts w:cs="Arial"/>
          <w:spacing w:val="-3"/>
        </w:rPr>
        <w:t>,</w:t>
      </w:r>
      <w:r w:rsidR="006C1E70" w:rsidRPr="007547B3">
        <w:rPr>
          <w:rFonts w:cs="Arial"/>
          <w:spacing w:val="-3"/>
        </w:rPr>
        <w:t>8</w:t>
      </w:r>
      <w:r w:rsidRPr="007547B3">
        <w:rPr>
          <w:rFonts w:cs="Arial"/>
          <w:spacing w:val="-3"/>
        </w:rPr>
        <w:t xml:space="preserve"> </w:t>
      </w:r>
      <w:r w:rsidR="00F70DA2" w:rsidRPr="007547B3">
        <w:rPr>
          <w:rFonts w:cs="Arial"/>
          <w:spacing w:val="-3"/>
        </w:rPr>
        <w:t>mld</w:t>
      </w:r>
      <w:r w:rsidRPr="007547B3">
        <w:rPr>
          <w:rFonts w:cs="Arial"/>
          <w:spacing w:val="-3"/>
        </w:rPr>
        <w:t xml:space="preserve"> EUR), w tym z krajami UE saldo </w:t>
      </w:r>
      <w:r w:rsidRPr="008720A0">
        <w:rPr>
          <w:rFonts w:cs="Arial"/>
          <w:spacing w:val="-3"/>
        </w:rPr>
        <w:t xml:space="preserve">osiągnęło poziom </w:t>
      </w:r>
      <w:r w:rsidR="006058C1">
        <w:rPr>
          <w:rFonts w:cs="Arial"/>
          <w:color w:val="000000"/>
        </w:rPr>
        <w:t>2</w:t>
      </w:r>
      <w:r w:rsidR="00BC4ED9">
        <w:rPr>
          <w:rFonts w:cs="Arial"/>
          <w:color w:val="000000"/>
        </w:rPr>
        <w:t>2</w:t>
      </w:r>
      <w:r w:rsidR="000A4E78">
        <w:rPr>
          <w:rFonts w:cs="Arial"/>
          <w:color w:val="000000"/>
        </w:rPr>
        <w:t>7</w:t>
      </w:r>
      <w:r w:rsidR="006058C1">
        <w:rPr>
          <w:rFonts w:cs="Arial"/>
          <w:color w:val="000000"/>
        </w:rPr>
        <w:t>,</w:t>
      </w:r>
      <w:r w:rsidR="000A4E78">
        <w:rPr>
          <w:rFonts w:cs="Arial"/>
          <w:color w:val="000000"/>
        </w:rPr>
        <w:t>6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 w:rsidRPr="008720A0">
        <w:rPr>
          <w:rFonts w:cs="Arial"/>
          <w:spacing w:val="-3"/>
        </w:rPr>
        <w:t xml:space="preserve"> (</w:t>
      </w:r>
      <w:r w:rsidR="006058C1">
        <w:rPr>
          <w:rFonts w:cs="Arial"/>
          <w:spacing w:val="-3"/>
        </w:rPr>
        <w:t>5</w:t>
      </w:r>
      <w:r w:rsidR="00BC4ED9">
        <w:rPr>
          <w:rFonts w:cs="Arial"/>
          <w:spacing w:val="-3"/>
        </w:rPr>
        <w:t>9</w:t>
      </w:r>
      <w:r w:rsidR="008E7391">
        <w:rPr>
          <w:rFonts w:cs="Arial"/>
          <w:spacing w:val="-3"/>
        </w:rPr>
        <w:t>,</w:t>
      </w:r>
      <w:r w:rsidR="000A4E78">
        <w:rPr>
          <w:rFonts w:cs="Arial"/>
          <w:spacing w:val="-3"/>
        </w:rPr>
        <w:t>3</w:t>
      </w:r>
      <w:r w:rsidR="00CC587A"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BC4ED9">
        <w:rPr>
          <w:rFonts w:cs="Arial"/>
          <w:spacing w:val="-3"/>
        </w:rPr>
        <w:t>5</w:t>
      </w:r>
      <w:r w:rsidR="000A4E78">
        <w:rPr>
          <w:rFonts w:cs="Arial"/>
          <w:spacing w:val="-3"/>
        </w:rPr>
        <w:t>2</w:t>
      </w:r>
      <w:r w:rsidR="008E7391">
        <w:rPr>
          <w:rFonts w:cs="Arial"/>
          <w:spacing w:val="-3"/>
        </w:rPr>
        <w:t>,</w:t>
      </w:r>
      <w:r w:rsidR="000A4E78">
        <w:rPr>
          <w:rFonts w:cs="Arial"/>
          <w:spacing w:val="-3"/>
        </w:rPr>
        <w:t>9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746E1A" w:rsidRDefault="00746E1A" w:rsidP="002D45CF">
      <w:pPr>
        <w:rPr>
          <w:rFonts w:cs="Arial"/>
          <w:spacing w:val="-3"/>
        </w:rPr>
      </w:pPr>
    </w:p>
    <w:p w:rsidR="00746E1A" w:rsidRDefault="00746E1A" w:rsidP="002D45CF">
      <w:pPr>
        <w:rPr>
          <w:rFonts w:cs="Arial"/>
          <w:spacing w:val="-3"/>
        </w:rPr>
      </w:pPr>
    </w:p>
    <w:p w:rsidR="00746E1A" w:rsidRDefault="00746E1A" w:rsidP="002D45CF">
      <w:pPr>
        <w:rPr>
          <w:rFonts w:cs="Arial"/>
          <w:spacing w:val="-3"/>
        </w:rPr>
      </w:pPr>
    </w:p>
    <w:p w:rsidR="00746E1A" w:rsidRDefault="00746E1A" w:rsidP="002D45CF">
      <w:pPr>
        <w:rPr>
          <w:rFonts w:cs="Arial"/>
          <w:spacing w:val="-3"/>
        </w:rPr>
      </w:pPr>
    </w:p>
    <w:p w:rsidR="0032506F" w:rsidRDefault="0032506F" w:rsidP="002D45CF">
      <w:pPr>
        <w:rPr>
          <w:rFonts w:cs="Arial"/>
          <w:b/>
          <w:spacing w:val="-3"/>
          <w:sz w:val="18"/>
          <w:szCs w:val="18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lastRenderedPageBreak/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26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60366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2019</w:t>
            </w:r>
          </w:p>
        </w:tc>
      </w:tr>
      <w:tr w:rsidR="00746E1A" w:rsidRPr="00673305" w:rsidTr="00746E1A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746E1A" w:rsidRPr="00673305" w:rsidRDefault="00746E1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746E1A" w:rsidRPr="00673305" w:rsidRDefault="00746E1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746E1A" w:rsidRPr="00673305" w:rsidRDefault="00746E1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746E1A" w:rsidRPr="00673305" w:rsidRDefault="00746E1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746E1A" w:rsidRPr="00673305" w:rsidRDefault="00746E1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746E1A" w:rsidRPr="00673305" w:rsidRDefault="00746E1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746E1A" w:rsidRPr="00673305" w:rsidRDefault="00746E1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746E1A" w:rsidRPr="00673305" w:rsidRDefault="00746E1A" w:rsidP="004C0A4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:rsidR="00746E1A" w:rsidRPr="00673305" w:rsidRDefault="00746E1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746E1A" w:rsidRPr="00673305" w:rsidTr="00746E1A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746E1A" w:rsidRPr="00673305" w:rsidRDefault="00746E1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746E1A" w:rsidRPr="00673305" w:rsidRDefault="00746E1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746E1A" w:rsidRPr="00673305" w:rsidRDefault="00746E1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746E1A" w:rsidRPr="00673305" w:rsidRDefault="00746E1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746E1A" w:rsidRPr="00673305" w:rsidRDefault="00746E1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746E1A" w:rsidRPr="00673305" w:rsidRDefault="00746E1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746E1A" w:rsidRPr="00673305" w:rsidRDefault="00746E1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:rsidR="00746E1A" w:rsidRPr="00673305" w:rsidRDefault="00746E1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46E1A" w:rsidRPr="00E33A76" w:rsidTr="00E931C8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746E1A" w:rsidRPr="00E33A76" w:rsidRDefault="00746E1A" w:rsidP="00746E1A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1023,6</w:t>
            </w:r>
          </w:p>
        </w:tc>
        <w:tc>
          <w:tcPr>
            <w:tcW w:w="72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267,1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238,1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46E1A" w:rsidRDefault="00746E1A" w:rsidP="00746E1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746E1A" w:rsidRDefault="00746E1A" w:rsidP="00746E1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46E1A" w:rsidTr="00E931C8">
        <w:trPr>
          <w:trHeight w:val="352"/>
        </w:trPr>
        <w:tc>
          <w:tcPr>
            <w:tcW w:w="2552" w:type="dxa"/>
            <w:vAlign w:val="center"/>
          </w:tcPr>
          <w:p w:rsidR="00746E1A" w:rsidRPr="00E33A76" w:rsidRDefault="00746E1A" w:rsidP="00746E1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888,1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86,8</w:t>
            </w:r>
          </w:p>
        </w:tc>
      </w:tr>
      <w:tr w:rsidR="00D85D1B" w:rsidTr="00E931C8">
        <w:trPr>
          <w:trHeight w:val="342"/>
        </w:trPr>
        <w:tc>
          <w:tcPr>
            <w:tcW w:w="2552" w:type="dxa"/>
            <w:vAlign w:val="center"/>
          </w:tcPr>
          <w:p w:rsidR="00D85D1B" w:rsidRPr="00E33A76" w:rsidRDefault="00D85D1B" w:rsidP="00D85D1B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Default="00D85D1B" w:rsidP="00D85D1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818,8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Default="00D85D1B" w:rsidP="00D85D1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Default="00D85D1B" w:rsidP="00D85D1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Default="00D85D1B" w:rsidP="00D85D1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Default="00D85D1B" w:rsidP="00D85D1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Default="00D85D1B" w:rsidP="00D85D1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Default="00D85D1B" w:rsidP="00D85D1B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D85D1B" w:rsidRDefault="00D85D1B" w:rsidP="00D85D1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</w:tr>
      <w:tr w:rsidR="00746E1A" w:rsidTr="00E931C8">
        <w:trPr>
          <w:trHeight w:val="270"/>
        </w:trPr>
        <w:tc>
          <w:tcPr>
            <w:tcW w:w="2552" w:type="dxa"/>
            <w:vAlign w:val="center"/>
          </w:tcPr>
          <w:p w:rsidR="00746E1A" w:rsidRPr="00E33A76" w:rsidRDefault="00746E1A" w:rsidP="00746E1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589,0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57,5</w:t>
            </w:r>
          </w:p>
        </w:tc>
      </w:tr>
      <w:tr w:rsidR="00746E1A" w:rsidTr="00E931C8">
        <w:trPr>
          <w:trHeight w:val="342"/>
        </w:trPr>
        <w:tc>
          <w:tcPr>
            <w:tcW w:w="2552" w:type="dxa"/>
            <w:vAlign w:val="center"/>
          </w:tcPr>
          <w:p w:rsidR="00746E1A" w:rsidRPr="00E33A76" w:rsidRDefault="00746E1A" w:rsidP="00746E1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</w:tr>
      <w:tr w:rsidR="00746E1A" w:rsidTr="00E931C8">
        <w:trPr>
          <w:trHeight w:val="308"/>
        </w:trPr>
        <w:tc>
          <w:tcPr>
            <w:tcW w:w="2552" w:type="dxa"/>
            <w:vAlign w:val="center"/>
          </w:tcPr>
          <w:p w:rsidR="00746E1A" w:rsidRPr="00E33A76" w:rsidRDefault="00746E1A" w:rsidP="00746E1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</w:tr>
      <w:tr w:rsidR="00746E1A" w:rsidRPr="00E33A76" w:rsidTr="00EB7EE9">
        <w:trPr>
          <w:trHeight w:val="342"/>
        </w:trPr>
        <w:tc>
          <w:tcPr>
            <w:tcW w:w="2552" w:type="dxa"/>
            <w:vAlign w:val="center"/>
          </w:tcPr>
          <w:p w:rsidR="00746E1A" w:rsidRPr="00A00ADB" w:rsidRDefault="00746E1A" w:rsidP="00746E1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1018,5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265,8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746E1A" w:rsidRDefault="00746E1A" w:rsidP="00746E1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746E1A" w:rsidRDefault="00746E1A" w:rsidP="00746E1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46E1A" w:rsidTr="00EB7EE9">
        <w:trPr>
          <w:trHeight w:val="352"/>
        </w:trPr>
        <w:tc>
          <w:tcPr>
            <w:tcW w:w="2552" w:type="dxa"/>
            <w:vAlign w:val="center"/>
          </w:tcPr>
          <w:p w:rsidR="00746E1A" w:rsidRPr="00E33A76" w:rsidRDefault="00746E1A" w:rsidP="00746E1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669,8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65,8</w:t>
            </w:r>
          </w:p>
        </w:tc>
      </w:tr>
      <w:tr w:rsidR="00D85D1B" w:rsidTr="00EB7EE9">
        <w:trPr>
          <w:trHeight w:val="342"/>
        </w:trPr>
        <w:tc>
          <w:tcPr>
            <w:tcW w:w="2552" w:type="dxa"/>
            <w:vAlign w:val="center"/>
          </w:tcPr>
          <w:p w:rsidR="00D85D1B" w:rsidRPr="00E33A76" w:rsidRDefault="00D85D1B" w:rsidP="00D85D1B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Default="00D85D1B" w:rsidP="00D85D1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591,2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Default="00D85D1B" w:rsidP="00D85D1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Default="00D85D1B" w:rsidP="00D85D1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Default="00D85D1B" w:rsidP="00D85D1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Default="00D85D1B" w:rsidP="00D85D1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Default="00D85D1B" w:rsidP="00D85D1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Default="00D85D1B" w:rsidP="00D85D1B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D85D1B" w:rsidRDefault="00D85D1B" w:rsidP="00D85D1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58,1</w:t>
            </w:r>
          </w:p>
        </w:tc>
      </w:tr>
      <w:tr w:rsidR="00746E1A" w:rsidTr="00EB7EE9">
        <w:trPr>
          <w:trHeight w:val="352"/>
        </w:trPr>
        <w:tc>
          <w:tcPr>
            <w:tcW w:w="2552" w:type="dxa"/>
            <w:vAlign w:val="center"/>
          </w:tcPr>
          <w:p w:rsidR="00746E1A" w:rsidRPr="00E33A76" w:rsidRDefault="00746E1A" w:rsidP="00746E1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469,5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46,1</w:t>
            </w:r>
          </w:p>
        </w:tc>
      </w:tr>
      <w:tr w:rsidR="00746E1A" w:rsidTr="00EB7EE9">
        <w:trPr>
          <w:trHeight w:val="342"/>
        </w:trPr>
        <w:tc>
          <w:tcPr>
            <w:tcW w:w="2552" w:type="dxa"/>
            <w:vAlign w:val="center"/>
          </w:tcPr>
          <w:p w:rsidR="00746E1A" w:rsidRPr="00E33A76" w:rsidRDefault="00746E1A" w:rsidP="00746E1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269,0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26,4</w:t>
            </w:r>
          </w:p>
        </w:tc>
      </w:tr>
      <w:tr w:rsidR="00746E1A" w:rsidTr="00EB7EE9">
        <w:trPr>
          <w:trHeight w:val="355"/>
        </w:trPr>
        <w:tc>
          <w:tcPr>
            <w:tcW w:w="2552" w:type="dxa"/>
            <w:vAlign w:val="center"/>
          </w:tcPr>
          <w:p w:rsidR="00746E1A" w:rsidRPr="00E33A76" w:rsidRDefault="00746E1A" w:rsidP="00746E1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Pr="007547B3" w:rsidRDefault="00746E1A" w:rsidP="00746E1A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79,6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Pr="007547B3" w:rsidRDefault="00746E1A" w:rsidP="00746E1A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20,8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Pr="007547B3" w:rsidRDefault="00746E1A" w:rsidP="00746E1A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18,5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746E1A" w:rsidRDefault="00746E1A" w:rsidP="00746E1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</w:tr>
      <w:tr w:rsidR="00ED74C5" w:rsidRPr="00E33A76" w:rsidTr="00EB7EE9">
        <w:trPr>
          <w:trHeight w:val="342"/>
        </w:trPr>
        <w:tc>
          <w:tcPr>
            <w:tcW w:w="2552" w:type="dxa"/>
            <w:vAlign w:val="center"/>
          </w:tcPr>
          <w:p w:rsidR="00ED74C5" w:rsidRPr="00E33A76" w:rsidRDefault="00ED74C5" w:rsidP="00ED74C5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D74C5" w:rsidRPr="007547B3" w:rsidRDefault="00ED74C5" w:rsidP="00ED74C5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47B3">
              <w:rPr>
                <w:rFonts w:cs="Arial"/>
                <w:b/>
                <w:bCs/>
                <w:sz w:val="16"/>
                <w:szCs w:val="16"/>
              </w:rPr>
              <w:t>5,1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D74C5" w:rsidRPr="007547B3" w:rsidRDefault="00ED74C5" w:rsidP="00ED74C5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47B3">
              <w:rPr>
                <w:rFonts w:cs="Arial"/>
                <w:b/>
                <w:bCs/>
                <w:sz w:val="16"/>
                <w:szCs w:val="16"/>
              </w:rPr>
              <w:t>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D74C5" w:rsidRPr="007547B3" w:rsidRDefault="00ED74C5" w:rsidP="00CD544E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47B3">
              <w:rPr>
                <w:rFonts w:cs="Arial"/>
                <w:b/>
                <w:bCs/>
                <w:sz w:val="16"/>
                <w:szCs w:val="16"/>
              </w:rPr>
              <w:t>1,</w:t>
            </w:r>
            <w:r w:rsidR="00CD544E" w:rsidRPr="007547B3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ED74C5" w:rsidRPr="00E33A76" w:rsidTr="00EB7EE9">
        <w:trPr>
          <w:trHeight w:val="352"/>
        </w:trPr>
        <w:tc>
          <w:tcPr>
            <w:tcW w:w="2552" w:type="dxa"/>
            <w:vAlign w:val="center"/>
          </w:tcPr>
          <w:p w:rsidR="00ED74C5" w:rsidRPr="00E33A76" w:rsidRDefault="00ED74C5" w:rsidP="00ED74C5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D74C5" w:rsidRPr="007547B3" w:rsidRDefault="00ED74C5" w:rsidP="00CD544E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218,</w:t>
            </w:r>
            <w:r w:rsidR="00CD544E" w:rsidRPr="007547B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D74C5" w:rsidRPr="007547B3" w:rsidRDefault="00ED74C5" w:rsidP="00ED74C5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56,9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D74C5" w:rsidRPr="007547B3" w:rsidRDefault="00ED74C5" w:rsidP="00CD544E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50,</w:t>
            </w:r>
            <w:r w:rsidR="00CD544E" w:rsidRPr="007547B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D85D1B" w:rsidRPr="00E33A76" w:rsidTr="00EB7EE9">
        <w:trPr>
          <w:trHeight w:val="342"/>
        </w:trPr>
        <w:tc>
          <w:tcPr>
            <w:tcW w:w="2552" w:type="dxa"/>
            <w:vAlign w:val="center"/>
          </w:tcPr>
          <w:p w:rsidR="00D85D1B" w:rsidRPr="00E33A76" w:rsidRDefault="00D85D1B" w:rsidP="00D85D1B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Pr="007547B3" w:rsidRDefault="00D85D1B" w:rsidP="00D85D1B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227,6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Pr="007547B3" w:rsidRDefault="00D85D1B" w:rsidP="00D85D1B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59,3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85D1B" w:rsidRPr="007547B3" w:rsidRDefault="00D85D1B" w:rsidP="00D85D1B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52,9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85D1B" w:rsidRDefault="00117D81" w:rsidP="00D85D1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85D1B" w:rsidRDefault="00117D81" w:rsidP="00D85D1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85D1B" w:rsidRDefault="00117D81" w:rsidP="00D85D1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85D1B" w:rsidRDefault="00117D81" w:rsidP="00D85D1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D85D1B" w:rsidRDefault="00117D81" w:rsidP="00D85D1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ED74C5" w:rsidRPr="00E33A76" w:rsidTr="00EB7EE9">
        <w:trPr>
          <w:trHeight w:val="352"/>
        </w:trPr>
        <w:tc>
          <w:tcPr>
            <w:tcW w:w="2552" w:type="dxa"/>
            <w:vAlign w:val="center"/>
          </w:tcPr>
          <w:p w:rsidR="00ED74C5" w:rsidRPr="00E33A76" w:rsidRDefault="00ED74C5" w:rsidP="00ED74C5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D74C5" w:rsidRPr="007547B3" w:rsidRDefault="00ED74C5" w:rsidP="00CD544E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119,</w:t>
            </w:r>
            <w:r w:rsidR="00CD544E" w:rsidRPr="007547B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D74C5" w:rsidRPr="007547B3" w:rsidRDefault="00ED74C5" w:rsidP="00ED74C5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31,2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D74C5" w:rsidRPr="007547B3" w:rsidRDefault="00ED74C5" w:rsidP="00ED74C5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27,8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ED74C5" w:rsidRPr="00E33A76" w:rsidTr="00EB7EE9">
        <w:trPr>
          <w:trHeight w:val="342"/>
        </w:trPr>
        <w:tc>
          <w:tcPr>
            <w:tcW w:w="2552" w:type="dxa"/>
            <w:vAlign w:val="center"/>
          </w:tcPr>
          <w:p w:rsidR="00ED74C5" w:rsidRPr="00E33A76" w:rsidRDefault="00ED74C5" w:rsidP="00ED74C5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D74C5" w:rsidRPr="007547B3" w:rsidRDefault="00ED74C5" w:rsidP="00CD544E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-195,</w:t>
            </w:r>
            <w:r w:rsidR="00CD544E" w:rsidRPr="007547B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D74C5" w:rsidRPr="007547B3" w:rsidRDefault="00ED74C5" w:rsidP="00ED74C5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-51,0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D74C5" w:rsidRPr="007547B3" w:rsidRDefault="00ED74C5" w:rsidP="00ED74C5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-45,5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ED74C5" w:rsidRPr="00E33A76" w:rsidTr="00EB7EE9">
        <w:trPr>
          <w:trHeight w:val="258"/>
        </w:trPr>
        <w:tc>
          <w:tcPr>
            <w:tcW w:w="2552" w:type="dxa"/>
            <w:vAlign w:val="center"/>
          </w:tcPr>
          <w:p w:rsidR="00ED74C5" w:rsidRPr="00E33A76" w:rsidRDefault="00ED74C5" w:rsidP="00ED74C5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ED74C5" w:rsidRPr="007547B3" w:rsidRDefault="00ED74C5" w:rsidP="00ED74C5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-17,7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ED74C5" w:rsidRPr="007547B3" w:rsidRDefault="00ED74C5" w:rsidP="00CD544E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-4,</w:t>
            </w:r>
            <w:r w:rsidR="00CD544E" w:rsidRPr="007547B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ED74C5" w:rsidRPr="007547B3" w:rsidRDefault="00ED74C5" w:rsidP="00ED74C5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-4,1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4C5" w:rsidRDefault="00117D81" w:rsidP="00ED74C5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Default="00FD327A" w:rsidP="00345F7C">
                            <w:pPr>
                              <w:pStyle w:val="tekstzboku"/>
                            </w:pPr>
                          </w:p>
                          <w:p w:rsidR="00FD327A" w:rsidRPr="00074DD8" w:rsidRDefault="00FD327A" w:rsidP="00345F7C">
                            <w:pPr>
                              <w:pStyle w:val="tekstzboku"/>
                            </w:pPr>
                          </w:p>
                          <w:p w:rsidR="00FD327A" w:rsidRPr="00D616D2" w:rsidRDefault="00FD327A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Default="00FD327A" w:rsidP="00345F7C">
                      <w:pPr>
                        <w:pStyle w:val="tekstzboku"/>
                      </w:pPr>
                    </w:p>
                    <w:p w:rsidR="00FD327A" w:rsidRPr="00074DD8" w:rsidRDefault="00FD327A" w:rsidP="00345F7C">
                      <w:pPr>
                        <w:pStyle w:val="tekstzboku"/>
                      </w:pPr>
                    </w:p>
                    <w:p w:rsidR="00FD327A" w:rsidRPr="00D616D2" w:rsidRDefault="00FD327A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7547B3" w:rsidRDefault="002F5C6D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>
        <w:rPr>
          <w:rFonts w:cs="Arial"/>
        </w:rPr>
        <w:t>W</w:t>
      </w:r>
      <w:r w:rsidR="00E64E91">
        <w:rPr>
          <w:rFonts w:cs="Arial"/>
          <w:szCs w:val="19"/>
        </w:rPr>
        <w:t xml:space="preserve"> </w:t>
      </w:r>
      <w:r w:rsidR="00EA4E27">
        <w:rPr>
          <w:rFonts w:cs="Arial"/>
          <w:szCs w:val="19"/>
        </w:rPr>
        <w:t xml:space="preserve">2019 </w:t>
      </w:r>
      <w:r w:rsidR="00E64E91" w:rsidRPr="00951F4F">
        <w:rPr>
          <w:rFonts w:cs="Arial"/>
          <w:szCs w:val="19"/>
        </w:rPr>
        <w:t xml:space="preserve">r. </w:t>
      </w:r>
      <w:r w:rsidR="008351DB">
        <w:rPr>
          <w:rFonts w:cs="Arial"/>
          <w:szCs w:val="19"/>
        </w:rPr>
        <w:t xml:space="preserve">odnotowano wzrost </w:t>
      </w:r>
      <w:r w:rsidR="00FD327A">
        <w:rPr>
          <w:rFonts w:cs="Arial"/>
          <w:szCs w:val="19"/>
        </w:rPr>
        <w:t>eksportu</w:t>
      </w:r>
      <w:r w:rsidR="008351DB">
        <w:rPr>
          <w:rFonts w:cs="Arial"/>
          <w:szCs w:val="19"/>
        </w:rPr>
        <w:t xml:space="preserve"> do wszystkich </w:t>
      </w:r>
      <w:r w:rsidR="00FD327A">
        <w:rPr>
          <w:rFonts w:cs="Arial"/>
          <w:szCs w:val="19"/>
        </w:rPr>
        <w:t>krajów</w:t>
      </w:r>
      <w:r w:rsidR="008351DB">
        <w:rPr>
          <w:rFonts w:cs="Arial"/>
          <w:szCs w:val="19"/>
        </w:rPr>
        <w:t xml:space="preserve"> z pierwszej dziesiątki partnerów handlowych Polski</w:t>
      </w:r>
      <w:r w:rsidR="00951F4F" w:rsidRPr="007547B3">
        <w:rPr>
          <w:rFonts w:cs="Arial"/>
          <w:szCs w:val="19"/>
        </w:rPr>
        <w:t xml:space="preserve">, a importu – </w:t>
      </w:r>
      <w:r w:rsidR="00BF37B6" w:rsidRPr="007547B3">
        <w:rPr>
          <w:rFonts w:cs="Arial"/>
          <w:szCs w:val="19"/>
        </w:rPr>
        <w:t xml:space="preserve">ze Stanów Zjednoczonych, </w:t>
      </w:r>
      <w:r w:rsidR="00E64E91" w:rsidRPr="007547B3">
        <w:rPr>
          <w:rFonts w:cs="Arial"/>
          <w:szCs w:val="19"/>
        </w:rPr>
        <w:t xml:space="preserve">z Chin, </w:t>
      </w:r>
      <w:r w:rsidRPr="007547B3">
        <w:rPr>
          <w:rFonts w:cs="Arial"/>
          <w:szCs w:val="19"/>
        </w:rPr>
        <w:t xml:space="preserve">Holandii, </w:t>
      </w:r>
      <w:r w:rsidR="006835A6" w:rsidRPr="007547B3">
        <w:rPr>
          <w:rFonts w:cs="Arial"/>
          <w:szCs w:val="19"/>
        </w:rPr>
        <w:t>Hiszpanii, Francji</w:t>
      </w:r>
      <w:r w:rsidRPr="007547B3">
        <w:rPr>
          <w:rFonts w:cs="Arial"/>
          <w:szCs w:val="19"/>
        </w:rPr>
        <w:t>,</w:t>
      </w:r>
      <w:r w:rsidR="00874D0F" w:rsidRPr="007547B3">
        <w:rPr>
          <w:rFonts w:cs="Arial"/>
          <w:szCs w:val="19"/>
        </w:rPr>
        <w:t xml:space="preserve"> </w:t>
      </w:r>
      <w:r w:rsidR="00EA4E27" w:rsidRPr="007547B3">
        <w:rPr>
          <w:rFonts w:cs="Arial"/>
          <w:szCs w:val="19"/>
        </w:rPr>
        <w:t>Włoch</w:t>
      </w:r>
      <w:r w:rsidR="009910D5" w:rsidRPr="007547B3">
        <w:rPr>
          <w:rFonts w:cs="Arial"/>
          <w:szCs w:val="19"/>
        </w:rPr>
        <w:t>, Niemiec</w:t>
      </w:r>
      <w:r w:rsidRPr="007547B3">
        <w:rPr>
          <w:rFonts w:cs="Arial"/>
          <w:szCs w:val="19"/>
        </w:rPr>
        <w:t xml:space="preserve"> oraz Czech</w:t>
      </w:r>
      <w:r w:rsidR="00614ABB" w:rsidRPr="007547B3">
        <w:rPr>
          <w:rFonts w:cs="Arial"/>
          <w:szCs w:val="19"/>
        </w:rPr>
        <w:t>.</w:t>
      </w:r>
    </w:p>
    <w:p w:rsidR="00345F7C" w:rsidRPr="00483835" w:rsidRDefault="00E64E91" w:rsidP="00366025">
      <w:pPr>
        <w:rPr>
          <w:rFonts w:cs="Arial"/>
        </w:rPr>
      </w:pPr>
      <w:r w:rsidRPr="007547B3">
        <w:rPr>
          <w:rFonts w:cs="Arial"/>
        </w:rPr>
        <w:t xml:space="preserve">Obroty </w:t>
      </w:r>
      <w:r w:rsidR="00FD327A">
        <w:rPr>
          <w:rFonts w:cs="Arial"/>
        </w:rPr>
        <w:t xml:space="preserve">z </w:t>
      </w:r>
      <w:r w:rsidR="008351DB">
        <w:rPr>
          <w:rFonts w:cs="Arial"/>
        </w:rPr>
        <w:t>głównymi partnerami handlowymi (</w:t>
      </w:r>
      <w:r w:rsidRPr="007547B3">
        <w:rPr>
          <w:rFonts w:cs="Arial"/>
        </w:rPr>
        <w:t>z pierwszą dziesiątką</w:t>
      </w:r>
      <w:r w:rsidR="008351DB">
        <w:rPr>
          <w:rFonts w:cs="Arial"/>
        </w:rPr>
        <w:t xml:space="preserve">) </w:t>
      </w:r>
      <w:r w:rsidRPr="007547B3">
        <w:rPr>
          <w:rFonts w:cs="Arial"/>
        </w:rPr>
        <w:t>stanowiły 6</w:t>
      </w:r>
      <w:r w:rsidR="003B2C69" w:rsidRPr="007547B3">
        <w:rPr>
          <w:rFonts w:cs="Arial"/>
        </w:rPr>
        <w:t>6</w:t>
      </w:r>
      <w:r w:rsidRPr="007547B3">
        <w:rPr>
          <w:rFonts w:cs="Arial"/>
        </w:rPr>
        <w:t>,</w:t>
      </w:r>
      <w:r w:rsidR="009910D5" w:rsidRPr="007547B3">
        <w:rPr>
          <w:rFonts w:cs="Arial"/>
        </w:rPr>
        <w:t>1</w:t>
      </w:r>
      <w:r w:rsidRPr="007547B3">
        <w:rPr>
          <w:rFonts w:cs="Arial"/>
        </w:rPr>
        <w:t>% eksportu (w </w:t>
      </w:r>
      <w:r w:rsidR="00EA4E27" w:rsidRPr="007547B3">
        <w:rPr>
          <w:rFonts w:cs="Arial"/>
        </w:rPr>
        <w:t>2018</w:t>
      </w:r>
      <w:r w:rsidRPr="007547B3">
        <w:rPr>
          <w:rFonts w:cs="Arial"/>
        </w:rPr>
        <w:t xml:space="preserve"> r. 6</w:t>
      </w:r>
      <w:r w:rsidR="00E57771" w:rsidRPr="007547B3">
        <w:rPr>
          <w:rFonts w:cs="Arial"/>
        </w:rPr>
        <w:t>6</w:t>
      </w:r>
      <w:r w:rsidRPr="007547B3">
        <w:rPr>
          <w:rFonts w:cs="Arial"/>
        </w:rPr>
        <w:t>,</w:t>
      </w:r>
      <w:r w:rsidR="00CD544E" w:rsidRPr="007547B3">
        <w:rPr>
          <w:rFonts w:cs="Arial"/>
        </w:rPr>
        <w:t>8</w:t>
      </w:r>
      <w:r w:rsidRPr="007547B3">
        <w:rPr>
          <w:rFonts w:cs="Arial"/>
        </w:rPr>
        <w:t xml:space="preserve">%), a importu ogółem – </w:t>
      </w:r>
      <w:r w:rsidR="004260F2" w:rsidRPr="007547B3">
        <w:rPr>
          <w:rFonts w:cs="Arial"/>
        </w:rPr>
        <w:t>6</w:t>
      </w:r>
      <w:r w:rsidR="004C2598" w:rsidRPr="007547B3">
        <w:rPr>
          <w:rFonts w:cs="Arial"/>
        </w:rPr>
        <w:t>3</w:t>
      </w:r>
      <w:r w:rsidRPr="007547B3">
        <w:rPr>
          <w:rFonts w:cs="Arial"/>
        </w:rPr>
        <w:t>,</w:t>
      </w:r>
      <w:r w:rsidR="00AC0ADC" w:rsidRPr="007547B3">
        <w:rPr>
          <w:rFonts w:cs="Arial"/>
        </w:rPr>
        <w:t>8</w:t>
      </w:r>
      <w:r w:rsidRPr="007547B3">
        <w:rPr>
          <w:rFonts w:cs="Arial"/>
        </w:rPr>
        <w:t xml:space="preserve">% (wobec </w:t>
      </w:r>
      <w:r w:rsidR="00672129" w:rsidRPr="007547B3">
        <w:rPr>
          <w:rFonts w:cs="Arial"/>
        </w:rPr>
        <w:t>64,</w:t>
      </w:r>
      <w:r w:rsidR="00CD544E" w:rsidRPr="007547B3">
        <w:rPr>
          <w:rFonts w:cs="Arial"/>
        </w:rPr>
        <w:t>7</w:t>
      </w:r>
      <w:r w:rsidRPr="007547B3">
        <w:rPr>
          <w:rFonts w:cs="Arial"/>
        </w:rPr>
        <w:t xml:space="preserve">% </w:t>
      </w:r>
      <w:r w:rsidRPr="00483835">
        <w:rPr>
          <w:rFonts w:cs="Arial"/>
        </w:rPr>
        <w:t>w 201</w:t>
      </w:r>
      <w:r>
        <w:rPr>
          <w:rFonts w:cs="Arial"/>
        </w:rPr>
        <w:t>8</w:t>
      </w:r>
      <w:r w:rsidRPr="00483835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483835">
        <w:rPr>
          <w:rFonts w:cs="Arial"/>
          <w:szCs w:val="19"/>
        </w:rPr>
        <w:t xml:space="preserve">Udział Niemiec w eksporcie </w:t>
      </w:r>
      <w:r w:rsidR="00483835" w:rsidRPr="00483835">
        <w:rPr>
          <w:rFonts w:cs="Arial"/>
          <w:szCs w:val="19"/>
        </w:rPr>
        <w:t xml:space="preserve">obniżył się w porównaniu z </w:t>
      </w:r>
      <w:r w:rsidR="00EA4E27">
        <w:rPr>
          <w:rFonts w:cs="Arial"/>
          <w:szCs w:val="19"/>
        </w:rPr>
        <w:t>2018</w:t>
      </w:r>
      <w:r w:rsidR="00483835" w:rsidRPr="00483835">
        <w:rPr>
          <w:rFonts w:cs="Arial"/>
          <w:szCs w:val="19"/>
        </w:rPr>
        <w:t xml:space="preserve"> r. </w:t>
      </w:r>
      <w:r w:rsidR="00483835" w:rsidRPr="00483835">
        <w:rPr>
          <w:szCs w:val="19"/>
        </w:rPr>
        <w:t>o </w:t>
      </w:r>
      <w:r w:rsidR="00E57771">
        <w:rPr>
          <w:szCs w:val="19"/>
        </w:rPr>
        <w:t>0</w:t>
      </w:r>
      <w:r w:rsidR="003B2C69">
        <w:rPr>
          <w:szCs w:val="19"/>
        </w:rPr>
        <w:t>,</w:t>
      </w:r>
      <w:r w:rsidR="00AC0ADC">
        <w:rPr>
          <w:szCs w:val="19"/>
        </w:rPr>
        <w:t>5</w:t>
      </w:r>
      <w:r w:rsidR="00483835" w:rsidRPr="00483835">
        <w:rPr>
          <w:rFonts w:cs="Arial"/>
          <w:szCs w:val="19"/>
        </w:rPr>
        <w:t xml:space="preserve"> p. proc. i wyniósł </w:t>
      </w:r>
      <w:r w:rsidR="00B62719">
        <w:rPr>
          <w:rFonts w:cs="Arial"/>
          <w:szCs w:val="19"/>
        </w:rPr>
        <w:t>27,</w:t>
      </w:r>
      <w:r w:rsidR="00AC0ADC">
        <w:rPr>
          <w:rFonts w:cs="Arial"/>
          <w:szCs w:val="19"/>
        </w:rPr>
        <w:t>7</w:t>
      </w:r>
      <w:r w:rsidR="00483835" w:rsidRPr="00483835">
        <w:rPr>
          <w:rFonts w:cs="Arial"/>
          <w:szCs w:val="19"/>
        </w:rPr>
        <w:t>%</w:t>
      </w:r>
      <w:r w:rsidRPr="00483835">
        <w:rPr>
          <w:rFonts w:cs="Arial"/>
          <w:szCs w:val="19"/>
        </w:rPr>
        <w:t xml:space="preserve">, a w imporcie o </w:t>
      </w:r>
      <w:r w:rsidR="009575EC">
        <w:rPr>
          <w:rFonts w:cs="Arial"/>
          <w:szCs w:val="19"/>
        </w:rPr>
        <w:t>0</w:t>
      </w:r>
      <w:r w:rsidR="00B62719">
        <w:rPr>
          <w:rFonts w:cs="Arial"/>
          <w:szCs w:val="19"/>
        </w:rPr>
        <w:t>,</w:t>
      </w:r>
      <w:r w:rsidR="00AC0ADC">
        <w:rPr>
          <w:rFonts w:cs="Arial"/>
          <w:szCs w:val="19"/>
        </w:rPr>
        <w:t>7</w:t>
      </w:r>
      <w:r w:rsidRPr="00483835">
        <w:rPr>
          <w:rFonts w:cs="Arial"/>
          <w:szCs w:val="19"/>
        </w:rPr>
        <w:t xml:space="preserve"> p. proc</w:t>
      </w:r>
      <w:r w:rsidR="00772D14">
        <w:rPr>
          <w:rFonts w:cs="Arial"/>
          <w:szCs w:val="19"/>
        </w:rPr>
        <w:t>.</w:t>
      </w:r>
      <w:r w:rsidRPr="00483835">
        <w:rPr>
          <w:rFonts w:cs="Arial"/>
          <w:szCs w:val="19"/>
        </w:rPr>
        <w:t xml:space="preserve"> i stanowił </w:t>
      </w:r>
      <w:r w:rsidR="00672129">
        <w:rPr>
          <w:rFonts w:cs="Arial"/>
          <w:szCs w:val="19"/>
        </w:rPr>
        <w:t>21,</w:t>
      </w:r>
      <w:r w:rsidR="00AC0ADC">
        <w:rPr>
          <w:rFonts w:cs="Arial"/>
          <w:szCs w:val="19"/>
        </w:rPr>
        <w:t>9</w:t>
      </w:r>
      <w:r w:rsidRPr="00483835">
        <w:rPr>
          <w:rFonts w:cs="Arial"/>
          <w:szCs w:val="19"/>
        </w:rPr>
        <w:t xml:space="preserve">%. Dodatnie saldo wyniosło </w:t>
      </w:r>
      <w:r w:rsidR="003A4268">
        <w:rPr>
          <w:rFonts w:cs="Arial"/>
          <w:szCs w:val="19"/>
        </w:rPr>
        <w:t>6</w:t>
      </w:r>
      <w:r w:rsidR="00AC0ADC">
        <w:rPr>
          <w:rFonts w:cs="Arial"/>
          <w:szCs w:val="19"/>
        </w:rPr>
        <w:t>1</w:t>
      </w:r>
      <w:r w:rsidR="003A4268">
        <w:rPr>
          <w:rFonts w:cs="Arial"/>
          <w:szCs w:val="19"/>
        </w:rPr>
        <w:t>,</w:t>
      </w:r>
      <w:r w:rsidR="00AC0ADC">
        <w:rPr>
          <w:rFonts w:cs="Arial"/>
          <w:szCs w:val="19"/>
        </w:rPr>
        <w:t>1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</w:t>
      </w:r>
      <w:r w:rsidR="00A52A97">
        <w:rPr>
          <w:rFonts w:cs="Arial"/>
          <w:szCs w:val="19"/>
        </w:rPr>
        <w:t>PLN</w:t>
      </w:r>
      <w:r w:rsidRPr="00483835">
        <w:rPr>
          <w:rFonts w:cs="Arial"/>
          <w:szCs w:val="19"/>
        </w:rPr>
        <w:t xml:space="preserve"> (</w:t>
      </w:r>
      <w:r w:rsidR="00672129">
        <w:rPr>
          <w:rFonts w:cs="Arial"/>
          <w:szCs w:val="19"/>
        </w:rPr>
        <w:t>1</w:t>
      </w:r>
      <w:r w:rsidR="00AC0ADC">
        <w:rPr>
          <w:rFonts w:cs="Arial"/>
          <w:szCs w:val="19"/>
        </w:rPr>
        <w:t>6</w:t>
      </w:r>
      <w:r w:rsidR="00672129">
        <w:rPr>
          <w:rFonts w:cs="Arial"/>
          <w:szCs w:val="19"/>
        </w:rPr>
        <w:t>,</w:t>
      </w:r>
      <w:r w:rsidR="00AC0ADC">
        <w:rPr>
          <w:rFonts w:cs="Arial"/>
          <w:szCs w:val="19"/>
        </w:rPr>
        <w:t>0</w:t>
      </w:r>
      <w:r w:rsidR="00F70DA2" w:rsidRPr="00483835">
        <w:rPr>
          <w:rFonts w:cs="Arial"/>
          <w:szCs w:val="19"/>
        </w:rPr>
        <w:t xml:space="preserve"> mld</w:t>
      </w:r>
      <w:r w:rsidRPr="00483835">
        <w:rPr>
          <w:rFonts w:cs="Arial"/>
          <w:szCs w:val="19"/>
        </w:rPr>
        <w:t xml:space="preserve"> USD, </w:t>
      </w:r>
      <w:r w:rsidR="00672129">
        <w:rPr>
          <w:rFonts w:cs="Arial"/>
          <w:szCs w:val="19"/>
        </w:rPr>
        <w:t>1</w:t>
      </w:r>
      <w:r w:rsidR="003A4268">
        <w:rPr>
          <w:rFonts w:cs="Arial"/>
          <w:szCs w:val="19"/>
        </w:rPr>
        <w:t>4</w:t>
      </w:r>
      <w:r w:rsidR="00672129">
        <w:rPr>
          <w:rFonts w:cs="Arial"/>
          <w:szCs w:val="19"/>
        </w:rPr>
        <w:t>,</w:t>
      </w:r>
      <w:r w:rsidR="003A4268">
        <w:rPr>
          <w:rFonts w:cs="Arial"/>
          <w:szCs w:val="19"/>
        </w:rPr>
        <w:t>2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wobec </w:t>
      </w:r>
      <w:r w:rsidR="004E4AD7">
        <w:rPr>
          <w:rFonts w:cs="Arial"/>
          <w:szCs w:val="19"/>
        </w:rPr>
        <w:t>4</w:t>
      </w:r>
      <w:r w:rsidR="00CB536C">
        <w:rPr>
          <w:rFonts w:cs="Arial"/>
          <w:szCs w:val="19"/>
        </w:rPr>
        <w:t>9</w:t>
      </w:r>
      <w:r w:rsidR="004E4AD7">
        <w:rPr>
          <w:rFonts w:cs="Arial"/>
          <w:szCs w:val="19"/>
        </w:rPr>
        <w:t>,</w:t>
      </w:r>
      <w:r w:rsidR="00CB536C">
        <w:rPr>
          <w:rFonts w:cs="Arial"/>
          <w:szCs w:val="19"/>
        </w:rPr>
        <w:t>5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</w:t>
      </w:r>
      <w:r w:rsidR="00A52A97">
        <w:rPr>
          <w:rFonts w:cs="Arial"/>
          <w:szCs w:val="19"/>
        </w:rPr>
        <w:t>PLN</w:t>
      </w:r>
      <w:r w:rsidRPr="00483835">
        <w:rPr>
          <w:rFonts w:cs="Arial"/>
          <w:szCs w:val="19"/>
        </w:rPr>
        <w:t xml:space="preserve"> (</w:t>
      </w:r>
      <w:r w:rsidR="00EA4E27">
        <w:rPr>
          <w:rFonts w:cs="Arial"/>
          <w:szCs w:val="19"/>
        </w:rPr>
        <w:t>1</w:t>
      </w:r>
      <w:r w:rsidR="00CB536C">
        <w:rPr>
          <w:rFonts w:cs="Arial"/>
          <w:szCs w:val="19"/>
        </w:rPr>
        <w:t>3</w:t>
      </w:r>
      <w:r w:rsidR="004E4AD7">
        <w:rPr>
          <w:rFonts w:cs="Arial"/>
          <w:szCs w:val="19"/>
        </w:rPr>
        <w:t>,</w:t>
      </w:r>
      <w:r w:rsidR="00CB536C">
        <w:rPr>
          <w:rFonts w:cs="Arial"/>
          <w:szCs w:val="19"/>
        </w:rPr>
        <w:t>7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USD, </w:t>
      </w:r>
      <w:r w:rsidR="00EA4E27">
        <w:rPr>
          <w:rFonts w:cs="Arial"/>
          <w:szCs w:val="19"/>
        </w:rPr>
        <w:t>1</w:t>
      </w:r>
      <w:r w:rsidR="00CB536C">
        <w:rPr>
          <w:rFonts w:cs="Arial"/>
          <w:szCs w:val="19"/>
        </w:rPr>
        <w:t>1</w:t>
      </w:r>
      <w:r w:rsidR="004E4AD7">
        <w:rPr>
          <w:rFonts w:cs="Arial"/>
          <w:szCs w:val="19"/>
        </w:rPr>
        <w:t>,</w:t>
      </w:r>
      <w:r w:rsidR="00CB536C">
        <w:rPr>
          <w:rFonts w:cs="Arial"/>
          <w:szCs w:val="19"/>
        </w:rPr>
        <w:t>6</w:t>
      </w:r>
      <w:r w:rsidR="00F70DA2" w:rsidRPr="00483835">
        <w:rPr>
          <w:rFonts w:cs="Arial"/>
          <w:szCs w:val="19"/>
        </w:rPr>
        <w:t xml:space="preserve"> </w:t>
      </w:r>
      <w:r w:rsidRPr="00483835">
        <w:rPr>
          <w:rFonts w:cs="Arial"/>
          <w:szCs w:val="19"/>
        </w:rPr>
        <w:t>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</w:t>
      </w:r>
      <w:r w:rsidR="00483835" w:rsidRPr="00483835">
        <w:rPr>
          <w:rFonts w:cs="Arial"/>
          <w:spacing w:val="-3"/>
          <w:szCs w:val="19"/>
        </w:rPr>
        <w:t xml:space="preserve">w </w:t>
      </w:r>
      <w:r w:rsidR="00EA4E27">
        <w:rPr>
          <w:rFonts w:cs="Arial"/>
          <w:spacing w:val="-3"/>
          <w:szCs w:val="19"/>
        </w:rPr>
        <w:t>2018</w:t>
      </w:r>
      <w:r w:rsidR="00483835" w:rsidRPr="00483835">
        <w:rPr>
          <w:rFonts w:cs="Arial"/>
          <w:spacing w:val="-3"/>
          <w:szCs w:val="19"/>
        </w:rPr>
        <w:t xml:space="preserve"> r.</w:t>
      </w:r>
    </w:p>
    <w:p w:rsidR="00117F2C" w:rsidRDefault="00117F2C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b/>
          <w:spacing w:val="-3"/>
          <w:sz w:val="18"/>
          <w:szCs w:val="18"/>
        </w:rPr>
      </w:pPr>
    </w:p>
    <w:p w:rsidR="00117F2C" w:rsidRDefault="00117F2C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b/>
          <w:spacing w:val="-3"/>
          <w:sz w:val="18"/>
          <w:szCs w:val="18"/>
        </w:rPr>
      </w:pPr>
    </w:p>
    <w:p w:rsidR="00117F2C" w:rsidRDefault="00117F2C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b/>
          <w:spacing w:val="-3"/>
          <w:sz w:val="18"/>
          <w:szCs w:val="18"/>
        </w:rPr>
      </w:pPr>
    </w:p>
    <w:p w:rsidR="00117F2C" w:rsidRDefault="00117F2C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b/>
          <w:spacing w:val="-3"/>
          <w:sz w:val="18"/>
          <w:szCs w:val="18"/>
        </w:rPr>
      </w:pP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4042599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7A" w:rsidRPr="00FF1498" w:rsidRDefault="00FD327A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 xml:space="preserve">Udział Rosji w imporcie </w:t>
                            </w:r>
                            <w:r>
                              <w:rPr>
                                <w:rFonts w:cs="Arial"/>
                              </w:rPr>
                              <w:t>zmniejszył się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w porównaniu z </w:t>
                            </w:r>
                            <w:r w:rsidRPr="00487646">
                              <w:t>2018</w:t>
                            </w:r>
                            <w:r>
                              <w:t xml:space="preserve"> </w:t>
                            </w:r>
                            <w:r w:rsidRPr="00487646">
                              <w:t>r</w:t>
                            </w:r>
                            <w:r>
                              <w:rPr>
                                <w:rFonts w:cs="Arial"/>
                              </w:rPr>
                              <w:t>. o 1,0 p. proc. i stanowił 6,1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Default="00FD327A" w:rsidP="00A00ADB">
                            <w:pPr>
                              <w:pStyle w:val="tekstzboku"/>
                            </w:pPr>
                          </w:p>
                          <w:p w:rsidR="00FD327A" w:rsidRPr="00074DD8" w:rsidRDefault="00FD327A" w:rsidP="00A00ADB">
                            <w:pPr>
                              <w:pStyle w:val="tekstzboku"/>
                            </w:pPr>
                          </w:p>
                          <w:p w:rsidR="00FD327A" w:rsidRPr="00D616D2" w:rsidRDefault="00FD327A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15pt;margin-top:318.3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" filled="f" stroked="f">
                <v:textbox>
                  <w:txbxContent>
                    <w:p w:rsidR="00FD327A" w:rsidRPr="00FF1498" w:rsidRDefault="00FD327A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 xml:space="preserve">Udział Rosji w imporcie </w:t>
                      </w:r>
                      <w:r>
                        <w:rPr>
                          <w:rFonts w:cs="Arial"/>
                        </w:rPr>
                        <w:t>zmniejszył się</w:t>
                      </w:r>
                      <w:r w:rsidRPr="00FF1498">
                        <w:rPr>
                          <w:rFonts w:cs="Arial"/>
                        </w:rPr>
                        <w:t xml:space="preserve"> w porównaniu z </w:t>
                      </w:r>
                      <w:r w:rsidRPr="00487646">
                        <w:t>2018</w:t>
                      </w:r>
                      <w:r>
                        <w:t xml:space="preserve"> </w:t>
                      </w:r>
                      <w:r w:rsidRPr="00487646">
                        <w:t>r</w:t>
                      </w:r>
                      <w:r>
                        <w:rPr>
                          <w:rFonts w:cs="Arial"/>
                        </w:rPr>
                        <w:t>. o 1,0 p. proc. i stanowił 6,1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Default="00FD327A" w:rsidP="00A00ADB">
                      <w:pPr>
                        <w:pStyle w:val="tekstzboku"/>
                      </w:pPr>
                    </w:p>
                    <w:p w:rsidR="00FD327A" w:rsidRPr="00074DD8" w:rsidRDefault="00FD327A" w:rsidP="00A00ADB">
                      <w:pPr>
                        <w:pStyle w:val="tekstzboku"/>
                      </w:pPr>
                    </w:p>
                    <w:p w:rsidR="00FD327A" w:rsidRPr="00D616D2" w:rsidRDefault="00FD327A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603666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</w:tr>
      <w:tr w:rsidR="00650CDD" w:rsidRPr="00366025" w:rsidTr="0060003F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650CDD" w:rsidRPr="005F3D74" w:rsidRDefault="00650CDD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650CDD" w:rsidRPr="005F3D74" w:rsidRDefault="00650CDD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650CDD" w:rsidRPr="005F3D74" w:rsidRDefault="00650CDD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650CDD" w:rsidRPr="005F3D74" w:rsidRDefault="00650CDD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650CDD" w:rsidRPr="005F3D74" w:rsidRDefault="00650CDD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650CDD" w:rsidRPr="005F3D74" w:rsidRDefault="00650CDD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650CDD" w:rsidRPr="005F3D74" w:rsidRDefault="00650CDD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650CDD" w:rsidRPr="005F3D74" w:rsidRDefault="00650CDD" w:rsidP="00EB7EE9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0CDD" w:rsidRPr="005F3D74" w:rsidRDefault="00650CDD" w:rsidP="005D6E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650CDD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650CDD" w:rsidRPr="005F3D74" w:rsidRDefault="00650CDD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650CDD" w:rsidRPr="005F3D74" w:rsidRDefault="00650CDD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650CDD" w:rsidRPr="005F3D74" w:rsidRDefault="00650CDD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650CDD" w:rsidRPr="005F3D74" w:rsidRDefault="00650CDD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650CDD" w:rsidRPr="005F3D74" w:rsidRDefault="00650CDD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650CDD" w:rsidRPr="005F3D74" w:rsidRDefault="00650CDD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650CDD" w:rsidRPr="005F3D74" w:rsidRDefault="00650CDD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:rsidR="00650CDD" w:rsidRPr="005F3D74" w:rsidRDefault="00650CDD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650CDD" w:rsidRPr="00206A18" w:rsidTr="003C3DD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Pr="00206A18" w:rsidRDefault="00650CDD" w:rsidP="00650C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27,7</w:t>
            </w:r>
          </w:p>
        </w:tc>
      </w:tr>
      <w:tr w:rsidR="00650CDD" w:rsidRPr="00206A18" w:rsidTr="003C3DD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Pr="00206A18" w:rsidRDefault="00650CDD" w:rsidP="00650C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650CDD" w:rsidRPr="00206A18" w:rsidTr="003C3DD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Pr="00206A18" w:rsidRDefault="00650CDD" w:rsidP="00650C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</w:tr>
      <w:tr w:rsidR="00650CDD" w:rsidRPr="00206A18" w:rsidTr="003C3DD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Pr="00206A18" w:rsidRDefault="00650CDD" w:rsidP="00650C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650CDD" w:rsidRPr="00206A18" w:rsidTr="003C3DD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Pr="00206A18" w:rsidRDefault="00650CDD" w:rsidP="00650C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50CDD" w:rsidRPr="00206A18" w:rsidTr="003C3DD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Pr="00206A18" w:rsidRDefault="00650CDD" w:rsidP="00650C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</w:tr>
      <w:tr w:rsidR="00650CDD" w:rsidRPr="00206A18" w:rsidTr="003C3DD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Pr="00206A18" w:rsidRDefault="00650CDD" w:rsidP="00650C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</w:tr>
      <w:tr w:rsidR="00650CDD" w:rsidRPr="00206A18" w:rsidTr="003C3DD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Pr="00206A18" w:rsidRDefault="00650CDD" w:rsidP="00650C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Pr="007547B3" w:rsidRDefault="00B243A0" w:rsidP="00CD544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2</w:t>
            </w:r>
            <w:r w:rsidR="00CD544E" w:rsidRPr="007547B3">
              <w:rPr>
                <w:rFonts w:cs="Arial"/>
                <w:sz w:val="16"/>
                <w:szCs w:val="16"/>
              </w:rPr>
              <w:t>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650CDD" w:rsidRPr="00206A18" w:rsidTr="003C3DD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Pr="00206A18" w:rsidRDefault="00650CDD" w:rsidP="00650C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B243A0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650CDD" w:rsidRPr="00206A18" w:rsidTr="003C3DDD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Pr="00206A18" w:rsidRDefault="00650CDD" w:rsidP="00650C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650CDD" w:rsidRDefault="00650CDD" w:rsidP="00650CD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2F5C6D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Pr="00206A18" w:rsidRDefault="002F5C6D" w:rsidP="002F5C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21,9</w:t>
            </w:r>
          </w:p>
        </w:tc>
      </w:tr>
      <w:tr w:rsidR="002F5C6D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Pr="00206A18" w:rsidRDefault="002F5C6D" w:rsidP="002F5C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12,3</w:t>
            </w:r>
          </w:p>
        </w:tc>
      </w:tr>
      <w:tr w:rsidR="002F5C6D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Pr="00206A18" w:rsidRDefault="002F5C6D" w:rsidP="002F5C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2F5C6D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Pr="00206A18" w:rsidRDefault="002F5C6D" w:rsidP="002F5C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</w:tr>
      <w:tr w:rsidR="002F5C6D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Pr="00206A18" w:rsidRDefault="002F5C6D" w:rsidP="002F5C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2F5C6D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Pr="00206A18" w:rsidRDefault="002F5C6D" w:rsidP="002F5C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</w:tr>
      <w:tr w:rsidR="002F5C6D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Pr="00206A18" w:rsidRDefault="002F5C6D" w:rsidP="002F5C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</w:tr>
      <w:tr w:rsidR="002F5C6D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Pr="00206A18" w:rsidRDefault="002F5C6D" w:rsidP="002F5C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2F5C6D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Pr="00206A18" w:rsidRDefault="002F5C6D" w:rsidP="002F5C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  <w:tr w:rsidR="002F5C6D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Pr="00206A18" w:rsidRDefault="002F5C6D" w:rsidP="002F5C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C6D" w:rsidRDefault="002F5C6D" w:rsidP="00CD544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2,</w:t>
            </w:r>
            <w:r w:rsidR="00CD544E" w:rsidRPr="007547B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2F5C6D" w:rsidRDefault="002F5C6D" w:rsidP="002F5C6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117F2C" w:rsidRDefault="00117F2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E74629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5B60E0">
        <w:rPr>
          <w:rFonts w:cs="Arial"/>
          <w:spacing w:val="-3"/>
        </w:rPr>
        <w:t xml:space="preserve">Największy obrót towarowy w imporcie według kraju wysyłki Polska odnotowała z krajami </w:t>
      </w:r>
      <w:r w:rsidRPr="005B60E0">
        <w:rPr>
          <w:rFonts w:cs="Arial"/>
          <w:spacing w:val="-3"/>
          <w:szCs w:val="19"/>
        </w:rPr>
        <w:t xml:space="preserve">rozwiniętymi </w:t>
      </w:r>
      <w:r w:rsidRPr="00C75033">
        <w:rPr>
          <w:rFonts w:cs="Arial"/>
          <w:szCs w:val="19"/>
        </w:rPr>
        <w:t>–</w:t>
      </w:r>
      <w:r w:rsidRPr="00C75033">
        <w:rPr>
          <w:rFonts w:cs="Arial"/>
          <w:spacing w:val="-3"/>
          <w:szCs w:val="19"/>
        </w:rPr>
        <w:t xml:space="preserve"> </w:t>
      </w:r>
      <w:r w:rsidR="00C75033" w:rsidRPr="00C75033">
        <w:rPr>
          <w:rFonts w:cs="Arial"/>
          <w:color w:val="000000"/>
          <w:szCs w:val="19"/>
        </w:rPr>
        <w:t>7</w:t>
      </w:r>
      <w:r w:rsidR="0037602F">
        <w:rPr>
          <w:rFonts w:cs="Arial"/>
          <w:color w:val="000000"/>
          <w:szCs w:val="19"/>
        </w:rPr>
        <w:t>50</w:t>
      </w:r>
      <w:r w:rsidR="00C75033" w:rsidRPr="00C75033">
        <w:rPr>
          <w:rFonts w:cs="Arial"/>
          <w:color w:val="000000"/>
          <w:szCs w:val="19"/>
        </w:rPr>
        <w:t>,</w:t>
      </w:r>
      <w:r w:rsidR="0037602F">
        <w:rPr>
          <w:rFonts w:cs="Arial"/>
          <w:color w:val="000000"/>
          <w:szCs w:val="19"/>
        </w:rPr>
        <w:t>9</w:t>
      </w:r>
      <w:r w:rsidR="006362E4" w:rsidRPr="005B60E0">
        <w:rPr>
          <w:rFonts w:cs="Arial"/>
          <w:color w:val="000000"/>
          <w:szCs w:val="19"/>
        </w:rPr>
        <w:t xml:space="preserve"> </w:t>
      </w:r>
      <w:r w:rsidRPr="005B60E0">
        <w:rPr>
          <w:rFonts w:cs="Arial"/>
          <w:spacing w:val="-3"/>
          <w:szCs w:val="19"/>
        </w:rPr>
        <w:t>mld</w:t>
      </w:r>
      <w:r w:rsidR="004921B7" w:rsidRPr="005B60E0">
        <w:rPr>
          <w:rFonts w:cs="Arial"/>
          <w:spacing w:val="-3"/>
          <w:szCs w:val="19"/>
        </w:rPr>
        <w:t xml:space="preserve"> </w:t>
      </w:r>
      <w:r w:rsidR="00A52A97" w:rsidRPr="00C75033">
        <w:rPr>
          <w:rFonts w:cs="Arial"/>
          <w:spacing w:val="-3"/>
          <w:szCs w:val="19"/>
        </w:rPr>
        <w:t>PLN</w:t>
      </w:r>
      <w:r w:rsidRPr="00C75033">
        <w:rPr>
          <w:rFonts w:cs="Arial"/>
          <w:spacing w:val="-3"/>
          <w:szCs w:val="19"/>
        </w:rPr>
        <w:t xml:space="preserve">, w tym z UE – </w:t>
      </w:r>
      <w:r w:rsidR="0037602F">
        <w:rPr>
          <w:rFonts w:cs="Arial"/>
          <w:spacing w:val="-3"/>
          <w:szCs w:val="19"/>
        </w:rPr>
        <w:t>703</w:t>
      </w:r>
      <w:r w:rsidR="00EA4E27" w:rsidRPr="00C75033">
        <w:rPr>
          <w:rFonts w:cs="Arial"/>
          <w:spacing w:val="-3"/>
          <w:szCs w:val="19"/>
        </w:rPr>
        <w:t>,</w:t>
      </w:r>
      <w:r w:rsidR="0037602F">
        <w:rPr>
          <w:rFonts w:cs="Arial"/>
          <w:spacing w:val="-3"/>
          <w:szCs w:val="19"/>
        </w:rPr>
        <w:t>2</w:t>
      </w:r>
      <w:r w:rsidR="0067455E" w:rsidRPr="00C75033">
        <w:rPr>
          <w:rFonts w:cs="Arial"/>
          <w:spacing w:val="-3"/>
          <w:szCs w:val="19"/>
        </w:rPr>
        <w:t xml:space="preserve"> </w:t>
      </w:r>
      <w:r w:rsidRPr="00C75033">
        <w:rPr>
          <w:rFonts w:cs="Arial"/>
          <w:spacing w:val="-3"/>
          <w:szCs w:val="19"/>
        </w:rPr>
        <w:t>mld</w:t>
      </w:r>
      <w:r w:rsidR="004921B7" w:rsidRPr="00C75033">
        <w:rPr>
          <w:rFonts w:cs="Arial"/>
          <w:spacing w:val="-3"/>
          <w:szCs w:val="19"/>
        </w:rPr>
        <w:t xml:space="preserve"> </w:t>
      </w:r>
      <w:r w:rsidR="00A52A97" w:rsidRPr="00C75033">
        <w:rPr>
          <w:rFonts w:cs="Arial"/>
          <w:spacing w:val="-3"/>
          <w:szCs w:val="19"/>
        </w:rPr>
        <w:t>PLN</w:t>
      </w:r>
      <w:r w:rsidRPr="00C75033">
        <w:rPr>
          <w:rFonts w:cs="Arial"/>
          <w:spacing w:val="-3"/>
          <w:szCs w:val="19"/>
        </w:rPr>
        <w:t xml:space="preserve">, wobec odpowiednio </w:t>
      </w:r>
      <w:r w:rsidR="00C75033" w:rsidRPr="00C75033">
        <w:rPr>
          <w:color w:val="000000"/>
          <w:szCs w:val="19"/>
          <w:shd w:val="clear" w:color="auto" w:fill="FFFFFF"/>
        </w:rPr>
        <w:t>724,0</w:t>
      </w:r>
      <w:r w:rsidRPr="00C75033">
        <w:rPr>
          <w:rFonts w:cs="Arial"/>
          <w:spacing w:val="-3"/>
          <w:szCs w:val="19"/>
        </w:rPr>
        <w:t xml:space="preserve"> mld</w:t>
      </w:r>
      <w:r w:rsidR="004921B7" w:rsidRPr="00C75033">
        <w:rPr>
          <w:rFonts w:cs="Arial"/>
          <w:spacing w:val="-3"/>
          <w:szCs w:val="19"/>
        </w:rPr>
        <w:t xml:space="preserve"> </w:t>
      </w:r>
      <w:r w:rsidR="00A52A97" w:rsidRPr="00C75033">
        <w:rPr>
          <w:rFonts w:cs="Arial"/>
          <w:spacing w:val="-3"/>
          <w:szCs w:val="19"/>
        </w:rPr>
        <w:t>PLN</w:t>
      </w:r>
      <w:r w:rsidRPr="00C75033">
        <w:rPr>
          <w:rFonts w:cs="Arial"/>
          <w:spacing w:val="-3"/>
          <w:szCs w:val="19"/>
        </w:rPr>
        <w:t xml:space="preserve">, w tym z </w:t>
      </w:r>
      <w:r w:rsidR="00F657FD" w:rsidRPr="00C75033">
        <w:rPr>
          <w:rFonts w:cs="Arial"/>
          <w:spacing w:val="-3"/>
          <w:szCs w:val="19"/>
        </w:rPr>
        <w:t xml:space="preserve">UE </w:t>
      </w:r>
      <w:r w:rsidR="00BC04E5" w:rsidRPr="00C75033">
        <w:rPr>
          <w:color w:val="000000"/>
          <w:szCs w:val="19"/>
          <w:shd w:val="clear" w:color="auto" w:fill="FFFFFF"/>
        </w:rPr>
        <w:t>6</w:t>
      </w:r>
      <w:r w:rsidR="00C75033" w:rsidRPr="00C75033">
        <w:rPr>
          <w:color w:val="000000"/>
          <w:szCs w:val="19"/>
          <w:shd w:val="clear" w:color="auto" w:fill="FFFFFF"/>
        </w:rPr>
        <w:t>80</w:t>
      </w:r>
      <w:r w:rsidR="00BC04E5" w:rsidRPr="00C75033">
        <w:rPr>
          <w:color w:val="000000"/>
          <w:szCs w:val="19"/>
          <w:shd w:val="clear" w:color="auto" w:fill="FFFFFF"/>
        </w:rPr>
        <w:t>,</w:t>
      </w:r>
      <w:r w:rsidR="00C75033" w:rsidRPr="00C75033">
        <w:rPr>
          <w:color w:val="000000"/>
          <w:szCs w:val="19"/>
          <w:shd w:val="clear" w:color="auto" w:fill="FFFFFF"/>
        </w:rPr>
        <w:t>4</w:t>
      </w:r>
      <w:r w:rsidRPr="00C75033">
        <w:rPr>
          <w:rFonts w:cs="Arial"/>
          <w:spacing w:val="-3"/>
          <w:szCs w:val="19"/>
        </w:rPr>
        <w:t xml:space="preserve"> mld</w:t>
      </w:r>
      <w:r w:rsidR="004921B7" w:rsidRPr="00C75033">
        <w:rPr>
          <w:rFonts w:cs="Arial"/>
          <w:spacing w:val="-3"/>
        </w:rPr>
        <w:t xml:space="preserve"> </w:t>
      </w:r>
      <w:r w:rsidR="00A52A97" w:rsidRPr="00C75033">
        <w:rPr>
          <w:rFonts w:cs="Arial"/>
          <w:spacing w:val="-3"/>
        </w:rPr>
        <w:t>PLN</w:t>
      </w:r>
      <w:r w:rsidRPr="00C75033">
        <w:rPr>
          <w:rFonts w:cs="Arial"/>
          <w:spacing w:val="-3"/>
        </w:rPr>
        <w:t> w 201</w:t>
      </w:r>
      <w:r w:rsidR="00535E77" w:rsidRPr="00C75033">
        <w:rPr>
          <w:rFonts w:cs="Arial"/>
          <w:spacing w:val="-3"/>
        </w:rPr>
        <w:t>8</w:t>
      </w:r>
      <w:r w:rsidRPr="00C75033">
        <w:rPr>
          <w:rFonts w:cs="Arial"/>
          <w:spacing w:val="-3"/>
        </w:rPr>
        <w:t xml:space="preserve"> r</w:t>
      </w:r>
      <w:r w:rsidRPr="00C75033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117F2C" w:rsidRDefault="00117F2C" w:rsidP="0048231B">
      <w:pPr>
        <w:rPr>
          <w:shd w:val="clear" w:color="auto" w:fill="FFFFFF"/>
        </w:rPr>
      </w:pPr>
    </w:p>
    <w:p w:rsidR="008F20EF" w:rsidRDefault="008F20EF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1521EB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E74629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51165C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2359A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</w:tr>
      <w:tr w:rsidR="00117F2C" w:rsidRPr="0051165C" w:rsidTr="00117F2C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117F2C" w:rsidRPr="005F3D74" w:rsidRDefault="00117F2C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17F2C" w:rsidRPr="005F3D74" w:rsidRDefault="00117F2C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117F2C" w:rsidRPr="005F3D74" w:rsidRDefault="00117F2C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17F2C" w:rsidRPr="005F3D74" w:rsidRDefault="00117F2C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117F2C" w:rsidRPr="005F3D74" w:rsidRDefault="00117F2C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17F2C" w:rsidRPr="005F3D74" w:rsidRDefault="00117F2C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117F2C" w:rsidRPr="005F3D74" w:rsidRDefault="00117F2C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17F2C" w:rsidRPr="005F3D74" w:rsidRDefault="00117F2C" w:rsidP="000330A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001D77"/>
            </w:tcBorders>
          </w:tcPr>
          <w:p w:rsidR="00117F2C" w:rsidRPr="005F3D74" w:rsidRDefault="00117F2C" w:rsidP="00117F2C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   </w:t>
            </w:r>
          </w:p>
          <w:p w:rsidR="00117F2C" w:rsidRPr="005F3D74" w:rsidRDefault="00117F2C" w:rsidP="00117F2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117F2C" w:rsidRPr="0051165C" w:rsidTr="0060003F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117F2C" w:rsidRPr="005F3D74" w:rsidRDefault="00117F2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117F2C" w:rsidRPr="005F3D74" w:rsidRDefault="00117F2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117F2C" w:rsidRPr="005F3D74" w:rsidRDefault="00117F2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117F2C" w:rsidRPr="005F3D74" w:rsidRDefault="00117F2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117F2C" w:rsidRPr="005F3D74" w:rsidRDefault="00117F2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117F2C" w:rsidRPr="005F3D74" w:rsidRDefault="00117F2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117F2C" w:rsidRPr="005F3D74" w:rsidRDefault="00117F2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:rsidR="00117F2C" w:rsidRPr="005F3D74" w:rsidRDefault="00117F2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7602F" w:rsidRPr="0051165C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37602F" w:rsidRPr="00A00ADB" w:rsidRDefault="0037602F" w:rsidP="0037602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wysyłki)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1018,5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265,8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237,0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37602F" w:rsidRPr="00B72C49" w:rsidRDefault="0037602F" w:rsidP="0037602F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A87270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37602F" w:rsidRPr="00B72C49" w:rsidRDefault="0037602F" w:rsidP="0037602F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A87270">
              <w:rPr>
                <w:b/>
                <w:sz w:val="16"/>
                <w:szCs w:val="16"/>
              </w:rPr>
              <w:t>100,0</w:t>
            </w:r>
          </w:p>
        </w:tc>
      </w:tr>
      <w:tr w:rsidR="0037602F" w:rsidRPr="0051165C" w:rsidTr="007C094B">
        <w:trPr>
          <w:trHeight w:val="352"/>
        </w:trPr>
        <w:tc>
          <w:tcPr>
            <w:tcW w:w="2268" w:type="dxa"/>
            <w:vAlign w:val="center"/>
          </w:tcPr>
          <w:p w:rsidR="0037602F" w:rsidRPr="0051165C" w:rsidRDefault="0037602F" w:rsidP="0037602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750,9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174,7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729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73,7</w:t>
            </w:r>
          </w:p>
        </w:tc>
      </w:tr>
      <w:tr w:rsidR="0037602F" w:rsidRPr="0051165C" w:rsidTr="007C094B">
        <w:trPr>
          <w:trHeight w:val="342"/>
        </w:trPr>
        <w:tc>
          <w:tcPr>
            <w:tcW w:w="2268" w:type="dxa"/>
            <w:vAlign w:val="center"/>
          </w:tcPr>
          <w:p w:rsidR="0037602F" w:rsidRPr="0051165C" w:rsidRDefault="0037602F" w:rsidP="0037602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703,2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183,5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163,6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729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70,1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69,0</w:t>
            </w:r>
          </w:p>
        </w:tc>
      </w:tr>
      <w:tr w:rsidR="0037602F" w:rsidRPr="0051165C" w:rsidTr="007C094B">
        <w:trPr>
          <w:trHeight w:val="352"/>
        </w:trPr>
        <w:tc>
          <w:tcPr>
            <w:tcW w:w="2268" w:type="dxa"/>
            <w:vAlign w:val="center"/>
          </w:tcPr>
          <w:p w:rsidR="0037602F" w:rsidRPr="0051165C" w:rsidRDefault="0037602F" w:rsidP="0037602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570,4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148,8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132,7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729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56,9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56,0</w:t>
            </w:r>
          </w:p>
        </w:tc>
      </w:tr>
      <w:tr w:rsidR="0037602F" w:rsidRPr="0051165C" w:rsidTr="007C094B">
        <w:trPr>
          <w:trHeight w:val="342"/>
        </w:trPr>
        <w:tc>
          <w:tcPr>
            <w:tcW w:w="2268" w:type="dxa"/>
            <w:vAlign w:val="center"/>
          </w:tcPr>
          <w:p w:rsidR="0037602F" w:rsidRPr="0051165C" w:rsidRDefault="0037602F" w:rsidP="0037602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183,0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117,4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729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18,0</w:t>
            </w:r>
          </w:p>
        </w:tc>
      </w:tr>
      <w:tr w:rsidR="0037602F" w:rsidRPr="0051165C" w:rsidTr="007C094B">
        <w:trPr>
          <w:trHeight w:val="355"/>
        </w:trPr>
        <w:tc>
          <w:tcPr>
            <w:tcW w:w="2268" w:type="dxa"/>
            <w:vAlign w:val="center"/>
          </w:tcPr>
          <w:p w:rsidR="0037602F" w:rsidRPr="0051165C" w:rsidRDefault="0037602F" w:rsidP="0037602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729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27" w:type="dxa"/>
            <w:vAlign w:val="bottom"/>
          </w:tcPr>
          <w:p w:rsidR="0037602F" w:rsidRDefault="0037602F" w:rsidP="0037602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8,3</w:t>
            </w:r>
          </w:p>
        </w:tc>
      </w:tr>
      <w:tr w:rsidR="0037602F" w:rsidRPr="0051165C" w:rsidTr="00055BA7">
        <w:trPr>
          <w:trHeight w:val="342"/>
        </w:trPr>
        <w:tc>
          <w:tcPr>
            <w:tcW w:w="2268" w:type="dxa"/>
            <w:vAlign w:val="center"/>
          </w:tcPr>
          <w:p w:rsidR="0037602F" w:rsidRPr="0051165C" w:rsidRDefault="0037602F" w:rsidP="0037602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37602F" w:rsidRPr="007547B3" w:rsidRDefault="0037602F" w:rsidP="0037602F">
            <w:pPr>
              <w:spacing w:before="6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47B3">
              <w:rPr>
                <w:rFonts w:cs="Arial"/>
                <w:b/>
                <w:bCs/>
                <w:sz w:val="16"/>
                <w:szCs w:val="16"/>
              </w:rPr>
              <w:t>5,1</w:t>
            </w:r>
          </w:p>
        </w:tc>
        <w:tc>
          <w:tcPr>
            <w:tcW w:w="727" w:type="dxa"/>
            <w:vAlign w:val="bottom"/>
          </w:tcPr>
          <w:p w:rsidR="0037602F" w:rsidRPr="007547B3" w:rsidRDefault="0037602F" w:rsidP="0037602F">
            <w:pPr>
              <w:spacing w:before="6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47B3">
              <w:rPr>
                <w:rFonts w:cs="Arial"/>
                <w:b/>
                <w:bCs/>
                <w:sz w:val="16"/>
                <w:szCs w:val="16"/>
              </w:rPr>
              <w:t>1,3</w:t>
            </w:r>
          </w:p>
        </w:tc>
        <w:tc>
          <w:tcPr>
            <w:tcW w:w="727" w:type="dxa"/>
            <w:vAlign w:val="bottom"/>
          </w:tcPr>
          <w:p w:rsidR="0037602F" w:rsidRPr="007547B3" w:rsidRDefault="0037602F" w:rsidP="00C25524">
            <w:pPr>
              <w:spacing w:before="6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47B3">
              <w:rPr>
                <w:rFonts w:cs="Arial"/>
                <w:b/>
                <w:bCs/>
                <w:sz w:val="16"/>
                <w:szCs w:val="16"/>
              </w:rPr>
              <w:t>1,</w:t>
            </w:r>
            <w:r w:rsidR="00C25524" w:rsidRPr="007547B3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37602F" w:rsidRPr="0051165C" w:rsidTr="00055BA7">
        <w:trPr>
          <w:trHeight w:val="352"/>
        </w:trPr>
        <w:tc>
          <w:tcPr>
            <w:tcW w:w="2268" w:type="dxa"/>
            <w:vAlign w:val="center"/>
          </w:tcPr>
          <w:p w:rsidR="0037602F" w:rsidRPr="0051165C" w:rsidRDefault="0037602F" w:rsidP="0037602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37602F" w:rsidRPr="007547B3" w:rsidRDefault="0037602F" w:rsidP="0037602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137,2</w:t>
            </w:r>
          </w:p>
        </w:tc>
        <w:tc>
          <w:tcPr>
            <w:tcW w:w="727" w:type="dxa"/>
            <w:vAlign w:val="bottom"/>
          </w:tcPr>
          <w:p w:rsidR="0037602F" w:rsidRPr="007547B3" w:rsidRDefault="0037602F" w:rsidP="00C255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35,</w:t>
            </w:r>
            <w:r w:rsidR="00C25524" w:rsidRPr="007547B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27" w:type="dxa"/>
            <w:vAlign w:val="bottom"/>
          </w:tcPr>
          <w:p w:rsidR="0037602F" w:rsidRPr="007547B3" w:rsidRDefault="0037602F" w:rsidP="0037602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31,9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37602F" w:rsidRPr="0051165C" w:rsidTr="00055BA7">
        <w:trPr>
          <w:trHeight w:val="342"/>
        </w:trPr>
        <w:tc>
          <w:tcPr>
            <w:tcW w:w="2268" w:type="dxa"/>
            <w:vAlign w:val="center"/>
          </w:tcPr>
          <w:p w:rsidR="0037602F" w:rsidRPr="0051165C" w:rsidRDefault="0037602F" w:rsidP="0037602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37602F" w:rsidRPr="007547B3" w:rsidRDefault="0037602F" w:rsidP="0037602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115,6</w:t>
            </w:r>
          </w:p>
        </w:tc>
        <w:tc>
          <w:tcPr>
            <w:tcW w:w="727" w:type="dxa"/>
            <w:vAlign w:val="bottom"/>
          </w:tcPr>
          <w:p w:rsidR="0037602F" w:rsidRPr="007547B3" w:rsidRDefault="0037602F" w:rsidP="0037602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30,1</w:t>
            </w:r>
          </w:p>
        </w:tc>
        <w:tc>
          <w:tcPr>
            <w:tcW w:w="727" w:type="dxa"/>
            <w:vAlign w:val="bottom"/>
          </w:tcPr>
          <w:p w:rsidR="0037602F" w:rsidRPr="007547B3" w:rsidRDefault="0037602F" w:rsidP="0037602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26,9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37602F" w:rsidRPr="0051165C" w:rsidTr="00055BA7">
        <w:trPr>
          <w:trHeight w:val="313"/>
        </w:trPr>
        <w:tc>
          <w:tcPr>
            <w:tcW w:w="2268" w:type="dxa"/>
            <w:vAlign w:val="center"/>
          </w:tcPr>
          <w:p w:rsidR="0037602F" w:rsidRPr="0051165C" w:rsidRDefault="0037602F" w:rsidP="0037602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37602F" w:rsidRPr="007547B3" w:rsidRDefault="0037602F" w:rsidP="0037602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18,6</w:t>
            </w:r>
          </w:p>
        </w:tc>
        <w:tc>
          <w:tcPr>
            <w:tcW w:w="727" w:type="dxa"/>
            <w:vAlign w:val="bottom"/>
          </w:tcPr>
          <w:p w:rsidR="0037602F" w:rsidRPr="007547B3" w:rsidRDefault="0037602F" w:rsidP="0037602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727" w:type="dxa"/>
            <w:vAlign w:val="bottom"/>
          </w:tcPr>
          <w:p w:rsidR="0037602F" w:rsidRPr="007547B3" w:rsidRDefault="0037602F" w:rsidP="0037602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37602F" w:rsidRPr="0051165C" w:rsidTr="00055BA7">
        <w:trPr>
          <w:trHeight w:val="405"/>
        </w:trPr>
        <w:tc>
          <w:tcPr>
            <w:tcW w:w="2268" w:type="dxa"/>
            <w:vAlign w:val="center"/>
          </w:tcPr>
          <w:p w:rsidR="0037602F" w:rsidRPr="0051165C" w:rsidRDefault="0037602F" w:rsidP="0037602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37602F" w:rsidRPr="007547B3" w:rsidRDefault="0037602F" w:rsidP="0037602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-109,4</w:t>
            </w:r>
          </w:p>
        </w:tc>
        <w:tc>
          <w:tcPr>
            <w:tcW w:w="727" w:type="dxa"/>
            <w:vAlign w:val="bottom"/>
          </w:tcPr>
          <w:p w:rsidR="0037602F" w:rsidRPr="007547B3" w:rsidRDefault="0037602F" w:rsidP="0037602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-28,5</w:t>
            </w:r>
          </w:p>
        </w:tc>
        <w:tc>
          <w:tcPr>
            <w:tcW w:w="727" w:type="dxa"/>
            <w:vAlign w:val="bottom"/>
          </w:tcPr>
          <w:p w:rsidR="0037602F" w:rsidRPr="007547B3" w:rsidRDefault="0037602F" w:rsidP="0037602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-25,5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37602F" w:rsidRPr="0051165C" w:rsidTr="00055BA7">
        <w:trPr>
          <w:trHeight w:val="258"/>
        </w:trPr>
        <w:tc>
          <w:tcPr>
            <w:tcW w:w="2268" w:type="dxa"/>
            <w:vAlign w:val="center"/>
          </w:tcPr>
          <w:p w:rsidR="0037602F" w:rsidRPr="0051165C" w:rsidRDefault="0037602F" w:rsidP="0037602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37602F" w:rsidRPr="007547B3" w:rsidRDefault="0037602F" w:rsidP="00C255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-22,</w:t>
            </w:r>
            <w:r w:rsidR="00C25524" w:rsidRPr="007547B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7" w:type="dxa"/>
            <w:vAlign w:val="bottom"/>
          </w:tcPr>
          <w:p w:rsidR="0037602F" w:rsidRPr="007547B3" w:rsidRDefault="0037602F" w:rsidP="00C255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-</w:t>
            </w:r>
            <w:r w:rsidR="00C25524" w:rsidRPr="007547B3"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727" w:type="dxa"/>
            <w:vAlign w:val="bottom"/>
          </w:tcPr>
          <w:p w:rsidR="0037602F" w:rsidRPr="007547B3" w:rsidRDefault="0037602F" w:rsidP="0037602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-5,3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37602F" w:rsidRPr="004C67E3" w:rsidRDefault="0037602F" w:rsidP="003760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p w:rsidR="008F20EF" w:rsidRDefault="008F20EF" w:rsidP="0038490F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E74629">
        <w:rPr>
          <w:sz w:val="18"/>
          <w:szCs w:val="18"/>
        </w:rPr>
        <w:t>e</w:t>
      </w:r>
    </w:p>
    <w:p w:rsidR="008935C5" w:rsidRDefault="009C17B6" w:rsidP="00366025">
      <w:pPr>
        <w:rPr>
          <w:rFonts w:cs="Arial"/>
          <w:sz w:val="18"/>
          <w:szCs w:val="18"/>
        </w:rPr>
      </w:pPr>
      <w:r w:rsidRPr="007E3795">
        <w:rPr>
          <w:sz w:val="18"/>
          <w:szCs w:val="18"/>
        </w:rPr>
        <w:t xml:space="preserve">Udział Niemiec w imporcie według  </w:t>
      </w:r>
      <w:r w:rsidRPr="007E3795">
        <w:rPr>
          <w:rFonts w:cs="Arial"/>
          <w:sz w:val="18"/>
          <w:szCs w:val="18"/>
        </w:rPr>
        <w:t>kraju wysyłki</w:t>
      </w:r>
      <w:r w:rsidR="001866D5" w:rsidRPr="007E3795">
        <w:rPr>
          <w:rFonts w:cs="Arial"/>
          <w:sz w:val="18"/>
          <w:szCs w:val="18"/>
        </w:rPr>
        <w:t>,</w:t>
      </w:r>
      <w:r w:rsidRPr="007E3795">
        <w:rPr>
          <w:rFonts w:cs="Arial"/>
          <w:sz w:val="18"/>
          <w:szCs w:val="18"/>
        </w:rPr>
        <w:t xml:space="preserve"> </w:t>
      </w:r>
      <w:r w:rsidR="001866D5" w:rsidRPr="007E3795">
        <w:rPr>
          <w:rFonts w:cs="Arial"/>
          <w:sz w:val="18"/>
          <w:szCs w:val="18"/>
        </w:rPr>
        <w:t xml:space="preserve">w porównaniu z </w:t>
      </w:r>
      <w:r w:rsidRPr="007E3795">
        <w:rPr>
          <w:rFonts w:cs="Arial"/>
          <w:sz w:val="18"/>
          <w:szCs w:val="18"/>
        </w:rPr>
        <w:t>import</w:t>
      </w:r>
      <w:r w:rsidR="001866D5" w:rsidRPr="007E3795">
        <w:rPr>
          <w:rFonts w:cs="Arial"/>
          <w:sz w:val="18"/>
          <w:szCs w:val="18"/>
        </w:rPr>
        <w:t>em</w:t>
      </w:r>
      <w:r w:rsidRPr="007E3795">
        <w:rPr>
          <w:rFonts w:cs="Arial"/>
          <w:sz w:val="18"/>
          <w:szCs w:val="18"/>
        </w:rPr>
        <w:t xml:space="preserve"> według kraju pochodzenia</w:t>
      </w:r>
      <w:r w:rsidR="001866D5" w:rsidRPr="007E3795">
        <w:rPr>
          <w:rFonts w:cs="Arial"/>
          <w:sz w:val="18"/>
          <w:szCs w:val="18"/>
        </w:rPr>
        <w:t>,</w:t>
      </w:r>
      <w:r w:rsidRPr="001521EB">
        <w:rPr>
          <w:rFonts w:cs="Arial"/>
          <w:sz w:val="18"/>
          <w:szCs w:val="18"/>
        </w:rPr>
        <w:t xml:space="preserve"> </w:t>
      </w:r>
      <w:r w:rsidR="008C317D" w:rsidRPr="001521EB">
        <w:rPr>
          <w:rFonts w:cs="Arial"/>
          <w:sz w:val="18"/>
          <w:szCs w:val="18"/>
        </w:rPr>
        <w:t>był większy</w:t>
      </w:r>
      <w:r w:rsidRPr="001521EB">
        <w:rPr>
          <w:rFonts w:cs="Arial"/>
          <w:sz w:val="18"/>
          <w:szCs w:val="18"/>
        </w:rPr>
        <w:t xml:space="preserve"> o </w:t>
      </w:r>
      <w:r w:rsidR="00FA6B83">
        <w:rPr>
          <w:rFonts w:cs="Arial"/>
          <w:sz w:val="18"/>
          <w:szCs w:val="18"/>
        </w:rPr>
        <w:t>5,1</w:t>
      </w:r>
      <w:r w:rsidRPr="001521EB">
        <w:rPr>
          <w:rFonts w:cs="Arial"/>
          <w:sz w:val="18"/>
          <w:szCs w:val="18"/>
        </w:rPr>
        <w:t xml:space="preserve"> p. proc., udział Holandii odpowiednio </w:t>
      </w:r>
      <w:r w:rsidR="008C317D" w:rsidRPr="001521EB">
        <w:rPr>
          <w:rFonts w:cs="Arial"/>
          <w:sz w:val="18"/>
          <w:szCs w:val="18"/>
        </w:rPr>
        <w:t>był większy</w:t>
      </w:r>
      <w:r w:rsidRPr="001521EB">
        <w:rPr>
          <w:rFonts w:cs="Arial"/>
          <w:sz w:val="18"/>
          <w:szCs w:val="18"/>
        </w:rPr>
        <w:t xml:space="preserve"> o </w:t>
      </w:r>
      <w:r w:rsidR="00471416" w:rsidRPr="001521EB">
        <w:rPr>
          <w:rFonts w:cs="Arial"/>
          <w:sz w:val="18"/>
          <w:szCs w:val="18"/>
        </w:rPr>
        <w:t>1,</w:t>
      </w:r>
      <w:r w:rsidR="00FA6B83">
        <w:rPr>
          <w:rFonts w:cs="Arial"/>
          <w:sz w:val="18"/>
          <w:szCs w:val="18"/>
        </w:rPr>
        <w:t>8</w:t>
      </w:r>
      <w:r w:rsidR="0099454C" w:rsidRPr="001521EB">
        <w:rPr>
          <w:rFonts w:cs="Arial"/>
          <w:sz w:val="18"/>
          <w:szCs w:val="18"/>
        </w:rPr>
        <w:t xml:space="preserve"> p. proc., </w:t>
      </w:r>
      <w:r w:rsidR="00487646" w:rsidRPr="001521EB">
        <w:rPr>
          <w:rFonts w:cs="Arial"/>
          <w:sz w:val="18"/>
          <w:szCs w:val="18"/>
        </w:rPr>
        <w:t>Belgii o 1,</w:t>
      </w:r>
      <w:r w:rsidR="00293800" w:rsidRPr="001521EB">
        <w:rPr>
          <w:rFonts w:cs="Arial"/>
          <w:sz w:val="18"/>
          <w:szCs w:val="18"/>
        </w:rPr>
        <w:t>4</w:t>
      </w:r>
      <w:r w:rsidR="00487646" w:rsidRPr="001521EB">
        <w:rPr>
          <w:rFonts w:cs="Arial"/>
          <w:sz w:val="18"/>
          <w:szCs w:val="18"/>
        </w:rPr>
        <w:t xml:space="preserve"> </w:t>
      </w:r>
      <w:r w:rsidR="00FD2E48" w:rsidRPr="001521EB">
        <w:rPr>
          <w:rFonts w:cs="Arial"/>
          <w:sz w:val="18"/>
          <w:szCs w:val="18"/>
        </w:rPr>
        <w:t xml:space="preserve">p. proc., </w:t>
      </w:r>
      <w:r w:rsidR="00293800" w:rsidRPr="001521EB">
        <w:rPr>
          <w:rFonts w:cs="Arial"/>
          <w:sz w:val="18"/>
          <w:szCs w:val="18"/>
        </w:rPr>
        <w:t>Czech o 0,</w:t>
      </w:r>
      <w:r w:rsidR="000B1C19">
        <w:rPr>
          <w:rFonts w:cs="Arial"/>
          <w:sz w:val="18"/>
          <w:szCs w:val="18"/>
        </w:rPr>
        <w:t>7</w:t>
      </w:r>
      <w:r w:rsidR="00293800" w:rsidRPr="001521EB">
        <w:rPr>
          <w:rFonts w:cs="Arial"/>
          <w:sz w:val="18"/>
          <w:szCs w:val="18"/>
        </w:rPr>
        <w:t xml:space="preserve"> p. proc.</w:t>
      </w:r>
      <w:r w:rsidR="00316AB5" w:rsidRPr="001521EB">
        <w:rPr>
          <w:rFonts w:cs="Arial"/>
          <w:sz w:val="18"/>
          <w:szCs w:val="18"/>
        </w:rPr>
        <w:t xml:space="preserve">, </w:t>
      </w:r>
      <w:r w:rsidR="0012536F">
        <w:rPr>
          <w:rFonts w:cs="Arial"/>
          <w:sz w:val="18"/>
          <w:szCs w:val="18"/>
        </w:rPr>
        <w:t xml:space="preserve">a Francji </w:t>
      </w:r>
      <w:r w:rsidR="0012536F" w:rsidRPr="001521EB">
        <w:rPr>
          <w:rFonts w:cs="Arial"/>
          <w:sz w:val="18"/>
          <w:szCs w:val="18"/>
        </w:rPr>
        <w:t xml:space="preserve">o </w:t>
      </w:r>
      <w:r w:rsidR="0012536F">
        <w:rPr>
          <w:rFonts w:cs="Arial"/>
          <w:sz w:val="18"/>
          <w:szCs w:val="18"/>
        </w:rPr>
        <w:t>0,</w:t>
      </w:r>
      <w:r w:rsidR="00E27A51">
        <w:rPr>
          <w:rFonts w:cs="Arial"/>
          <w:sz w:val="18"/>
          <w:szCs w:val="18"/>
        </w:rPr>
        <w:t>4</w:t>
      </w:r>
      <w:r w:rsidR="0012536F" w:rsidRPr="001521EB">
        <w:rPr>
          <w:rFonts w:cs="Arial"/>
          <w:sz w:val="18"/>
          <w:szCs w:val="18"/>
        </w:rPr>
        <w:t xml:space="preserve"> </w:t>
      </w:r>
      <w:r w:rsidR="0012536F">
        <w:rPr>
          <w:rFonts w:cs="Arial"/>
          <w:sz w:val="18"/>
          <w:szCs w:val="18"/>
        </w:rPr>
        <w:t>p. proc.</w:t>
      </w:r>
    </w:p>
    <w:p w:rsidR="0060003F" w:rsidRPr="0060003F" w:rsidRDefault="0060003F" w:rsidP="0060003F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>Tablica 4. Import według kraju wysyłki – kraj</w:t>
      </w:r>
      <w:r w:rsidR="00E74629">
        <w:rPr>
          <w:color w:val="auto"/>
          <w:sz w:val="18"/>
          <w:szCs w:val="18"/>
        </w:rPr>
        <w:t>e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1D3EB6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60003F" w:rsidRPr="005F3D74" w:rsidTr="0060003F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60003F" w:rsidRPr="005F3D74" w:rsidRDefault="0060003F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0003F" w:rsidRPr="005F3D74" w:rsidRDefault="0060003F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60003F" w:rsidRPr="005F3D74" w:rsidRDefault="0060003F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60003F" w:rsidRPr="005F3D74" w:rsidRDefault="0060003F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60003F" w:rsidRPr="005F3D74" w:rsidRDefault="0060003F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0003F" w:rsidRPr="005F3D74" w:rsidRDefault="0060003F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0003F" w:rsidRPr="005F3D74" w:rsidRDefault="0060003F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0003F" w:rsidRPr="005F3D74" w:rsidRDefault="0060003F" w:rsidP="00603666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1D77"/>
            </w:tcBorders>
          </w:tcPr>
          <w:p w:rsidR="0060003F" w:rsidRPr="005F3D74" w:rsidRDefault="0060003F" w:rsidP="0060003F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  <w:p w:rsidR="0060003F" w:rsidRPr="005F3D74" w:rsidRDefault="0060003F" w:rsidP="0060003F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60003F" w:rsidRPr="005F3D74" w:rsidTr="0060003F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60003F" w:rsidRPr="005F3D74" w:rsidRDefault="0060003F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60003F" w:rsidRPr="005F3D74" w:rsidRDefault="0060003F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0003F" w:rsidRPr="005F3D74" w:rsidRDefault="0060003F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60003F" w:rsidRPr="005F3D74" w:rsidRDefault="0060003F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0003F" w:rsidRPr="005F3D74" w:rsidRDefault="0060003F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0003F" w:rsidRPr="005F3D74" w:rsidRDefault="0060003F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0003F" w:rsidRPr="005F3D74" w:rsidRDefault="0060003F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:rsidR="0060003F" w:rsidRPr="005F3D74" w:rsidRDefault="0060003F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60003F" w:rsidTr="0060003F">
        <w:trPr>
          <w:trHeight w:val="316"/>
        </w:trPr>
        <w:tc>
          <w:tcPr>
            <w:tcW w:w="2317" w:type="dxa"/>
            <w:vAlign w:val="bottom"/>
          </w:tcPr>
          <w:p w:rsidR="0060003F" w:rsidRPr="0038490F" w:rsidRDefault="0060003F" w:rsidP="00840802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274,7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71,7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63,9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102,6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96,2</w:t>
            </w:r>
          </w:p>
        </w:tc>
        <w:tc>
          <w:tcPr>
            <w:tcW w:w="648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101,6</w:t>
            </w:r>
          </w:p>
        </w:tc>
        <w:tc>
          <w:tcPr>
            <w:tcW w:w="619" w:type="dxa"/>
            <w:vAlign w:val="center"/>
          </w:tcPr>
          <w:p w:rsidR="0060003F" w:rsidRPr="007547B3" w:rsidRDefault="00D01090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27,6</w:t>
            </w:r>
          </w:p>
        </w:tc>
        <w:tc>
          <w:tcPr>
            <w:tcW w:w="622" w:type="dxa"/>
            <w:vAlign w:val="center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27,0</w:t>
            </w:r>
          </w:p>
        </w:tc>
      </w:tr>
      <w:tr w:rsidR="0060003F" w:rsidTr="0060003F">
        <w:trPr>
          <w:trHeight w:val="316"/>
        </w:trPr>
        <w:tc>
          <w:tcPr>
            <w:tcW w:w="2317" w:type="dxa"/>
            <w:vAlign w:val="bottom"/>
          </w:tcPr>
          <w:p w:rsidR="0060003F" w:rsidRPr="0038490F" w:rsidRDefault="0060003F" w:rsidP="00840802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81,0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21,1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18,9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116,4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109,3</w:t>
            </w:r>
          </w:p>
        </w:tc>
        <w:tc>
          <w:tcPr>
            <w:tcW w:w="648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115,2</w:t>
            </w:r>
          </w:p>
        </w:tc>
        <w:tc>
          <w:tcPr>
            <w:tcW w:w="619" w:type="dxa"/>
            <w:vAlign w:val="center"/>
          </w:tcPr>
          <w:p w:rsidR="0060003F" w:rsidRPr="007547B3" w:rsidRDefault="00D01090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7,2</w:t>
            </w:r>
          </w:p>
        </w:tc>
        <w:tc>
          <w:tcPr>
            <w:tcW w:w="622" w:type="dxa"/>
            <w:vAlign w:val="center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8,0</w:t>
            </w:r>
          </w:p>
        </w:tc>
      </w:tr>
      <w:tr w:rsidR="0060003F" w:rsidTr="0060003F">
        <w:trPr>
          <w:trHeight w:val="316"/>
        </w:trPr>
        <w:tc>
          <w:tcPr>
            <w:tcW w:w="2317" w:type="dxa"/>
            <w:vAlign w:val="bottom"/>
          </w:tcPr>
          <w:p w:rsidR="0060003F" w:rsidRPr="0038490F" w:rsidRDefault="0060003F" w:rsidP="00840802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64,7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16,9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15,0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89,3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83,8</w:t>
            </w:r>
          </w:p>
        </w:tc>
        <w:tc>
          <w:tcPr>
            <w:tcW w:w="648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88,4</w:t>
            </w:r>
          </w:p>
        </w:tc>
        <w:tc>
          <w:tcPr>
            <w:tcW w:w="619" w:type="dxa"/>
            <w:vAlign w:val="center"/>
          </w:tcPr>
          <w:p w:rsidR="0060003F" w:rsidRPr="007547B3" w:rsidRDefault="0060003F" w:rsidP="00D0109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7,</w:t>
            </w:r>
            <w:r w:rsidR="00D01090" w:rsidRPr="007547B3">
              <w:rPr>
                <w:rFonts w:cs="Arial"/>
                <w:sz w:val="17"/>
                <w:szCs w:val="17"/>
              </w:rPr>
              <w:t>5</w:t>
            </w:r>
          </w:p>
        </w:tc>
        <w:tc>
          <w:tcPr>
            <w:tcW w:w="622" w:type="dxa"/>
            <w:vAlign w:val="center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6,4</w:t>
            </w:r>
          </w:p>
        </w:tc>
      </w:tr>
      <w:tr w:rsidR="0060003F" w:rsidTr="0060003F">
        <w:trPr>
          <w:trHeight w:val="316"/>
        </w:trPr>
        <w:tc>
          <w:tcPr>
            <w:tcW w:w="2317" w:type="dxa"/>
            <w:vAlign w:val="bottom"/>
          </w:tcPr>
          <w:p w:rsidR="0060003F" w:rsidRPr="0038490F" w:rsidRDefault="0060003F" w:rsidP="00840802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57,4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15,0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13,4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106,8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99,9</w:t>
            </w:r>
          </w:p>
        </w:tc>
        <w:tc>
          <w:tcPr>
            <w:tcW w:w="648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105,6</w:t>
            </w:r>
          </w:p>
        </w:tc>
        <w:tc>
          <w:tcPr>
            <w:tcW w:w="619" w:type="dxa"/>
            <w:vAlign w:val="center"/>
          </w:tcPr>
          <w:p w:rsidR="0060003F" w:rsidRPr="007547B3" w:rsidRDefault="0060003F" w:rsidP="00D0109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5,</w:t>
            </w:r>
            <w:r w:rsidR="00D01090" w:rsidRPr="007547B3">
              <w:rPr>
                <w:rFonts w:cs="Arial"/>
                <w:sz w:val="17"/>
                <w:szCs w:val="17"/>
              </w:rPr>
              <w:t>5</w:t>
            </w:r>
          </w:p>
        </w:tc>
        <w:tc>
          <w:tcPr>
            <w:tcW w:w="622" w:type="dxa"/>
            <w:vAlign w:val="center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5,6</w:t>
            </w:r>
          </w:p>
        </w:tc>
      </w:tr>
      <w:tr w:rsidR="0060003F" w:rsidTr="0060003F">
        <w:trPr>
          <w:trHeight w:val="316"/>
        </w:trPr>
        <w:tc>
          <w:tcPr>
            <w:tcW w:w="2317" w:type="dxa"/>
            <w:vAlign w:val="bottom"/>
          </w:tcPr>
          <w:p w:rsidR="0060003F" w:rsidRPr="0038490F" w:rsidRDefault="0060003F" w:rsidP="00840802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51,4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13,4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12,0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102,7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96,2</w:t>
            </w:r>
          </w:p>
        </w:tc>
        <w:tc>
          <w:tcPr>
            <w:tcW w:w="648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101,6</w:t>
            </w:r>
          </w:p>
        </w:tc>
        <w:tc>
          <w:tcPr>
            <w:tcW w:w="619" w:type="dxa"/>
            <w:vAlign w:val="center"/>
          </w:tcPr>
          <w:p w:rsidR="0060003F" w:rsidRPr="007547B3" w:rsidRDefault="00D01090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5,2</w:t>
            </w:r>
          </w:p>
        </w:tc>
        <w:tc>
          <w:tcPr>
            <w:tcW w:w="622" w:type="dxa"/>
            <w:vAlign w:val="center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5,0</w:t>
            </w:r>
          </w:p>
        </w:tc>
      </w:tr>
      <w:tr w:rsidR="0060003F" w:rsidTr="0060003F">
        <w:trPr>
          <w:trHeight w:val="316"/>
        </w:trPr>
        <w:tc>
          <w:tcPr>
            <w:tcW w:w="2317" w:type="dxa"/>
            <w:vAlign w:val="bottom"/>
          </w:tcPr>
          <w:p w:rsidR="0060003F" w:rsidRPr="0038490F" w:rsidRDefault="0060003F" w:rsidP="00840802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41,1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10,7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9,6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106,5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99,7</w:t>
            </w:r>
          </w:p>
        </w:tc>
        <w:tc>
          <w:tcPr>
            <w:tcW w:w="648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105,4</w:t>
            </w:r>
          </w:p>
        </w:tc>
        <w:tc>
          <w:tcPr>
            <w:tcW w:w="619" w:type="dxa"/>
            <w:vAlign w:val="center"/>
          </w:tcPr>
          <w:p w:rsidR="0060003F" w:rsidRPr="007547B3" w:rsidRDefault="00D01090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4,0</w:t>
            </w:r>
          </w:p>
        </w:tc>
        <w:tc>
          <w:tcPr>
            <w:tcW w:w="622" w:type="dxa"/>
            <w:vAlign w:val="center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4,0</w:t>
            </w:r>
          </w:p>
        </w:tc>
      </w:tr>
      <w:tr w:rsidR="0060003F" w:rsidTr="0060003F">
        <w:trPr>
          <w:trHeight w:val="316"/>
        </w:trPr>
        <w:tc>
          <w:tcPr>
            <w:tcW w:w="2317" w:type="dxa"/>
            <w:vAlign w:val="bottom"/>
          </w:tcPr>
          <w:p w:rsidR="0060003F" w:rsidRPr="0038490F" w:rsidRDefault="0060003F" w:rsidP="00840802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40,6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10,6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9,4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104,3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97,8</w:t>
            </w:r>
          </w:p>
        </w:tc>
        <w:tc>
          <w:tcPr>
            <w:tcW w:w="648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103,2</w:t>
            </w:r>
          </w:p>
        </w:tc>
        <w:tc>
          <w:tcPr>
            <w:tcW w:w="619" w:type="dxa"/>
            <w:vAlign w:val="center"/>
          </w:tcPr>
          <w:p w:rsidR="0060003F" w:rsidRPr="007547B3" w:rsidRDefault="00D01090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4,0</w:t>
            </w:r>
          </w:p>
        </w:tc>
        <w:tc>
          <w:tcPr>
            <w:tcW w:w="622" w:type="dxa"/>
            <w:vAlign w:val="center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4,0</w:t>
            </w:r>
          </w:p>
        </w:tc>
      </w:tr>
      <w:tr w:rsidR="0060003F" w:rsidTr="0060003F">
        <w:trPr>
          <w:trHeight w:val="316"/>
        </w:trPr>
        <w:tc>
          <w:tcPr>
            <w:tcW w:w="2317" w:type="dxa"/>
            <w:vAlign w:val="bottom"/>
          </w:tcPr>
          <w:p w:rsidR="0060003F" w:rsidRPr="0038490F" w:rsidRDefault="0060003F" w:rsidP="00840802">
            <w:pPr>
              <w:tabs>
                <w:tab w:val="left" w:leader="dot" w:pos="2381"/>
              </w:tabs>
              <w:spacing w:before="60" w:after="0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37,7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9,8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8,8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102,2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95,8</w:t>
            </w:r>
          </w:p>
        </w:tc>
        <w:tc>
          <w:tcPr>
            <w:tcW w:w="648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101,2</w:t>
            </w:r>
          </w:p>
        </w:tc>
        <w:tc>
          <w:tcPr>
            <w:tcW w:w="619" w:type="dxa"/>
            <w:vAlign w:val="center"/>
          </w:tcPr>
          <w:p w:rsidR="0060003F" w:rsidRPr="007547B3" w:rsidRDefault="0060003F" w:rsidP="00D0109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3,</w:t>
            </w:r>
            <w:r w:rsidR="00D01090" w:rsidRPr="007547B3">
              <w:rPr>
                <w:rFonts w:cs="Arial"/>
                <w:sz w:val="17"/>
                <w:szCs w:val="17"/>
              </w:rPr>
              <w:t>8</w:t>
            </w:r>
          </w:p>
        </w:tc>
        <w:tc>
          <w:tcPr>
            <w:tcW w:w="622" w:type="dxa"/>
            <w:vAlign w:val="center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3,7</w:t>
            </w:r>
          </w:p>
        </w:tc>
      </w:tr>
      <w:tr w:rsidR="0060003F" w:rsidTr="0060003F">
        <w:trPr>
          <w:trHeight w:val="316"/>
        </w:trPr>
        <w:tc>
          <w:tcPr>
            <w:tcW w:w="2317" w:type="dxa"/>
            <w:vAlign w:val="bottom"/>
          </w:tcPr>
          <w:p w:rsidR="0060003F" w:rsidRPr="0038490F" w:rsidRDefault="0060003F" w:rsidP="00840802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W. Brytania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25,8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6,7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6,0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101,3</w:t>
            </w:r>
          </w:p>
        </w:tc>
        <w:tc>
          <w:tcPr>
            <w:tcW w:w="645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95,1</w:t>
            </w:r>
          </w:p>
        </w:tc>
        <w:tc>
          <w:tcPr>
            <w:tcW w:w="648" w:type="dxa"/>
            <w:vAlign w:val="bottom"/>
          </w:tcPr>
          <w:p w:rsidR="0060003F" w:rsidRPr="007547B3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100,3</w:t>
            </w:r>
          </w:p>
        </w:tc>
        <w:tc>
          <w:tcPr>
            <w:tcW w:w="619" w:type="dxa"/>
            <w:vAlign w:val="center"/>
          </w:tcPr>
          <w:p w:rsidR="0060003F" w:rsidRPr="007547B3" w:rsidRDefault="0060003F" w:rsidP="00D01090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 w:rsidRPr="007547B3">
              <w:rPr>
                <w:rFonts w:cs="Arial"/>
                <w:sz w:val="17"/>
                <w:szCs w:val="17"/>
              </w:rPr>
              <w:t>2,</w:t>
            </w:r>
            <w:r w:rsidR="00D01090" w:rsidRPr="007547B3">
              <w:rPr>
                <w:rFonts w:cs="Arial"/>
                <w:sz w:val="17"/>
                <w:szCs w:val="17"/>
              </w:rPr>
              <w:t>6</w:t>
            </w:r>
          </w:p>
        </w:tc>
        <w:tc>
          <w:tcPr>
            <w:tcW w:w="622" w:type="dxa"/>
            <w:vAlign w:val="center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2,5</w:t>
            </w:r>
          </w:p>
        </w:tc>
      </w:tr>
      <w:tr w:rsidR="0060003F" w:rsidTr="00295072">
        <w:trPr>
          <w:trHeight w:val="316"/>
        </w:trPr>
        <w:tc>
          <w:tcPr>
            <w:tcW w:w="2317" w:type="dxa"/>
            <w:vAlign w:val="bottom"/>
          </w:tcPr>
          <w:p w:rsidR="0060003F" w:rsidRPr="0038490F" w:rsidRDefault="0060003F" w:rsidP="00840802">
            <w:pPr>
              <w:tabs>
                <w:tab w:val="left" w:leader="dot" w:pos="2381"/>
              </w:tabs>
              <w:spacing w:before="6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Hiszpania 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24,0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6,3</w:t>
            </w:r>
          </w:p>
        </w:tc>
        <w:tc>
          <w:tcPr>
            <w:tcW w:w="743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5,6</w:t>
            </w:r>
          </w:p>
        </w:tc>
        <w:tc>
          <w:tcPr>
            <w:tcW w:w="645" w:type="dxa"/>
            <w:vAlign w:val="bottom"/>
          </w:tcPr>
          <w:p w:rsidR="0060003F" w:rsidRPr="007547B3" w:rsidRDefault="00D01090" w:rsidP="0084080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105,2</w:t>
            </w:r>
          </w:p>
        </w:tc>
        <w:tc>
          <w:tcPr>
            <w:tcW w:w="645" w:type="dxa"/>
            <w:vAlign w:val="bottom"/>
          </w:tcPr>
          <w:p w:rsidR="0060003F" w:rsidRPr="007547B3" w:rsidRDefault="00D01090" w:rsidP="0084080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98,6</w:t>
            </w:r>
          </w:p>
        </w:tc>
        <w:tc>
          <w:tcPr>
            <w:tcW w:w="648" w:type="dxa"/>
            <w:vAlign w:val="bottom"/>
          </w:tcPr>
          <w:p w:rsidR="0060003F" w:rsidRPr="007547B3" w:rsidRDefault="00D01090" w:rsidP="0084080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104,1</w:t>
            </w:r>
          </w:p>
        </w:tc>
        <w:tc>
          <w:tcPr>
            <w:tcW w:w="619" w:type="dxa"/>
            <w:vAlign w:val="bottom"/>
          </w:tcPr>
          <w:p w:rsidR="0060003F" w:rsidRPr="007547B3" w:rsidRDefault="0060003F" w:rsidP="00D0109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547B3">
              <w:rPr>
                <w:rFonts w:cs="Arial"/>
                <w:sz w:val="16"/>
                <w:szCs w:val="16"/>
              </w:rPr>
              <w:t>2</w:t>
            </w:r>
            <w:r w:rsidR="00D01090" w:rsidRPr="007547B3">
              <w:rPr>
                <w:rFonts w:cs="Arial"/>
                <w:sz w:val="16"/>
                <w:szCs w:val="16"/>
              </w:rPr>
              <w:t>,4</w:t>
            </w:r>
          </w:p>
        </w:tc>
        <w:tc>
          <w:tcPr>
            <w:tcW w:w="622" w:type="dxa"/>
            <w:vAlign w:val="bottom"/>
          </w:tcPr>
          <w:p w:rsidR="0060003F" w:rsidRDefault="0060003F" w:rsidP="0084080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8F20EF" w:rsidRDefault="00840802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211279F" wp14:editId="0729CA25">
                <wp:simplePos x="0" y="0"/>
                <wp:positionH relativeFrom="column">
                  <wp:posOffset>5215358</wp:posOffset>
                </wp:positionH>
                <wp:positionV relativeFrom="paragraph">
                  <wp:posOffset>1419277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7A" w:rsidRPr="009A5C86" w:rsidRDefault="00FD327A" w:rsidP="0060003F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 w:rsidRPr="007547B3">
                              <w:t xml:space="preserve">Udział importu z Chin według kraju wysyłki w stosunku do udziału </w:t>
                            </w:r>
                            <w:r>
                              <w:t>importu według kraju pochodzenia był mniejszy o 4,3%</w:t>
                            </w:r>
                            <w:r w:rsidRPr="00A5504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279F" id="_x0000_s1032" type="#_x0000_t202" style="position:absolute;margin-left:410.65pt;margin-top:111.75pt;width:135.85pt;height:82.1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" filled="f" stroked="f">
                <v:textbox>
                  <w:txbxContent>
                    <w:p w:rsidR="00FD327A" w:rsidRPr="009A5C86" w:rsidRDefault="00FD327A" w:rsidP="0060003F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 w:rsidRPr="007547B3">
                        <w:t xml:space="preserve">Udział importu z Chin według kraju wysyłki w stosunku do udziału </w:t>
                      </w:r>
                      <w:r>
                        <w:t>importu według kraju pochodzenia był mniejszy o 4,3%</w:t>
                      </w:r>
                      <w:r w:rsidRPr="00A5504C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2C1F" w:rsidRPr="003B1303" w:rsidRDefault="002A2AB1" w:rsidP="00032C1F">
      <w:pPr>
        <w:rPr>
          <w:color w:val="FF0000"/>
          <w:spacing w:val="-3"/>
          <w:szCs w:val="19"/>
        </w:rPr>
      </w:pPr>
      <w:r>
        <w:rPr>
          <w:spacing w:val="-3"/>
          <w:szCs w:val="19"/>
        </w:rPr>
        <w:lastRenderedPageBreak/>
        <w:t>W</w:t>
      </w:r>
      <w:r w:rsidR="00032C1F" w:rsidRPr="003B1303">
        <w:rPr>
          <w:spacing w:val="-3"/>
          <w:szCs w:val="19"/>
        </w:rPr>
        <w:t xml:space="preserve"> </w:t>
      </w:r>
      <w:r w:rsidR="0090601C">
        <w:rPr>
          <w:spacing w:val="-3"/>
          <w:szCs w:val="19"/>
        </w:rPr>
        <w:t>2019 r</w:t>
      </w:r>
      <w:r w:rsidR="00032C1F" w:rsidRPr="003B1303">
        <w:rPr>
          <w:spacing w:val="-3"/>
          <w:szCs w:val="19"/>
        </w:rPr>
        <w:t xml:space="preserve">. w obrotach towarowych wg nomenklatury SITC w porównaniu z </w:t>
      </w:r>
      <w:r w:rsidR="0090601C">
        <w:rPr>
          <w:spacing w:val="-3"/>
          <w:szCs w:val="19"/>
        </w:rPr>
        <w:t>2018</w:t>
      </w:r>
      <w:r w:rsidR="00032C1F" w:rsidRPr="003B1303">
        <w:rPr>
          <w:spacing w:val="-3"/>
          <w:szCs w:val="19"/>
        </w:rPr>
        <w:t xml:space="preserve"> r.  odnotowano wzrost w</w:t>
      </w:r>
      <w:r w:rsidR="009B44D4" w:rsidRPr="003B1303">
        <w:rPr>
          <w:spacing w:val="-3"/>
          <w:szCs w:val="19"/>
        </w:rPr>
        <w:t xml:space="preserve"> większości</w:t>
      </w:r>
      <w:r w:rsidR="00032C1F" w:rsidRPr="003B1303">
        <w:rPr>
          <w:spacing w:val="-3"/>
          <w:szCs w:val="19"/>
        </w:rPr>
        <w:t xml:space="preserve"> sekcj</w:t>
      </w:r>
      <w:r w:rsidR="009B44D4" w:rsidRPr="003B1303">
        <w:rPr>
          <w:spacing w:val="-3"/>
          <w:szCs w:val="19"/>
        </w:rPr>
        <w:t>i</w:t>
      </w:r>
      <w:r w:rsidR="00032C1F" w:rsidRPr="003B1303">
        <w:rPr>
          <w:spacing w:val="-3"/>
          <w:szCs w:val="19"/>
        </w:rPr>
        <w:t xml:space="preserve"> towarowych.</w:t>
      </w:r>
      <w:r w:rsidR="00032C1F" w:rsidRPr="003B1303">
        <w:rPr>
          <w:color w:val="FF0000"/>
          <w:spacing w:val="-3"/>
          <w:szCs w:val="19"/>
        </w:rPr>
        <w:t xml:space="preserve"> </w:t>
      </w:r>
    </w:p>
    <w:p w:rsidR="003749BC" w:rsidRPr="003B1303" w:rsidRDefault="00032C1F" w:rsidP="003749BC">
      <w:r w:rsidRPr="003B1303">
        <w:rPr>
          <w:spacing w:val="-3"/>
          <w:szCs w:val="19"/>
        </w:rPr>
        <w:t xml:space="preserve">W eksporcie największy wzrost dotyczył </w:t>
      </w:r>
      <w:r w:rsidR="00834CC1">
        <w:rPr>
          <w:spacing w:val="-3"/>
          <w:szCs w:val="19"/>
        </w:rPr>
        <w:t xml:space="preserve">towarów i transakcji niesklasyfikowanych w SITC (o 60,0%), </w:t>
      </w:r>
      <w:r w:rsidR="00BB3778">
        <w:rPr>
          <w:spacing w:val="-3"/>
          <w:szCs w:val="19"/>
        </w:rPr>
        <w:t>olei, tłuszczów</w:t>
      </w:r>
      <w:r w:rsidR="002D6AE9">
        <w:rPr>
          <w:spacing w:val="-3"/>
          <w:szCs w:val="19"/>
        </w:rPr>
        <w:t>,</w:t>
      </w:r>
      <w:r w:rsidR="00BB3778">
        <w:rPr>
          <w:spacing w:val="-3"/>
          <w:szCs w:val="19"/>
        </w:rPr>
        <w:t xml:space="preserve"> wosków</w:t>
      </w:r>
      <w:r w:rsidRPr="003B1303">
        <w:rPr>
          <w:spacing w:val="-3"/>
          <w:szCs w:val="19"/>
        </w:rPr>
        <w:t xml:space="preserve"> zwierzęcych i roślinnych </w:t>
      </w:r>
      <w:r w:rsidR="003E06AE" w:rsidRPr="003B1303">
        <w:rPr>
          <w:spacing w:val="-3"/>
          <w:szCs w:val="19"/>
        </w:rPr>
        <w:t xml:space="preserve">(o </w:t>
      </w:r>
      <w:r w:rsidR="00AD0F47">
        <w:rPr>
          <w:spacing w:val="-3"/>
          <w:szCs w:val="19"/>
        </w:rPr>
        <w:t>2</w:t>
      </w:r>
      <w:r w:rsidR="002A2AB1">
        <w:rPr>
          <w:spacing w:val="-3"/>
          <w:szCs w:val="19"/>
        </w:rPr>
        <w:t>8</w:t>
      </w:r>
      <w:r w:rsidR="00AD0F47">
        <w:rPr>
          <w:spacing w:val="-3"/>
          <w:szCs w:val="19"/>
        </w:rPr>
        <w:t>,</w:t>
      </w:r>
      <w:r w:rsidR="002A2AB1">
        <w:rPr>
          <w:spacing w:val="-3"/>
          <w:szCs w:val="19"/>
        </w:rPr>
        <w:t>9</w:t>
      </w:r>
      <w:r w:rsidR="003E06AE" w:rsidRPr="003B1303">
        <w:rPr>
          <w:spacing w:val="-3"/>
          <w:szCs w:val="19"/>
        </w:rPr>
        <w:t xml:space="preserve">%) </w:t>
      </w:r>
      <w:r w:rsidRPr="003B1303">
        <w:rPr>
          <w:spacing w:val="-3"/>
          <w:szCs w:val="19"/>
        </w:rPr>
        <w:t>oraz napojów i tytoniu</w:t>
      </w:r>
      <w:r w:rsidR="003E06AE" w:rsidRPr="003B1303">
        <w:rPr>
          <w:spacing w:val="-3"/>
          <w:szCs w:val="19"/>
        </w:rPr>
        <w:t xml:space="preserve"> (o </w:t>
      </w:r>
      <w:r w:rsidR="00AD0F47">
        <w:rPr>
          <w:spacing w:val="-3"/>
          <w:szCs w:val="19"/>
        </w:rPr>
        <w:t>10,</w:t>
      </w:r>
      <w:r w:rsidR="00834CC1">
        <w:rPr>
          <w:spacing w:val="-3"/>
          <w:szCs w:val="19"/>
        </w:rPr>
        <w:t>8</w:t>
      </w:r>
      <w:r w:rsidR="003E06AE" w:rsidRPr="003B1303">
        <w:rPr>
          <w:spacing w:val="-3"/>
          <w:szCs w:val="19"/>
        </w:rPr>
        <w:t>%)</w:t>
      </w:r>
      <w:r w:rsidR="003749BC" w:rsidRPr="003B1303">
        <w:rPr>
          <w:spacing w:val="-3"/>
          <w:szCs w:val="19"/>
        </w:rPr>
        <w:t>, n</w:t>
      </w:r>
      <w:r w:rsidR="003E06AE" w:rsidRPr="003B1303">
        <w:rPr>
          <w:spacing w:val="-3"/>
          <w:szCs w:val="19"/>
        </w:rPr>
        <w:t>atomiast</w:t>
      </w:r>
      <w:r w:rsidR="003749BC" w:rsidRPr="003B1303">
        <w:rPr>
          <w:spacing w:val="-3"/>
          <w:szCs w:val="19"/>
        </w:rPr>
        <w:t xml:space="preserve"> </w:t>
      </w:r>
      <w:r w:rsidR="00CA6B4C" w:rsidRPr="003B1303">
        <w:rPr>
          <w:spacing w:val="-3"/>
          <w:szCs w:val="19"/>
        </w:rPr>
        <w:t>spadek</w:t>
      </w:r>
      <w:r w:rsidR="003749BC" w:rsidRPr="003B1303">
        <w:rPr>
          <w:spacing w:val="-3"/>
          <w:szCs w:val="19"/>
        </w:rPr>
        <w:t xml:space="preserve"> odnotowano w paliwach mineralnych, </w:t>
      </w:r>
      <w:r w:rsidR="00B22CE9">
        <w:rPr>
          <w:spacing w:val="-3"/>
          <w:szCs w:val="19"/>
        </w:rPr>
        <w:t>smarach i materiałach pochodnych</w:t>
      </w:r>
      <w:r w:rsidR="003E06AE" w:rsidRPr="003B1303">
        <w:rPr>
          <w:spacing w:val="-3"/>
          <w:szCs w:val="19"/>
        </w:rPr>
        <w:t xml:space="preserve"> (o </w:t>
      </w:r>
      <w:r w:rsidR="00834CC1">
        <w:rPr>
          <w:spacing w:val="-3"/>
          <w:szCs w:val="19"/>
        </w:rPr>
        <w:t>11,9</w:t>
      </w:r>
      <w:r w:rsidR="003E06AE" w:rsidRPr="003B1303">
        <w:rPr>
          <w:spacing w:val="-3"/>
          <w:szCs w:val="19"/>
        </w:rPr>
        <w:t>%)</w:t>
      </w:r>
      <w:r w:rsidR="003749BC" w:rsidRPr="003B1303">
        <w:rPr>
          <w:spacing w:val="-3"/>
          <w:szCs w:val="19"/>
        </w:rPr>
        <w:t xml:space="preserve">. </w:t>
      </w:r>
    </w:p>
    <w:p w:rsidR="00032C1F" w:rsidRDefault="0093796E" w:rsidP="00032C1F">
      <w:pPr>
        <w:rPr>
          <w:spacing w:val="-3"/>
          <w:szCs w:val="19"/>
        </w:rPr>
      </w:pPr>
      <w:r>
        <w:t>W imporcie największy wzrost zanotowano w następujących sekcjach SITC</w:t>
      </w:r>
      <w:r w:rsidR="002D6AE9">
        <w:rPr>
          <w:spacing w:val="-3"/>
          <w:szCs w:val="19"/>
        </w:rPr>
        <w:t>:</w:t>
      </w:r>
      <w:r w:rsidR="00DF0EAD" w:rsidRPr="007547B3">
        <w:rPr>
          <w:spacing w:val="-3"/>
          <w:szCs w:val="19"/>
        </w:rPr>
        <w:t xml:space="preserve"> napoj</w:t>
      </w:r>
      <w:r w:rsidR="002D6AE9">
        <w:rPr>
          <w:spacing w:val="-3"/>
          <w:szCs w:val="19"/>
        </w:rPr>
        <w:t>e</w:t>
      </w:r>
      <w:r w:rsidR="00DF0EAD" w:rsidRPr="007547B3">
        <w:rPr>
          <w:spacing w:val="-3"/>
          <w:szCs w:val="19"/>
        </w:rPr>
        <w:t xml:space="preserve"> i tyto</w:t>
      </w:r>
      <w:r w:rsidR="002D6AE9">
        <w:rPr>
          <w:spacing w:val="-3"/>
          <w:szCs w:val="19"/>
        </w:rPr>
        <w:t>ń</w:t>
      </w:r>
      <w:r w:rsidR="00DF0EAD" w:rsidRPr="007547B3">
        <w:rPr>
          <w:spacing w:val="-3"/>
          <w:szCs w:val="19"/>
        </w:rPr>
        <w:t xml:space="preserve"> </w:t>
      </w:r>
      <w:r w:rsidR="003E06AE" w:rsidRPr="007547B3">
        <w:rPr>
          <w:spacing w:val="-3"/>
          <w:szCs w:val="19"/>
        </w:rPr>
        <w:t xml:space="preserve">(o </w:t>
      </w:r>
      <w:r w:rsidR="0090601C" w:rsidRPr="007547B3">
        <w:rPr>
          <w:spacing w:val="-3"/>
          <w:szCs w:val="19"/>
        </w:rPr>
        <w:t>1</w:t>
      </w:r>
      <w:r w:rsidR="00834CC1" w:rsidRPr="007547B3">
        <w:rPr>
          <w:spacing w:val="-3"/>
          <w:szCs w:val="19"/>
        </w:rPr>
        <w:t>3</w:t>
      </w:r>
      <w:r w:rsidR="0090601C" w:rsidRPr="007547B3">
        <w:rPr>
          <w:spacing w:val="-3"/>
          <w:szCs w:val="19"/>
        </w:rPr>
        <w:t>,</w:t>
      </w:r>
      <w:r w:rsidR="00834CC1" w:rsidRPr="007547B3">
        <w:rPr>
          <w:spacing w:val="-3"/>
          <w:szCs w:val="19"/>
        </w:rPr>
        <w:t>4</w:t>
      </w:r>
      <w:r w:rsidR="003E06AE" w:rsidRPr="007547B3">
        <w:rPr>
          <w:spacing w:val="-3"/>
          <w:szCs w:val="19"/>
        </w:rPr>
        <w:t>%)</w:t>
      </w:r>
      <w:r w:rsidR="00834CC1" w:rsidRPr="007547B3">
        <w:rPr>
          <w:spacing w:val="-3"/>
          <w:szCs w:val="19"/>
        </w:rPr>
        <w:t xml:space="preserve">, </w:t>
      </w:r>
      <w:r w:rsidR="00D01090" w:rsidRPr="007547B3">
        <w:rPr>
          <w:spacing w:val="-3"/>
          <w:szCs w:val="19"/>
        </w:rPr>
        <w:t>olej</w:t>
      </w:r>
      <w:r w:rsidR="002D6AE9">
        <w:rPr>
          <w:spacing w:val="-3"/>
          <w:szCs w:val="19"/>
        </w:rPr>
        <w:t>e</w:t>
      </w:r>
      <w:r w:rsidR="00834CC1" w:rsidRPr="007547B3">
        <w:rPr>
          <w:spacing w:val="-3"/>
          <w:szCs w:val="19"/>
        </w:rPr>
        <w:t>, tłuszcz</w:t>
      </w:r>
      <w:r w:rsidR="002D6AE9">
        <w:rPr>
          <w:spacing w:val="-3"/>
          <w:szCs w:val="19"/>
        </w:rPr>
        <w:t>e,</w:t>
      </w:r>
      <w:r w:rsidR="00BB3778">
        <w:rPr>
          <w:spacing w:val="-3"/>
          <w:szCs w:val="19"/>
        </w:rPr>
        <w:t xml:space="preserve"> </w:t>
      </w:r>
      <w:r w:rsidR="00834CC1" w:rsidRPr="007547B3">
        <w:rPr>
          <w:spacing w:val="-3"/>
          <w:szCs w:val="19"/>
        </w:rPr>
        <w:t>wosk</w:t>
      </w:r>
      <w:r w:rsidR="002D6AE9">
        <w:rPr>
          <w:spacing w:val="-3"/>
          <w:szCs w:val="19"/>
        </w:rPr>
        <w:t>i</w:t>
      </w:r>
      <w:r w:rsidR="00834CC1" w:rsidRPr="007547B3">
        <w:rPr>
          <w:spacing w:val="-3"/>
          <w:szCs w:val="19"/>
        </w:rPr>
        <w:t xml:space="preserve"> zwierzęc</w:t>
      </w:r>
      <w:r w:rsidR="002D6AE9">
        <w:rPr>
          <w:spacing w:val="-3"/>
          <w:szCs w:val="19"/>
        </w:rPr>
        <w:t>e</w:t>
      </w:r>
      <w:r w:rsidR="00834CC1" w:rsidRPr="007547B3">
        <w:rPr>
          <w:spacing w:val="-3"/>
          <w:szCs w:val="19"/>
        </w:rPr>
        <w:t xml:space="preserve"> i roślinn</w:t>
      </w:r>
      <w:r w:rsidR="002D6AE9">
        <w:rPr>
          <w:spacing w:val="-3"/>
          <w:szCs w:val="19"/>
        </w:rPr>
        <w:t>e</w:t>
      </w:r>
      <w:r w:rsidR="00834CC1" w:rsidRPr="007547B3">
        <w:rPr>
          <w:spacing w:val="-3"/>
          <w:szCs w:val="19"/>
        </w:rPr>
        <w:t xml:space="preserve"> (o 9,8%)</w:t>
      </w:r>
      <w:r w:rsidR="003E06AE" w:rsidRPr="007547B3">
        <w:rPr>
          <w:spacing w:val="-3"/>
          <w:szCs w:val="19"/>
        </w:rPr>
        <w:t xml:space="preserve"> </w:t>
      </w:r>
      <w:r w:rsidR="00032C1F" w:rsidRPr="007547B3">
        <w:rPr>
          <w:spacing w:val="-3"/>
          <w:szCs w:val="19"/>
        </w:rPr>
        <w:t xml:space="preserve">oraz </w:t>
      </w:r>
      <w:r w:rsidR="00B22CE9" w:rsidRPr="007547B3">
        <w:rPr>
          <w:spacing w:val="-3"/>
          <w:szCs w:val="19"/>
        </w:rPr>
        <w:t>maszyn</w:t>
      </w:r>
      <w:r w:rsidR="002D6AE9">
        <w:rPr>
          <w:spacing w:val="-3"/>
          <w:szCs w:val="19"/>
        </w:rPr>
        <w:t>y</w:t>
      </w:r>
      <w:r w:rsidR="00B22CE9" w:rsidRPr="007547B3">
        <w:rPr>
          <w:spacing w:val="-3"/>
          <w:szCs w:val="19"/>
        </w:rPr>
        <w:t>, urządze</w:t>
      </w:r>
      <w:r w:rsidR="00D01090" w:rsidRPr="007547B3">
        <w:rPr>
          <w:spacing w:val="-3"/>
          <w:szCs w:val="19"/>
        </w:rPr>
        <w:t>nia</w:t>
      </w:r>
      <w:r w:rsidR="00B22CE9" w:rsidRPr="007547B3">
        <w:rPr>
          <w:spacing w:val="-3"/>
          <w:szCs w:val="19"/>
        </w:rPr>
        <w:t xml:space="preserve"> i sprzę</w:t>
      </w:r>
      <w:r w:rsidR="002D6AE9">
        <w:rPr>
          <w:spacing w:val="-3"/>
          <w:szCs w:val="19"/>
        </w:rPr>
        <w:t>t</w:t>
      </w:r>
      <w:r w:rsidR="00B22CE9" w:rsidRPr="007547B3">
        <w:rPr>
          <w:spacing w:val="-3"/>
          <w:szCs w:val="19"/>
        </w:rPr>
        <w:t xml:space="preserve"> transportow</w:t>
      </w:r>
      <w:r w:rsidR="00D01090" w:rsidRPr="007547B3">
        <w:rPr>
          <w:spacing w:val="-3"/>
          <w:szCs w:val="19"/>
        </w:rPr>
        <w:t>y</w:t>
      </w:r>
      <w:r w:rsidR="00834CC1" w:rsidRPr="007547B3">
        <w:rPr>
          <w:spacing w:val="-3"/>
          <w:szCs w:val="19"/>
        </w:rPr>
        <w:t xml:space="preserve"> (o 9</w:t>
      </w:r>
      <w:r w:rsidR="00834CC1">
        <w:rPr>
          <w:spacing w:val="-3"/>
          <w:szCs w:val="19"/>
        </w:rPr>
        <w:t>,7%),</w:t>
      </w:r>
      <w:r w:rsidR="00D43A88">
        <w:rPr>
          <w:spacing w:val="-3"/>
          <w:szCs w:val="19"/>
        </w:rPr>
        <w:t xml:space="preserve"> </w:t>
      </w:r>
      <w:r>
        <w:t>natomiast spadek obserwowano w zakresie</w:t>
      </w:r>
      <w:bookmarkStart w:id="0" w:name="_GoBack"/>
      <w:bookmarkEnd w:id="0"/>
      <w:r w:rsidR="00DF0EAD">
        <w:rPr>
          <w:spacing w:val="-3"/>
          <w:szCs w:val="19"/>
        </w:rPr>
        <w:t xml:space="preserve"> </w:t>
      </w:r>
      <w:r>
        <w:rPr>
          <w:spacing w:val="-3"/>
          <w:szCs w:val="19"/>
        </w:rPr>
        <w:t>paliw</w:t>
      </w:r>
      <w:r w:rsidR="00097DDE">
        <w:rPr>
          <w:spacing w:val="-3"/>
          <w:szCs w:val="19"/>
        </w:rPr>
        <w:t xml:space="preserve"> mineraln</w:t>
      </w:r>
      <w:r>
        <w:rPr>
          <w:spacing w:val="-3"/>
          <w:szCs w:val="19"/>
        </w:rPr>
        <w:t>ych</w:t>
      </w:r>
      <w:r w:rsidR="00097DDE">
        <w:rPr>
          <w:spacing w:val="-3"/>
          <w:szCs w:val="19"/>
        </w:rPr>
        <w:t>, smar</w:t>
      </w:r>
      <w:r>
        <w:rPr>
          <w:spacing w:val="-3"/>
          <w:szCs w:val="19"/>
        </w:rPr>
        <w:t>ów</w:t>
      </w:r>
      <w:r w:rsidR="00097DDE">
        <w:rPr>
          <w:spacing w:val="-3"/>
          <w:szCs w:val="19"/>
        </w:rPr>
        <w:t xml:space="preserve"> i materiał</w:t>
      </w:r>
      <w:r>
        <w:rPr>
          <w:spacing w:val="-3"/>
          <w:szCs w:val="19"/>
        </w:rPr>
        <w:t>ów</w:t>
      </w:r>
      <w:r w:rsidR="00097DDE">
        <w:rPr>
          <w:spacing w:val="-3"/>
          <w:szCs w:val="19"/>
        </w:rPr>
        <w:t xml:space="preserve"> pochodn</w:t>
      </w:r>
      <w:r>
        <w:rPr>
          <w:spacing w:val="-3"/>
          <w:szCs w:val="19"/>
        </w:rPr>
        <w:t>ych</w:t>
      </w:r>
      <w:r w:rsidR="003E06AE">
        <w:rPr>
          <w:spacing w:val="-3"/>
          <w:szCs w:val="19"/>
        </w:rPr>
        <w:t xml:space="preserve">(o </w:t>
      </w:r>
      <w:r w:rsidR="0090601C">
        <w:rPr>
          <w:spacing w:val="-3"/>
          <w:szCs w:val="19"/>
        </w:rPr>
        <w:t>6,</w:t>
      </w:r>
      <w:r w:rsidR="00834CC1">
        <w:rPr>
          <w:spacing w:val="-3"/>
          <w:szCs w:val="19"/>
        </w:rPr>
        <w:t>1</w:t>
      </w:r>
      <w:r w:rsidR="003E06AE">
        <w:rPr>
          <w:spacing w:val="-3"/>
          <w:szCs w:val="19"/>
        </w:rPr>
        <w:t>%)</w:t>
      </w:r>
      <w:r w:rsidR="00CA6B4C">
        <w:rPr>
          <w:spacing w:val="-3"/>
          <w:szCs w:val="19"/>
        </w:rPr>
        <w:t>,</w:t>
      </w:r>
      <w:r w:rsidR="002D6AE9">
        <w:rPr>
          <w:spacing w:val="-3"/>
          <w:szCs w:val="19"/>
        </w:rPr>
        <w:t xml:space="preserve"> </w:t>
      </w:r>
      <w:r w:rsidR="00D70981">
        <w:rPr>
          <w:spacing w:val="-3"/>
          <w:szCs w:val="19"/>
        </w:rPr>
        <w:t>towar</w:t>
      </w:r>
      <w:r>
        <w:rPr>
          <w:spacing w:val="-3"/>
          <w:szCs w:val="19"/>
        </w:rPr>
        <w:t>ów</w:t>
      </w:r>
      <w:r w:rsidR="00D70981">
        <w:rPr>
          <w:spacing w:val="-3"/>
          <w:szCs w:val="19"/>
        </w:rPr>
        <w:t xml:space="preserve"> przemysłow</w:t>
      </w:r>
      <w:r>
        <w:rPr>
          <w:spacing w:val="-3"/>
          <w:szCs w:val="19"/>
        </w:rPr>
        <w:t>ych</w:t>
      </w:r>
      <w:r w:rsidR="007C58B9" w:rsidRPr="00CA6B4C">
        <w:rPr>
          <w:spacing w:val="-3"/>
          <w:szCs w:val="19"/>
        </w:rPr>
        <w:t xml:space="preserve"> </w:t>
      </w:r>
      <w:r w:rsidR="00D70981">
        <w:rPr>
          <w:spacing w:val="-3"/>
          <w:szCs w:val="19"/>
        </w:rPr>
        <w:t>s</w:t>
      </w:r>
      <w:r w:rsidR="007C58B9" w:rsidRPr="00CA6B4C">
        <w:rPr>
          <w:spacing w:val="-3"/>
          <w:szCs w:val="19"/>
        </w:rPr>
        <w:t>klasyfikowan</w:t>
      </w:r>
      <w:r>
        <w:rPr>
          <w:spacing w:val="-3"/>
          <w:szCs w:val="19"/>
        </w:rPr>
        <w:t>ych</w:t>
      </w:r>
      <w:r w:rsidR="007C58B9" w:rsidRPr="00CA6B4C">
        <w:rPr>
          <w:spacing w:val="-3"/>
          <w:szCs w:val="19"/>
        </w:rPr>
        <w:t xml:space="preserve"> głównie według surowca</w:t>
      </w:r>
      <w:r w:rsidR="00B22CE9">
        <w:rPr>
          <w:spacing w:val="-3"/>
          <w:szCs w:val="19"/>
        </w:rPr>
        <w:t xml:space="preserve"> </w:t>
      </w:r>
      <w:r w:rsidR="002D6AE9">
        <w:rPr>
          <w:spacing w:val="-3"/>
          <w:szCs w:val="19"/>
        </w:rPr>
        <w:t>oraz</w:t>
      </w:r>
      <w:r w:rsidR="00CA6B4C">
        <w:rPr>
          <w:spacing w:val="-3"/>
          <w:szCs w:val="19"/>
        </w:rPr>
        <w:t xml:space="preserve"> </w:t>
      </w:r>
      <w:r w:rsidR="007C58B9">
        <w:rPr>
          <w:spacing w:val="-3"/>
          <w:szCs w:val="19"/>
        </w:rPr>
        <w:t>surowc</w:t>
      </w:r>
      <w:r>
        <w:rPr>
          <w:spacing w:val="-3"/>
          <w:szCs w:val="19"/>
        </w:rPr>
        <w:t>ów</w:t>
      </w:r>
      <w:r w:rsidR="007C58B9">
        <w:rPr>
          <w:spacing w:val="-3"/>
          <w:szCs w:val="19"/>
        </w:rPr>
        <w:t xml:space="preserve"> niejadaln</w:t>
      </w:r>
      <w:r>
        <w:rPr>
          <w:spacing w:val="-3"/>
          <w:szCs w:val="19"/>
        </w:rPr>
        <w:t>ych</w:t>
      </w:r>
      <w:r w:rsidR="007C58B9">
        <w:rPr>
          <w:spacing w:val="-3"/>
          <w:szCs w:val="19"/>
        </w:rPr>
        <w:t xml:space="preserve"> z wyjątkiem paliw (o </w:t>
      </w:r>
      <w:r w:rsidR="00834CC1">
        <w:rPr>
          <w:spacing w:val="-3"/>
          <w:szCs w:val="19"/>
        </w:rPr>
        <w:t>0,8</w:t>
      </w:r>
      <w:r w:rsidR="007C58B9">
        <w:rPr>
          <w:spacing w:val="-3"/>
          <w:szCs w:val="19"/>
        </w:rPr>
        <w:t>%)</w:t>
      </w:r>
      <w:r w:rsidR="00097DDE">
        <w:rPr>
          <w:spacing w:val="-3"/>
          <w:szCs w:val="19"/>
        </w:rPr>
        <w:t>.</w:t>
      </w: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062B95">
        <w:rPr>
          <w:b/>
          <w:sz w:val="18"/>
          <w:szCs w:val="18"/>
        </w:rPr>
        <w:t>Wykres 1.</w:t>
      </w:r>
      <w:r w:rsidRPr="00062B9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062B95">
        <w:rPr>
          <w:b/>
          <w:szCs w:val="18"/>
          <w:shd w:val="clear" w:color="auto" w:fill="FFFFFF"/>
        </w:rPr>
        <w:t>nomenklatury</w:t>
      </w:r>
      <w:r w:rsidR="00FE041A">
        <w:rPr>
          <w:b/>
          <w:sz w:val="18"/>
          <w:szCs w:val="18"/>
          <w:shd w:val="clear" w:color="auto" w:fill="FFFFFF"/>
        </w:rPr>
        <w:t xml:space="preserve"> SITC w </w:t>
      </w:r>
      <w:r w:rsidRPr="00886923">
        <w:rPr>
          <w:b/>
          <w:sz w:val="18"/>
          <w:szCs w:val="18"/>
          <w:shd w:val="clear" w:color="auto" w:fill="FFFFFF"/>
        </w:rPr>
        <w:t xml:space="preserve"> 2019 r.</w:t>
      </w:r>
    </w:p>
    <w:p w:rsidR="006779F7" w:rsidRDefault="007547B3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5122545" cy="2762250"/>
            <wp:effectExtent l="0" t="0" r="1905" b="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4B7A56" w:rsidRPr="00850600" w:rsidRDefault="007547B3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122545" cy="3095625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4B7A56"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="004B7A56"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Struktura importu według sekcji </w:t>
      </w:r>
      <w:r w:rsidR="004B7A56" w:rsidRPr="00850600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="00FE041A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4B7A56"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2019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FB7656" w:rsidRDefault="00FB7656" w:rsidP="003D744D">
      <w:pPr>
        <w:rPr>
          <w:sz w:val="18"/>
          <w:szCs w:val="18"/>
          <w:lang w:eastAsia="pl-PL"/>
        </w:rPr>
      </w:pPr>
    </w:p>
    <w:p w:rsidR="00FB7656" w:rsidRDefault="00FB7656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Pr="003D744D" w:rsidRDefault="00FE041A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9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7A" w:rsidRDefault="00FD327A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FD327A" w:rsidRPr="00A00ADB" w:rsidRDefault="00FD327A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FD327A" w:rsidRPr="00D70981" w:rsidRDefault="008A21A1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FD327A" w:rsidRPr="00D7098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2019</w:t>
                              </w:r>
                            </w:hyperlink>
                          </w:p>
                          <w:p w:rsidR="00FD327A" w:rsidRPr="008F0926" w:rsidRDefault="008A21A1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FD327A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FD327A" w:rsidRPr="008F0926" w:rsidRDefault="00FD327A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FD327A" w:rsidRPr="008F0926" w:rsidRDefault="00FD327A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FD327A" w:rsidRPr="00A00ADB" w:rsidRDefault="00FD327A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D327A" w:rsidRPr="00A00ADB" w:rsidRDefault="00FD327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327A" w:rsidRPr="006779F7" w:rsidRDefault="00FD327A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FD327A" w:rsidRPr="006779F7" w:rsidRDefault="00FD327A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FD327A" w:rsidRPr="00A00ADB" w:rsidRDefault="00FD327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D327A" w:rsidRDefault="00FD327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FD327A" w:rsidRPr="006779F7" w:rsidRDefault="008A21A1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FD327A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FD327A" w:rsidRPr="006779F7" w:rsidRDefault="008A21A1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FD327A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FD327A" w:rsidRPr="006779F7" w:rsidRDefault="00FD327A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FD327A" w:rsidRPr="00020CD4" w:rsidRDefault="00FD327A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FD327A" w:rsidRPr="00020CD4" w:rsidRDefault="00FD327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FD327A" w:rsidRDefault="00FD327A" w:rsidP="00AB6D25">
                      <w:pPr>
                        <w:rPr>
                          <w:b/>
                        </w:rPr>
                      </w:pPr>
                    </w:p>
                    <w:p w:rsidR="00FD327A" w:rsidRPr="00A00ADB" w:rsidRDefault="00FD327A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FD327A" w:rsidRPr="00D70981" w:rsidRDefault="00FD327A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2019</w:t>
                        </w:r>
                      </w:hyperlink>
                    </w:p>
                    <w:p w:rsidR="00FD327A" w:rsidRPr="008F0926" w:rsidRDefault="00FD327A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FD327A" w:rsidRPr="008F0926" w:rsidRDefault="00FD327A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FD327A" w:rsidRPr="008F0926" w:rsidRDefault="00FD327A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FD327A" w:rsidRPr="00A00ADB" w:rsidRDefault="00FD327A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D327A" w:rsidRPr="00A00ADB" w:rsidRDefault="00FD327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327A" w:rsidRPr="006779F7" w:rsidRDefault="00FD327A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FD327A" w:rsidRPr="006779F7" w:rsidRDefault="00FD327A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FD327A" w:rsidRPr="00A00ADB" w:rsidRDefault="00FD327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D327A" w:rsidRDefault="00FD327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FD327A" w:rsidRPr="006779F7" w:rsidRDefault="00FD327A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FD327A" w:rsidRPr="006779F7" w:rsidRDefault="00FD327A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FD327A" w:rsidRPr="006779F7" w:rsidRDefault="00FD327A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FD327A" w:rsidRPr="00020CD4" w:rsidRDefault="00FD327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FD327A" w:rsidRPr="00020CD4" w:rsidRDefault="00FD327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1A1" w:rsidRDefault="008A21A1" w:rsidP="000662E2">
      <w:pPr>
        <w:spacing w:after="0" w:line="240" w:lineRule="auto"/>
      </w:pPr>
      <w:r>
        <w:separator/>
      </w:r>
    </w:p>
  </w:endnote>
  <w:endnote w:type="continuationSeparator" w:id="0">
    <w:p w:rsidR="008A21A1" w:rsidRDefault="008A21A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FD327A" w:rsidRDefault="00FD32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96E">
          <w:rPr>
            <w:noProof/>
          </w:rPr>
          <w:t>6</w:t>
        </w:r>
        <w:r>
          <w:fldChar w:fldCharType="end"/>
        </w:r>
      </w:p>
    </w:sdtContent>
  </w:sdt>
  <w:p w:rsidR="00FD327A" w:rsidRDefault="00FD32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FD327A" w:rsidRDefault="00FD32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96E">
          <w:rPr>
            <w:noProof/>
          </w:rPr>
          <w:t>1</w:t>
        </w:r>
        <w:r>
          <w:fldChar w:fldCharType="end"/>
        </w:r>
      </w:p>
    </w:sdtContent>
  </w:sdt>
  <w:p w:rsidR="00FD327A" w:rsidRDefault="00FD32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1A1" w:rsidRDefault="008A21A1" w:rsidP="000662E2">
      <w:pPr>
        <w:spacing w:after="0" w:line="240" w:lineRule="auto"/>
      </w:pPr>
      <w:r>
        <w:separator/>
      </w:r>
    </w:p>
  </w:footnote>
  <w:footnote w:type="continuationSeparator" w:id="0">
    <w:p w:rsidR="008A21A1" w:rsidRDefault="008A21A1" w:rsidP="000662E2">
      <w:pPr>
        <w:spacing w:after="0" w:line="240" w:lineRule="auto"/>
      </w:pPr>
      <w:r>
        <w:continuationSeparator/>
      </w:r>
    </w:p>
  </w:footnote>
  <w:footnote w:id="1">
    <w:p w:rsidR="00FD327A" w:rsidRPr="004926AC" w:rsidRDefault="00FD327A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UWAGA. Ze względu na zaokrąglenia danych, w niektórych przypadkach sumy składników mogą się nieznacznie różnić od podanych wielkości „ogółem”.</w:t>
      </w:r>
    </w:p>
  </w:footnote>
  <w:footnote w:id="2">
    <w:p w:rsidR="00FD327A" w:rsidRPr="006779F7" w:rsidRDefault="00FD327A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 xml:space="preserve">kraju pochodzenia - kraj, w którym towar został wytworzony, obrobiony lub przerobiony i w tym stanie </w:t>
      </w:r>
      <w:r>
        <w:rPr>
          <w:rFonts w:cs="Arial"/>
          <w:sz w:val="16"/>
          <w:szCs w:val="16"/>
        </w:rPr>
        <w:t>został dostarczony</w:t>
      </w:r>
      <w:r w:rsidRPr="006779F7">
        <w:rPr>
          <w:rFonts w:cs="Arial"/>
          <w:sz w:val="16"/>
          <w:szCs w:val="16"/>
        </w:rPr>
        <w:t xml:space="preserve"> do polskiego obszaru celnego.</w:t>
      </w:r>
    </w:p>
  </w:footnote>
  <w:footnote w:id="3">
    <w:p w:rsidR="00FD327A" w:rsidRPr="001521EB" w:rsidRDefault="00FD327A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27A" w:rsidRDefault="00FD327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9058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FD327A" w:rsidRDefault="00FD32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27A" w:rsidRDefault="00FD327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D327A" w:rsidRPr="003C6C8D" w:rsidRDefault="00FD327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D327A" w:rsidRPr="003C6C8D" w:rsidRDefault="00FD327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E7631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327A" w:rsidRDefault="00FD327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327A" w:rsidRPr="00C97596" w:rsidRDefault="00FD327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31.07.2020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D327A" w:rsidRPr="00C97596" w:rsidRDefault="00FD327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31.07.2020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27A" w:rsidRDefault="00FD327A">
    <w:pPr>
      <w:pStyle w:val="Nagwek"/>
    </w:pPr>
  </w:p>
  <w:p w:rsidR="00FD327A" w:rsidRDefault="00FD32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3A6"/>
    <w:rsid w:val="000108B8"/>
    <w:rsid w:val="000152F5"/>
    <w:rsid w:val="000167EE"/>
    <w:rsid w:val="00017EBA"/>
    <w:rsid w:val="00020CD4"/>
    <w:rsid w:val="00026F61"/>
    <w:rsid w:val="00032C1F"/>
    <w:rsid w:val="000330AA"/>
    <w:rsid w:val="00036E65"/>
    <w:rsid w:val="00042C5D"/>
    <w:rsid w:val="0004582E"/>
    <w:rsid w:val="00045AE7"/>
    <w:rsid w:val="000470AA"/>
    <w:rsid w:val="00055BA7"/>
    <w:rsid w:val="00057CA1"/>
    <w:rsid w:val="00061882"/>
    <w:rsid w:val="00062B95"/>
    <w:rsid w:val="000662E2"/>
    <w:rsid w:val="00066883"/>
    <w:rsid w:val="000709C0"/>
    <w:rsid w:val="00071458"/>
    <w:rsid w:val="00074DD8"/>
    <w:rsid w:val="000757CE"/>
    <w:rsid w:val="00076A47"/>
    <w:rsid w:val="000806F7"/>
    <w:rsid w:val="0008639F"/>
    <w:rsid w:val="000877D5"/>
    <w:rsid w:val="00091E91"/>
    <w:rsid w:val="00093633"/>
    <w:rsid w:val="00097DDE"/>
    <w:rsid w:val="000A1EEF"/>
    <w:rsid w:val="000A4E78"/>
    <w:rsid w:val="000A52DD"/>
    <w:rsid w:val="000B0727"/>
    <w:rsid w:val="000B1C19"/>
    <w:rsid w:val="000B1C3C"/>
    <w:rsid w:val="000B3A5D"/>
    <w:rsid w:val="000B3CED"/>
    <w:rsid w:val="000B6C36"/>
    <w:rsid w:val="000C1304"/>
    <w:rsid w:val="000C135D"/>
    <w:rsid w:val="000C1736"/>
    <w:rsid w:val="000D0472"/>
    <w:rsid w:val="000D1D43"/>
    <w:rsid w:val="000D225C"/>
    <w:rsid w:val="000D2A5C"/>
    <w:rsid w:val="000D40B2"/>
    <w:rsid w:val="000E0918"/>
    <w:rsid w:val="000F0682"/>
    <w:rsid w:val="000F0ADB"/>
    <w:rsid w:val="000F0CF3"/>
    <w:rsid w:val="001011C3"/>
    <w:rsid w:val="001051ED"/>
    <w:rsid w:val="00107F69"/>
    <w:rsid w:val="001103C8"/>
    <w:rsid w:val="00110D87"/>
    <w:rsid w:val="001146CE"/>
    <w:rsid w:val="00114DB9"/>
    <w:rsid w:val="00116087"/>
    <w:rsid w:val="001169C2"/>
    <w:rsid w:val="00117D81"/>
    <w:rsid w:val="00117F2C"/>
    <w:rsid w:val="001249C0"/>
    <w:rsid w:val="00125191"/>
    <w:rsid w:val="0012536F"/>
    <w:rsid w:val="00130296"/>
    <w:rsid w:val="00132B63"/>
    <w:rsid w:val="00133770"/>
    <w:rsid w:val="001423B6"/>
    <w:rsid w:val="001440E1"/>
    <w:rsid w:val="001448A7"/>
    <w:rsid w:val="00146621"/>
    <w:rsid w:val="001478E5"/>
    <w:rsid w:val="00150575"/>
    <w:rsid w:val="001521EB"/>
    <w:rsid w:val="00152273"/>
    <w:rsid w:val="001527EB"/>
    <w:rsid w:val="00162325"/>
    <w:rsid w:val="0017078D"/>
    <w:rsid w:val="00183104"/>
    <w:rsid w:val="00185BAA"/>
    <w:rsid w:val="001866D5"/>
    <w:rsid w:val="00187085"/>
    <w:rsid w:val="001876B3"/>
    <w:rsid w:val="001951DA"/>
    <w:rsid w:val="001B232A"/>
    <w:rsid w:val="001C21E8"/>
    <w:rsid w:val="001C2C90"/>
    <w:rsid w:val="001C3269"/>
    <w:rsid w:val="001C3CA0"/>
    <w:rsid w:val="001C498A"/>
    <w:rsid w:val="001D111C"/>
    <w:rsid w:val="001D1DB4"/>
    <w:rsid w:val="001D2F4A"/>
    <w:rsid w:val="001D3D88"/>
    <w:rsid w:val="001D3EB6"/>
    <w:rsid w:val="001D5B90"/>
    <w:rsid w:val="001D5C53"/>
    <w:rsid w:val="00206276"/>
    <w:rsid w:val="00206A18"/>
    <w:rsid w:val="0021324D"/>
    <w:rsid w:val="0021507D"/>
    <w:rsid w:val="002166E6"/>
    <w:rsid w:val="002313C5"/>
    <w:rsid w:val="00233D8A"/>
    <w:rsid w:val="002359A9"/>
    <w:rsid w:val="00235ACD"/>
    <w:rsid w:val="00237411"/>
    <w:rsid w:val="00240783"/>
    <w:rsid w:val="00246534"/>
    <w:rsid w:val="00253655"/>
    <w:rsid w:val="002574F9"/>
    <w:rsid w:val="00257543"/>
    <w:rsid w:val="0027314E"/>
    <w:rsid w:val="0027447B"/>
    <w:rsid w:val="0027462D"/>
    <w:rsid w:val="00276811"/>
    <w:rsid w:val="0027751B"/>
    <w:rsid w:val="00277A49"/>
    <w:rsid w:val="00277A82"/>
    <w:rsid w:val="00281974"/>
    <w:rsid w:val="00282699"/>
    <w:rsid w:val="0028458E"/>
    <w:rsid w:val="00287CA4"/>
    <w:rsid w:val="002926DF"/>
    <w:rsid w:val="00293800"/>
    <w:rsid w:val="00295072"/>
    <w:rsid w:val="00296697"/>
    <w:rsid w:val="002A0DB5"/>
    <w:rsid w:val="002A2450"/>
    <w:rsid w:val="002A29DF"/>
    <w:rsid w:val="002A2AB1"/>
    <w:rsid w:val="002A67F5"/>
    <w:rsid w:val="002A744A"/>
    <w:rsid w:val="002B0472"/>
    <w:rsid w:val="002B0F39"/>
    <w:rsid w:val="002B6B12"/>
    <w:rsid w:val="002C7389"/>
    <w:rsid w:val="002D45CF"/>
    <w:rsid w:val="002D6AE9"/>
    <w:rsid w:val="002E14D1"/>
    <w:rsid w:val="002E6140"/>
    <w:rsid w:val="002E6985"/>
    <w:rsid w:val="002E71B6"/>
    <w:rsid w:val="002F2768"/>
    <w:rsid w:val="002F5C6D"/>
    <w:rsid w:val="002F77C8"/>
    <w:rsid w:val="00304F22"/>
    <w:rsid w:val="00306C7C"/>
    <w:rsid w:val="0031427D"/>
    <w:rsid w:val="00316AB5"/>
    <w:rsid w:val="00320575"/>
    <w:rsid w:val="0032060E"/>
    <w:rsid w:val="00320D7D"/>
    <w:rsid w:val="003216C9"/>
    <w:rsid w:val="0032239E"/>
    <w:rsid w:val="00322EDD"/>
    <w:rsid w:val="00325007"/>
    <w:rsid w:val="0032506F"/>
    <w:rsid w:val="00326316"/>
    <w:rsid w:val="00330A6A"/>
    <w:rsid w:val="00332320"/>
    <w:rsid w:val="0033544C"/>
    <w:rsid w:val="00341E6A"/>
    <w:rsid w:val="0034266B"/>
    <w:rsid w:val="003457C3"/>
    <w:rsid w:val="00345F7C"/>
    <w:rsid w:val="00347D72"/>
    <w:rsid w:val="00352CA9"/>
    <w:rsid w:val="003538DC"/>
    <w:rsid w:val="00357611"/>
    <w:rsid w:val="00361DB6"/>
    <w:rsid w:val="00366025"/>
    <w:rsid w:val="00367091"/>
    <w:rsid w:val="00367237"/>
    <w:rsid w:val="0037077F"/>
    <w:rsid w:val="003718AC"/>
    <w:rsid w:val="00371FC0"/>
    <w:rsid w:val="00373882"/>
    <w:rsid w:val="003749BC"/>
    <w:rsid w:val="0037602F"/>
    <w:rsid w:val="0037765E"/>
    <w:rsid w:val="00380ACD"/>
    <w:rsid w:val="00380F5A"/>
    <w:rsid w:val="0038341F"/>
    <w:rsid w:val="003843DB"/>
    <w:rsid w:val="0038490F"/>
    <w:rsid w:val="00385406"/>
    <w:rsid w:val="003910FE"/>
    <w:rsid w:val="003916ED"/>
    <w:rsid w:val="00393761"/>
    <w:rsid w:val="00396811"/>
    <w:rsid w:val="00397D18"/>
    <w:rsid w:val="003A1B36"/>
    <w:rsid w:val="003A1F00"/>
    <w:rsid w:val="003A4268"/>
    <w:rsid w:val="003A6F6A"/>
    <w:rsid w:val="003A7475"/>
    <w:rsid w:val="003B1303"/>
    <w:rsid w:val="003B1454"/>
    <w:rsid w:val="003B2C69"/>
    <w:rsid w:val="003C3DDD"/>
    <w:rsid w:val="003C491B"/>
    <w:rsid w:val="003C59E0"/>
    <w:rsid w:val="003C6B82"/>
    <w:rsid w:val="003C6C8D"/>
    <w:rsid w:val="003D23E6"/>
    <w:rsid w:val="003D38E6"/>
    <w:rsid w:val="003D4F95"/>
    <w:rsid w:val="003D5F42"/>
    <w:rsid w:val="003D60A9"/>
    <w:rsid w:val="003D744D"/>
    <w:rsid w:val="003E06AE"/>
    <w:rsid w:val="003E0EA7"/>
    <w:rsid w:val="003F3D8F"/>
    <w:rsid w:val="003F4C97"/>
    <w:rsid w:val="003F4E15"/>
    <w:rsid w:val="003F7FE6"/>
    <w:rsid w:val="00400032"/>
    <w:rsid w:val="00400193"/>
    <w:rsid w:val="00403C1A"/>
    <w:rsid w:val="004045B9"/>
    <w:rsid w:val="00404EF4"/>
    <w:rsid w:val="00411B7F"/>
    <w:rsid w:val="00411C0A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6B8E"/>
    <w:rsid w:val="00437395"/>
    <w:rsid w:val="004376C1"/>
    <w:rsid w:val="00442FC5"/>
    <w:rsid w:val="00444B4D"/>
    <w:rsid w:val="00445047"/>
    <w:rsid w:val="0044566C"/>
    <w:rsid w:val="00450885"/>
    <w:rsid w:val="00454A52"/>
    <w:rsid w:val="0045590E"/>
    <w:rsid w:val="00455BDD"/>
    <w:rsid w:val="004633F8"/>
    <w:rsid w:val="00463E39"/>
    <w:rsid w:val="004657FC"/>
    <w:rsid w:val="0046619C"/>
    <w:rsid w:val="00471416"/>
    <w:rsid w:val="004715EC"/>
    <w:rsid w:val="004733F6"/>
    <w:rsid w:val="00474E69"/>
    <w:rsid w:val="00476D65"/>
    <w:rsid w:val="004822B4"/>
    <w:rsid w:val="0048231B"/>
    <w:rsid w:val="00482378"/>
    <w:rsid w:val="00483835"/>
    <w:rsid w:val="0048721F"/>
    <w:rsid w:val="00487646"/>
    <w:rsid w:val="00490CCF"/>
    <w:rsid w:val="004921B7"/>
    <w:rsid w:val="004926AC"/>
    <w:rsid w:val="004931B7"/>
    <w:rsid w:val="0049621B"/>
    <w:rsid w:val="004962BE"/>
    <w:rsid w:val="00497A8D"/>
    <w:rsid w:val="004A2906"/>
    <w:rsid w:val="004A29AD"/>
    <w:rsid w:val="004A3208"/>
    <w:rsid w:val="004A71D1"/>
    <w:rsid w:val="004B2FBB"/>
    <w:rsid w:val="004B3135"/>
    <w:rsid w:val="004B64A7"/>
    <w:rsid w:val="004B7A56"/>
    <w:rsid w:val="004C0A49"/>
    <w:rsid w:val="004C1895"/>
    <w:rsid w:val="004C2598"/>
    <w:rsid w:val="004C67E3"/>
    <w:rsid w:val="004C6D40"/>
    <w:rsid w:val="004D02B5"/>
    <w:rsid w:val="004D100F"/>
    <w:rsid w:val="004E0FAC"/>
    <w:rsid w:val="004E2FFE"/>
    <w:rsid w:val="004E4AD7"/>
    <w:rsid w:val="004F0C3C"/>
    <w:rsid w:val="004F1349"/>
    <w:rsid w:val="004F396B"/>
    <w:rsid w:val="004F39A5"/>
    <w:rsid w:val="004F4BB0"/>
    <w:rsid w:val="004F5D89"/>
    <w:rsid w:val="004F63FC"/>
    <w:rsid w:val="004F68CF"/>
    <w:rsid w:val="00500AE5"/>
    <w:rsid w:val="00504FF0"/>
    <w:rsid w:val="00505A92"/>
    <w:rsid w:val="00511475"/>
    <w:rsid w:val="0051165C"/>
    <w:rsid w:val="00514E23"/>
    <w:rsid w:val="005162D8"/>
    <w:rsid w:val="005203F1"/>
    <w:rsid w:val="00521BC3"/>
    <w:rsid w:val="00533632"/>
    <w:rsid w:val="005344A0"/>
    <w:rsid w:val="005354A1"/>
    <w:rsid w:val="00535E77"/>
    <w:rsid w:val="005366ED"/>
    <w:rsid w:val="00542062"/>
    <w:rsid w:val="0054251F"/>
    <w:rsid w:val="00542D43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67ACF"/>
    <w:rsid w:val="00572788"/>
    <w:rsid w:val="0057408C"/>
    <w:rsid w:val="005762A7"/>
    <w:rsid w:val="00577171"/>
    <w:rsid w:val="00577D1B"/>
    <w:rsid w:val="00580DA0"/>
    <w:rsid w:val="00582A71"/>
    <w:rsid w:val="00585385"/>
    <w:rsid w:val="00586936"/>
    <w:rsid w:val="00586CD0"/>
    <w:rsid w:val="005916D7"/>
    <w:rsid w:val="005A698C"/>
    <w:rsid w:val="005A729A"/>
    <w:rsid w:val="005B60E0"/>
    <w:rsid w:val="005C31D1"/>
    <w:rsid w:val="005C3C14"/>
    <w:rsid w:val="005C40DB"/>
    <w:rsid w:val="005C4762"/>
    <w:rsid w:val="005C4C4F"/>
    <w:rsid w:val="005C5358"/>
    <w:rsid w:val="005D4CB0"/>
    <w:rsid w:val="005D5E2C"/>
    <w:rsid w:val="005D6EFC"/>
    <w:rsid w:val="005E0799"/>
    <w:rsid w:val="005E67F5"/>
    <w:rsid w:val="005E711B"/>
    <w:rsid w:val="005E76AC"/>
    <w:rsid w:val="005F0F6A"/>
    <w:rsid w:val="005F30B8"/>
    <w:rsid w:val="005F39A7"/>
    <w:rsid w:val="005F3D74"/>
    <w:rsid w:val="005F5A80"/>
    <w:rsid w:val="0060003F"/>
    <w:rsid w:val="00603666"/>
    <w:rsid w:val="00603F82"/>
    <w:rsid w:val="006044FF"/>
    <w:rsid w:val="006058C1"/>
    <w:rsid w:val="00607CC5"/>
    <w:rsid w:val="0061112C"/>
    <w:rsid w:val="00614ABB"/>
    <w:rsid w:val="0062279C"/>
    <w:rsid w:val="00633014"/>
    <w:rsid w:val="0063437B"/>
    <w:rsid w:val="006362E4"/>
    <w:rsid w:val="006401A1"/>
    <w:rsid w:val="00642CCB"/>
    <w:rsid w:val="006507E9"/>
    <w:rsid w:val="00650CDD"/>
    <w:rsid w:val="00651084"/>
    <w:rsid w:val="0065337E"/>
    <w:rsid w:val="006537F5"/>
    <w:rsid w:val="00654F9B"/>
    <w:rsid w:val="00657AC6"/>
    <w:rsid w:val="00662619"/>
    <w:rsid w:val="00663560"/>
    <w:rsid w:val="00663BFE"/>
    <w:rsid w:val="006646E5"/>
    <w:rsid w:val="00664C1E"/>
    <w:rsid w:val="00665A78"/>
    <w:rsid w:val="006665C3"/>
    <w:rsid w:val="006673CA"/>
    <w:rsid w:val="0067188D"/>
    <w:rsid w:val="00672129"/>
    <w:rsid w:val="00673305"/>
    <w:rsid w:val="00673C26"/>
    <w:rsid w:val="0067455E"/>
    <w:rsid w:val="0067678F"/>
    <w:rsid w:val="006779F7"/>
    <w:rsid w:val="006812AF"/>
    <w:rsid w:val="00682774"/>
    <w:rsid w:val="0068327D"/>
    <w:rsid w:val="006835A6"/>
    <w:rsid w:val="00690129"/>
    <w:rsid w:val="00694174"/>
    <w:rsid w:val="00694AF0"/>
    <w:rsid w:val="006A0CA8"/>
    <w:rsid w:val="006A215D"/>
    <w:rsid w:val="006A673E"/>
    <w:rsid w:val="006A7B80"/>
    <w:rsid w:val="006B0E9E"/>
    <w:rsid w:val="006B3EE4"/>
    <w:rsid w:val="006B53C4"/>
    <w:rsid w:val="006B56D3"/>
    <w:rsid w:val="006B5AE4"/>
    <w:rsid w:val="006B7487"/>
    <w:rsid w:val="006C1E70"/>
    <w:rsid w:val="006C30E7"/>
    <w:rsid w:val="006C57ED"/>
    <w:rsid w:val="006D31C0"/>
    <w:rsid w:val="006D4054"/>
    <w:rsid w:val="006E02EC"/>
    <w:rsid w:val="006E6555"/>
    <w:rsid w:val="006E784E"/>
    <w:rsid w:val="006F07C0"/>
    <w:rsid w:val="006F6C73"/>
    <w:rsid w:val="00701D51"/>
    <w:rsid w:val="0070265D"/>
    <w:rsid w:val="00712DB0"/>
    <w:rsid w:val="007160CA"/>
    <w:rsid w:val="007211B1"/>
    <w:rsid w:val="00721B2E"/>
    <w:rsid w:val="00721D0A"/>
    <w:rsid w:val="00722AB9"/>
    <w:rsid w:val="0072766B"/>
    <w:rsid w:val="00727D29"/>
    <w:rsid w:val="007319A8"/>
    <w:rsid w:val="007324AA"/>
    <w:rsid w:val="007354FD"/>
    <w:rsid w:val="00743D83"/>
    <w:rsid w:val="00744F3A"/>
    <w:rsid w:val="00746187"/>
    <w:rsid w:val="00746E1A"/>
    <w:rsid w:val="007476ED"/>
    <w:rsid w:val="0075433B"/>
    <w:rsid w:val="007547B3"/>
    <w:rsid w:val="00755299"/>
    <w:rsid w:val="0076254F"/>
    <w:rsid w:val="007706C7"/>
    <w:rsid w:val="00772D14"/>
    <w:rsid w:val="00773E9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96E95"/>
    <w:rsid w:val="007A2DC1"/>
    <w:rsid w:val="007A43AE"/>
    <w:rsid w:val="007C094B"/>
    <w:rsid w:val="007C16C2"/>
    <w:rsid w:val="007C58B9"/>
    <w:rsid w:val="007C5BFA"/>
    <w:rsid w:val="007D3319"/>
    <w:rsid w:val="007D335D"/>
    <w:rsid w:val="007D3F3F"/>
    <w:rsid w:val="007D6BC4"/>
    <w:rsid w:val="007E035E"/>
    <w:rsid w:val="007E3314"/>
    <w:rsid w:val="007E3777"/>
    <w:rsid w:val="007E3795"/>
    <w:rsid w:val="007E4B03"/>
    <w:rsid w:val="007E745C"/>
    <w:rsid w:val="007F324B"/>
    <w:rsid w:val="007F5D5B"/>
    <w:rsid w:val="0080296F"/>
    <w:rsid w:val="00802EA8"/>
    <w:rsid w:val="008034A9"/>
    <w:rsid w:val="0080553C"/>
    <w:rsid w:val="00805B46"/>
    <w:rsid w:val="008069DF"/>
    <w:rsid w:val="00807E55"/>
    <w:rsid w:val="008107C8"/>
    <w:rsid w:val="0081655E"/>
    <w:rsid w:val="00823DBA"/>
    <w:rsid w:val="00825DC2"/>
    <w:rsid w:val="00825F5C"/>
    <w:rsid w:val="00832FBE"/>
    <w:rsid w:val="00833E1C"/>
    <w:rsid w:val="00834AD3"/>
    <w:rsid w:val="00834CC1"/>
    <w:rsid w:val="008351DB"/>
    <w:rsid w:val="00840802"/>
    <w:rsid w:val="0084092E"/>
    <w:rsid w:val="00843795"/>
    <w:rsid w:val="0084438B"/>
    <w:rsid w:val="008443C6"/>
    <w:rsid w:val="00847F0F"/>
    <w:rsid w:val="00850600"/>
    <w:rsid w:val="00852448"/>
    <w:rsid w:val="008530CF"/>
    <w:rsid w:val="008649C0"/>
    <w:rsid w:val="00864AF5"/>
    <w:rsid w:val="008720A0"/>
    <w:rsid w:val="00874BAB"/>
    <w:rsid w:val="00874D0F"/>
    <w:rsid w:val="00881A4D"/>
    <w:rsid w:val="0088258A"/>
    <w:rsid w:val="00886332"/>
    <w:rsid w:val="00886923"/>
    <w:rsid w:val="00887BD4"/>
    <w:rsid w:val="008935C5"/>
    <w:rsid w:val="008955C9"/>
    <w:rsid w:val="008A10A2"/>
    <w:rsid w:val="008A1ABD"/>
    <w:rsid w:val="008A21A1"/>
    <w:rsid w:val="008A26D9"/>
    <w:rsid w:val="008A2AAB"/>
    <w:rsid w:val="008A38D0"/>
    <w:rsid w:val="008A5AF9"/>
    <w:rsid w:val="008A697A"/>
    <w:rsid w:val="008B4B4D"/>
    <w:rsid w:val="008C0BEF"/>
    <w:rsid w:val="008C0C29"/>
    <w:rsid w:val="008C317D"/>
    <w:rsid w:val="008C3310"/>
    <w:rsid w:val="008D4576"/>
    <w:rsid w:val="008E4435"/>
    <w:rsid w:val="008E7391"/>
    <w:rsid w:val="008F0926"/>
    <w:rsid w:val="008F20EF"/>
    <w:rsid w:val="008F3638"/>
    <w:rsid w:val="008F6F31"/>
    <w:rsid w:val="008F74DF"/>
    <w:rsid w:val="0090441A"/>
    <w:rsid w:val="00905115"/>
    <w:rsid w:val="0090586A"/>
    <w:rsid w:val="0090601C"/>
    <w:rsid w:val="00907540"/>
    <w:rsid w:val="009127BA"/>
    <w:rsid w:val="009127E7"/>
    <w:rsid w:val="009140EB"/>
    <w:rsid w:val="00916E7F"/>
    <w:rsid w:val="00921F50"/>
    <w:rsid w:val="009227A6"/>
    <w:rsid w:val="00922AFB"/>
    <w:rsid w:val="00922F19"/>
    <w:rsid w:val="0092719C"/>
    <w:rsid w:val="009317BB"/>
    <w:rsid w:val="00932408"/>
    <w:rsid w:val="00932D33"/>
    <w:rsid w:val="00933EC1"/>
    <w:rsid w:val="00935A2E"/>
    <w:rsid w:val="0093796E"/>
    <w:rsid w:val="00947486"/>
    <w:rsid w:val="00950E8A"/>
    <w:rsid w:val="00951F4F"/>
    <w:rsid w:val="009530DB"/>
    <w:rsid w:val="00953676"/>
    <w:rsid w:val="00955FF5"/>
    <w:rsid w:val="009575EC"/>
    <w:rsid w:val="00961D39"/>
    <w:rsid w:val="00966AF0"/>
    <w:rsid w:val="00966E82"/>
    <w:rsid w:val="00967265"/>
    <w:rsid w:val="009705EE"/>
    <w:rsid w:val="00977927"/>
    <w:rsid w:val="0098135C"/>
    <w:rsid w:val="0098156A"/>
    <w:rsid w:val="00982B24"/>
    <w:rsid w:val="00984585"/>
    <w:rsid w:val="00987042"/>
    <w:rsid w:val="00987449"/>
    <w:rsid w:val="00987A98"/>
    <w:rsid w:val="009910D5"/>
    <w:rsid w:val="00991BAC"/>
    <w:rsid w:val="00992926"/>
    <w:rsid w:val="00992930"/>
    <w:rsid w:val="0099454C"/>
    <w:rsid w:val="009949DA"/>
    <w:rsid w:val="00994C14"/>
    <w:rsid w:val="009971AA"/>
    <w:rsid w:val="009975D0"/>
    <w:rsid w:val="00997D96"/>
    <w:rsid w:val="009A0646"/>
    <w:rsid w:val="009A0F70"/>
    <w:rsid w:val="009A39CF"/>
    <w:rsid w:val="009A5C86"/>
    <w:rsid w:val="009A62D7"/>
    <w:rsid w:val="009A6EA0"/>
    <w:rsid w:val="009B122A"/>
    <w:rsid w:val="009B14E6"/>
    <w:rsid w:val="009B3523"/>
    <w:rsid w:val="009B442A"/>
    <w:rsid w:val="009B44D4"/>
    <w:rsid w:val="009C1335"/>
    <w:rsid w:val="009C17B6"/>
    <w:rsid w:val="009C1AB2"/>
    <w:rsid w:val="009C3D37"/>
    <w:rsid w:val="009C5A21"/>
    <w:rsid w:val="009C5D06"/>
    <w:rsid w:val="009C6E19"/>
    <w:rsid w:val="009C7251"/>
    <w:rsid w:val="009D0070"/>
    <w:rsid w:val="009D1900"/>
    <w:rsid w:val="009D3B83"/>
    <w:rsid w:val="009D3FDF"/>
    <w:rsid w:val="009D6D75"/>
    <w:rsid w:val="009E2E91"/>
    <w:rsid w:val="009E31C1"/>
    <w:rsid w:val="009E397A"/>
    <w:rsid w:val="009E408F"/>
    <w:rsid w:val="009F21D8"/>
    <w:rsid w:val="009F50B3"/>
    <w:rsid w:val="009F59A3"/>
    <w:rsid w:val="00A00ADB"/>
    <w:rsid w:val="00A04D4B"/>
    <w:rsid w:val="00A05404"/>
    <w:rsid w:val="00A139F5"/>
    <w:rsid w:val="00A1510C"/>
    <w:rsid w:val="00A1647A"/>
    <w:rsid w:val="00A165B0"/>
    <w:rsid w:val="00A26BFE"/>
    <w:rsid w:val="00A365F4"/>
    <w:rsid w:val="00A416B1"/>
    <w:rsid w:val="00A44ACB"/>
    <w:rsid w:val="00A44C71"/>
    <w:rsid w:val="00A45156"/>
    <w:rsid w:val="00A47D80"/>
    <w:rsid w:val="00A5056B"/>
    <w:rsid w:val="00A52A97"/>
    <w:rsid w:val="00A53132"/>
    <w:rsid w:val="00A5504C"/>
    <w:rsid w:val="00A563F2"/>
    <w:rsid w:val="00A5657A"/>
    <w:rsid w:val="00A566E8"/>
    <w:rsid w:val="00A62DF9"/>
    <w:rsid w:val="00A66EF2"/>
    <w:rsid w:val="00A76A6E"/>
    <w:rsid w:val="00A77F02"/>
    <w:rsid w:val="00A810F9"/>
    <w:rsid w:val="00A81F44"/>
    <w:rsid w:val="00A83658"/>
    <w:rsid w:val="00A844E6"/>
    <w:rsid w:val="00A86ECC"/>
    <w:rsid w:val="00A86EFC"/>
    <w:rsid w:val="00A86FCC"/>
    <w:rsid w:val="00A87270"/>
    <w:rsid w:val="00A876AE"/>
    <w:rsid w:val="00A913B8"/>
    <w:rsid w:val="00AA020F"/>
    <w:rsid w:val="00AA710D"/>
    <w:rsid w:val="00AB6D25"/>
    <w:rsid w:val="00AC0ADC"/>
    <w:rsid w:val="00AC7857"/>
    <w:rsid w:val="00AC7C36"/>
    <w:rsid w:val="00AD002E"/>
    <w:rsid w:val="00AD0F47"/>
    <w:rsid w:val="00AD34B4"/>
    <w:rsid w:val="00AE2D4B"/>
    <w:rsid w:val="00AE4B6E"/>
    <w:rsid w:val="00AE4F99"/>
    <w:rsid w:val="00AE636C"/>
    <w:rsid w:val="00AF1C38"/>
    <w:rsid w:val="00B0130A"/>
    <w:rsid w:val="00B03EF6"/>
    <w:rsid w:val="00B04285"/>
    <w:rsid w:val="00B05382"/>
    <w:rsid w:val="00B10B0A"/>
    <w:rsid w:val="00B14952"/>
    <w:rsid w:val="00B15BEB"/>
    <w:rsid w:val="00B2094C"/>
    <w:rsid w:val="00B21D4D"/>
    <w:rsid w:val="00B22A2B"/>
    <w:rsid w:val="00B22CE9"/>
    <w:rsid w:val="00B243A0"/>
    <w:rsid w:val="00B25357"/>
    <w:rsid w:val="00B2555E"/>
    <w:rsid w:val="00B31E5A"/>
    <w:rsid w:val="00B34243"/>
    <w:rsid w:val="00B409DC"/>
    <w:rsid w:val="00B420C3"/>
    <w:rsid w:val="00B459A0"/>
    <w:rsid w:val="00B504B0"/>
    <w:rsid w:val="00B5279C"/>
    <w:rsid w:val="00B62719"/>
    <w:rsid w:val="00B629E7"/>
    <w:rsid w:val="00B62F0C"/>
    <w:rsid w:val="00B653AB"/>
    <w:rsid w:val="00B65F9E"/>
    <w:rsid w:val="00B66555"/>
    <w:rsid w:val="00B66B19"/>
    <w:rsid w:val="00B72C49"/>
    <w:rsid w:val="00B747B6"/>
    <w:rsid w:val="00B765B3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B3778"/>
    <w:rsid w:val="00BB43A9"/>
    <w:rsid w:val="00BB4F09"/>
    <w:rsid w:val="00BC04E5"/>
    <w:rsid w:val="00BC4ED9"/>
    <w:rsid w:val="00BC508E"/>
    <w:rsid w:val="00BC7B9C"/>
    <w:rsid w:val="00BD2BC3"/>
    <w:rsid w:val="00BD4E33"/>
    <w:rsid w:val="00BD6945"/>
    <w:rsid w:val="00BE060A"/>
    <w:rsid w:val="00BE2DB9"/>
    <w:rsid w:val="00BE4961"/>
    <w:rsid w:val="00BE588F"/>
    <w:rsid w:val="00BE58DD"/>
    <w:rsid w:val="00BF101B"/>
    <w:rsid w:val="00BF37B6"/>
    <w:rsid w:val="00BF713B"/>
    <w:rsid w:val="00C02127"/>
    <w:rsid w:val="00C02C9F"/>
    <w:rsid w:val="00C030DE"/>
    <w:rsid w:val="00C0341F"/>
    <w:rsid w:val="00C05B49"/>
    <w:rsid w:val="00C132A6"/>
    <w:rsid w:val="00C22105"/>
    <w:rsid w:val="00C244B6"/>
    <w:rsid w:val="00C25524"/>
    <w:rsid w:val="00C269C3"/>
    <w:rsid w:val="00C30406"/>
    <w:rsid w:val="00C3702F"/>
    <w:rsid w:val="00C425A6"/>
    <w:rsid w:val="00C52F34"/>
    <w:rsid w:val="00C530F9"/>
    <w:rsid w:val="00C5627C"/>
    <w:rsid w:val="00C64A37"/>
    <w:rsid w:val="00C7158E"/>
    <w:rsid w:val="00C7250B"/>
    <w:rsid w:val="00C733C3"/>
    <w:rsid w:val="00C7346B"/>
    <w:rsid w:val="00C7382C"/>
    <w:rsid w:val="00C75033"/>
    <w:rsid w:val="00C776B0"/>
    <w:rsid w:val="00C77C0E"/>
    <w:rsid w:val="00C77C4A"/>
    <w:rsid w:val="00C823FF"/>
    <w:rsid w:val="00C85BB8"/>
    <w:rsid w:val="00C87A80"/>
    <w:rsid w:val="00C91687"/>
    <w:rsid w:val="00C924A8"/>
    <w:rsid w:val="00C945FE"/>
    <w:rsid w:val="00C96FAA"/>
    <w:rsid w:val="00C97A04"/>
    <w:rsid w:val="00CA0FDE"/>
    <w:rsid w:val="00CA107B"/>
    <w:rsid w:val="00CA484D"/>
    <w:rsid w:val="00CA6B4C"/>
    <w:rsid w:val="00CB5036"/>
    <w:rsid w:val="00CB536C"/>
    <w:rsid w:val="00CC0691"/>
    <w:rsid w:val="00CC303A"/>
    <w:rsid w:val="00CC38CB"/>
    <w:rsid w:val="00CC587A"/>
    <w:rsid w:val="00CC67E6"/>
    <w:rsid w:val="00CC739E"/>
    <w:rsid w:val="00CD1F4B"/>
    <w:rsid w:val="00CD2FE9"/>
    <w:rsid w:val="00CD544E"/>
    <w:rsid w:val="00CD58B7"/>
    <w:rsid w:val="00CE082C"/>
    <w:rsid w:val="00CE0AA3"/>
    <w:rsid w:val="00CF0D73"/>
    <w:rsid w:val="00CF2D58"/>
    <w:rsid w:val="00CF4099"/>
    <w:rsid w:val="00D00796"/>
    <w:rsid w:val="00D01090"/>
    <w:rsid w:val="00D107E8"/>
    <w:rsid w:val="00D115A8"/>
    <w:rsid w:val="00D14965"/>
    <w:rsid w:val="00D17ECA"/>
    <w:rsid w:val="00D261A2"/>
    <w:rsid w:val="00D34D98"/>
    <w:rsid w:val="00D37998"/>
    <w:rsid w:val="00D41FA3"/>
    <w:rsid w:val="00D43A88"/>
    <w:rsid w:val="00D4668B"/>
    <w:rsid w:val="00D53D5E"/>
    <w:rsid w:val="00D54D58"/>
    <w:rsid w:val="00D616D2"/>
    <w:rsid w:val="00D626BB"/>
    <w:rsid w:val="00D63B5F"/>
    <w:rsid w:val="00D67CD3"/>
    <w:rsid w:val="00D70981"/>
    <w:rsid w:val="00D70EF7"/>
    <w:rsid w:val="00D8397C"/>
    <w:rsid w:val="00D84588"/>
    <w:rsid w:val="00D85D1B"/>
    <w:rsid w:val="00D91A6B"/>
    <w:rsid w:val="00D94EED"/>
    <w:rsid w:val="00D96026"/>
    <w:rsid w:val="00D975DE"/>
    <w:rsid w:val="00DA7C1C"/>
    <w:rsid w:val="00DB147A"/>
    <w:rsid w:val="00DB1B7A"/>
    <w:rsid w:val="00DB562E"/>
    <w:rsid w:val="00DC1533"/>
    <w:rsid w:val="00DC6708"/>
    <w:rsid w:val="00DD08C1"/>
    <w:rsid w:val="00DD31F2"/>
    <w:rsid w:val="00DD47E8"/>
    <w:rsid w:val="00DD6F41"/>
    <w:rsid w:val="00DE0CED"/>
    <w:rsid w:val="00DE1B88"/>
    <w:rsid w:val="00DF0EAD"/>
    <w:rsid w:val="00DF4D6E"/>
    <w:rsid w:val="00DF5570"/>
    <w:rsid w:val="00DF6110"/>
    <w:rsid w:val="00E00327"/>
    <w:rsid w:val="00E01436"/>
    <w:rsid w:val="00E045BD"/>
    <w:rsid w:val="00E06C83"/>
    <w:rsid w:val="00E1152A"/>
    <w:rsid w:val="00E12DB3"/>
    <w:rsid w:val="00E163EC"/>
    <w:rsid w:val="00E17B77"/>
    <w:rsid w:val="00E17C86"/>
    <w:rsid w:val="00E17F92"/>
    <w:rsid w:val="00E23337"/>
    <w:rsid w:val="00E259EA"/>
    <w:rsid w:val="00E25E36"/>
    <w:rsid w:val="00E27A51"/>
    <w:rsid w:val="00E31FA1"/>
    <w:rsid w:val="00E32061"/>
    <w:rsid w:val="00E33A76"/>
    <w:rsid w:val="00E36AEC"/>
    <w:rsid w:val="00E409C6"/>
    <w:rsid w:val="00E42FF9"/>
    <w:rsid w:val="00E441B4"/>
    <w:rsid w:val="00E44BC0"/>
    <w:rsid w:val="00E4714C"/>
    <w:rsid w:val="00E51AEB"/>
    <w:rsid w:val="00E522A7"/>
    <w:rsid w:val="00E530F1"/>
    <w:rsid w:val="00E53C35"/>
    <w:rsid w:val="00E54452"/>
    <w:rsid w:val="00E57771"/>
    <w:rsid w:val="00E61EA6"/>
    <w:rsid w:val="00E62EBE"/>
    <w:rsid w:val="00E636B1"/>
    <w:rsid w:val="00E64E91"/>
    <w:rsid w:val="00E664C5"/>
    <w:rsid w:val="00E671A2"/>
    <w:rsid w:val="00E74629"/>
    <w:rsid w:val="00E76D26"/>
    <w:rsid w:val="00E77410"/>
    <w:rsid w:val="00E818AD"/>
    <w:rsid w:val="00E82EB2"/>
    <w:rsid w:val="00E91F67"/>
    <w:rsid w:val="00E931C8"/>
    <w:rsid w:val="00E93AC6"/>
    <w:rsid w:val="00EA4E27"/>
    <w:rsid w:val="00EA5CD2"/>
    <w:rsid w:val="00EA5FCE"/>
    <w:rsid w:val="00EA7416"/>
    <w:rsid w:val="00EB1390"/>
    <w:rsid w:val="00EB2C71"/>
    <w:rsid w:val="00EB4340"/>
    <w:rsid w:val="00EB46E9"/>
    <w:rsid w:val="00EB4BA2"/>
    <w:rsid w:val="00EB556D"/>
    <w:rsid w:val="00EB5A7D"/>
    <w:rsid w:val="00EB7EE9"/>
    <w:rsid w:val="00ED06AE"/>
    <w:rsid w:val="00ED0E44"/>
    <w:rsid w:val="00ED2768"/>
    <w:rsid w:val="00ED55C0"/>
    <w:rsid w:val="00ED682B"/>
    <w:rsid w:val="00ED74C5"/>
    <w:rsid w:val="00EE41D5"/>
    <w:rsid w:val="00EE6094"/>
    <w:rsid w:val="00EF11BF"/>
    <w:rsid w:val="00EF4F31"/>
    <w:rsid w:val="00F002F9"/>
    <w:rsid w:val="00F003B2"/>
    <w:rsid w:val="00F0226D"/>
    <w:rsid w:val="00F02C7E"/>
    <w:rsid w:val="00F02FC9"/>
    <w:rsid w:val="00F037A4"/>
    <w:rsid w:val="00F067F4"/>
    <w:rsid w:val="00F1200E"/>
    <w:rsid w:val="00F152E6"/>
    <w:rsid w:val="00F2007B"/>
    <w:rsid w:val="00F274D0"/>
    <w:rsid w:val="00F27C8F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600D4"/>
    <w:rsid w:val="00F657FD"/>
    <w:rsid w:val="00F678A0"/>
    <w:rsid w:val="00F67D8F"/>
    <w:rsid w:val="00F70DA2"/>
    <w:rsid w:val="00F71623"/>
    <w:rsid w:val="00F802BE"/>
    <w:rsid w:val="00F82263"/>
    <w:rsid w:val="00F86024"/>
    <w:rsid w:val="00F8611A"/>
    <w:rsid w:val="00F87ED1"/>
    <w:rsid w:val="00F9355F"/>
    <w:rsid w:val="00FA258F"/>
    <w:rsid w:val="00FA2A0D"/>
    <w:rsid w:val="00FA48F8"/>
    <w:rsid w:val="00FA5128"/>
    <w:rsid w:val="00FA5E2C"/>
    <w:rsid w:val="00FA628B"/>
    <w:rsid w:val="00FA6B83"/>
    <w:rsid w:val="00FB42D4"/>
    <w:rsid w:val="00FB50BD"/>
    <w:rsid w:val="00FB5906"/>
    <w:rsid w:val="00FB65DB"/>
    <w:rsid w:val="00FB6768"/>
    <w:rsid w:val="00FB762F"/>
    <w:rsid w:val="00FB7656"/>
    <w:rsid w:val="00FC0B7D"/>
    <w:rsid w:val="00FC2AED"/>
    <w:rsid w:val="00FC43DA"/>
    <w:rsid w:val="00FC71CA"/>
    <w:rsid w:val="00FD2E48"/>
    <w:rsid w:val="00FD327A"/>
    <w:rsid w:val="00FD5DDE"/>
    <w:rsid w:val="00FD5EA7"/>
    <w:rsid w:val="00FD72BD"/>
    <w:rsid w:val="00FD784B"/>
    <w:rsid w:val="00FE041A"/>
    <w:rsid w:val="00FE08D1"/>
    <w:rsid w:val="00FE3D1E"/>
    <w:rsid w:val="00FE4723"/>
    <w:rsid w:val="00FF0040"/>
    <w:rsid w:val="00FF1498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swaid.stat.gov.pl/SitePagesDBW/HandelZagraniczny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png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ceny-handel/handel/handel-zagraniczny-handel-towarami-wedlug-cech-przedsiebiorstw-tec,6,13.html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29" Type="http://schemas.openxmlformats.org/officeDocument/2006/relationships/hyperlink" Target="http://stat.gov.pl/metainformacje/slownik-pojec/pojecia-stosowane-w-statystyce-publicznej/11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s://stat.gov.pl/obszary-tematyczne/ceny-handel/handel/handel-zagraniczny-statystyka-lustrzana-i-statystyka-asymetrii,17,1.html" TargetMode="External"/><Relationship Id="rId32" Type="http://schemas.openxmlformats.org/officeDocument/2006/relationships/hyperlink" Target="https://stat.gov.pl/obszary-tematyczne/ceny-handel/handel/handel-zagraniczny-handel-towarami-wedlug-cech-przedsiebiorstw-tec,6,13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28" Type="http://schemas.openxmlformats.org/officeDocument/2006/relationships/hyperlink" Target="http://stat.gov.pl/metainformacje/slownik-pojec/pojecia-stosowane-w-statystyce-publicznej/746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obszary-tematyczne/ceny-handel/handel/handel-zagraniczny-statystyka-lustrzana-i-statystyka-asymetrii,17,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554465602547173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0.3</c:v>
                </c:pt>
                <c:pt idx="1">
                  <c:v>17.2</c:v>
                </c:pt>
                <c:pt idx="2">
                  <c:v>38.1</c:v>
                </c:pt>
                <c:pt idx="3">
                  <c:v>18.2</c:v>
                </c:pt>
                <c:pt idx="4">
                  <c:v>9.1</c:v>
                </c:pt>
                <c:pt idx="5">
                  <c:v>0.1</c:v>
                </c:pt>
                <c:pt idx="6">
                  <c:v>2.1</c:v>
                </c:pt>
                <c:pt idx="7">
                  <c:v>2.2000000000000002</c:v>
                </c:pt>
                <c:pt idx="8">
                  <c:v>2</c:v>
                </c:pt>
                <c:pt idx="9">
                  <c:v>10.7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1445828496"/>
        <c:axId val="-1445824688"/>
      </c:barChart>
      <c:catAx>
        <c:axId val="-14458284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45824688"/>
        <c:crosses val="autoZero"/>
        <c:auto val="1"/>
        <c:lblAlgn val="ctr"/>
        <c:lblOffset val="100"/>
        <c:noMultiLvlLbl val="0"/>
      </c:catAx>
      <c:valAx>
        <c:axId val="-144582468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1445828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497443165457796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13,5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 formatCode="General">
                  <c:v>1.5</c:v>
                </c:pt>
                <c:pt idx="1">
                  <c:v>13.3</c:v>
                </c:pt>
                <c:pt idx="2">
                  <c:v>36.4</c:v>
                </c:pt>
                <c:pt idx="3">
                  <c:v>16.5</c:v>
                </c:pt>
                <c:pt idx="4">
                  <c:v>13.5</c:v>
                </c:pt>
                <c:pt idx="5">
                  <c:v>0.4</c:v>
                </c:pt>
                <c:pt idx="6">
                  <c:v>7.6</c:v>
                </c:pt>
                <c:pt idx="7">
                  <c:v>2.9</c:v>
                </c:pt>
                <c:pt idx="8">
                  <c:v>0.8</c:v>
                </c:pt>
                <c:pt idx="9">
                  <c:v>7.1</c:v>
                </c:pt>
              </c:numCache>
            </c:numRef>
          </c:val>
          <c:extLst/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445825232"/>
        <c:axId val="-1445827408"/>
      </c:barChart>
      <c:catAx>
        <c:axId val="-1445825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45827408"/>
        <c:crosses val="autoZero"/>
        <c:auto val="1"/>
        <c:lblAlgn val="ctr"/>
        <c:lblOffset val="100"/>
        <c:noMultiLvlLbl val="0"/>
      </c:catAx>
      <c:valAx>
        <c:axId val="-14458274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1445825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0CFEFA-956A-4B1B-BDC3-0547E4C5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6</Pages>
  <Words>1257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2020-02-05T13:21:00Z</cp:lastPrinted>
  <dcterms:created xsi:type="dcterms:W3CDTF">2019-12-04T11:52:00Z</dcterms:created>
  <dcterms:modified xsi:type="dcterms:W3CDTF">2020-07-30T06:47:00Z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