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76A8E4A8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E8566C">
        <w:rPr>
          <w:color w:val="auto"/>
          <w:szCs w:val="40"/>
          <w:shd w:val="clear" w:color="auto" w:fill="FFFFFF"/>
        </w:rPr>
        <w:t>okresie I-</w:t>
      </w:r>
      <w:r w:rsidR="00E4664B">
        <w:rPr>
          <w:color w:val="auto"/>
          <w:szCs w:val="40"/>
          <w:shd w:val="clear" w:color="auto" w:fill="FFFFFF"/>
        </w:rPr>
        <w:t>X</w:t>
      </w:r>
      <w:r w:rsidR="00152BFE">
        <w:rPr>
          <w:color w:val="auto"/>
          <w:szCs w:val="40"/>
          <w:shd w:val="clear" w:color="auto" w:fill="FFFFFF"/>
        </w:rPr>
        <w:t>I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7E3916C8" w:rsidR="004466B1" w:rsidRDefault="0033611E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6A008B2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58340" cy="1045845"/>
                <wp:effectExtent l="0" t="0" r="381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462E3B61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2B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111,6</w:t>
                            </w:r>
                          </w:p>
                          <w:p w14:paraId="7EBB0A62" w14:textId="47BB8A5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  <w:r w:rsidR="0033611E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9811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54.2pt;height:82.3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o2Kg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" fillcolor="#001d77" stroked="f">
                <v:textbox>
                  <w:txbxContent>
                    <w:p w14:paraId="531F9C46" w14:textId="462E3B61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2B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111,6</w:t>
                      </w:r>
                    </w:p>
                    <w:p w14:paraId="7EBB0A62" w14:textId="47BB8A5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  <w:r w:rsidR="0033611E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02D"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465C5FA6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8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zBGdR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27D93">
        <w:t xml:space="preserve">okresie </w:t>
      </w:r>
      <w:r w:rsidR="00152BFE">
        <w:t>jedenastu</w:t>
      </w:r>
      <w:r w:rsidR="00A27D93">
        <w:t xml:space="preserve"> miesięcy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>to</w:t>
      </w:r>
      <w:r w:rsidR="00F91606">
        <w:t xml:space="preserve"> oraz</w:t>
      </w:r>
      <w:r w:rsidR="008B0F20">
        <w:t xml:space="preserve">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</w:t>
      </w:r>
      <w:r w:rsidR="00C62034">
        <w:t>no zgłoszenia z </w:t>
      </w:r>
      <w:r w:rsidR="00B1192F" w:rsidRPr="00DA0F32">
        <w:t>projektem budowlanym</w:t>
      </w:r>
      <w:r w:rsidR="008B0F20">
        <w:t>.</w:t>
      </w:r>
      <w:r w:rsidR="00B1192F" w:rsidRPr="00DA0F32">
        <w:t xml:space="preserve"> </w:t>
      </w:r>
    </w:p>
    <w:p w14:paraId="6EB6C166" w14:textId="77777777" w:rsidR="0075636C" w:rsidRPr="009A6B72" w:rsidRDefault="0075636C" w:rsidP="0075636C">
      <w:pPr>
        <w:pStyle w:val="Nagwek1"/>
      </w:pPr>
    </w:p>
    <w:p w14:paraId="74265326" w14:textId="77777777" w:rsidR="00C6552F" w:rsidRPr="009A6B72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EA8CBED">
                <wp:simplePos x="0" y="0"/>
                <wp:positionH relativeFrom="page">
                  <wp:posOffset>5739130</wp:posOffset>
                </wp:positionH>
                <wp:positionV relativeFrom="paragraph">
                  <wp:posOffset>182245</wp:posOffset>
                </wp:positionV>
                <wp:extent cx="1760220" cy="767080"/>
                <wp:effectExtent l="0" t="0" r="0" b="0"/>
                <wp:wrapTight wrapText="bothSides">
                  <wp:wrapPolygon edited="0">
                    <wp:start x="701" y="0"/>
                    <wp:lineTo x="701" y="20921"/>
                    <wp:lineTo x="20805" y="20921"/>
                    <wp:lineTo x="20805" y="0"/>
                    <wp:lineTo x="701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4E11A2C3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użytkowania </w:t>
                            </w:r>
                            <w:r w:rsidR="00152BFE">
                              <w:t>63,1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 w:rsidRPr="002F1617">
                              <w:t xml:space="preserve">ogólnej liczby mieszkań, tj. </w:t>
                            </w:r>
                            <w:r w:rsidR="009D258B" w:rsidRPr="0007222B">
                              <w:t>o</w:t>
                            </w:r>
                            <w:r w:rsidR="009D258B">
                              <w:t xml:space="preserve"> </w:t>
                            </w:r>
                            <w:r w:rsidR="005662CD">
                              <w:t>2</w:t>
                            </w:r>
                            <w:r w:rsidR="00A14EA4">
                              <w:t>,</w:t>
                            </w:r>
                            <w:r w:rsidR="00152BFE">
                              <w:t>9</w:t>
                            </w:r>
                            <w:r w:rsidR="00231001" w:rsidRPr="0023461B">
                              <w:t xml:space="preserve"> p. proc. więcej niż w ub.</w:t>
                            </w:r>
                            <w:r w:rsidR="0039588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9" type="#_x0000_t202" style="position:absolute;margin-left:451.9pt;margin-top:14.35pt;width:138.6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" filled="f" stroked="f">
                <v:textbox>
                  <w:txbxContent>
                    <w:p w14:paraId="1DB05ABD" w14:textId="4E11A2C3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użytkowania </w:t>
                      </w:r>
                      <w:r w:rsidR="00152BFE">
                        <w:t>63,1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 w:rsidRPr="002F1617">
                        <w:t xml:space="preserve">ogólnej liczby mieszkań, tj. </w:t>
                      </w:r>
                      <w:r w:rsidR="009D258B" w:rsidRPr="0007222B">
                        <w:t>o</w:t>
                      </w:r>
                      <w:r w:rsidR="009D258B">
                        <w:t xml:space="preserve"> </w:t>
                      </w:r>
                      <w:r w:rsidR="005662CD">
                        <w:t>2</w:t>
                      </w:r>
                      <w:r w:rsidR="00A14EA4">
                        <w:t>,</w:t>
                      </w:r>
                      <w:r w:rsidR="00152BFE">
                        <w:t>9</w:t>
                      </w:r>
                      <w:r w:rsidR="00231001" w:rsidRPr="0023461B">
                        <w:t xml:space="preserve"> p. proc. więcej niż w ub.</w:t>
                      </w:r>
                      <w:r w:rsidR="00395881">
                        <w:t xml:space="preserve">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9A6B72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31330764" w:rsidR="004D107E" w:rsidRPr="008B0F20" w:rsidRDefault="003476A5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34FCDD27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10379F3D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C023D9">
                              <w:t>okresie I-</w:t>
                            </w:r>
                            <w:r w:rsidR="001A6A6A">
                              <w:t>X</w:t>
                            </w:r>
                            <w:r w:rsidR="00561CC0">
                              <w:t>I</w:t>
                            </w:r>
                            <w:r w:rsidR="00423192">
                              <w:t xml:space="preserve"> </w:t>
                            </w:r>
                            <w:r w:rsidR="00423192" w:rsidRPr="002F1617">
                              <w:t>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 xml:space="preserve">. </w:t>
                            </w:r>
                            <w:r w:rsidR="00452007">
                              <w:t>wyniosła</w:t>
                            </w:r>
                            <w:r w:rsidR="00561CC0">
                              <w:t xml:space="preserve"> 88,8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10379F3D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C023D9">
                        <w:t>okresie I-</w:t>
                      </w:r>
                      <w:r w:rsidR="001A6A6A">
                        <w:t>X</w:t>
                      </w:r>
                      <w:r w:rsidR="00561CC0">
                        <w:t>I</w:t>
                      </w:r>
                      <w:r w:rsidR="00423192">
                        <w:t xml:space="preserve"> </w:t>
                      </w:r>
                      <w:r w:rsidR="00423192" w:rsidRPr="002F1617">
                        <w:t>2019</w:t>
                      </w:r>
                      <w:r w:rsidR="008C1F33" w:rsidRPr="002F1617">
                        <w:t xml:space="preserve"> r</w:t>
                      </w:r>
                      <w:r w:rsidR="002F1617">
                        <w:t xml:space="preserve">. </w:t>
                      </w:r>
                      <w:r w:rsidR="00452007">
                        <w:t>wyniosła</w:t>
                      </w:r>
                      <w:r w:rsidR="00561CC0">
                        <w:t xml:space="preserve"> 88,8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5FA67F0F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152BFE">
        <w:rPr>
          <w:shd w:val="clear" w:color="auto" w:fill="FFFFFF"/>
        </w:rPr>
        <w:t>listopad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152BFE">
        <w:rPr>
          <w:shd w:val="clear" w:color="auto" w:fill="FFFFFF"/>
        </w:rPr>
        <w:t>184,3</w:t>
      </w:r>
      <w:r>
        <w:rPr>
          <w:shd w:val="clear" w:color="auto" w:fill="FFFFFF"/>
        </w:rPr>
        <w:t> 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152BFE">
        <w:rPr>
          <w:shd w:val="clear" w:color="auto" w:fill="FFFFFF"/>
        </w:rPr>
        <w:t>11</w:t>
      </w:r>
      <w:r w:rsidR="00DB1E64">
        <w:rPr>
          <w:shd w:val="clear" w:color="auto" w:fill="FFFFFF"/>
        </w:rPr>
        <w:t>,</w:t>
      </w:r>
      <w:r w:rsidR="00152BFE">
        <w:rPr>
          <w:shd w:val="clear" w:color="auto" w:fill="FFFFFF"/>
        </w:rPr>
        <w:t>6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152BFE">
        <w:rPr>
          <w:shd w:val="clear" w:color="auto" w:fill="FFFFFF"/>
        </w:rPr>
        <w:t>116,3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152BFE">
        <w:rPr>
          <w:shd w:val="clear" w:color="auto" w:fill="FFFFFF"/>
        </w:rPr>
        <w:t>17,0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341966">
        <w:rPr>
          <w:b/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152BFE">
        <w:rPr>
          <w:shd w:val="clear" w:color="auto" w:fill="FFFFFF"/>
        </w:rPr>
        <w:t>62,0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3D1203">
        <w:rPr>
          <w:shd w:val="clear" w:color="auto" w:fill="FFFFFF"/>
        </w:rPr>
        <w:t>3</w:t>
      </w:r>
      <w:r w:rsidR="00865E47" w:rsidRPr="00DA0F32">
        <w:rPr>
          <w:shd w:val="clear" w:color="auto" w:fill="FFFFFF"/>
        </w:rPr>
        <w:t>,</w:t>
      </w:r>
      <w:r w:rsidR="00152BFE">
        <w:rPr>
          <w:shd w:val="clear" w:color="auto" w:fill="FFFFFF"/>
        </w:rPr>
        <w:t>3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</w:t>
      </w:r>
      <w:r w:rsidR="00737DCC">
        <w:rPr>
          <w:shd w:val="clear" w:color="auto" w:fill="FFFFFF"/>
        </w:rPr>
        <w:t xml:space="preserve"> </w:t>
      </w:r>
      <w:r w:rsidR="006C5216">
        <w:rPr>
          <w:shd w:val="clear" w:color="auto" w:fill="FFFFFF"/>
        </w:rPr>
        <w:t>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7F7483" w:rsidRPr="00DA0F32">
        <w:rPr>
          <w:shd w:val="clear" w:color="auto" w:fill="FFFFFF"/>
        </w:rPr>
        <w:t xml:space="preserve">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904121">
        <w:rPr>
          <w:shd w:val="clear" w:color="auto" w:fill="FFFFFF"/>
        </w:rPr>
        <w:t>6</w:t>
      </w:r>
      <w:r w:rsidR="00525CAC" w:rsidRPr="00DA0F32">
        <w:rPr>
          <w:shd w:val="clear" w:color="auto" w:fill="FFFFFF"/>
        </w:rPr>
        <w:t>,</w:t>
      </w:r>
      <w:r w:rsidR="00152BFE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152BFE">
        <w:rPr>
          <w:shd w:val="clear" w:color="auto" w:fill="FFFFFF"/>
        </w:rPr>
        <w:t>1962</w:t>
      </w:r>
      <w:r w:rsidR="00B1192F" w:rsidRPr="00DA0F32">
        <w:rPr>
          <w:shd w:val="clear" w:color="auto" w:fill="FFFFFF"/>
        </w:rPr>
        <w:t xml:space="preserve"> wobec </w:t>
      </w:r>
      <w:r w:rsidR="00152BFE">
        <w:rPr>
          <w:shd w:val="clear" w:color="auto" w:fill="FFFFFF"/>
        </w:rPr>
        <w:t>2545</w:t>
      </w:r>
      <w:r w:rsidR="00B1192F" w:rsidRPr="00DA0F32">
        <w:rPr>
          <w:shd w:val="clear" w:color="auto" w:fill="FFFFFF"/>
        </w:rPr>
        <w:t>)</w:t>
      </w:r>
      <w:r w:rsidR="009E21D0">
        <w:rPr>
          <w:shd w:val="clear" w:color="auto" w:fill="FFFFFF"/>
        </w:rPr>
        <w:t>;</w:t>
      </w:r>
      <w:r w:rsidR="00D467D8">
        <w:rPr>
          <w:shd w:val="clear" w:color="auto" w:fill="FFFFFF"/>
        </w:rPr>
        <w:t xml:space="preserve"> </w:t>
      </w:r>
      <w:r w:rsidR="009E21D0">
        <w:rPr>
          <w:shd w:val="clear" w:color="auto" w:fill="FFFFFF"/>
        </w:rPr>
        <w:t>w</w:t>
      </w:r>
      <w:r w:rsidR="00D467D8">
        <w:rPr>
          <w:shd w:val="clear" w:color="auto" w:fill="FFFFFF"/>
        </w:rPr>
        <w:t>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DD6840" w:rsidRPr="00DA0F32">
        <w:rPr>
          <w:shd w:val="clear" w:color="auto" w:fill="FFFFFF"/>
        </w:rPr>
        <w:t>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</w:t>
      </w:r>
      <w:r w:rsidR="00547737">
        <w:rPr>
          <w:shd w:val="clear" w:color="auto" w:fill="FFFFFF"/>
        </w:rPr>
        <w:t> </w:t>
      </w:r>
      <w:r w:rsidR="00DD6840" w:rsidRPr="00DA0F32">
        <w:rPr>
          <w:shd w:val="clear" w:color="auto" w:fill="FFFFFF"/>
        </w:rPr>
        <w:t>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</w:t>
      </w:r>
      <w:r w:rsidR="00152BFE">
        <w:rPr>
          <w:shd w:val="clear" w:color="auto" w:fill="FFFFFF"/>
        </w:rPr>
        <w:t>4078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152BFE">
        <w:rPr>
          <w:shd w:val="clear" w:color="auto" w:fill="FFFFFF"/>
        </w:rPr>
        <w:t>29</w:t>
      </w:r>
      <w:r w:rsidR="00076F86">
        <w:rPr>
          <w:shd w:val="clear" w:color="auto" w:fill="FFFFFF"/>
        </w:rPr>
        <w:t>,7</w:t>
      </w:r>
      <w:r w:rsidR="000F156F" w:rsidRPr="00DA0F32">
        <w:rPr>
          <w:shd w:val="clear" w:color="auto" w:fill="FFFFFF"/>
        </w:rPr>
        <w:t>% więcej</w:t>
      </w:r>
      <w:r w:rsidR="0033525D">
        <w:rPr>
          <w:shd w:val="clear" w:color="auto" w:fill="FFFFFF"/>
        </w:rPr>
        <w:t>.</w:t>
      </w:r>
    </w:p>
    <w:p w14:paraId="1E9416A7" w14:textId="55A71035"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w </w:t>
      </w:r>
      <w:r w:rsidR="00C023D9">
        <w:rPr>
          <w:shd w:val="clear" w:color="auto" w:fill="FFFFFF"/>
        </w:rPr>
        <w:t>okresie I-</w:t>
      </w:r>
      <w:r w:rsidR="001A6A6A">
        <w:rPr>
          <w:shd w:val="clear" w:color="auto" w:fill="FFFFFF"/>
        </w:rPr>
        <w:t>X</w:t>
      </w:r>
      <w:r w:rsidR="001B38EE">
        <w:rPr>
          <w:shd w:val="clear" w:color="auto" w:fill="FFFFFF"/>
        </w:rPr>
        <w:t>I</w:t>
      </w:r>
      <w:r w:rsidR="00A1351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1B38EE">
        <w:rPr>
          <w:shd w:val="clear" w:color="auto" w:fill="FFFFFF"/>
        </w:rPr>
        <w:t>16</w:t>
      </w:r>
      <w:r w:rsidR="00612D21">
        <w:rPr>
          <w:shd w:val="clear" w:color="auto" w:fill="FFFFFF"/>
        </w:rPr>
        <w:t>,</w:t>
      </w:r>
      <w:r w:rsidR="001B38EE">
        <w:rPr>
          <w:shd w:val="clear" w:color="auto" w:fill="FFFFFF"/>
        </w:rPr>
        <w:t>4</w:t>
      </w:r>
      <w:r w:rsidR="009D48C2">
        <w:rPr>
          <w:shd w:val="clear" w:color="auto" w:fill="FFFFFF"/>
        </w:rPr>
        <w:t xml:space="preserve"> </w:t>
      </w:r>
      <w:r w:rsidRPr="00DA0F32">
        <w:rPr>
          <w:shd w:val="clear" w:color="auto" w:fill="FFFFFF"/>
        </w:rPr>
        <w:t>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3476A5">
        <w:rPr>
          <w:shd w:val="clear" w:color="auto" w:fill="FFFFFF"/>
        </w:rPr>
        <w:t> </w:t>
      </w:r>
      <w:r w:rsidR="001B38EE">
        <w:rPr>
          <w:shd w:val="clear" w:color="auto" w:fill="FFFFFF"/>
        </w:rPr>
        <w:t>9</w:t>
      </w:r>
      <w:r w:rsidRPr="00DA0F32">
        <w:rPr>
          <w:shd w:val="clear" w:color="auto" w:fill="FFFFFF"/>
        </w:rPr>
        <w:t>,</w:t>
      </w:r>
      <w:r w:rsidR="001B38EE">
        <w:rPr>
          <w:shd w:val="clear" w:color="auto" w:fill="FFFFFF"/>
        </w:rPr>
        <w:t>1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 w:rsidRPr="004E0216">
        <w:rPr>
          <w:shd w:val="clear" w:color="auto" w:fill="FFFFFF"/>
        </w:rPr>
        <w:t>W porównaniu do okresu</w:t>
      </w:r>
      <w:r w:rsidR="00C023D9">
        <w:rPr>
          <w:shd w:val="clear" w:color="auto" w:fill="FFFFFF"/>
        </w:rPr>
        <w:t xml:space="preserve"> </w:t>
      </w:r>
      <w:r w:rsidR="00165D6F">
        <w:rPr>
          <w:shd w:val="clear" w:color="auto" w:fill="FFFFFF"/>
        </w:rPr>
        <w:t>styczeń-</w:t>
      </w:r>
      <w:r w:rsidR="001B38EE">
        <w:rPr>
          <w:shd w:val="clear" w:color="auto" w:fill="FFFFFF"/>
        </w:rPr>
        <w:t>listopad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1B38EE">
        <w:rPr>
          <w:shd w:val="clear" w:color="auto" w:fill="FFFFFF"/>
        </w:rPr>
        <w:t>zmniejszyła się o 2</w:t>
      </w:r>
      <w:r w:rsidR="005662CD">
        <w:rPr>
          <w:shd w:val="clear" w:color="auto" w:fill="FFFFFF"/>
        </w:rPr>
        <w:t>,</w:t>
      </w:r>
      <w:r w:rsidR="001B38EE">
        <w:rPr>
          <w:shd w:val="clear" w:color="auto" w:fill="FFFFFF"/>
        </w:rPr>
        <w:t>1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567F82">
        <w:rPr>
          <w:shd w:val="clear" w:color="auto" w:fill="FFFFFF"/>
        </w:rPr>
        <w:t>88,8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14:paraId="3235C721" w14:textId="77777777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14:paraId="5F3464E0" w14:textId="77777777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14:paraId="54251B3F" w14:textId="77777777"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E932D0F" w14:textId="77777777"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14:paraId="2FF08BCE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80EC9B3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6A5CE08B" w14:textId="40E4A01B" w:rsidR="00FA56EF" w:rsidRPr="00FA5128" w:rsidRDefault="001A6A6A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561CC0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81F32E7" w14:textId="1DDF0773" w:rsidR="00FA56EF" w:rsidRPr="00FA5128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A6A6A">
              <w:rPr>
                <w:color w:val="000000" w:themeColor="text1"/>
                <w:sz w:val="16"/>
                <w:szCs w:val="16"/>
              </w:rPr>
              <w:t>X</w:t>
            </w:r>
            <w:r w:rsidR="00561CC0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FA56EF" w:rsidRPr="00FA5128" w14:paraId="4B4BEAAF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A30270B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456963A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8CE28FA" w14:textId="102D7FE0" w:rsidR="00FA56EF" w:rsidRDefault="001A6A6A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561CC0">
              <w:rPr>
                <w:color w:val="000000" w:themeColor="text1"/>
                <w:sz w:val="16"/>
                <w:szCs w:val="16"/>
              </w:rPr>
              <w:t>I</w:t>
            </w:r>
          </w:p>
          <w:p w14:paraId="4806ECF7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CBD9A05" w14:textId="3C8F7796" w:rsidR="00FA56EF" w:rsidRDefault="0018730D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14:paraId="20CA86F0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4A765D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74FB2CAA" w14:textId="66EB8CB5"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1A6A6A">
              <w:rPr>
                <w:color w:val="000000" w:themeColor="text1"/>
                <w:sz w:val="16"/>
                <w:szCs w:val="16"/>
              </w:rPr>
              <w:t>X</w:t>
            </w:r>
            <w:r w:rsidR="00561CC0">
              <w:rPr>
                <w:color w:val="000000" w:themeColor="text1"/>
                <w:sz w:val="16"/>
                <w:szCs w:val="16"/>
              </w:rPr>
              <w:t>I</w:t>
            </w:r>
          </w:p>
          <w:p w14:paraId="62ED791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14:paraId="17BCE492" w14:textId="77777777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A77084D" w14:textId="77777777"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3864BD1" w14:textId="7EC0F4DF" w:rsidR="00FA56EF" w:rsidRPr="00FA5128" w:rsidRDefault="003E37F1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b/>
                <w:color w:val="000000" w:themeColor="text1"/>
                <w:sz w:val="16"/>
                <w:szCs w:val="16"/>
              </w:rPr>
              <w:t>19 505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2173C3C" w14:textId="719EC9C6" w:rsidR="00FA56EF" w:rsidRPr="00FA5128" w:rsidRDefault="003E37F1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b/>
                <w:color w:val="000000" w:themeColor="text1"/>
                <w:sz w:val="16"/>
                <w:szCs w:val="16"/>
              </w:rPr>
              <w:t>118,4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06EA32F" w14:textId="3118C690" w:rsidR="00FA56EF" w:rsidRPr="00FA5128" w:rsidRDefault="00567F82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F7736AA" w14:textId="5000D6E6" w:rsidR="00FA56EF" w:rsidRPr="00FA5128" w:rsidRDefault="004937A5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937A5">
              <w:rPr>
                <w:rFonts w:cs="Arial"/>
                <w:b/>
                <w:color w:val="000000" w:themeColor="text1"/>
                <w:sz w:val="16"/>
                <w:szCs w:val="16"/>
              </w:rPr>
              <w:t>184 293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B78E382" w14:textId="5C6EFD8E" w:rsidR="00FA56EF" w:rsidRPr="00FA5128" w:rsidRDefault="004937A5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937A5">
              <w:rPr>
                <w:rFonts w:cs="Arial"/>
                <w:b/>
                <w:color w:val="000000" w:themeColor="text1"/>
                <w:sz w:val="16"/>
                <w:szCs w:val="16"/>
              </w:rPr>
              <w:t>111,6</w:t>
            </w:r>
          </w:p>
        </w:tc>
      </w:tr>
      <w:tr w:rsidR="00FA56EF" w:rsidRPr="00907546" w14:paraId="28158BF7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4996FB5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4D5F5536" w14:textId="572E2388" w:rsidR="00FA56EF" w:rsidRPr="00FA5128" w:rsidRDefault="003E37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5 780</w:t>
            </w:r>
          </w:p>
        </w:tc>
        <w:tc>
          <w:tcPr>
            <w:tcW w:w="1206" w:type="dxa"/>
            <w:vAlign w:val="center"/>
          </w:tcPr>
          <w:p w14:paraId="5D54C604" w14:textId="58A72BA5" w:rsidR="00FA56EF" w:rsidRPr="00FA5128" w:rsidRDefault="003E37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  <w:r w:rsidR="00CE342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83D79A6" w14:textId="3398C800" w:rsidR="00FA56EF" w:rsidRPr="00FA5128" w:rsidRDefault="00567F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91,2</w:t>
            </w:r>
          </w:p>
        </w:tc>
        <w:tc>
          <w:tcPr>
            <w:tcW w:w="1206" w:type="dxa"/>
            <w:vAlign w:val="center"/>
          </w:tcPr>
          <w:p w14:paraId="097081E4" w14:textId="54A9B518" w:rsidR="00FA56EF" w:rsidRPr="00907546" w:rsidRDefault="004937A5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937A5">
              <w:rPr>
                <w:rFonts w:ascii="Fira Sans" w:hAnsi="Fira Sans"/>
                <w:color w:val="000000" w:themeColor="text1"/>
                <w:sz w:val="16"/>
                <w:szCs w:val="16"/>
              </w:rPr>
              <w:t>61 954</w:t>
            </w:r>
          </w:p>
        </w:tc>
        <w:tc>
          <w:tcPr>
            <w:tcW w:w="1207" w:type="dxa"/>
            <w:vAlign w:val="center"/>
          </w:tcPr>
          <w:p w14:paraId="3C33BE3A" w14:textId="61159E04" w:rsidR="00FA56EF" w:rsidRPr="00907546" w:rsidRDefault="004937A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37A5"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</w:tr>
      <w:tr w:rsidR="00FA56EF" w:rsidRPr="00FA5128" w14:paraId="2BC16CE4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5DA754DA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76F0C07" w14:textId="7AA29CC3" w:rsidR="00FA56EF" w:rsidRPr="00FA5128" w:rsidRDefault="003E37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13 275</w:t>
            </w:r>
          </w:p>
        </w:tc>
        <w:tc>
          <w:tcPr>
            <w:tcW w:w="1206" w:type="dxa"/>
            <w:vAlign w:val="center"/>
          </w:tcPr>
          <w:p w14:paraId="7A2D6AC4" w14:textId="39F38BE4" w:rsidR="00FA56EF" w:rsidRPr="00FA5128" w:rsidRDefault="00567F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133,6</w:t>
            </w:r>
          </w:p>
        </w:tc>
        <w:tc>
          <w:tcPr>
            <w:tcW w:w="1206" w:type="dxa"/>
            <w:vAlign w:val="center"/>
          </w:tcPr>
          <w:p w14:paraId="3B65D5B8" w14:textId="2CB6DB00" w:rsidR="00FA56EF" w:rsidRPr="00FA5128" w:rsidRDefault="00567F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111,5</w:t>
            </w:r>
          </w:p>
        </w:tc>
        <w:tc>
          <w:tcPr>
            <w:tcW w:w="1206" w:type="dxa"/>
            <w:vAlign w:val="center"/>
          </w:tcPr>
          <w:p w14:paraId="4CC4B8B4" w14:textId="31065881" w:rsidR="00FA56EF" w:rsidRPr="008A1C80" w:rsidRDefault="004937A5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937A5">
              <w:rPr>
                <w:rFonts w:ascii="Fira Sans" w:hAnsi="Fira Sans"/>
                <w:color w:val="000000" w:themeColor="text1"/>
                <w:sz w:val="16"/>
                <w:szCs w:val="16"/>
              </w:rPr>
              <w:t>116 299</w:t>
            </w:r>
          </w:p>
        </w:tc>
        <w:tc>
          <w:tcPr>
            <w:tcW w:w="1207" w:type="dxa"/>
            <w:vAlign w:val="center"/>
          </w:tcPr>
          <w:p w14:paraId="31EEA875" w14:textId="05DECA8D" w:rsidR="00FA56EF" w:rsidRPr="00FA5128" w:rsidRDefault="004937A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37A5">
              <w:rPr>
                <w:rFonts w:cs="Arial"/>
                <w:color w:val="000000" w:themeColor="text1"/>
                <w:sz w:val="16"/>
                <w:szCs w:val="16"/>
              </w:rPr>
              <w:t>117,0</w:t>
            </w:r>
          </w:p>
        </w:tc>
      </w:tr>
      <w:tr w:rsidR="00FA56EF" w:rsidRPr="00FA5128" w14:paraId="60267E4E" w14:textId="77777777" w:rsidTr="00226CDB">
        <w:trPr>
          <w:trHeight w:val="409"/>
        </w:trPr>
        <w:tc>
          <w:tcPr>
            <w:tcW w:w="2049" w:type="dxa"/>
            <w:vAlign w:val="center"/>
          </w:tcPr>
          <w:p w14:paraId="367B3F3F" w14:textId="77777777"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14:paraId="31361440" w14:textId="17A5709F" w:rsidR="00FA56EF" w:rsidRPr="005241EA" w:rsidRDefault="003E37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206" w:type="dxa"/>
            <w:vAlign w:val="center"/>
          </w:tcPr>
          <w:p w14:paraId="02B3B638" w14:textId="77777777"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43622316" w14:textId="502A8C9F" w:rsidR="00FA56EF" w:rsidRPr="004327B6" w:rsidRDefault="00567F82" w:rsidP="00EC55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32,2</w:t>
            </w:r>
          </w:p>
        </w:tc>
        <w:tc>
          <w:tcPr>
            <w:tcW w:w="1206" w:type="dxa"/>
            <w:vAlign w:val="center"/>
          </w:tcPr>
          <w:p w14:paraId="26E8EB4C" w14:textId="32DFD0BB" w:rsidR="00FA56EF" w:rsidRPr="00553B0B" w:rsidRDefault="004937A5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937A5">
              <w:rPr>
                <w:rFonts w:ascii="Fira Sans" w:hAnsi="Fira Sans"/>
                <w:color w:val="000000" w:themeColor="text1"/>
                <w:sz w:val="16"/>
                <w:szCs w:val="16"/>
              </w:rPr>
              <w:t>2 045</w:t>
            </w:r>
          </w:p>
        </w:tc>
        <w:tc>
          <w:tcPr>
            <w:tcW w:w="1207" w:type="dxa"/>
            <w:vAlign w:val="center"/>
          </w:tcPr>
          <w:p w14:paraId="50978718" w14:textId="77777777"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14:paraId="3AF45C5E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3FC86754" w14:textId="77777777"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630D810" w14:textId="752BFAF4" w:rsidR="00FA56EF" w:rsidRPr="00FA5128" w:rsidRDefault="00FB21E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06" w:type="dxa"/>
            <w:vAlign w:val="center"/>
          </w:tcPr>
          <w:p w14:paraId="1ADD896C" w14:textId="1041D7EB" w:rsidR="00FA56EF" w:rsidRPr="00FA5128" w:rsidRDefault="00567F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25,4</w:t>
            </w:r>
          </w:p>
        </w:tc>
        <w:tc>
          <w:tcPr>
            <w:tcW w:w="1206" w:type="dxa"/>
            <w:vAlign w:val="center"/>
          </w:tcPr>
          <w:p w14:paraId="3FEDC322" w14:textId="6DA55225" w:rsidR="00FA56EF" w:rsidRPr="00E102B7" w:rsidRDefault="00567F82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67F82">
              <w:rPr>
                <w:rFonts w:cs="Arial"/>
                <w:sz w:val="16"/>
                <w:szCs w:val="16"/>
              </w:rPr>
              <w:t>27,0</w:t>
            </w:r>
          </w:p>
        </w:tc>
        <w:tc>
          <w:tcPr>
            <w:tcW w:w="1206" w:type="dxa"/>
            <w:vAlign w:val="center"/>
          </w:tcPr>
          <w:p w14:paraId="1F63D375" w14:textId="4136F7D2" w:rsidR="00FA56EF" w:rsidRPr="00F54181" w:rsidRDefault="004937A5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937A5">
              <w:rPr>
                <w:rFonts w:ascii="Fira Sans" w:hAnsi="Fira Sans"/>
                <w:color w:val="000000" w:themeColor="text1"/>
                <w:sz w:val="16"/>
                <w:szCs w:val="16"/>
              </w:rPr>
              <w:t>1 962</w:t>
            </w:r>
          </w:p>
        </w:tc>
        <w:tc>
          <w:tcPr>
            <w:tcW w:w="1207" w:type="dxa"/>
            <w:vAlign w:val="center"/>
          </w:tcPr>
          <w:p w14:paraId="53B3FCC1" w14:textId="5ADA3F2A" w:rsidR="00FA56EF" w:rsidRPr="00FA5128" w:rsidRDefault="004937A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37A5">
              <w:rPr>
                <w:rFonts w:cs="Arial"/>
                <w:color w:val="000000" w:themeColor="text1"/>
                <w:sz w:val="16"/>
                <w:szCs w:val="16"/>
              </w:rPr>
              <w:t>77,1</w:t>
            </w:r>
          </w:p>
        </w:tc>
      </w:tr>
      <w:tr w:rsidR="00FA56EF" w:rsidRPr="00FA5128" w14:paraId="64C816BB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B885D56" w14:textId="77777777"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49718841" w14:textId="3DC0ECFA" w:rsidR="00FA56EF" w:rsidRPr="00FA5128" w:rsidRDefault="003E37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1206" w:type="dxa"/>
            <w:vAlign w:val="center"/>
          </w:tcPr>
          <w:p w14:paraId="2385018D" w14:textId="287E11D7" w:rsidR="00FA56EF" w:rsidRPr="00FA5128" w:rsidRDefault="00567F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40,8</w:t>
            </w:r>
          </w:p>
        </w:tc>
        <w:tc>
          <w:tcPr>
            <w:tcW w:w="1206" w:type="dxa"/>
            <w:vAlign w:val="center"/>
          </w:tcPr>
          <w:p w14:paraId="40995331" w14:textId="50FFA413" w:rsidR="00FA56EF" w:rsidRPr="00E102B7" w:rsidRDefault="00567F82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67F82">
              <w:rPr>
                <w:rFonts w:cs="Arial"/>
                <w:sz w:val="16"/>
                <w:szCs w:val="16"/>
              </w:rPr>
              <w:t>61,8</w:t>
            </w:r>
          </w:p>
        </w:tc>
        <w:tc>
          <w:tcPr>
            <w:tcW w:w="1206" w:type="dxa"/>
            <w:vAlign w:val="center"/>
          </w:tcPr>
          <w:p w14:paraId="551957E4" w14:textId="0BE68C91" w:rsidR="00FA56EF" w:rsidRPr="00E87F78" w:rsidRDefault="004937A5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1 603</w:t>
            </w:r>
          </w:p>
        </w:tc>
        <w:tc>
          <w:tcPr>
            <w:tcW w:w="1207" w:type="dxa"/>
            <w:vAlign w:val="center"/>
          </w:tcPr>
          <w:p w14:paraId="484D9E8B" w14:textId="48C450DD" w:rsidR="00FA56EF" w:rsidRPr="00FA5128" w:rsidRDefault="004937A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99,8</w:t>
            </w:r>
          </w:p>
        </w:tc>
      </w:tr>
      <w:tr w:rsidR="00FA56EF" w:rsidRPr="00FA5128" w14:paraId="3636EE5F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6B1CF4C6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50E73EE6" w14:textId="2F73538C" w:rsidR="00FA56EF" w:rsidRPr="00A030E6" w:rsidRDefault="003E37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206" w:type="dxa"/>
            <w:vAlign w:val="center"/>
          </w:tcPr>
          <w:p w14:paraId="5264D7D8" w14:textId="096A042B" w:rsidR="00FA56EF" w:rsidRPr="006E0C18" w:rsidRDefault="00567F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91,2</w:t>
            </w:r>
          </w:p>
        </w:tc>
        <w:tc>
          <w:tcPr>
            <w:tcW w:w="1206" w:type="dxa"/>
            <w:vAlign w:val="center"/>
          </w:tcPr>
          <w:p w14:paraId="01B94E97" w14:textId="397730CE" w:rsidR="00FA56EF" w:rsidRPr="00296F96" w:rsidRDefault="00567F82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67F82">
              <w:rPr>
                <w:rFonts w:cs="Arial"/>
                <w:sz w:val="16"/>
                <w:szCs w:val="16"/>
              </w:rPr>
              <w:t>81,6</w:t>
            </w:r>
          </w:p>
        </w:tc>
        <w:tc>
          <w:tcPr>
            <w:tcW w:w="1206" w:type="dxa"/>
            <w:vAlign w:val="center"/>
          </w:tcPr>
          <w:p w14:paraId="3D08B785" w14:textId="0E4692E3" w:rsidR="00FA56EF" w:rsidRPr="00E87F78" w:rsidRDefault="004937A5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2 213</w:t>
            </w:r>
          </w:p>
        </w:tc>
        <w:tc>
          <w:tcPr>
            <w:tcW w:w="1207" w:type="dxa"/>
            <w:vAlign w:val="center"/>
          </w:tcPr>
          <w:p w14:paraId="127539CB" w14:textId="18D08A4F" w:rsidR="00FA56EF" w:rsidRPr="009F4F41" w:rsidRDefault="004937A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37A5">
              <w:rPr>
                <w:rFonts w:cs="Arial"/>
                <w:color w:val="000000" w:themeColor="text1"/>
                <w:sz w:val="16"/>
                <w:szCs w:val="16"/>
              </w:rPr>
              <w:t>154,3</w:t>
            </w:r>
          </w:p>
        </w:tc>
      </w:tr>
      <w:tr w:rsidR="00FA56EF" w:rsidRPr="00FA5128" w14:paraId="571079DA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7463933E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149E79" w14:textId="5FC61332" w:rsidR="00FA56EF" w:rsidRPr="00A030E6" w:rsidRDefault="003E37F1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37F1"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6" w:type="dxa"/>
            <w:vAlign w:val="center"/>
          </w:tcPr>
          <w:p w14:paraId="51103FA1" w14:textId="00E569D4" w:rsidR="00FA56EF" w:rsidRPr="006E0C18" w:rsidRDefault="00567F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F82">
              <w:rPr>
                <w:rFonts w:cs="Arial"/>
                <w:color w:val="000000" w:themeColor="text1"/>
                <w:sz w:val="16"/>
                <w:szCs w:val="16"/>
              </w:rPr>
              <w:t>325,0</w:t>
            </w:r>
          </w:p>
        </w:tc>
        <w:tc>
          <w:tcPr>
            <w:tcW w:w="1206" w:type="dxa"/>
            <w:vAlign w:val="center"/>
          </w:tcPr>
          <w:p w14:paraId="7765DBC0" w14:textId="1512C094" w:rsidR="00FA56EF" w:rsidRPr="00296F96" w:rsidRDefault="00567F82" w:rsidP="003D0B5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67F82">
              <w:rPr>
                <w:rFonts w:cs="Arial"/>
                <w:sz w:val="16"/>
                <w:szCs w:val="16"/>
              </w:rPr>
              <w:t>371,4</w:t>
            </w:r>
          </w:p>
        </w:tc>
        <w:tc>
          <w:tcPr>
            <w:tcW w:w="1206" w:type="dxa"/>
            <w:vAlign w:val="center"/>
          </w:tcPr>
          <w:p w14:paraId="19AC53E8" w14:textId="42C867E5" w:rsidR="00FA56EF" w:rsidRPr="00E87F78" w:rsidRDefault="004937A5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207" w:type="dxa"/>
            <w:vAlign w:val="center"/>
          </w:tcPr>
          <w:p w14:paraId="031BA834" w14:textId="7B8CA3B3" w:rsidR="00FA56EF" w:rsidRPr="009F4F41" w:rsidRDefault="004937A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256,9</w:t>
            </w:r>
          </w:p>
        </w:tc>
      </w:tr>
    </w:tbl>
    <w:p w14:paraId="1DEA9659" w14:textId="4B969465" w:rsidR="00B24AF7" w:rsidRPr="00B24AF7" w:rsidRDefault="004D107E" w:rsidP="00B24A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14:paraId="0B3475F2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0A928DC5" w:rsidR="00833D4E" w:rsidRPr="00A54EC5" w:rsidRDefault="00C17251" w:rsidP="00A52737">
      <w:pPr>
        <w:spacing w:before="0" w:after="0"/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752564C6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201893D0" w:rsidR="007F1316" w:rsidRPr="002F1617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>z projektem budowlanym</w:t>
                            </w:r>
                            <w:r w:rsidR="00E93560" w:rsidRPr="0007222B">
                              <w:t>,</w:t>
                            </w:r>
                            <w:r w:rsidR="00D95100" w:rsidRPr="00DA0F32">
                              <w:t xml:space="preserve"> </w:t>
                            </w:r>
                            <w:r w:rsidR="00187A74">
                              <w:t>zwiększyła</w:t>
                            </w:r>
                            <w:r w:rsidR="001425F1" w:rsidRPr="002F1617">
                              <w:t xml:space="preserve"> się</w:t>
                            </w:r>
                            <w:r w:rsidR="00CE2C3A" w:rsidRPr="002F1617">
                              <w:t xml:space="preserve"> w </w:t>
                            </w:r>
                            <w:r w:rsidR="003E7C6E" w:rsidRPr="002F1617">
                              <w:t xml:space="preserve">okresie </w:t>
                            </w:r>
                            <w:r w:rsidR="0042453E">
                              <w:br/>
                            </w:r>
                            <w:r w:rsidR="003E7C6E" w:rsidRPr="002F1617">
                              <w:t>I-</w:t>
                            </w:r>
                            <w:r w:rsidR="00A01A6B">
                              <w:t>X</w:t>
                            </w:r>
                            <w:r w:rsidR="00DA20E3">
                              <w:t>I</w:t>
                            </w:r>
                            <w:r w:rsidR="00CE2C3A" w:rsidRPr="002F1617">
                              <w:t xml:space="preserve"> 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>.</w:t>
                            </w:r>
                            <w:r w:rsidR="00DA20E3">
                              <w:t xml:space="preserve"> o 4,5</w:t>
                            </w:r>
                            <w:r w:rsidR="00B43D8E" w:rsidRPr="002F1617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5456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14:paraId="6FF511C4" w14:textId="201893D0" w:rsidR="007F1316" w:rsidRPr="002F1617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>z projektem budowlanym</w:t>
                      </w:r>
                      <w:r w:rsidR="00E93560" w:rsidRPr="0007222B">
                        <w:t>,</w:t>
                      </w:r>
                      <w:r w:rsidR="00D95100" w:rsidRPr="00DA0F32">
                        <w:t xml:space="preserve"> </w:t>
                      </w:r>
                      <w:r w:rsidR="00187A74">
                        <w:t>zwiększyła</w:t>
                      </w:r>
                      <w:r w:rsidR="001425F1" w:rsidRPr="002F1617">
                        <w:t xml:space="preserve"> się</w:t>
                      </w:r>
                      <w:r w:rsidR="00CE2C3A" w:rsidRPr="002F1617">
                        <w:t xml:space="preserve"> w </w:t>
                      </w:r>
                      <w:r w:rsidR="003E7C6E" w:rsidRPr="002F1617">
                        <w:t xml:space="preserve">okresie </w:t>
                      </w:r>
                      <w:r w:rsidR="0042453E">
                        <w:br/>
                      </w:r>
                      <w:r w:rsidR="003E7C6E" w:rsidRPr="002F1617">
                        <w:t>I-</w:t>
                      </w:r>
                      <w:r w:rsidR="00A01A6B">
                        <w:t>X</w:t>
                      </w:r>
                      <w:r w:rsidR="00DA20E3">
                        <w:t>I</w:t>
                      </w:r>
                      <w:r w:rsidR="00CE2C3A" w:rsidRPr="002F1617">
                        <w:t xml:space="preserve"> 2019</w:t>
                      </w:r>
                      <w:r w:rsidR="008C1F33" w:rsidRPr="002F1617">
                        <w:t xml:space="preserve"> r</w:t>
                      </w:r>
                      <w:r w:rsidR="002F1617">
                        <w:t>.</w:t>
                      </w:r>
                      <w:r w:rsidR="00DA20E3">
                        <w:t xml:space="preserve"> o 4,5</w:t>
                      </w:r>
                      <w:r w:rsidR="00B43D8E" w:rsidRPr="002F1617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053AF8">
        <w:rPr>
          <w:shd w:val="clear" w:color="auto" w:fill="FFFFFF"/>
        </w:rPr>
        <w:t xml:space="preserve">okresie </w:t>
      </w:r>
      <w:r w:rsidR="00994BA3">
        <w:rPr>
          <w:shd w:val="clear" w:color="auto" w:fill="FFFFFF"/>
        </w:rPr>
        <w:t>jedenastu</w:t>
      </w:r>
      <w:r w:rsidR="00053AF8">
        <w:rPr>
          <w:shd w:val="clear" w:color="auto" w:fill="FFFFFF"/>
        </w:rPr>
        <w:t xml:space="preserve"> </w:t>
      </w:r>
      <w:r w:rsidR="00562EC2">
        <w:rPr>
          <w:shd w:val="clear" w:color="auto" w:fill="FFFFFF"/>
        </w:rPr>
        <w:t>miesię</w:t>
      </w:r>
      <w:r w:rsidR="00053AF8">
        <w:rPr>
          <w:shd w:val="clear" w:color="auto" w:fill="FFFFFF"/>
        </w:rPr>
        <w:t xml:space="preserve">cy </w:t>
      </w:r>
      <w:r w:rsidR="00423192">
        <w:rPr>
          <w:shd w:val="clear" w:color="auto" w:fill="FFFFFF"/>
        </w:rPr>
        <w:t>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7E1B1D">
        <w:rPr>
          <w:shd w:val="clear" w:color="auto" w:fill="FFFFFF"/>
        </w:rPr>
        <w:t xml:space="preserve"> </w:t>
      </w:r>
      <w:r w:rsidR="00994BA3">
        <w:rPr>
          <w:shd w:val="clear" w:color="auto" w:fill="FFFFFF"/>
        </w:rPr>
        <w:t>248,4</w:t>
      </w:r>
      <w:r w:rsidR="007E1B1D">
        <w:rPr>
          <w:shd w:val="clear" w:color="auto" w:fill="FFFFFF"/>
        </w:rPr>
        <w:t> </w:t>
      </w:r>
      <w:r w:rsidR="00507D35" w:rsidRPr="00DA0F32">
        <w:rPr>
          <w:shd w:val="clear" w:color="auto" w:fill="FFFFFF"/>
        </w:rPr>
        <w:t xml:space="preserve">tys. </w:t>
      </w:r>
      <w:r w:rsidR="00350F22">
        <w:rPr>
          <w:shd w:val="clear" w:color="auto" w:fill="FFFFFF"/>
        </w:rPr>
        <w:t xml:space="preserve">mieszkań, tj. o </w:t>
      </w:r>
      <w:r w:rsidR="00994BA3">
        <w:rPr>
          <w:shd w:val="clear" w:color="auto" w:fill="FFFFFF"/>
        </w:rPr>
        <w:t>4,5</w:t>
      </w:r>
      <w:r w:rsidR="00A0335F" w:rsidRPr="00DA0F32">
        <w:rPr>
          <w:shd w:val="clear" w:color="auto" w:fill="FFFFFF"/>
        </w:rPr>
        <w:t xml:space="preserve">% </w:t>
      </w:r>
      <w:r w:rsidR="00562EC2">
        <w:rPr>
          <w:shd w:val="clear" w:color="auto" w:fill="FFFFFF"/>
        </w:rPr>
        <w:t>więcej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994BA3">
        <w:rPr>
          <w:shd w:val="clear" w:color="auto" w:fill="FFFFFF"/>
        </w:rPr>
        <w:t>154,3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994BA3">
        <w:rPr>
          <w:shd w:val="clear" w:color="auto" w:fill="FFFFFF"/>
        </w:rPr>
        <w:t>90,2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A01A6B">
        <w:rPr>
          <w:shd w:val="clear" w:color="auto" w:fill="FFFFFF"/>
        </w:rPr>
        <w:t xml:space="preserve">, tj. </w:t>
      </w:r>
      <w:r w:rsidR="00FB21E1">
        <w:rPr>
          <w:shd w:val="clear" w:color="auto" w:fill="FFFFFF"/>
        </w:rPr>
        <w:t>po</w:t>
      </w:r>
      <w:r w:rsidR="00994BA3">
        <w:rPr>
          <w:shd w:val="clear" w:color="auto" w:fill="FFFFFF"/>
        </w:rPr>
        <w:t xml:space="preserve"> 5</w:t>
      </w:r>
      <w:r w:rsidR="00E01AB1">
        <w:rPr>
          <w:shd w:val="clear" w:color="auto" w:fill="FFFFFF"/>
        </w:rPr>
        <w:t>,1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7E1B1D">
        <w:rPr>
          <w:shd w:val="clear" w:color="auto" w:fill="FFFFFF"/>
        </w:rPr>
        <w:t> 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7E1B1D">
        <w:rPr>
          <w:shd w:val="clear" w:color="auto" w:fill="FFFFFF"/>
        </w:rPr>
        <w:t>z </w:t>
      </w:r>
      <w:r w:rsidR="00187A74">
        <w:rPr>
          <w:shd w:val="clear" w:color="auto" w:fill="FFFFFF"/>
        </w:rPr>
        <w:t>projektem budowlanym</w:t>
      </w:r>
      <w:r w:rsidR="00A01B2E">
        <w:rPr>
          <w:shd w:val="clear" w:color="auto" w:fill="FFFFFF"/>
        </w:rPr>
        <w:t xml:space="preserve"> dla</w:t>
      </w:r>
      <w:r w:rsidR="00E01AB1">
        <w:rPr>
          <w:shd w:val="clear" w:color="auto" w:fill="FFFFFF"/>
        </w:rPr>
        <w:t xml:space="preserve"> 98,5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>Mniej</w:t>
      </w:r>
      <w:r w:rsidR="001753B5" w:rsidRPr="007D1F83">
        <w:rPr>
          <w:shd w:val="clear" w:color="auto" w:fill="FFFFFF"/>
        </w:rPr>
        <w:t xml:space="preserve"> </w:t>
      </w:r>
      <w:r w:rsidR="00187A74">
        <w:rPr>
          <w:shd w:val="clear" w:color="auto" w:fill="FFFFFF"/>
        </w:rPr>
        <w:t>niż w </w:t>
      </w:r>
      <w:r w:rsidR="00B43D8E">
        <w:rPr>
          <w:shd w:val="clear" w:color="auto" w:fill="FFFFFF"/>
        </w:rPr>
        <w:t xml:space="preserve">okresie </w:t>
      </w:r>
      <w:r w:rsidR="00994BA3">
        <w:rPr>
          <w:shd w:val="clear" w:color="auto" w:fill="FFFFFF"/>
        </w:rPr>
        <w:t>jedenastu</w:t>
      </w:r>
      <w:r w:rsidR="00E01AB1">
        <w:rPr>
          <w:shd w:val="clear" w:color="auto" w:fill="FFFFFF"/>
        </w:rPr>
        <w:t xml:space="preserve"> </w:t>
      </w:r>
      <w:r w:rsidR="00B43D8E">
        <w:rPr>
          <w:shd w:val="clear" w:color="auto" w:fill="FFFFFF"/>
        </w:rPr>
        <w:t>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</w:t>
      </w:r>
      <w:r w:rsidR="001753B5" w:rsidRPr="0007222B">
        <w:rPr>
          <w:shd w:val="clear" w:color="auto" w:fill="FFFFFF"/>
        </w:rPr>
        <w:t>, na których budowę wydano pozw</w:t>
      </w:r>
      <w:r w:rsidR="00756B32" w:rsidRPr="0007222B">
        <w:rPr>
          <w:shd w:val="clear" w:color="auto" w:fill="FFFFFF"/>
        </w:rPr>
        <w:t xml:space="preserve">olenia lub dokonano zgłoszenia </w:t>
      </w:r>
      <w:r w:rsidR="001753B5" w:rsidRPr="0007222B">
        <w:rPr>
          <w:shd w:val="clear" w:color="auto" w:fill="FFFFFF"/>
        </w:rPr>
        <w:t xml:space="preserve">z projektem budowlanym </w:t>
      </w:r>
      <w:r w:rsidR="001753B5" w:rsidRPr="00DA0F32">
        <w:rPr>
          <w:shd w:val="clear" w:color="auto" w:fill="FFFFFF"/>
        </w:rPr>
        <w:t>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E01AB1">
        <w:rPr>
          <w:shd w:val="clear" w:color="auto" w:fill="FFFFFF"/>
        </w:rPr>
        <w:t>1</w:t>
      </w:r>
      <w:r w:rsidR="00994BA3">
        <w:rPr>
          <w:shd w:val="clear" w:color="auto" w:fill="FFFFFF"/>
        </w:rPr>
        <w:t xml:space="preserve">364 </w:t>
      </w:r>
      <w:r w:rsidR="001753B5" w:rsidRPr="007D1F83">
        <w:rPr>
          <w:shd w:val="clear" w:color="auto" w:fill="FFFFFF"/>
        </w:rPr>
        <w:t xml:space="preserve">mieszkań </w:t>
      </w:r>
      <w:r w:rsidR="00A0335F" w:rsidRPr="007D1F83">
        <w:rPr>
          <w:shd w:val="clear" w:color="auto" w:fill="FFFFFF"/>
        </w:rPr>
        <w:t xml:space="preserve">wobec </w:t>
      </w:r>
      <w:r w:rsidR="00E01AB1">
        <w:rPr>
          <w:shd w:val="clear" w:color="auto" w:fill="FFFFFF"/>
        </w:rPr>
        <w:t>1</w:t>
      </w:r>
      <w:r w:rsidR="00994BA3">
        <w:rPr>
          <w:shd w:val="clear" w:color="auto" w:fill="FFFFFF"/>
        </w:rPr>
        <w:t>496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oraz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1425F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>(</w:t>
      </w:r>
      <w:r w:rsidR="00994BA3">
        <w:rPr>
          <w:shd w:val="clear" w:color="auto" w:fill="FFFFFF"/>
        </w:rPr>
        <w:t>2472</w:t>
      </w:r>
      <w:r w:rsidR="00E01AB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wobec </w:t>
      </w:r>
      <w:r w:rsidR="00E01AB1">
        <w:rPr>
          <w:shd w:val="clear" w:color="auto" w:fill="FFFFFF"/>
        </w:rPr>
        <w:t>3</w:t>
      </w:r>
      <w:r w:rsidR="00DA20E3">
        <w:rPr>
          <w:shd w:val="clear" w:color="auto" w:fill="FFFFFF"/>
        </w:rPr>
        <w:t>545</w:t>
      </w:r>
      <w:r w:rsidR="00A52737">
        <w:rPr>
          <w:shd w:val="clear" w:color="auto" w:fill="FFFFFF"/>
        </w:rPr>
        <w:t>).</w:t>
      </w:r>
    </w:p>
    <w:p w14:paraId="11265141" w14:textId="667883E2" w:rsidR="00EE66D9" w:rsidRPr="004D107E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14:paraId="1E710D21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0607EAFB" w14:textId="77777777"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8CE53C8" w14:textId="77777777"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14:paraId="123AD344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2116CF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18F73D1" w14:textId="69EB565F" w:rsidR="00B43D8E" w:rsidRPr="00FA5128" w:rsidRDefault="00D2644B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DA20E3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75AD219" w14:textId="045D631E" w:rsidR="00B43D8E" w:rsidRPr="00FA5128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D2644B">
              <w:rPr>
                <w:color w:val="000000" w:themeColor="text1"/>
                <w:sz w:val="16"/>
                <w:szCs w:val="16"/>
              </w:rPr>
              <w:t>X</w:t>
            </w:r>
            <w:r w:rsidR="00DA20E3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3D8E" w:rsidRPr="00FA5128" w14:paraId="7E06F3A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5C7846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2308107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9D28FD6" w14:textId="0DB018E5" w:rsidR="00B43D8E" w:rsidRDefault="00D2644B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DA20E3">
              <w:rPr>
                <w:color w:val="000000" w:themeColor="text1"/>
                <w:sz w:val="16"/>
                <w:szCs w:val="16"/>
              </w:rPr>
              <w:t>I</w:t>
            </w:r>
          </w:p>
          <w:p w14:paraId="3DE4B141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970D10D" w14:textId="37B7B600" w:rsidR="00B43D8E" w:rsidRDefault="00E01AB1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14:paraId="4810894F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D706E4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1D432D5A" w14:textId="1DCDE94E"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D2644B">
              <w:rPr>
                <w:color w:val="000000" w:themeColor="text1"/>
                <w:sz w:val="16"/>
                <w:szCs w:val="16"/>
              </w:rPr>
              <w:t>X</w:t>
            </w:r>
            <w:r w:rsidR="00DA20E3">
              <w:rPr>
                <w:color w:val="000000" w:themeColor="text1"/>
                <w:sz w:val="16"/>
                <w:szCs w:val="16"/>
              </w:rPr>
              <w:t>I</w:t>
            </w:r>
          </w:p>
          <w:p w14:paraId="352F98D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14:paraId="58CAF5CE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BBD2F91" w14:textId="77777777"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3D6C3FD" w14:textId="79BF04FB" w:rsidR="00B43D8E" w:rsidRPr="00FA5128" w:rsidRDefault="002F5333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b/>
                <w:color w:val="000000" w:themeColor="text1"/>
                <w:sz w:val="16"/>
                <w:szCs w:val="16"/>
              </w:rPr>
              <w:t>19 448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129938E" w14:textId="176CC621" w:rsidR="00B43D8E" w:rsidRPr="00FA5128" w:rsidRDefault="002F5333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b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30E95D6" w14:textId="3F22E71B" w:rsidR="00B43D8E" w:rsidRPr="00FA5128" w:rsidRDefault="002F5333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b/>
                <w:color w:val="000000" w:themeColor="text1"/>
                <w:sz w:val="16"/>
                <w:szCs w:val="16"/>
              </w:rPr>
              <w:t>69,9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1971845" w14:textId="072D40D5" w:rsidR="00B43D8E" w:rsidRPr="00FA5128" w:rsidRDefault="00DA20E3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A20E3">
              <w:rPr>
                <w:rFonts w:cs="Arial"/>
                <w:b/>
                <w:color w:val="000000" w:themeColor="text1"/>
                <w:sz w:val="16"/>
                <w:szCs w:val="16"/>
              </w:rPr>
              <w:t>248 382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5C8AEDA0" w14:textId="17CD385F" w:rsidR="00B43D8E" w:rsidRPr="00FA5128" w:rsidRDefault="002F5333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b/>
                <w:color w:val="000000" w:themeColor="text1"/>
                <w:sz w:val="16"/>
                <w:szCs w:val="16"/>
              </w:rPr>
              <w:t>104,5</w:t>
            </w:r>
          </w:p>
        </w:tc>
      </w:tr>
      <w:tr w:rsidR="00B43D8E" w:rsidRPr="00907546" w14:paraId="6C1062F6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D44C223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1D8C4E8" w14:textId="33A4E6DF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6 748</w:t>
            </w:r>
          </w:p>
        </w:tc>
        <w:tc>
          <w:tcPr>
            <w:tcW w:w="1206" w:type="dxa"/>
            <w:vAlign w:val="center"/>
          </w:tcPr>
          <w:p w14:paraId="0406CC6E" w14:textId="323B6B4B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206" w:type="dxa"/>
            <w:vAlign w:val="center"/>
          </w:tcPr>
          <w:p w14:paraId="13DD4AC4" w14:textId="33AACFE1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1206" w:type="dxa"/>
            <w:vAlign w:val="center"/>
          </w:tcPr>
          <w:p w14:paraId="2B89FA86" w14:textId="1B444BBB" w:rsidR="00B43D8E" w:rsidRPr="00907546" w:rsidRDefault="00DA20E3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A20E3">
              <w:rPr>
                <w:rFonts w:ascii="Fira Sans" w:hAnsi="Fira Sans"/>
                <w:color w:val="000000" w:themeColor="text1"/>
                <w:sz w:val="16"/>
                <w:szCs w:val="16"/>
              </w:rPr>
              <w:t>90 235</w:t>
            </w:r>
          </w:p>
        </w:tc>
        <w:tc>
          <w:tcPr>
            <w:tcW w:w="1207" w:type="dxa"/>
            <w:vAlign w:val="center"/>
          </w:tcPr>
          <w:p w14:paraId="675CBECB" w14:textId="71F0EE4B" w:rsidR="00B43D8E" w:rsidRPr="00907546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B43D8E" w:rsidRPr="00FA5128" w14:paraId="221990F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BB162D0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F28B1AE" w14:textId="3FFB555D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12 355</w:t>
            </w:r>
          </w:p>
        </w:tc>
        <w:tc>
          <w:tcPr>
            <w:tcW w:w="1206" w:type="dxa"/>
            <w:vAlign w:val="center"/>
          </w:tcPr>
          <w:p w14:paraId="0735648A" w14:textId="687CE5BC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94,3</w:t>
            </w:r>
          </w:p>
        </w:tc>
        <w:tc>
          <w:tcPr>
            <w:tcW w:w="1206" w:type="dxa"/>
            <w:vAlign w:val="center"/>
          </w:tcPr>
          <w:p w14:paraId="265EAD38" w14:textId="4F4F05FA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65,7</w:t>
            </w:r>
          </w:p>
        </w:tc>
        <w:tc>
          <w:tcPr>
            <w:tcW w:w="1206" w:type="dxa"/>
            <w:vAlign w:val="center"/>
          </w:tcPr>
          <w:p w14:paraId="192801D5" w14:textId="119B25C9" w:rsidR="00B43D8E" w:rsidRPr="008A1C80" w:rsidRDefault="00DA20E3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A20E3">
              <w:rPr>
                <w:rFonts w:ascii="Fira Sans" w:hAnsi="Fira Sans"/>
                <w:color w:val="000000" w:themeColor="text1"/>
                <w:sz w:val="16"/>
                <w:szCs w:val="16"/>
              </w:rPr>
              <w:t>154 311</w:t>
            </w:r>
          </w:p>
        </w:tc>
        <w:tc>
          <w:tcPr>
            <w:tcW w:w="1207" w:type="dxa"/>
            <w:vAlign w:val="center"/>
          </w:tcPr>
          <w:p w14:paraId="2EDAFC9B" w14:textId="3A6D1C70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B43D8E" w:rsidRPr="00FA5128" w14:paraId="3207EB22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9DA1DBB" w14:textId="77777777"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FB360E8" w14:textId="6EF95E35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206" w:type="dxa"/>
            <w:vAlign w:val="center"/>
          </w:tcPr>
          <w:p w14:paraId="2F99732F" w14:textId="08E1DFB2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180,0</w:t>
            </w:r>
          </w:p>
        </w:tc>
        <w:tc>
          <w:tcPr>
            <w:tcW w:w="1206" w:type="dxa"/>
            <w:vAlign w:val="center"/>
          </w:tcPr>
          <w:p w14:paraId="2CE48FD1" w14:textId="5CB96FE9" w:rsidR="00B43D8E" w:rsidRPr="00E102B7" w:rsidRDefault="002F5333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5333">
              <w:rPr>
                <w:rFonts w:cs="Arial"/>
                <w:sz w:val="16"/>
                <w:szCs w:val="16"/>
              </w:rPr>
              <w:t>137,0</w:t>
            </w:r>
          </w:p>
        </w:tc>
        <w:tc>
          <w:tcPr>
            <w:tcW w:w="1206" w:type="dxa"/>
            <w:vAlign w:val="center"/>
          </w:tcPr>
          <w:p w14:paraId="576E122D" w14:textId="3EAF0882" w:rsidR="00B43D8E" w:rsidRPr="00C230EE" w:rsidRDefault="00DA20E3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A20E3">
              <w:rPr>
                <w:rFonts w:ascii="Fira Sans" w:hAnsi="Fira Sans"/>
                <w:color w:val="000000" w:themeColor="text1"/>
                <w:sz w:val="16"/>
                <w:szCs w:val="16"/>
              </w:rPr>
              <w:t>1 364</w:t>
            </w:r>
          </w:p>
        </w:tc>
        <w:tc>
          <w:tcPr>
            <w:tcW w:w="1207" w:type="dxa"/>
            <w:vAlign w:val="center"/>
          </w:tcPr>
          <w:p w14:paraId="34BC2C9A" w14:textId="3F648CBE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91,2</w:t>
            </w:r>
          </w:p>
        </w:tc>
      </w:tr>
      <w:tr w:rsidR="00B43D8E" w:rsidRPr="00FA5128" w14:paraId="48F661E1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4D4535C" w14:textId="77777777"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08EF2BA" w14:textId="54453ABB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206" w:type="dxa"/>
            <w:vAlign w:val="center"/>
          </w:tcPr>
          <w:p w14:paraId="57027840" w14:textId="6272B189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206" w:type="dxa"/>
            <w:vAlign w:val="center"/>
          </w:tcPr>
          <w:p w14:paraId="14CC0F50" w14:textId="5A407164" w:rsidR="00B43D8E" w:rsidRPr="00E102B7" w:rsidRDefault="002F5333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5333">
              <w:rPr>
                <w:rFonts w:cs="Arial"/>
                <w:sz w:val="16"/>
                <w:szCs w:val="16"/>
              </w:rPr>
              <w:t>49,2</w:t>
            </w:r>
          </w:p>
        </w:tc>
        <w:tc>
          <w:tcPr>
            <w:tcW w:w="1206" w:type="dxa"/>
            <w:vAlign w:val="center"/>
          </w:tcPr>
          <w:p w14:paraId="73741E4A" w14:textId="0A54B0A4" w:rsidR="00B43D8E" w:rsidRPr="00E87F78" w:rsidRDefault="00DA20E3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A20E3">
              <w:rPr>
                <w:color w:val="000000" w:themeColor="text1"/>
                <w:sz w:val="16"/>
                <w:szCs w:val="16"/>
              </w:rPr>
              <w:t>1 232</w:t>
            </w:r>
          </w:p>
        </w:tc>
        <w:tc>
          <w:tcPr>
            <w:tcW w:w="1207" w:type="dxa"/>
            <w:vAlign w:val="center"/>
          </w:tcPr>
          <w:p w14:paraId="48BAFFDB" w14:textId="465EC27D" w:rsidR="00B43D8E" w:rsidRPr="00FA512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96,9</w:t>
            </w:r>
          </w:p>
        </w:tc>
      </w:tr>
      <w:tr w:rsidR="00B43D8E" w:rsidRPr="009F4F41" w14:paraId="0B881FAD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2F15CF1A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2B6F488" w14:textId="7DC0C289" w:rsidR="00B43D8E" w:rsidRPr="00A030E6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206" w:type="dxa"/>
            <w:vAlign w:val="center"/>
          </w:tcPr>
          <w:p w14:paraId="6FCFE84F" w14:textId="5FEB2449" w:rsidR="00B43D8E" w:rsidRPr="006E0C18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664,3</w:t>
            </w:r>
          </w:p>
        </w:tc>
        <w:tc>
          <w:tcPr>
            <w:tcW w:w="1206" w:type="dxa"/>
            <w:vAlign w:val="center"/>
          </w:tcPr>
          <w:p w14:paraId="161015EA" w14:textId="2CB70466" w:rsidR="00B43D8E" w:rsidRPr="00296F96" w:rsidRDefault="002F5333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5333">
              <w:rPr>
                <w:rFonts w:cs="Arial"/>
                <w:sz w:val="16"/>
                <w:szCs w:val="16"/>
              </w:rPr>
              <w:t>75,0</w:t>
            </w:r>
          </w:p>
        </w:tc>
        <w:tc>
          <w:tcPr>
            <w:tcW w:w="1206" w:type="dxa"/>
            <w:vAlign w:val="center"/>
          </w:tcPr>
          <w:p w14:paraId="02256530" w14:textId="497A9C6C" w:rsidR="00B43D8E" w:rsidRPr="00E87F78" w:rsidRDefault="00DA20E3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A20E3">
              <w:rPr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1207" w:type="dxa"/>
            <w:vAlign w:val="center"/>
          </w:tcPr>
          <w:p w14:paraId="6FA7983C" w14:textId="0B4230D3" w:rsidR="00B43D8E" w:rsidRPr="009F4F41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38,5</w:t>
            </w:r>
          </w:p>
        </w:tc>
      </w:tr>
      <w:tr w:rsidR="00B43D8E" w:rsidRPr="009F4F41" w14:paraId="07A5E6D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033ED38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632027C0" w14:textId="1916B811" w:rsidR="00B43D8E" w:rsidRPr="00A030E6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206" w:type="dxa"/>
            <w:vAlign w:val="center"/>
          </w:tcPr>
          <w:p w14:paraId="63A1E99C" w14:textId="33557484" w:rsidR="00B43D8E" w:rsidRPr="006D4BD3" w:rsidRDefault="002F5333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21- krotnie</w:t>
            </w:r>
            <w:r w:rsidR="00FB21E1">
              <w:rPr>
                <w:rFonts w:cs="Arial"/>
                <w:sz w:val="16"/>
                <w:szCs w:val="16"/>
              </w:rPr>
              <w:t xml:space="preserve"> więcej</w:t>
            </w:r>
          </w:p>
        </w:tc>
        <w:tc>
          <w:tcPr>
            <w:tcW w:w="1206" w:type="dxa"/>
            <w:vAlign w:val="center"/>
          </w:tcPr>
          <w:p w14:paraId="558BED5F" w14:textId="5FF31F57" w:rsidR="00B43D8E" w:rsidRPr="006D4BD3" w:rsidRDefault="002F5333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5333">
              <w:rPr>
                <w:rFonts w:cs="Arial"/>
                <w:sz w:val="16"/>
                <w:szCs w:val="16"/>
              </w:rPr>
              <w:t>441,4</w:t>
            </w:r>
          </w:p>
        </w:tc>
        <w:tc>
          <w:tcPr>
            <w:tcW w:w="1206" w:type="dxa"/>
            <w:vAlign w:val="center"/>
          </w:tcPr>
          <w:p w14:paraId="741E3E55" w14:textId="24D16A61" w:rsidR="00B43D8E" w:rsidRPr="00E87F78" w:rsidRDefault="00DA20E3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A20E3"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207" w:type="dxa"/>
            <w:vAlign w:val="center"/>
          </w:tcPr>
          <w:p w14:paraId="474A4780" w14:textId="7F822172" w:rsidR="00B43D8E" w:rsidRPr="009F4F41" w:rsidRDefault="002F533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F5333">
              <w:rPr>
                <w:rFonts w:cs="Arial"/>
                <w:sz w:val="16"/>
                <w:szCs w:val="16"/>
              </w:rPr>
              <w:t>657,6</w:t>
            </w:r>
          </w:p>
        </w:tc>
      </w:tr>
    </w:tbl>
    <w:p w14:paraId="0294E0A8" w14:textId="77777777" w:rsidR="00833D4E" w:rsidRPr="00DA0F32" w:rsidRDefault="00833D4E" w:rsidP="00F113BA">
      <w:pPr>
        <w:rPr>
          <w:strike/>
          <w:shd w:val="clear" w:color="auto" w:fill="FFFFFF"/>
        </w:rPr>
      </w:pPr>
    </w:p>
    <w:p w14:paraId="247B42C2" w14:textId="77777777" w:rsidR="00833D4E" w:rsidRDefault="00833D4E" w:rsidP="00336412">
      <w:pPr>
        <w:spacing w:before="240"/>
        <w:rPr>
          <w:noProof/>
          <w:lang w:eastAsia="pl-PL"/>
        </w:rPr>
      </w:pPr>
    </w:p>
    <w:p w14:paraId="27BCC906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63520813" w:rsidR="004B628B" w:rsidRDefault="00B7105D" w:rsidP="00C92A18">
      <w:pPr>
        <w:spacing w:before="240"/>
        <w:rPr>
          <w:shd w:val="clear" w:color="auto" w:fill="FFFFFF"/>
        </w:rPr>
      </w:pPr>
      <w:r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</w:t>
      </w:r>
      <w:r w:rsidR="00081C1B">
        <w:rPr>
          <w:noProof/>
          <w:lang w:eastAsia="pl-PL"/>
        </w:rPr>
        <w:t>listopad</w:t>
      </w:r>
      <w:r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774F4E">
        <w:rPr>
          <w:noProof/>
          <w:lang w:eastAsia="pl-PL"/>
        </w:rPr>
        <w:t xml:space="preserve"> </w:t>
      </w:r>
      <w:r w:rsidR="00081C1B">
        <w:rPr>
          <w:noProof/>
          <w:lang w:eastAsia="pl-PL"/>
        </w:rPr>
        <w:t>221,4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081C1B">
        <w:rPr>
          <w:shd w:val="clear" w:color="auto" w:fill="FFFFFF"/>
        </w:rPr>
        <w:t>5</w:t>
      </w:r>
      <w:r w:rsidR="003C0165" w:rsidRPr="00DA0F32">
        <w:rPr>
          <w:shd w:val="clear" w:color="auto" w:fill="FFFFFF"/>
        </w:rPr>
        <w:t>,</w:t>
      </w:r>
      <w:r w:rsidR="00081C1B">
        <w:rPr>
          <w:shd w:val="clear" w:color="auto" w:fill="FFFFFF"/>
        </w:rPr>
        <w:t>0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081C1B">
        <w:rPr>
          <w:shd w:val="clear" w:color="auto" w:fill="FFFFFF"/>
        </w:rPr>
        <w:t>130</w:t>
      </w:r>
      <w:r w:rsidR="008F6283">
        <w:rPr>
          <w:shd w:val="clear" w:color="auto" w:fill="FFFFFF"/>
        </w:rPr>
        <w:t>,4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2F1617">
        <w:rPr>
          <w:shd w:val="clear" w:color="auto" w:fill="FFFFFF"/>
        </w:rPr>
        <w:t xml:space="preserve"> a 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081C1B">
        <w:rPr>
          <w:shd w:val="clear" w:color="auto" w:fill="FFFFFF"/>
        </w:rPr>
        <w:t>86,4</w:t>
      </w:r>
      <w:r w:rsidR="00237327" w:rsidRPr="00DA0F32">
        <w:rPr>
          <w:shd w:val="clear" w:color="auto" w:fill="FFFFFF"/>
        </w:rPr>
        <w:t xml:space="preserve"> tys.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6283">
        <w:rPr>
          <w:shd w:val="clear" w:color="auto" w:fill="FFFFFF"/>
        </w:rPr>
        <w:t>ącznie 97,9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</w:t>
      </w:r>
      <w:r w:rsidR="002F1617">
        <w:rPr>
          <w:shd w:val="clear" w:color="auto" w:fill="FFFFFF"/>
        </w:rPr>
        <w:t> </w:t>
      </w:r>
      <w:r w:rsidR="00F04030">
        <w:rPr>
          <w:shd w:val="clear" w:color="auto" w:fill="FFFFFF"/>
        </w:rPr>
        <w:t>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F44D12">
        <w:rPr>
          <w:shd w:val="clear" w:color="auto" w:fill="FFFFFF"/>
        </w:rPr>
        <w:t>5,5</w:t>
      </w:r>
      <w:r w:rsidR="00F4008D" w:rsidRPr="00F4008D">
        <w:rPr>
          <w:shd w:val="clear" w:color="auto" w:fill="FFFFFF"/>
        </w:rPr>
        <w:t>%</w:t>
      </w:r>
      <w:r w:rsidR="00F4008D" w:rsidRPr="0061791A">
        <w:rPr>
          <w:shd w:val="clear" w:color="auto" w:fill="FFFFFF"/>
        </w:rPr>
        <w:t xml:space="preserve"> </w:t>
      </w:r>
      <w:r w:rsidR="00F44D12">
        <w:rPr>
          <w:shd w:val="clear" w:color="auto" w:fill="FFFFFF"/>
        </w:rPr>
        <w:t>i 4,9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D77B37">
        <w:rPr>
          <w:shd w:val="clear" w:color="auto" w:fill="FFFFFF"/>
        </w:rPr>
        <w:t>Natomiast m</w:t>
      </w:r>
      <w:r w:rsidR="009218D1">
        <w:rPr>
          <w:shd w:val="clear" w:color="auto" w:fill="FFFFFF"/>
        </w:rPr>
        <w:t>niej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61791A" w:rsidRPr="00C94C3C">
        <w:rPr>
          <w:shd w:val="clear" w:color="auto" w:fill="FFFFFF"/>
        </w:rPr>
        <w:t>,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E02918">
        <w:rPr>
          <w:shd w:val="clear" w:color="auto" w:fill="FFFFFF"/>
        </w:rPr>
        <w:t xml:space="preserve">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F44D12">
        <w:rPr>
          <w:shd w:val="clear" w:color="auto" w:fill="FFFFFF"/>
        </w:rPr>
        <w:t>2057</w:t>
      </w:r>
      <w:r w:rsidR="008F6283" w:rsidRPr="008F6283">
        <w:rPr>
          <w:shd w:val="clear" w:color="auto" w:fill="FFFFFF"/>
        </w:rPr>
        <w:t xml:space="preserve"> </w:t>
      </w:r>
      <w:r w:rsidR="009218D1">
        <w:rPr>
          <w:shd w:val="clear" w:color="auto" w:fill="FFFFFF"/>
        </w:rPr>
        <w:t>mieszkań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F44D12">
        <w:rPr>
          <w:shd w:val="clear" w:color="auto" w:fill="FFFFFF"/>
        </w:rPr>
        <w:t>2242</w:t>
      </w:r>
      <w:r w:rsidR="00FB21E1">
        <w:rPr>
          <w:shd w:val="clear" w:color="auto" w:fill="FFFFFF"/>
        </w:rPr>
        <w:t xml:space="preserve">), </w:t>
      </w:r>
      <w:r w:rsidR="009134D5">
        <w:rPr>
          <w:shd w:val="clear" w:color="auto" w:fill="FFFFFF"/>
        </w:rPr>
        <w:t>a</w:t>
      </w:r>
      <w:r w:rsidR="00FB21E1">
        <w:rPr>
          <w:shd w:val="clear" w:color="auto" w:fill="FFFFFF"/>
        </w:rPr>
        <w:t xml:space="preserve"> </w:t>
      </w:r>
      <w:r w:rsidR="00E02918">
        <w:rPr>
          <w:shd w:val="clear" w:color="auto" w:fill="FFFFFF"/>
        </w:rPr>
        <w:t>w</w:t>
      </w:r>
      <w:r w:rsidR="00FB21E1">
        <w:rPr>
          <w:shd w:val="clear" w:color="auto" w:fill="FFFFFF"/>
        </w:rPr>
        <w:t>ięcej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E46A8B">
        <w:rPr>
          <w:shd w:val="clear" w:color="auto" w:fill="FFFFFF"/>
        </w:rPr>
        <w:t>2569</w:t>
      </w:r>
      <w:r w:rsidR="008F6283" w:rsidRPr="008F6283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E46A8B">
        <w:rPr>
          <w:shd w:val="clear" w:color="auto" w:fill="FFFFFF"/>
        </w:rPr>
        <w:t>2563</w:t>
      </w:r>
      <w:r w:rsidR="00336412">
        <w:rPr>
          <w:shd w:val="clear" w:color="auto" w:fill="FFFFFF"/>
        </w:rPr>
        <w:t>).</w:t>
      </w:r>
    </w:p>
    <w:p w14:paraId="06728057" w14:textId="5DF0BDDB" w:rsidR="004B628B" w:rsidRPr="00C92A18" w:rsidRDefault="004B628B" w:rsidP="0057603C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5609C1B3" w14:textId="77777777" w:rsidR="0057603C" w:rsidRDefault="0057603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71B22ACC" w14:textId="77777777"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14:paraId="5B20CB5A" w14:textId="77777777"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14:paraId="71C1AD02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14262439" w14:textId="77777777"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16486119" w14:textId="77777777"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14:paraId="2D1A90E6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171705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6DAE6DE" w14:textId="176199D2" w:rsidR="00EE66D9" w:rsidRPr="00FA5128" w:rsidRDefault="005C747C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E46A8B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56D7BA7F" w14:textId="1656B8AD" w:rsidR="00EE66D9" w:rsidRPr="00FA5128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5C747C">
              <w:rPr>
                <w:color w:val="000000" w:themeColor="text1"/>
                <w:sz w:val="16"/>
                <w:szCs w:val="16"/>
              </w:rPr>
              <w:t>X</w:t>
            </w:r>
            <w:r w:rsidR="00E46A8B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E66D9" w:rsidRPr="00FA5128" w14:paraId="611DB9D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359D92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6EAD7F5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A6BBDD4" w14:textId="17F77ED8" w:rsidR="00EE66D9" w:rsidRDefault="005C747C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E46A8B">
              <w:rPr>
                <w:color w:val="000000" w:themeColor="text1"/>
                <w:sz w:val="16"/>
                <w:szCs w:val="16"/>
              </w:rPr>
              <w:t>I</w:t>
            </w:r>
          </w:p>
          <w:p w14:paraId="025E302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26B1718" w14:textId="0CC9EE94" w:rsidR="00EE66D9" w:rsidRDefault="006D4186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14:paraId="1161F161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75D1C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3FEB52F" w14:textId="39D24988"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5C747C">
              <w:rPr>
                <w:color w:val="000000" w:themeColor="text1"/>
                <w:sz w:val="16"/>
                <w:szCs w:val="16"/>
              </w:rPr>
              <w:t>X</w:t>
            </w:r>
            <w:r w:rsidR="00E46A8B">
              <w:rPr>
                <w:color w:val="000000" w:themeColor="text1"/>
                <w:sz w:val="16"/>
                <w:szCs w:val="16"/>
              </w:rPr>
              <w:t>I</w:t>
            </w:r>
          </w:p>
          <w:p w14:paraId="1D79B4E7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14:paraId="0503E7F0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C6E4DBC" w14:textId="77777777"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EA8F1B9" w14:textId="51A0CEDB" w:rsidR="00EE66D9" w:rsidRPr="00FA5128" w:rsidRDefault="00E46A8B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b/>
                <w:color w:val="000000" w:themeColor="text1"/>
                <w:sz w:val="16"/>
                <w:szCs w:val="16"/>
              </w:rPr>
              <w:t>18 884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24E2A89" w14:textId="5BD58D85" w:rsidR="00EE66D9" w:rsidRPr="00FA5128" w:rsidRDefault="00FE19F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b/>
                <w:color w:val="000000" w:themeColor="text1"/>
                <w:sz w:val="16"/>
                <w:szCs w:val="16"/>
              </w:rPr>
              <w:t>112,5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BC2ABED" w14:textId="3E968EEA" w:rsidR="00EE66D9" w:rsidRPr="00FA5128" w:rsidRDefault="00FE19F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b/>
                <w:color w:val="000000" w:themeColor="text1"/>
                <w:sz w:val="16"/>
                <w:szCs w:val="16"/>
              </w:rPr>
              <w:t>78,4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64A7B24" w14:textId="50E90D4C" w:rsidR="00EE66D9" w:rsidRPr="00FA5128" w:rsidRDefault="00E46A8B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b/>
                <w:color w:val="000000" w:themeColor="text1"/>
                <w:sz w:val="16"/>
                <w:szCs w:val="16"/>
              </w:rPr>
              <w:t>221 423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262D7F6" w14:textId="15C487F4" w:rsidR="00EE66D9" w:rsidRPr="00FA5128" w:rsidRDefault="00E46A8B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b/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EE66D9" w:rsidRPr="00907546" w14:paraId="04E4D8B5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1E5A76D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254ADC7" w14:textId="7B943F54" w:rsidR="00EE66D9" w:rsidRPr="00FA5128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5 568</w:t>
            </w:r>
          </w:p>
        </w:tc>
        <w:tc>
          <w:tcPr>
            <w:tcW w:w="1206" w:type="dxa"/>
            <w:vAlign w:val="center"/>
          </w:tcPr>
          <w:p w14:paraId="659B9970" w14:textId="6D87F39F" w:rsidR="00EE66D9" w:rsidRPr="00FA5128" w:rsidRDefault="00FE19F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206" w:type="dxa"/>
            <w:vAlign w:val="center"/>
          </w:tcPr>
          <w:p w14:paraId="1D5A4EFB" w14:textId="1AA400BC" w:rsidR="00EE66D9" w:rsidRPr="00FA5128" w:rsidRDefault="00FE19F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06" w:type="dxa"/>
            <w:vAlign w:val="center"/>
          </w:tcPr>
          <w:p w14:paraId="2C94BF3D" w14:textId="03D22B3A" w:rsidR="00EE66D9" w:rsidRPr="00907546" w:rsidRDefault="00E46A8B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6A8B">
              <w:rPr>
                <w:rFonts w:ascii="Fira Sans" w:hAnsi="Fira Sans"/>
                <w:color w:val="000000" w:themeColor="text1"/>
                <w:sz w:val="16"/>
                <w:szCs w:val="16"/>
              </w:rPr>
              <w:t>86 391</w:t>
            </w:r>
          </w:p>
        </w:tc>
        <w:tc>
          <w:tcPr>
            <w:tcW w:w="1207" w:type="dxa"/>
            <w:vAlign w:val="center"/>
          </w:tcPr>
          <w:p w14:paraId="617948A5" w14:textId="34880D30" w:rsidR="00EE66D9" w:rsidRPr="00907546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</w:tr>
      <w:tr w:rsidR="00EE66D9" w:rsidRPr="00FA5128" w14:paraId="70490934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5A5A4768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4724EB3" w14:textId="5BCE37C1" w:rsidR="00EE66D9" w:rsidRPr="00FA5128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12 961</w:t>
            </w:r>
          </w:p>
        </w:tc>
        <w:tc>
          <w:tcPr>
            <w:tcW w:w="1206" w:type="dxa"/>
            <w:vAlign w:val="center"/>
          </w:tcPr>
          <w:p w14:paraId="404214C6" w14:textId="7FC5A39B" w:rsidR="00E467CC" w:rsidRPr="00FA5128" w:rsidRDefault="00FE19F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116,8</w:t>
            </w:r>
          </w:p>
        </w:tc>
        <w:tc>
          <w:tcPr>
            <w:tcW w:w="1206" w:type="dxa"/>
            <w:vAlign w:val="center"/>
          </w:tcPr>
          <w:p w14:paraId="4223D169" w14:textId="6940B738" w:rsidR="00EE66D9" w:rsidRPr="00FA5128" w:rsidRDefault="00FE19F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1206" w:type="dxa"/>
            <w:vAlign w:val="center"/>
          </w:tcPr>
          <w:p w14:paraId="73258F0B" w14:textId="131A2E81" w:rsidR="00EE66D9" w:rsidRPr="008A1C80" w:rsidRDefault="00E46A8B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6A8B">
              <w:rPr>
                <w:rFonts w:ascii="Fira Sans" w:hAnsi="Fira Sans"/>
                <w:color w:val="000000" w:themeColor="text1"/>
                <w:sz w:val="16"/>
                <w:szCs w:val="16"/>
              </w:rPr>
              <w:t>130 406</w:t>
            </w:r>
          </w:p>
        </w:tc>
        <w:tc>
          <w:tcPr>
            <w:tcW w:w="1207" w:type="dxa"/>
            <w:vAlign w:val="center"/>
          </w:tcPr>
          <w:p w14:paraId="02ED9A67" w14:textId="3C0E07F1" w:rsidR="00EE66D9" w:rsidRPr="00FA5128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</w:tr>
      <w:tr w:rsidR="00EE66D9" w:rsidRPr="004266F7" w14:paraId="1A5CAE6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CF2FB0A" w14:textId="77777777"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14:paraId="509595CF" w14:textId="237DC3FA" w:rsidR="00EE66D9" w:rsidRPr="005241EA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237</w:t>
            </w:r>
          </w:p>
        </w:tc>
        <w:tc>
          <w:tcPr>
            <w:tcW w:w="1206" w:type="dxa"/>
            <w:vAlign w:val="center"/>
          </w:tcPr>
          <w:p w14:paraId="15A1049D" w14:textId="77777777"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D3AA96A" w14:textId="0A80BE3E" w:rsidR="00EE66D9" w:rsidRPr="004327B6" w:rsidRDefault="00FE19F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1206" w:type="dxa"/>
            <w:vAlign w:val="center"/>
          </w:tcPr>
          <w:p w14:paraId="2E82320F" w14:textId="1279DF5B" w:rsidR="00EE66D9" w:rsidRPr="00553B0B" w:rsidRDefault="00E46A8B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6A8B">
              <w:rPr>
                <w:rFonts w:ascii="Fira Sans" w:hAnsi="Fira Sans"/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1207" w:type="dxa"/>
            <w:vAlign w:val="center"/>
          </w:tcPr>
          <w:p w14:paraId="53C7282A" w14:textId="77777777"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14:paraId="33C141E3" w14:textId="77777777" w:rsidTr="00865B30">
        <w:trPr>
          <w:trHeight w:val="370"/>
        </w:trPr>
        <w:tc>
          <w:tcPr>
            <w:tcW w:w="2049" w:type="dxa"/>
            <w:vAlign w:val="center"/>
          </w:tcPr>
          <w:p w14:paraId="709A478D" w14:textId="77777777"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69B7F2A4" w14:textId="1667EC76" w:rsidR="00EE66D9" w:rsidRPr="00FA5128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206" w:type="dxa"/>
            <w:vAlign w:val="center"/>
          </w:tcPr>
          <w:p w14:paraId="50E478AF" w14:textId="1BC521D9" w:rsidR="00EE66D9" w:rsidRPr="00FA5128" w:rsidRDefault="00FE19F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68,6</w:t>
            </w:r>
          </w:p>
        </w:tc>
        <w:tc>
          <w:tcPr>
            <w:tcW w:w="1206" w:type="dxa"/>
            <w:vAlign w:val="center"/>
          </w:tcPr>
          <w:p w14:paraId="67F6BC1F" w14:textId="34C60347" w:rsidR="00EE66D9" w:rsidRPr="00E102B7" w:rsidRDefault="00FE19F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E19FF">
              <w:rPr>
                <w:rFonts w:cs="Arial"/>
                <w:sz w:val="16"/>
                <w:szCs w:val="16"/>
              </w:rPr>
              <w:t>47,0</w:t>
            </w:r>
          </w:p>
        </w:tc>
        <w:tc>
          <w:tcPr>
            <w:tcW w:w="1206" w:type="dxa"/>
            <w:vAlign w:val="center"/>
          </w:tcPr>
          <w:p w14:paraId="7F9BD656" w14:textId="3660C487" w:rsidR="00EE66D9" w:rsidRPr="00C230EE" w:rsidRDefault="00E46A8B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6A8B">
              <w:rPr>
                <w:rFonts w:ascii="Fira Sans" w:hAnsi="Fira Sans"/>
                <w:color w:val="000000" w:themeColor="text1"/>
                <w:sz w:val="16"/>
                <w:szCs w:val="16"/>
              </w:rPr>
              <w:t>2 057</w:t>
            </w:r>
          </w:p>
        </w:tc>
        <w:tc>
          <w:tcPr>
            <w:tcW w:w="1207" w:type="dxa"/>
            <w:vAlign w:val="center"/>
          </w:tcPr>
          <w:p w14:paraId="187AA2B9" w14:textId="35A3FA7E" w:rsidR="00EE66D9" w:rsidRPr="00FA5128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91,7</w:t>
            </w:r>
          </w:p>
        </w:tc>
      </w:tr>
      <w:tr w:rsidR="00EE66D9" w:rsidRPr="00FA5128" w14:paraId="4676299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18098187" w14:textId="77777777"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FBAC646" w14:textId="0D37B3F1" w:rsidR="00EE66D9" w:rsidRPr="00FA5128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7B55480A" w14:textId="101A15B5" w:rsidR="00EE66D9" w:rsidRPr="00FA5128" w:rsidRDefault="00FE19FF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25,0</w:t>
            </w:r>
          </w:p>
        </w:tc>
        <w:tc>
          <w:tcPr>
            <w:tcW w:w="1206" w:type="dxa"/>
            <w:vAlign w:val="center"/>
          </w:tcPr>
          <w:p w14:paraId="11B994F5" w14:textId="57CE5337" w:rsidR="00EE66D9" w:rsidRPr="00E102B7" w:rsidRDefault="00FE19FF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E19FF">
              <w:rPr>
                <w:rFonts w:cs="Arial"/>
                <w:sz w:val="16"/>
                <w:szCs w:val="16"/>
              </w:rPr>
              <w:t>0,9</w:t>
            </w:r>
          </w:p>
        </w:tc>
        <w:tc>
          <w:tcPr>
            <w:tcW w:w="1206" w:type="dxa"/>
            <w:vAlign w:val="center"/>
          </w:tcPr>
          <w:p w14:paraId="17942F15" w14:textId="59A9338D" w:rsidR="00EE66D9" w:rsidRPr="00E87F78" w:rsidRDefault="00E46A8B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46A8B">
              <w:rPr>
                <w:color w:val="000000" w:themeColor="text1"/>
                <w:sz w:val="16"/>
                <w:szCs w:val="16"/>
              </w:rPr>
              <w:t>1 229</w:t>
            </w:r>
          </w:p>
        </w:tc>
        <w:tc>
          <w:tcPr>
            <w:tcW w:w="1207" w:type="dxa"/>
            <w:vAlign w:val="center"/>
          </w:tcPr>
          <w:p w14:paraId="2ADEF553" w14:textId="24F437F9" w:rsidR="00EE66D9" w:rsidRPr="00FA5128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112,9</w:t>
            </w:r>
          </w:p>
        </w:tc>
      </w:tr>
      <w:tr w:rsidR="00EE66D9" w:rsidRPr="009F4F41" w14:paraId="0A79728B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E25BDA0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8E87911" w14:textId="67549AC8" w:rsidR="00EE66D9" w:rsidRPr="00A030E6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206" w:type="dxa"/>
            <w:vAlign w:val="center"/>
          </w:tcPr>
          <w:p w14:paraId="19796821" w14:textId="53CAF79B" w:rsidR="00EE66D9" w:rsidRPr="006E0C18" w:rsidRDefault="00FE19F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221,1</w:t>
            </w:r>
          </w:p>
        </w:tc>
        <w:tc>
          <w:tcPr>
            <w:tcW w:w="1206" w:type="dxa"/>
            <w:vAlign w:val="center"/>
          </w:tcPr>
          <w:p w14:paraId="619C837E" w14:textId="2ECF94C0" w:rsidR="00EE66D9" w:rsidRPr="00296F96" w:rsidRDefault="00FE19F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E19FF">
              <w:rPr>
                <w:rFonts w:cs="Arial"/>
                <w:sz w:val="16"/>
                <w:szCs w:val="16"/>
              </w:rPr>
              <w:t>93,9</w:t>
            </w:r>
          </w:p>
        </w:tc>
        <w:tc>
          <w:tcPr>
            <w:tcW w:w="1206" w:type="dxa"/>
            <w:vAlign w:val="center"/>
          </w:tcPr>
          <w:p w14:paraId="4C6D59E1" w14:textId="384BE160" w:rsidR="00EE66D9" w:rsidRPr="00E87F78" w:rsidRDefault="00E46A8B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46A8B">
              <w:rPr>
                <w:color w:val="000000" w:themeColor="text1"/>
                <w:sz w:val="16"/>
                <w:szCs w:val="16"/>
              </w:rPr>
              <w:t>1 314</w:t>
            </w:r>
          </w:p>
        </w:tc>
        <w:tc>
          <w:tcPr>
            <w:tcW w:w="1207" w:type="dxa"/>
            <w:vAlign w:val="center"/>
          </w:tcPr>
          <w:p w14:paraId="1A1DF62A" w14:textId="25759C87" w:rsidR="00EE66D9" w:rsidRPr="009F4F41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109,8</w:t>
            </w:r>
          </w:p>
        </w:tc>
      </w:tr>
      <w:tr w:rsidR="00EE66D9" w:rsidRPr="009F4F41" w14:paraId="76545D7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02BE455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5EE386AA" w14:textId="75A5B664" w:rsidR="00EE66D9" w:rsidRPr="00A030E6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06" w:type="dxa"/>
            <w:vAlign w:val="center"/>
          </w:tcPr>
          <w:p w14:paraId="59B21647" w14:textId="45C2304B" w:rsidR="00EE66D9" w:rsidRPr="006E0C18" w:rsidRDefault="00FE19FF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200D7890" w14:textId="7063BD66" w:rsidR="00EE66D9" w:rsidRPr="00296F96" w:rsidRDefault="00FE19F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24-krotnie</w:t>
            </w:r>
            <w:r w:rsidR="00FB21E1">
              <w:rPr>
                <w:rFonts w:cs="Arial"/>
                <w:sz w:val="16"/>
                <w:szCs w:val="16"/>
              </w:rPr>
              <w:t xml:space="preserve"> więcej</w:t>
            </w:r>
          </w:p>
        </w:tc>
        <w:tc>
          <w:tcPr>
            <w:tcW w:w="1206" w:type="dxa"/>
            <w:vAlign w:val="center"/>
          </w:tcPr>
          <w:p w14:paraId="3FD6ECD3" w14:textId="2588F0FD" w:rsidR="00EE66D9" w:rsidRPr="00E87F78" w:rsidRDefault="00E46A8B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46A8B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7" w:type="dxa"/>
            <w:vAlign w:val="center"/>
          </w:tcPr>
          <w:p w14:paraId="3348438E" w14:textId="08F8790E" w:rsidR="00EE66D9" w:rsidRPr="009F4F41" w:rsidRDefault="00E46A8B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46A8B">
              <w:rPr>
                <w:rFonts w:cs="Arial"/>
                <w:color w:val="000000" w:themeColor="text1"/>
                <w:sz w:val="16"/>
                <w:szCs w:val="16"/>
              </w:rPr>
              <w:t>9,4</w:t>
            </w:r>
          </w:p>
        </w:tc>
      </w:tr>
    </w:tbl>
    <w:p w14:paraId="1D91EDD4" w14:textId="77777777"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025DAAF9" w14:textId="77777777"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5E74B479" w14:textId="69A005A7"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FE19FF">
        <w:rPr>
          <w:shd w:val="clear" w:color="auto" w:fill="FFFFFF"/>
        </w:rPr>
        <w:t>listopada</w:t>
      </w:r>
      <w:r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101571">
        <w:rPr>
          <w:shd w:val="clear" w:color="auto" w:fill="FFFFFF"/>
        </w:rPr>
        <w:t xml:space="preserve">budowie pozostawało </w:t>
      </w:r>
      <w:r w:rsidR="00FE19FF">
        <w:rPr>
          <w:shd w:val="clear" w:color="auto" w:fill="FFFFFF"/>
        </w:rPr>
        <w:t>832</w:t>
      </w:r>
      <w:r w:rsidR="000C0B2E">
        <w:rPr>
          <w:shd w:val="clear" w:color="auto" w:fill="FFFFFF"/>
        </w:rPr>
        <w:t>,</w:t>
      </w:r>
      <w:r w:rsidR="00FE19FF">
        <w:rPr>
          <w:shd w:val="clear" w:color="auto" w:fill="FFFFFF"/>
        </w:rPr>
        <w:t>8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FE19FF">
        <w:rPr>
          <w:shd w:val="clear" w:color="auto" w:fill="FFFFFF"/>
        </w:rPr>
        <w:t>o 3,5</w:t>
      </w:r>
      <w:r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>
        <w:rPr>
          <w:shd w:val="clear" w:color="auto" w:fill="FFFFFF"/>
        </w:rPr>
        <w:t xml:space="preserve"> ub. roku.</w:t>
      </w:r>
    </w:p>
    <w:p w14:paraId="3E3C71A2" w14:textId="77777777" w:rsidR="00047CF8" w:rsidRDefault="00047CF8" w:rsidP="00047CF8">
      <w:pPr>
        <w:rPr>
          <w:sz w:val="18"/>
        </w:rPr>
      </w:pPr>
    </w:p>
    <w:p w14:paraId="2FE01F02" w14:textId="096C0826" w:rsidR="00047CF8" w:rsidRPr="00035886" w:rsidRDefault="003457E4" w:rsidP="00F113BA">
      <w:pPr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14:paraId="44124A52" w14:textId="25C7633A" w:rsidR="00047CF8" w:rsidRDefault="005105EB" w:rsidP="00F113BA">
      <w:pPr>
        <w:rPr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anchorId="2D1094FE" wp14:editId="73840CEE">
            <wp:simplePos x="0" y="0"/>
            <wp:positionH relativeFrom="margin">
              <wp:align>right</wp:align>
            </wp:positionH>
            <wp:positionV relativeFrom="paragraph">
              <wp:posOffset>178320</wp:posOffset>
            </wp:positionV>
            <wp:extent cx="5122545" cy="31176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A0748" w14:textId="1E00F518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57B60050" w14:textId="074CDE48" w:rsidR="00047CF8" w:rsidRDefault="008425EE" w:rsidP="00F113BA">
      <w:pPr>
        <w:rPr>
          <w:sz w:val="16"/>
          <w:szCs w:val="16"/>
          <w:shd w:val="clear" w:color="auto" w:fill="FFFFFF"/>
        </w:rPr>
      </w:pPr>
      <w:r w:rsidRPr="00C31687">
        <w:rPr>
          <w:b/>
          <w:noProof/>
          <w:sz w:val="18"/>
          <w:szCs w:val="18"/>
          <w:lang w:eastAsia="pl-PL"/>
        </w:rPr>
        <w:t xml:space="preserve">   </w:t>
      </w:r>
      <w:r w:rsidR="007E1B1D"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14979B52">
                <wp:simplePos x="0" y="0"/>
                <wp:positionH relativeFrom="page">
                  <wp:posOffset>5775325</wp:posOffset>
                </wp:positionH>
                <wp:positionV relativeFrom="paragraph">
                  <wp:posOffset>59690</wp:posOffset>
                </wp:positionV>
                <wp:extent cx="171704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D940" w14:textId="61D71896" w:rsidR="002D36F4" w:rsidRPr="00296B74" w:rsidRDefault="00F25C7B" w:rsidP="00C62034">
                            <w:pPr>
                              <w:pStyle w:val="tekstzboku"/>
                              <w:spacing w:before="0"/>
                              <w:ind w:left="-142"/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Pr="00296B74">
                              <w:t xml:space="preserve"> </w:t>
                            </w:r>
                            <w:r w:rsidR="00FE19FF">
                              <w:t>listopadzie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w porównaniu </w:t>
                            </w:r>
                            <w:r w:rsidR="001B4968" w:rsidRPr="00296B74">
                              <w:br/>
                            </w:r>
                            <w:r w:rsidRPr="00296B74">
                              <w:t xml:space="preserve">do </w:t>
                            </w:r>
                            <w:r w:rsidR="00FE19FF">
                              <w:t>października</w:t>
                            </w:r>
                            <w:r w:rsidRPr="00296B74">
                              <w:t xml:space="preserve"> 2019 r.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</w:t>
                            </w:r>
                            <w:r w:rsidR="00FE19FF">
                              <w:t>w</w:t>
                            </w:r>
                            <w:r w:rsidR="00FB21E1">
                              <w:t>z</w:t>
                            </w:r>
                            <w:r w:rsidR="00FE19FF">
                              <w:t>rosła</w:t>
                            </w:r>
                            <w:r w:rsidR="006D4186" w:rsidRPr="006D4186">
                              <w:t xml:space="preserve"> </w:t>
                            </w:r>
                            <w:r w:rsidR="00A270F5" w:rsidRPr="00296B74">
                              <w:t>liczba mieszkań</w:t>
                            </w:r>
                            <w:r w:rsidR="00F864BE" w:rsidRPr="00296B74">
                              <w:t xml:space="preserve"> oddanych do użytkowania </w:t>
                            </w:r>
                            <w:r w:rsidR="005861A1">
                              <w:t>(o </w:t>
                            </w:r>
                            <w:r w:rsidR="00FE19FF">
                              <w:t>2,2</w:t>
                            </w:r>
                            <w:r w:rsidR="002D36F4">
                              <w:t>%</w:t>
                            </w:r>
                            <w:r w:rsidR="006D4186">
                              <w:t>)</w:t>
                            </w:r>
                            <w:r w:rsidR="002D36F4">
                              <w:t xml:space="preserve">, </w:t>
                            </w:r>
                            <w:r w:rsidR="00FE19FF">
                              <w:t>natomiast spadła l</w:t>
                            </w:r>
                            <w:r w:rsidR="002D36F4">
                              <w:t>iczba</w:t>
                            </w:r>
                            <w:r w:rsidR="00F84441" w:rsidRPr="00296B74">
                              <w:t xml:space="preserve"> mieszkań, na których budowę wydano pozwo</w:t>
                            </w:r>
                            <w:r w:rsidR="00C62034">
                              <w:t>lenia lub dokonano zgłoszenia z </w:t>
                            </w:r>
                            <w:r w:rsidR="00F84441" w:rsidRPr="00296B74">
                              <w:t xml:space="preserve">projektem budowlanym </w:t>
                            </w:r>
                            <w:r w:rsidR="00FB21E1">
                              <w:t xml:space="preserve">oraz </w:t>
                            </w:r>
                            <w:r w:rsidR="00F84441" w:rsidRPr="00296B74">
                              <w:t>których budowę rozpoczęto</w:t>
                            </w:r>
                            <w:r w:rsidR="00460EB6">
                              <w:t>,</w:t>
                            </w:r>
                            <w:r w:rsidR="00F84441" w:rsidRPr="00296B74">
                              <w:t xml:space="preserve"> </w:t>
                            </w:r>
                            <w:r w:rsidR="00FE19FF">
                              <w:t>odpowiednio o 30,1% i 21,6</w:t>
                            </w:r>
                            <w:r w:rsidR="002D36F4">
                              <w:t>%.</w:t>
                            </w:r>
                          </w:p>
                          <w:p w14:paraId="4F0C4222" w14:textId="4FAB5B05" w:rsidR="00C31687" w:rsidRPr="00296B74" w:rsidRDefault="00C31687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54.75pt;margin-top:4.7pt;width:135.2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" filled="f" stroked="f">
                <v:textbox style="mso-fit-shape-to-text:t">
                  <w:txbxContent>
                    <w:p w14:paraId="62FBD940" w14:textId="61D71896" w:rsidR="002D36F4" w:rsidRPr="00296B74" w:rsidRDefault="00F25C7B" w:rsidP="00C62034">
                      <w:pPr>
                        <w:pStyle w:val="tekstzboku"/>
                        <w:spacing w:before="0"/>
                        <w:ind w:left="-142"/>
                      </w:pPr>
                      <w:r>
                        <w:rPr>
                          <w:bCs w:val="0"/>
                        </w:rPr>
                        <w:t>W</w:t>
                      </w:r>
                      <w:r w:rsidRPr="00296B74">
                        <w:t xml:space="preserve"> </w:t>
                      </w:r>
                      <w:r w:rsidR="00FE19FF">
                        <w:t>listopadzie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w porównaniu </w:t>
                      </w:r>
                      <w:r w:rsidR="001B4968" w:rsidRPr="00296B74">
                        <w:br/>
                      </w:r>
                      <w:r w:rsidRPr="00296B74">
                        <w:t xml:space="preserve">do </w:t>
                      </w:r>
                      <w:r w:rsidR="00FE19FF">
                        <w:t>października</w:t>
                      </w:r>
                      <w:r w:rsidRPr="00296B74">
                        <w:t xml:space="preserve"> 2019 r.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</w:t>
                      </w:r>
                      <w:r w:rsidR="00FE19FF">
                        <w:t>w</w:t>
                      </w:r>
                      <w:r w:rsidR="00FB21E1">
                        <w:t>z</w:t>
                      </w:r>
                      <w:r w:rsidR="00FE19FF">
                        <w:t>rosła</w:t>
                      </w:r>
                      <w:r w:rsidR="006D4186" w:rsidRPr="006D4186">
                        <w:t xml:space="preserve"> </w:t>
                      </w:r>
                      <w:r w:rsidR="00A270F5" w:rsidRPr="00296B74">
                        <w:t>liczba mieszkań</w:t>
                      </w:r>
                      <w:r w:rsidR="00F864BE" w:rsidRPr="00296B74">
                        <w:t xml:space="preserve"> oddanych do użytkowania </w:t>
                      </w:r>
                      <w:r w:rsidR="005861A1">
                        <w:t>(o </w:t>
                      </w:r>
                      <w:bookmarkStart w:id="1" w:name="_GoBack"/>
                      <w:bookmarkEnd w:id="1"/>
                      <w:r w:rsidR="00FE19FF">
                        <w:t>2,2</w:t>
                      </w:r>
                      <w:r w:rsidR="002D36F4">
                        <w:t>%</w:t>
                      </w:r>
                      <w:r w:rsidR="006D4186">
                        <w:t>)</w:t>
                      </w:r>
                      <w:r w:rsidR="002D36F4">
                        <w:t xml:space="preserve">, </w:t>
                      </w:r>
                      <w:r w:rsidR="00FE19FF">
                        <w:t>natomiast spadła l</w:t>
                      </w:r>
                      <w:r w:rsidR="002D36F4">
                        <w:t>iczba</w:t>
                      </w:r>
                      <w:r w:rsidR="00F84441" w:rsidRPr="00296B74">
                        <w:t xml:space="preserve"> mieszkań, na których budowę wydano pozwo</w:t>
                      </w:r>
                      <w:r w:rsidR="00C62034">
                        <w:t>lenia lub dokonano zgłoszenia z </w:t>
                      </w:r>
                      <w:r w:rsidR="00F84441" w:rsidRPr="00296B74">
                        <w:t xml:space="preserve">projektem budowlanym </w:t>
                      </w:r>
                      <w:r w:rsidR="00FB21E1">
                        <w:t xml:space="preserve">oraz </w:t>
                      </w:r>
                      <w:r w:rsidR="00F84441" w:rsidRPr="00296B74">
                        <w:t>których budowę rozpoczęto</w:t>
                      </w:r>
                      <w:r w:rsidR="00460EB6">
                        <w:t>,</w:t>
                      </w:r>
                      <w:r w:rsidR="00F84441" w:rsidRPr="00296B74">
                        <w:t xml:space="preserve"> </w:t>
                      </w:r>
                      <w:r w:rsidR="00FE19FF">
                        <w:t>odpowiednio o 30,1% i 21,6</w:t>
                      </w:r>
                      <w:r w:rsidR="002D36F4">
                        <w:t>%.</w:t>
                      </w:r>
                    </w:p>
                    <w:p w14:paraId="4F0C4222" w14:textId="4FAB5B05" w:rsidR="00C31687" w:rsidRPr="00296B74" w:rsidRDefault="00C31687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36EEE0" w14:textId="2BB7279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62770434" w14:textId="17DCC804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AE93069" w14:textId="77777777" w:rsidR="00E56DD9" w:rsidRDefault="00E56DD9" w:rsidP="00F113BA">
      <w:pPr>
        <w:rPr>
          <w:szCs w:val="19"/>
          <w:shd w:val="clear" w:color="auto" w:fill="FFFFFF"/>
        </w:rPr>
      </w:pPr>
    </w:p>
    <w:p w14:paraId="2EF2E6BD" w14:textId="77777777" w:rsidR="00E56DD9" w:rsidRDefault="00E56DD9" w:rsidP="00F113BA">
      <w:pPr>
        <w:rPr>
          <w:szCs w:val="19"/>
          <w:shd w:val="clear" w:color="auto" w:fill="FFFFFF"/>
        </w:rPr>
      </w:pPr>
    </w:p>
    <w:p w14:paraId="378ABC26" w14:textId="77777777" w:rsidR="00E56DD9" w:rsidRDefault="00E56DD9" w:rsidP="00F113BA">
      <w:pPr>
        <w:rPr>
          <w:szCs w:val="19"/>
          <w:shd w:val="clear" w:color="auto" w:fill="FFFFFF"/>
        </w:rPr>
      </w:pPr>
    </w:p>
    <w:p w14:paraId="6060CF53" w14:textId="77777777" w:rsidR="00E56DD9" w:rsidRDefault="00E56DD9" w:rsidP="00F113BA">
      <w:pPr>
        <w:rPr>
          <w:szCs w:val="19"/>
          <w:shd w:val="clear" w:color="auto" w:fill="FFFFFF"/>
        </w:rPr>
      </w:pPr>
    </w:p>
    <w:p w14:paraId="7CFE94F7" w14:textId="77777777" w:rsidR="00E56DD9" w:rsidRDefault="00E56DD9" w:rsidP="00F113BA">
      <w:pPr>
        <w:rPr>
          <w:szCs w:val="19"/>
          <w:shd w:val="clear" w:color="auto" w:fill="FFFFFF"/>
        </w:rPr>
      </w:pPr>
    </w:p>
    <w:p w14:paraId="4DA5C48F" w14:textId="77777777" w:rsidR="00E56DD9" w:rsidRDefault="00E56DD9" w:rsidP="00F113BA">
      <w:pPr>
        <w:rPr>
          <w:szCs w:val="19"/>
          <w:shd w:val="clear" w:color="auto" w:fill="FFFFFF"/>
        </w:rPr>
      </w:pPr>
    </w:p>
    <w:p w14:paraId="6B729377" w14:textId="77777777" w:rsidR="00E56DD9" w:rsidRDefault="00E56DD9" w:rsidP="00F113BA">
      <w:pPr>
        <w:rPr>
          <w:szCs w:val="19"/>
          <w:shd w:val="clear" w:color="auto" w:fill="FFFFFF"/>
        </w:rPr>
      </w:pPr>
    </w:p>
    <w:p w14:paraId="25901D31" w14:textId="77777777" w:rsidR="00E56DD9" w:rsidRDefault="00E56DD9" w:rsidP="00F113BA">
      <w:pPr>
        <w:rPr>
          <w:szCs w:val="19"/>
          <w:shd w:val="clear" w:color="auto" w:fill="FFFFFF"/>
        </w:rPr>
      </w:pPr>
    </w:p>
    <w:p w14:paraId="24BC9614" w14:textId="77777777" w:rsidR="00E56DD9" w:rsidRDefault="00E56DD9" w:rsidP="00F113BA">
      <w:pPr>
        <w:rPr>
          <w:szCs w:val="19"/>
          <w:shd w:val="clear" w:color="auto" w:fill="FFFFFF"/>
        </w:rPr>
      </w:pPr>
    </w:p>
    <w:p w14:paraId="71D6365C" w14:textId="77777777" w:rsidR="00E56DD9" w:rsidRDefault="00E56DD9" w:rsidP="00F113BA">
      <w:pPr>
        <w:rPr>
          <w:szCs w:val="19"/>
          <w:shd w:val="clear" w:color="auto" w:fill="FFFFFF"/>
        </w:rPr>
      </w:pPr>
    </w:p>
    <w:p w14:paraId="41F050FF" w14:textId="77777777" w:rsidR="006720A1" w:rsidRDefault="006720A1" w:rsidP="00F113BA">
      <w:pPr>
        <w:rPr>
          <w:szCs w:val="19"/>
          <w:shd w:val="clear" w:color="auto" w:fill="FFFFFF"/>
        </w:rPr>
      </w:pPr>
      <w:bookmarkStart w:id="0" w:name="_GoBack"/>
      <w:bookmarkEnd w:id="0"/>
    </w:p>
    <w:p w14:paraId="3B601DEE" w14:textId="77777777" w:rsidR="006720A1" w:rsidRDefault="006720A1" w:rsidP="00F113BA">
      <w:pPr>
        <w:rPr>
          <w:szCs w:val="19"/>
          <w:shd w:val="clear" w:color="auto" w:fill="FFFFFF"/>
        </w:rPr>
      </w:pPr>
    </w:p>
    <w:p w14:paraId="7168FE63" w14:textId="77777777" w:rsidR="00CF55D1" w:rsidRDefault="00CF55D1" w:rsidP="00F113BA">
      <w:pPr>
        <w:rPr>
          <w:szCs w:val="19"/>
          <w:shd w:val="clear" w:color="auto" w:fill="FFFFFF"/>
        </w:rPr>
      </w:pPr>
    </w:p>
    <w:p w14:paraId="63F40E61" w14:textId="77777777" w:rsidR="00CF55D1" w:rsidRDefault="00CF55D1" w:rsidP="00F113BA">
      <w:pPr>
        <w:rPr>
          <w:szCs w:val="19"/>
          <w:shd w:val="clear" w:color="auto" w:fill="FFFFFF"/>
        </w:rPr>
      </w:pPr>
    </w:p>
    <w:p w14:paraId="21C62DA0" w14:textId="77777777" w:rsidR="00355AF4" w:rsidRDefault="00355AF4" w:rsidP="0041374E">
      <w:pPr>
        <w:rPr>
          <w:szCs w:val="19"/>
          <w:shd w:val="clear" w:color="auto" w:fill="FFFFFF"/>
        </w:rPr>
      </w:pPr>
    </w:p>
    <w:p w14:paraId="54861F1C" w14:textId="51575AE7" w:rsidR="0041374E" w:rsidRDefault="00951EDB" w:rsidP="0041374E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092859D" wp14:editId="301C95B4">
            <wp:extent cx="5122545" cy="210883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8C5D81"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="008C5D81"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="008C5D81"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5921E2" w:rsidRPr="005921E2">
        <w:rPr>
          <w:szCs w:val="19"/>
          <w:shd w:val="clear" w:color="auto" w:fill="FFFFFF"/>
        </w:rPr>
        <w:t>okresie styczeń-</w:t>
      </w:r>
      <w:r w:rsidR="00A87770">
        <w:rPr>
          <w:szCs w:val="19"/>
          <w:shd w:val="clear" w:color="auto" w:fill="FFFFFF"/>
        </w:rPr>
        <w:t>listopad</w:t>
      </w:r>
      <w:r w:rsidR="005921E2" w:rsidRPr="005921E2">
        <w:rPr>
          <w:szCs w:val="19"/>
          <w:shd w:val="clear" w:color="auto" w:fill="FFFFFF"/>
        </w:rPr>
        <w:t xml:space="preserve"> </w:t>
      </w:r>
      <w:r w:rsidR="000B256C">
        <w:rPr>
          <w:szCs w:val="19"/>
          <w:shd w:val="clear" w:color="auto" w:fill="FFFFFF"/>
        </w:rPr>
        <w:t>2019 </w:t>
      </w:r>
      <w:r w:rsidR="00BB53B6" w:rsidRPr="005921E2">
        <w:rPr>
          <w:szCs w:val="19"/>
          <w:shd w:val="clear" w:color="auto" w:fill="FFFFFF"/>
        </w:rPr>
        <w:t>r</w:t>
      </w:r>
      <w:r w:rsidR="00BB53B6" w:rsidRPr="008F1C42">
        <w:rPr>
          <w:szCs w:val="19"/>
          <w:shd w:val="clear" w:color="auto" w:fill="FFFFFF"/>
        </w:rPr>
        <w:t xml:space="preserve">. </w:t>
      </w:r>
      <w:r w:rsidR="008C5D81" w:rsidRPr="005921E2">
        <w:rPr>
          <w:szCs w:val="19"/>
          <w:shd w:val="clear" w:color="auto" w:fill="FFFFFF"/>
        </w:rPr>
        <w:t>odnotowano w 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A87770">
        <w:rPr>
          <w:szCs w:val="19"/>
          <w:shd w:val="clear" w:color="auto" w:fill="FFFFFF"/>
        </w:rPr>
        <w:t>odpowiednio 44,9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A87770">
        <w:rPr>
          <w:szCs w:val="19"/>
          <w:shd w:val="clear" w:color="auto" w:fill="FFFFFF"/>
        </w:rPr>
        <w:t xml:space="preserve"> i 42,8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4A5B1F">
        <w:rPr>
          <w:szCs w:val="19"/>
          <w:shd w:val="clear" w:color="auto" w:fill="FFFFFF"/>
        </w:rPr>
        <w:t xml:space="preserve">), </w:t>
      </w:r>
      <w:r w:rsidR="004A5B1F" w:rsidRPr="004A5B1F">
        <w:rPr>
          <w:szCs w:val="19"/>
          <w:shd w:val="clear" w:color="auto" w:fill="FFFFFF"/>
        </w:rPr>
        <w:t>wielkopolskim (</w:t>
      </w:r>
      <w:r w:rsidR="004A5B1F">
        <w:rPr>
          <w:szCs w:val="19"/>
          <w:shd w:val="clear" w:color="auto" w:fill="FFFFFF"/>
        </w:rPr>
        <w:t xml:space="preserve">26,9 tys. i 22,6 tys.) oraz </w:t>
      </w:r>
      <w:r w:rsidR="004A5B1F" w:rsidRPr="004A5B1F">
        <w:rPr>
          <w:szCs w:val="19"/>
          <w:shd w:val="clear" w:color="auto" w:fill="FFFFFF"/>
        </w:rPr>
        <w:t xml:space="preserve">dolnośląskim </w:t>
      </w:r>
      <w:r w:rsidR="001030FA" w:rsidRPr="005921E2">
        <w:rPr>
          <w:szCs w:val="19"/>
          <w:shd w:val="clear" w:color="auto" w:fill="FFFFFF"/>
        </w:rPr>
        <w:t>(</w:t>
      </w:r>
      <w:r w:rsidR="004A5B1F">
        <w:rPr>
          <w:szCs w:val="19"/>
          <w:shd w:val="clear" w:color="auto" w:fill="FFFFFF"/>
        </w:rPr>
        <w:t>26,5</w:t>
      </w:r>
      <w:r w:rsidR="008C5D81" w:rsidRPr="005921E2">
        <w:rPr>
          <w:szCs w:val="19"/>
          <w:shd w:val="clear" w:color="auto" w:fill="FFFFFF"/>
        </w:rPr>
        <w:t xml:space="preserve"> tys. </w:t>
      </w:r>
      <w:r w:rsidR="004A5B1F">
        <w:rPr>
          <w:szCs w:val="19"/>
          <w:shd w:val="clear" w:color="auto" w:fill="FFFFFF"/>
        </w:rPr>
        <w:t>i 23</w:t>
      </w:r>
      <w:r w:rsidR="001030FA" w:rsidRPr="005921E2">
        <w:rPr>
          <w:szCs w:val="19"/>
          <w:shd w:val="clear" w:color="auto" w:fill="FFFFFF"/>
        </w:rPr>
        <w:t>,</w:t>
      </w:r>
      <w:r w:rsidR="004A5B1F">
        <w:rPr>
          <w:szCs w:val="19"/>
          <w:shd w:val="clear" w:color="auto" w:fill="FFFFFF"/>
        </w:rPr>
        <w:t>8</w:t>
      </w:r>
      <w:r w:rsidR="008C5D81" w:rsidRPr="005921E2">
        <w:rPr>
          <w:szCs w:val="19"/>
          <w:shd w:val="clear" w:color="auto" w:fill="FFFFFF"/>
        </w:rPr>
        <w:t xml:space="preserve"> tys.)</w:t>
      </w:r>
      <w:r w:rsidR="007F771F">
        <w:rPr>
          <w:szCs w:val="19"/>
          <w:shd w:val="clear" w:color="auto" w:fill="FFFFFF"/>
        </w:rPr>
        <w:t xml:space="preserve">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4A5B1F">
        <w:rPr>
          <w:szCs w:val="19"/>
          <w:shd w:val="clear" w:color="auto" w:fill="FFFFFF"/>
        </w:rPr>
        <w:t>(39,2</w:t>
      </w:r>
      <w:r w:rsidR="0041374E" w:rsidRPr="005921E2">
        <w:rPr>
          <w:szCs w:val="19"/>
          <w:shd w:val="clear" w:color="auto" w:fill="FFFFFF"/>
        </w:rPr>
        <w:t xml:space="preserve"> t</w:t>
      </w:r>
      <w:r w:rsidR="007F771F">
        <w:rPr>
          <w:szCs w:val="19"/>
          <w:shd w:val="clear" w:color="auto" w:fill="FFFFFF"/>
        </w:rPr>
        <w:t xml:space="preserve">ys. </w:t>
      </w:r>
      <w:r w:rsidR="00FB21E1">
        <w:rPr>
          <w:szCs w:val="19"/>
          <w:shd w:val="clear" w:color="auto" w:fill="FFFFFF"/>
        </w:rPr>
        <w:t xml:space="preserve">mieszkań), </w:t>
      </w:r>
      <w:r w:rsidR="004A5B1F">
        <w:rPr>
          <w:szCs w:val="19"/>
          <w:shd w:val="clear" w:color="auto" w:fill="FFFFFF"/>
        </w:rPr>
        <w:t>małopolskie</w:t>
      </w:r>
      <w:r w:rsidR="0041374E" w:rsidRPr="005921E2">
        <w:rPr>
          <w:szCs w:val="19"/>
          <w:shd w:val="clear" w:color="auto" w:fill="FFFFFF"/>
        </w:rPr>
        <w:t xml:space="preserve"> (</w:t>
      </w:r>
      <w:r w:rsidR="004A5B1F">
        <w:rPr>
          <w:szCs w:val="19"/>
          <w:shd w:val="clear" w:color="auto" w:fill="FFFFFF"/>
        </w:rPr>
        <w:t>20,2</w:t>
      </w:r>
      <w:r w:rsidR="00FB21E1">
        <w:rPr>
          <w:szCs w:val="19"/>
          <w:shd w:val="clear" w:color="auto" w:fill="FFFFFF"/>
        </w:rPr>
        <w:t xml:space="preserve"> tys.) i wielkopolskie (19,8 tys.).</w:t>
      </w:r>
    </w:p>
    <w:p w14:paraId="38645D66" w14:textId="77777777"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14:paraId="61F8383C" w14:textId="336F09ED" w:rsidR="00E56DD9" w:rsidRPr="00127F26" w:rsidRDefault="003457E4" w:rsidP="00066081">
      <w:pPr>
        <w:spacing w:line="240" w:lineRule="auto"/>
        <w:ind w:left="851" w:hanging="851"/>
        <w:rPr>
          <w:b/>
          <w:sz w:val="18"/>
          <w:szCs w:val="18"/>
        </w:rPr>
      </w:pPr>
      <w:r w:rsidRPr="00127F26">
        <w:rPr>
          <w:b/>
          <w:sz w:val="18"/>
          <w:szCs w:val="18"/>
        </w:rPr>
        <w:t>Wykres</w:t>
      </w:r>
      <w:r w:rsidR="006978FA" w:rsidRPr="00127F26">
        <w:rPr>
          <w:b/>
          <w:sz w:val="18"/>
          <w:szCs w:val="18"/>
        </w:rPr>
        <w:t xml:space="preserve"> 2. </w:t>
      </w:r>
      <w:r w:rsidR="00047CF8" w:rsidRPr="00127F26">
        <w:rPr>
          <w:b/>
          <w:sz w:val="18"/>
          <w:szCs w:val="18"/>
        </w:rPr>
        <w:t xml:space="preserve">Ruch budowlany w obszarze budownictwa mieszkaniowego </w:t>
      </w:r>
      <w:r w:rsidR="006978FA" w:rsidRPr="00127F26">
        <w:rPr>
          <w:b/>
          <w:sz w:val="18"/>
          <w:szCs w:val="18"/>
        </w:rPr>
        <w:t>według województw</w:t>
      </w:r>
      <w:r w:rsidR="00066081">
        <w:rPr>
          <w:b/>
          <w:sz w:val="18"/>
          <w:szCs w:val="18"/>
        </w:rPr>
        <w:t xml:space="preserve"> (</w:t>
      </w:r>
      <w:r w:rsidR="00047CF8" w:rsidRPr="00127F26">
        <w:rPr>
          <w:b/>
          <w:sz w:val="18"/>
          <w:szCs w:val="18"/>
        </w:rPr>
        <w:t>styczeń</w:t>
      </w:r>
      <w:r w:rsidR="00C37A03" w:rsidRPr="00127F26">
        <w:rPr>
          <w:b/>
          <w:sz w:val="18"/>
          <w:szCs w:val="18"/>
        </w:rPr>
        <w:t>-</w:t>
      </w:r>
      <w:r w:rsidR="004A5B1F">
        <w:rPr>
          <w:b/>
          <w:sz w:val="18"/>
          <w:szCs w:val="18"/>
        </w:rPr>
        <w:t>listopad</w:t>
      </w:r>
      <w:r w:rsidR="00C37A03" w:rsidRPr="00127F26">
        <w:rPr>
          <w:b/>
          <w:sz w:val="18"/>
          <w:szCs w:val="18"/>
        </w:rPr>
        <w:t xml:space="preserve"> </w:t>
      </w:r>
      <w:r w:rsidR="00047CF8" w:rsidRPr="00127F26">
        <w:rPr>
          <w:b/>
          <w:sz w:val="18"/>
          <w:szCs w:val="18"/>
        </w:rPr>
        <w:t>2019 r.)</w:t>
      </w:r>
      <w:r w:rsidR="00E56DD9" w:rsidRPr="00127F26">
        <w:rPr>
          <w:b/>
          <w:sz w:val="18"/>
          <w:szCs w:val="18"/>
        </w:rPr>
        <w:t xml:space="preserve"> </w:t>
      </w:r>
    </w:p>
    <w:p w14:paraId="0A9245AB" w14:textId="6487C036" w:rsidR="00E56DD9" w:rsidRDefault="004A5B1F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 wp14:anchorId="6A562E12" wp14:editId="70EAE682">
            <wp:simplePos x="0" y="0"/>
            <wp:positionH relativeFrom="page">
              <wp:posOffset>301557</wp:posOffset>
            </wp:positionH>
            <wp:positionV relativeFrom="paragraph">
              <wp:posOffset>99263</wp:posOffset>
            </wp:positionV>
            <wp:extent cx="5122545" cy="3575685"/>
            <wp:effectExtent l="0" t="0" r="0" b="0"/>
            <wp:wrapNone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6BDE" w14:textId="0D1B1F2D" w:rsidR="00E56DD9" w:rsidRDefault="00E56DD9" w:rsidP="00047CF8">
      <w:pPr>
        <w:jc w:val="center"/>
        <w:rPr>
          <w:b/>
          <w:sz w:val="18"/>
          <w:szCs w:val="18"/>
        </w:rPr>
      </w:pPr>
    </w:p>
    <w:p w14:paraId="6E41E6B5" w14:textId="229C81AF" w:rsidR="00E56DD9" w:rsidRDefault="00E56DD9" w:rsidP="00047CF8">
      <w:pPr>
        <w:jc w:val="center"/>
        <w:rPr>
          <w:b/>
          <w:sz w:val="18"/>
          <w:szCs w:val="18"/>
        </w:rPr>
      </w:pPr>
    </w:p>
    <w:p w14:paraId="713C9D6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3D6F1E68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EE5937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4E1803A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01049D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41AE92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7706400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0DB9291F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36B4AE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626369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3085C06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2BF3BFC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D6CD1F0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2BEE88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0EAD1F8" w14:textId="77777777" w:rsidR="006720A1" w:rsidRDefault="006720A1" w:rsidP="00047CF8">
      <w:pPr>
        <w:jc w:val="center"/>
        <w:rPr>
          <w:b/>
          <w:sz w:val="18"/>
          <w:szCs w:val="18"/>
        </w:rPr>
      </w:pPr>
    </w:p>
    <w:p w14:paraId="4B85CB8B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66DE7307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7EEFCF8C" w14:textId="77777777" w:rsidR="00694AF0" w:rsidRPr="00033D0D" w:rsidRDefault="00694AF0" w:rsidP="0046503D">
      <w:pPr>
        <w:rPr>
          <w:lang w:eastAsia="pl-PL"/>
        </w:rPr>
      </w:pPr>
    </w:p>
    <w:p w14:paraId="50FA1F4D" w14:textId="77777777"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C366B3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7777777"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443F6BDB" w14:textId="6CCCA039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23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01</w:t>
            </w:r>
          </w:p>
          <w:p w14:paraId="50199915" w14:textId="77777777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750A83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20" w:history="1">
              <w:r w:rsidRPr="00750A8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197B833C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EC245C2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2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1B2F6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1B2F6C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1B2F6C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1B2F6C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31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1B2F6C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4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J3e2F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3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1D651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1D651F" w:rsidP="00AB6D25">
                      <w:pPr>
                        <w:rPr>
                          <w:color w:val="001D77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1D651F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1D651F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Mieszkania, na których budowę 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ydan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o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k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8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1D651F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  <w:bookmarkStart w:id="1" w:name="_GoBack"/>
                      <w:bookmarkEnd w:id="1"/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095DA" w14:textId="77777777" w:rsidR="001B2F6C" w:rsidRDefault="001B2F6C" w:rsidP="000662E2">
      <w:pPr>
        <w:spacing w:after="0" w:line="240" w:lineRule="auto"/>
      </w:pPr>
      <w:r>
        <w:separator/>
      </w:r>
    </w:p>
  </w:endnote>
  <w:endnote w:type="continuationSeparator" w:id="0">
    <w:p w14:paraId="1EFE1880" w14:textId="77777777" w:rsidR="001B2F6C" w:rsidRDefault="001B2F6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6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59288" w14:textId="77777777" w:rsidR="001B2F6C" w:rsidRDefault="001B2F6C" w:rsidP="000662E2">
      <w:pPr>
        <w:spacing w:after="0" w:line="240" w:lineRule="auto"/>
      </w:pPr>
      <w:r>
        <w:separator/>
      </w:r>
    </w:p>
  </w:footnote>
  <w:footnote w:type="continuationSeparator" w:id="0">
    <w:p w14:paraId="0087E179" w14:textId="77777777" w:rsidR="001B2F6C" w:rsidRDefault="001B2F6C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2C6D15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>Dane meldunkowe – mogą ulec zmianie po opracowaniu sprawozdań kwartalnych</w:t>
      </w:r>
      <w:r w:rsidR="003476A5" w:rsidRPr="002C6D15">
        <w:rPr>
          <w:rFonts w:eastAsia="Calibri" w:cs="Times New Roman"/>
          <w:sz w:val="16"/>
          <w:szCs w:val="16"/>
        </w:rPr>
        <w:t>.</w:t>
      </w:r>
    </w:p>
  </w:footnote>
  <w:footnote w:id="2">
    <w:p w14:paraId="5BAD0CF1" w14:textId="6A1F7ADE" w:rsidR="00F4008D" w:rsidRPr="002C6D15" w:rsidRDefault="00086360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Ilekroć </w:t>
      </w:r>
      <w:r w:rsidR="00047CF8" w:rsidRPr="002C6D15">
        <w:rPr>
          <w:sz w:val="16"/>
          <w:szCs w:val="16"/>
        </w:rPr>
        <w:t xml:space="preserve">w notatce </w:t>
      </w:r>
      <w:r w:rsidRPr="002C6D15">
        <w:rPr>
          <w:sz w:val="16"/>
          <w:szCs w:val="16"/>
        </w:rPr>
        <w:t xml:space="preserve">jest </w:t>
      </w:r>
      <w:r w:rsidR="00047CF8" w:rsidRPr="002C6D15">
        <w:rPr>
          <w:sz w:val="16"/>
          <w:szCs w:val="16"/>
        </w:rPr>
        <w:t xml:space="preserve">mowa o deweloperach, oznacza to </w:t>
      </w:r>
      <w:r w:rsidRPr="002C6D15">
        <w:rPr>
          <w:sz w:val="16"/>
          <w:szCs w:val="16"/>
        </w:rPr>
        <w:t>budownictwo przeznaczo</w:t>
      </w:r>
      <w:r w:rsidR="00047CF8" w:rsidRPr="002C6D15">
        <w:rPr>
          <w:sz w:val="16"/>
          <w:szCs w:val="16"/>
        </w:rPr>
        <w:t xml:space="preserve">ne na sprzedaż lub wynajem, </w:t>
      </w:r>
      <w:r w:rsidR="0097447F" w:rsidRPr="002C6D15">
        <w:rPr>
          <w:sz w:val="16"/>
          <w:szCs w:val="16"/>
        </w:rPr>
        <w:t>realizowane przez różnych inwestorów z zamiarem osiągnięcia zysku</w:t>
      </w:r>
      <w:r w:rsidR="007E1B1D">
        <w:rPr>
          <w:sz w:val="16"/>
          <w:szCs w:val="16"/>
        </w:rPr>
        <w:t>, natomiast informacje o </w:t>
      </w:r>
      <w:r w:rsidR="009E374D" w:rsidRPr="002C6D15">
        <w:rPr>
          <w:sz w:val="16"/>
          <w:szCs w:val="16"/>
        </w:rPr>
        <w:t>inwestorach i</w:t>
      </w:r>
      <w:r w:rsidR="00047CF8" w:rsidRPr="002C6D15">
        <w:rPr>
          <w:sz w:val="16"/>
          <w:szCs w:val="16"/>
        </w:rPr>
        <w:t xml:space="preserve">ndywidualnych dotyczą </w:t>
      </w:r>
      <w:r w:rsidR="003457E4" w:rsidRPr="002C6D15">
        <w:rPr>
          <w:sz w:val="16"/>
          <w:szCs w:val="16"/>
        </w:rPr>
        <w:t>budownictwa</w:t>
      </w:r>
      <w:r w:rsidR="009E374D" w:rsidRPr="002C6D15">
        <w:rPr>
          <w:sz w:val="16"/>
          <w:szCs w:val="16"/>
        </w:rPr>
        <w:t xml:space="preserve"> realizowane</w:t>
      </w:r>
      <w:r w:rsidR="00047CF8" w:rsidRPr="002C6D15">
        <w:rPr>
          <w:sz w:val="16"/>
          <w:szCs w:val="16"/>
        </w:rPr>
        <w:t>go</w:t>
      </w:r>
      <w:r w:rsidR="009E374D" w:rsidRPr="002C6D15">
        <w:rPr>
          <w:sz w:val="16"/>
          <w:szCs w:val="16"/>
        </w:rPr>
        <w:t xml:space="preserve"> na użytek </w:t>
      </w:r>
      <w:r w:rsidR="008D5D1D" w:rsidRPr="002C6D15">
        <w:rPr>
          <w:sz w:val="16"/>
          <w:szCs w:val="16"/>
        </w:rPr>
        <w:t xml:space="preserve">własny </w:t>
      </w:r>
      <w:r w:rsidR="009E374D" w:rsidRPr="002C6D15">
        <w:rPr>
          <w:sz w:val="16"/>
          <w:szCs w:val="16"/>
        </w:rPr>
        <w:t>inwestora</w:t>
      </w:r>
      <w:r w:rsidR="003476A5" w:rsidRPr="002C6D15">
        <w:rPr>
          <w:sz w:val="16"/>
          <w:szCs w:val="16"/>
        </w:rPr>
        <w:t>.</w:t>
      </w:r>
    </w:p>
  </w:footnote>
  <w:footnote w:id="3">
    <w:p w14:paraId="18D65F28" w14:textId="77777777" w:rsidR="00E65046" w:rsidRDefault="00E65046">
      <w:pPr>
        <w:pStyle w:val="Tekstprzypisudolnego"/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Realizowane przez różnych inwestorów z zamiarem krótkoterminowego lub długoterminowego wynajmu mieszkań, w tym na podstawie umów najmu instytucjonalnego z dojściem do własności</w:t>
      </w:r>
      <w:r w:rsidR="003476A5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2860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222AFE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493E12D" w:rsidR="00112A4D" w:rsidRPr="00C97596" w:rsidRDefault="00152BF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23.12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0493E12D" w:rsidR="00112A4D" w:rsidRPr="00C97596" w:rsidRDefault="00152BF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23.12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6AD0"/>
    <w:rsid w:val="00057CA1"/>
    <w:rsid w:val="000612F7"/>
    <w:rsid w:val="00061DAF"/>
    <w:rsid w:val="000657FC"/>
    <w:rsid w:val="00066081"/>
    <w:rsid w:val="000662E2"/>
    <w:rsid w:val="00066883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D07D3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20701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2325"/>
    <w:rsid w:val="00163C91"/>
    <w:rsid w:val="00164CF6"/>
    <w:rsid w:val="00165D6F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E02B7"/>
    <w:rsid w:val="001E307A"/>
    <w:rsid w:val="001E475A"/>
    <w:rsid w:val="001E482E"/>
    <w:rsid w:val="001E7919"/>
    <w:rsid w:val="001F23B3"/>
    <w:rsid w:val="001F31BD"/>
    <w:rsid w:val="001F3686"/>
    <w:rsid w:val="001F5E14"/>
    <w:rsid w:val="001F649C"/>
    <w:rsid w:val="001F6CD0"/>
    <w:rsid w:val="0020139E"/>
    <w:rsid w:val="00202E71"/>
    <w:rsid w:val="002056B1"/>
    <w:rsid w:val="00207360"/>
    <w:rsid w:val="00210A6F"/>
    <w:rsid w:val="0021268C"/>
    <w:rsid w:val="00213DF1"/>
    <w:rsid w:val="00216F21"/>
    <w:rsid w:val="002173E8"/>
    <w:rsid w:val="00217D5E"/>
    <w:rsid w:val="002217A8"/>
    <w:rsid w:val="0022605C"/>
    <w:rsid w:val="00226CDB"/>
    <w:rsid w:val="00226D83"/>
    <w:rsid w:val="002308C6"/>
    <w:rsid w:val="00231001"/>
    <w:rsid w:val="0023461B"/>
    <w:rsid w:val="00237327"/>
    <w:rsid w:val="002452B8"/>
    <w:rsid w:val="00247C71"/>
    <w:rsid w:val="00252C19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6811"/>
    <w:rsid w:val="00277F85"/>
    <w:rsid w:val="0028004D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4F22"/>
    <w:rsid w:val="00305979"/>
    <w:rsid w:val="00305F35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881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F61"/>
    <w:rsid w:val="003E7C6E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2B6"/>
    <w:rsid w:val="00486543"/>
    <w:rsid w:val="004937A5"/>
    <w:rsid w:val="00493B1C"/>
    <w:rsid w:val="004949CA"/>
    <w:rsid w:val="0049621B"/>
    <w:rsid w:val="00497CE2"/>
    <w:rsid w:val="004A284F"/>
    <w:rsid w:val="004A3BC8"/>
    <w:rsid w:val="004A4641"/>
    <w:rsid w:val="004A5B1F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0542"/>
    <w:rsid w:val="004E1A89"/>
    <w:rsid w:val="004E221F"/>
    <w:rsid w:val="004F0C3C"/>
    <w:rsid w:val="004F2A2C"/>
    <w:rsid w:val="004F4FCA"/>
    <w:rsid w:val="004F5A9B"/>
    <w:rsid w:val="004F63FC"/>
    <w:rsid w:val="004F64F0"/>
    <w:rsid w:val="004F6903"/>
    <w:rsid w:val="005027A8"/>
    <w:rsid w:val="00505A92"/>
    <w:rsid w:val="00507AB5"/>
    <w:rsid w:val="00507D35"/>
    <w:rsid w:val="005105EB"/>
    <w:rsid w:val="00510D8A"/>
    <w:rsid w:val="005149CE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1CC0"/>
    <w:rsid w:val="00562EC2"/>
    <w:rsid w:val="00566275"/>
    <w:rsid w:val="005662CD"/>
    <w:rsid w:val="00567A72"/>
    <w:rsid w:val="00567F82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526E"/>
    <w:rsid w:val="005A698C"/>
    <w:rsid w:val="005B75B9"/>
    <w:rsid w:val="005C0216"/>
    <w:rsid w:val="005C114C"/>
    <w:rsid w:val="005C16BE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2D21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6D6F"/>
    <w:rsid w:val="00661419"/>
    <w:rsid w:val="00664589"/>
    <w:rsid w:val="006673CA"/>
    <w:rsid w:val="00667D6F"/>
    <w:rsid w:val="00671511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2331"/>
    <w:rsid w:val="0068327D"/>
    <w:rsid w:val="00685F86"/>
    <w:rsid w:val="00690C38"/>
    <w:rsid w:val="00693C83"/>
    <w:rsid w:val="00694AF0"/>
    <w:rsid w:val="006969C0"/>
    <w:rsid w:val="006978FA"/>
    <w:rsid w:val="006A0A6A"/>
    <w:rsid w:val="006A1938"/>
    <w:rsid w:val="006A37E8"/>
    <w:rsid w:val="006A6B61"/>
    <w:rsid w:val="006A6DB6"/>
    <w:rsid w:val="006B0E9E"/>
    <w:rsid w:val="006B14C5"/>
    <w:rsid w:val="006B25A7"/>
    <w:rsid w:val="006B3ACC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2E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FB4"/>
    <w:rsid w:val="007317DF"/>
    <w:rsid w:val="0073330A"/>
    <w:rsid w:val="00734924"/>
    <w:rsid w:val="00737DCC"/>
    <w:rsid w:val="00741554"/>
    <w:rsid w:val="00743232"/>
    <w:rsid w:val="00743BDF"/>
    <w:rsid w:val="00746187"/>
    <w:rsid w:val="00750A83"/>
    <w:rsid w:val="00753265"/>
    <w:rsid w:val="00753DA3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3B09"/>
    <w:rsid w:val="00773CF3"/>
    <w:rsid w:val="00774F4E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198E"/>
    <w:rsid w:val="007C2970"/>
    <w:rsid w:val="007C2C9F"/>
    <w:rsid w:val="007C3D00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B1D"/>
    <w:rsid w:val="007E24ED"/>
    <w:rsid w:val="007E319D"/>
    <w:rsid w:val="007E3314"/>
    <w:rsid w:val="007E4B03"/>
    <w:rsid w:val="007E58A2"/>
    <w:rsid w:val="007E713F"/>
    <w:rsid w:val="007E76BE"/>
    <w:rsid w:val="007E7CE3"/>
    <w:rsid w:val="007F1316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25EE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C28"/>
    <w:rsid w:val="00860F7B"/>
    <w:rsid w:val="00863E09"/>
    <w:rsid w:val="008646DA"/>
    <w:rsid w:val="00865B30"/>
    <w:rsid w:val="00865E47"/>
    <w:rsid w:val="00866416"/>
    <w:rsid w:val="008739BA"/>
    <w:rsid w:val="00874676"/>
    <w:rsid w:val="0088258A"/>
    <w:rsid w:val="00882FBF"/>
    <w:rsid w:val="00885575"/>
    <w:rsid w:val="00886332"/>
    <w:rsid w:val="00886D2F"/>
    <w:rsid w:val="00887F70"/>
    <w:rsid w:val="008948E4"/>
    <w:rsid w:val="008A0F0C"/>
    <w:rsid w:val="008A1C80"/>
    <w:rsid w:val="008A26D9"/>
    <w:rsid w:val="008A3DAD"/>
    <w:rsid w:val="008A58C2"/>
    <w:rsid w:val="008B0F20"/>
    <w:rsid w:val="008B1B16"/>
    <w:rsid w:val="008B2D5B"/>
    <w:rsid w:val="008B3CA0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6F47"/>
    <w:rsid w:val="008F04D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3106"/>
    <w:rsid w:val="00904121"/>
    <w:rsid w:val="00904133"/>
    <w:rsid w:val="00905375"/>
    <w:rsid w:val="00905739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7BDA"/>
    <w:rsid w:val="0094417D"/>
    <w:rsid w:val="00944262"/>
    <w:rsid w:val="00946A4C"/>
    <w:rsid w:val="009510F1"/>
    <w:rsid w:val="00951EDB"/>
    <w:rsid w:val="009530DB"/>
    <w:rsid w:val="00953676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DC1"/>
    <w:rsid w:val="00965255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1A6B"/>
    <w:rsid w:val="00A01B2E"/>
    <w:rsid w:val="00A030E6"/>
    <w:rsid w:val="00A0335F"/>
    <w:rsid w:val="00A0647C"/>
    <w:rsid w:val="00A121DF"/>
    <w:rsid w:val="00A13514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10F9"/>
    <w:rsid w:val="00A82472"/>
    <w:rsid w:val="00A846D6"/>
    <w:rsid w:val="00A86502"/>
    <w:rsid w:val="00A86ECC"/>
    <w:rsid w:val="00A86FCC"/>
    <w:rsid w:val="00A87770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D25"/>
    <w:rsid w:val="00AD3F41"/>
    <w:rsid w:val="00AD4A4E"/>
    <w:rsid w:val="00AD51B0"/>
    <w:rsid w:val="00AD5C65"/>
    <w:rsid w:val="00AD7503"/>
    <w:rsid w:val="00AE19DE"/>
    <w:rsid w:val="00AE2D4B"/>
    <w:rsid w:val="00AE3FB3"/>
    <w:rsid w:val="00AE4F99"/>
    <w:rsid w:val="00AE53E5"/>
    <w:rsid w:val="00AE6D6D"/>
    <w:rsid w:val="00AF19C9"/>
    <w:rsid w:val="00AF6719"/>
    <w:rsid w:val="00AF7709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88F"/>
    <w:rsid w:val="00B5588D"/>
    <w:rsid w:val="00B55974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6655"/>
    <w:rsid w:val="00B914E9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F01CB"/>
    <w:rsid w:val="00BF5111"/>
    <w:rsid w:val="00C023D9"/>
    <w:rsid w:val="00C030DE"/>
    <w:rsid w:val="00C05167"/>
    <w:rsid w:val="00C11343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34"/>
    <w:rsid w:val="00C31687"/>
    <w:rsid w:val="00C33D4C"/>
    <w:rsid w:val="00C35DEE"/>
    <w:rsid w:val="00C366B3"/>
    <w:rsid w:val="00C3702F"/>
    <w:rsid w:val="00C37A03"/>
    <w:rsid w:val="00C41642"/>
    <w:rsid w:val="00C41764"/>
    <w:rsid w:val="00C45997"/>
    <w:rsid w:val="00C46C43"/>
    <w:rsid w:val="00C47820"/>
    <w:rsid w:val="00C52C74"/>
    <w:rsid w:val="00C5434F"/>
    <w:rsid w:val="00C561ED"/>
    <w:rsid w:val="00C62034"/>
    <w:rsid w:val="00C64A37"/>
    <w:rsid w:val="00C6552F"/>
    <w:rsid w:val="00C67295"/>
    <w:rsid w:val="00C7158E"/>
    <w:rsid w:val="00C7250B"/>
    <w:rsid w:val="00C7346B"/>
    <w:rsid w:val="00C77C0E"/>
    <w:rsid w:val="00C8094E"/>
    <w:rsid w:val="00C8338F"/>
    <w:rsid w:val="00C84055"/>
    <w:rsid w:val="00C84740"/>
    <w:rsid w:val="00C84D08"/>
    <w:rsid w:val="00C861FB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E3423"/>
    <w:rsid w:val="00CF0110"/>
    <w:rsid w:val="00CF0172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42B1"/>
    <w:rsid w:val="00D36DA1"/>
    <w:rsid w:val="00D36DF7"/>
    <w:rsid w:val="00D40A89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EF7"/>
    <w:rsid w:val="00D7350E"/>
    <w:rsid w:val="00D766FB"/>
    <w:rsid w:val="00D77B37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3D51"/>
    <w:rsid w:val="00DE4BE2"/>
    <w:rsid w:val="00DE6285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59EA"/>
    <w:rsid w:val="00E270BA"/>
    <w:rsid w:val="00E30043"/>
    <w:rsid w:val="00E32061"/>
    <w:rsid w:val="00E322C8"/>
    <w:rsid w:val="00E34610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C4F64"/>
    <w:rsid w:val="00EC55DB"/>
    <w:rsid w:val="00ED04D0"/>
    <w:rsid w:val="00ED18A2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2740"/>
    <w:rsid w:val="00F233E3"/>
    <w:rsid w:val="00F23968"/>
    <w:rsid w:val="00F24D58"/>
    <w:rsid w:val="00F25C7B"/>
    <w:rsid w:val="00F26991"/>
    <w:rsid w:val="00F27C8F"/>
    <w:rsid w:val="00F32749"/>
    <w:rsid w:val="00F35845"/>
    <w:rsid w:val="00F35A58"/>
    <w:rsid w:val="00F37172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158E"/>
    <w:rsid w:val="00F61F53"/>
    <w:rsid w:val="00F64468"/>
    <w:rsid w:val="00F64AC1"/>
    <w:rsid w:val="00F66D82"/>
    <w:rsid w:val="00F67C2A"/>
    <w:rsid w:val="00F67D8F"/>
    <w:rsid w:val="00F708DF"/>
    <w:rsid w:val="00F802BE"/>
    <w:rsid w:val="00F816A1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przemysl-budownictwo-srodki-trwale/budownictwo/publikacja,3.html" TargetMode="External"/><Relationship Id="rId39" Type="http://schemas.openxmlformats.org/officeDocument/2006/relationships/hyperlink" Target="http://stat.gov.pl/metainformacje/slownik-pojec/pojecia-stosowane-w-statystyce-publicznej/201,pojecie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s://stat.gov.pl/obszary-tematyczne/przemysl-budownictwo-srodki-trwale/budownictwo/publikacja,13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Z.Kurlej@stat.gov.pl" TargetMode="External"/><Relationship Id="rId29" Type="http://schemas.openxmlformats.org/officeDocument/2006/relationships/hyperlink" Target="http://swaid.stat.gov.pl/Budownictwo_dashboards/Raporty_predefiniowane/RAP_DBD_BUD_9.asp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1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201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Budownictwo_dashboards/Raporty_predefiniowane/RAP_DBD_BUD_7.aspx" TargetMode="External"/><Relationship Id="rId36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94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stat.gov.pl/obszary-tematyczne/przemysl-budownictwo-srodki-trwale/budownictwo/publikacja,13.html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waid.stat.gov.pl/Budownictwo_dashboards/Raporty_predefiniowane/RAP_DBD_BUD_7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obszary-tematyczne/przemysl-budownictwo-srodki-trwale/budownictwo/publikacja,3.html" TargetMode="External"/><Relationship Id="rId38" Type="http://schemas.openxmlformats.org/officeDocument/2006/relationships/hyperlink" Target="http://stat.gov.pl/metainformacje/slownik-pojec/pojecia-stosowane-w-statystyce-publicznej/94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Arkusz1!$B$2:$AV$3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Arkusz1!$B$4:$AV$4</c:f>
              <c:numCache>
                <c:formatCode>General</c:formatCode>
                <c:ptCount val="47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Arkusz1!$B$2:$AV$3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Arkusz1!$B$16:$AV$16</c:f>
              <c:numCache>
                <c:formatCode>General</c:formatCode>
                <c:ptCount val="47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Arkusz1!$B$2:$AV$3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Arkusz1!$B$10:$AV$10</c:f>
              <c:numCache>
                <c:formatCode>General</c:formatCode>
                <c:ptCount val="47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10176"/>
        <c:axId val="229714528"/>
      </c:lineChart>
      <c:catAx>
        <c:axId val="22971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971452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2971452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971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066750023669875E-2"/>
          <c:y val="0.82008074515232343"/>
          <c:w val="0.85443056137134954"/>
          <c:h val="0.159167077022277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'[Wykres w programie Microsoft Word]Arkusz1'!$A$1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Word]Arkusz1'!$B$4:$AQ$4</c:f>
              <c:numCache>
                <c:formatCode>General</c:formatCode>
                <c:ptCount val="4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  <c:pt idx="41">
                  <c:v>15363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'[Wykres w programie Microsoft Word]Arkusz1'!$A$16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Word]Arkusz1'!$B$16:$AQ$16</c:f>
              <c:numCache>
                <c:formatCode>General</c:formatCode>
                <c:ptCount val="4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21701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 w programie Microsoft Word]Arkusz1'!$A$7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Word]Arkusz1'!$B$10:$AQ$10</c:f>
              <c:numCache>
                <c:formatCode>General</c:formatCode>
                <c:ptCount val="4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15072"/>
        <c:axId val="515022368"/>
      </c:lineChart>
      <c:catAx>
        <c:axId val="22971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1502236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51502236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971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3063</c:v>
                </c:pt>
                <c:pt idx="1">
                  <c:v>3874</c:v>
                </c:pt>
                <c:pt idx="2">
                  <c:v>5186</c:v>
                </c:pt>
                <c:pt idx="3">
                  <c:v>6933</c:v>
                </c:pt>
                <c:pt idx="4">
                  <c:v>5351</c:v>
                </c:pt>
                <c:pt idx="5">
                  <c:v>8613</c:v>
                </c:pt>
                <c:pt idx="6">
                  <c:v>9791</c:v>
                </c:pt>
                <c:pt idx="7">
                  <c:v>9023</c:v>
                </c:pt>
                <c:pt idx="8">
                  <c:v>10554</c:v>
                </c:pt>
                <c:pt idx="9">
                  <c:v>12220</c:v>
                </c:pt>
                <c:pt idx="10">
                  <c:v>16742</c:v>
                </c:pt>
                <c:pt idx="11">
                  <c:v>20312</c:v>
                </c:pt>
                <c:pt idx="12">
                  <c:v>23795</c:v>
                </c:pt>
                <c:pt idx="13">
                  <c:v>22602</c:v>
                </c:pt>
                <c:pt idx="14">
                  <c:v>20603</c:v>
                </c:pt>
                <c:pt idx="15">
                  <c:v>42761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3619</c:v>
                </c:pt>
                <c:pt idx="1">
                  <c:v>3851</c:v>
                </c:pt>
                <c:pt idx="2">
                  <c:v>5988</c:v>
                </c:pt>
                <c:pt idx="3">
                  <c:v>7502</c:v>
                </c:pt>
                <c:pt idx="4">
                  <c:v>7506</c:v>
                </c:pt>
                <c:pt idx="5">
                  <c:v>9701</c:v>
                </c:pt>
                <c:pt idx="6">
                  <c:v>10513</c:v>
                </c:pt>
                <c:pt idx="7">
                  <c:v>11726</c:v>
                </c:pt>
                <c:pt idx="8">
                  <c:v>12008</c:v>
                </c:pt>
                <c:pt idx="9">
                  <c:v>13464</c:v>
                </c:pt>
                <c:pt idx="10">
                  <c:v>19011</c:v>
                </c:pt>
                <c:pt idx="11">
                  <c:v>23614</c:v>
                </c:pt>
                <c:pt idx="12">
                  <c:v>26456</c:v>
                </c:pt>
                <c:pt idx="13">
                  <c:v>26882</c:v>
                </c:pt>
                <c:pt idx="14">
                  <c:v>21612</c:v>
                </c:pt>
                <c:pt idx="15">
                  <c:v>44929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2304</c:v>
                </c:pt>
                <c:pt idx="1">
                  <c:v>3323</c:v>
                </c:pt>
                <c:pt idx="2">
                  <c:v>3523</c:v>
                </c:pt>
                <c:pt idx="3">
                  <c:v>5175</c:v>
                </c:pt>
                <c:pt idx="4">
                  <c:v>5412</c:v>
                </c:pt>
                <c:pt idx="5">
                  <c:v>6162</c:v>
                </c:pt>
                <c:pt idx="6">
                  <c:v>7242</c:v>
                </c:pt>
                <c:pt idx="7">
                  <c:v>7957</c:v>
                </c:pt>
                <c:pt idx="8">
                  <c:v>8356</c:v>
                </c:pt>
                <c:pt idx="9">
                  <c:v>8742</c:v>
                </c:pt>
                <c:pt idx="10">
                  <c:v>12148</c:v>
                </c:pt>
                <c:pt idx="11">
                  <c:v>15298</c:v>
                </c:pt>
                <c:pt idx="12">
                  <c:v>19460</c:v>
                </c:pt>
                <c:pt idx="13">
                  <c:v>19843</c:v>
                </c:pt>
                <c:pt idx="14">
                  <c:v>20160</c:v>
                </c:pt>
                <c:pt idx="15">
                  <c:v>39188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5022912"/>
        <c:axId val="515032704"/>
      </c:barChart>
      <c:catAx>
        <c:axId val="515022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5032704"/>
        <c:crosses val="autoZero"/>
        <c:auto val="1"/>
        <c:lblAlgn val="ctr"/>
        <c:lblOffset val="100"/>
        <c:noMultiLvlLbl val="0"/>
      </c:catAx>
      <c:valAx>
        <c:axId val="515032704"/>
        <c:scaling>
          <c:orientation val="minMax"/>
          <c:max val="4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5022912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72147243216018"/>
          <c:y val="0.83608819009504476"/>
          <c:w val="0.83688211129506873"/>
          <c:h val="0.11520254161090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B14F33E1-F825-45B6-9912-1E0A641F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styczeń-październik 2019 roku</vt:lpstr>
    </vt:vector>
  </TitlesOfParts>
  <Company>Główny Urząd Statystyczny</Company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styczeń-listopad 2019 roku</dc:title>
  <dc:creator>GUS</dc:creator>
  <cp:keywords>mieszkania oddane do użytkowania; mieszkania w budowie; mieszkania rozpoczęte; pozwolenie na budowę; powierzchnia użytkowa</cp:keywords>
  <cp:lastPrinted>2019-12-19T09:18:00Z</cp:lastPrinted>
  <dcterms:created xsi:type="dcterms:W3CDTF">2019-12-18T13:40:00Z</dcterms:created>
  <dcterms:modified xsi:type="dcterms:W3CDTF">2019-12-20T09:16:00Z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