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21F09253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4664B">
        <w:rPr>
          <w:color w:val="auto"/>
          <w:szCs w:val="40"/>
          <w:shd w:val="clear" w:color="auto" w:fill="FFFFFF"/>
        </w:rPr>
        <w:t>X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695393DC" w:rsidR="004466B1" w:rsidRDefault="0033611E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6A008B2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58340" cy="1045845"/>
                <wp:effectExtent l="0" t="0" r="381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4D8ED104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33E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110,8</w:t>
                            </w:r>
                          </w:p>
                          <w:p w14:paraId="7EBB0A62" w14:textId="47BB8A5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  <w:r w:rsidR="0033611E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811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4.2pt;height:82.3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o2KgIAACo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" fillcolor="#001d77" stroked="f">
                <v:textbox>
                  <w:txbxContent>
                    <w:p w14:paraId="531F9C46" w14:textId="4D8ED104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33E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110,8</w:t>
                      </w:r>
                    </w:p>
                    <w:p w14:paraId="7EBB0A62" w14:textId="47BB8A5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  <w:r w:rsidR="0033611E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302D"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465C5FA6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8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zBGdR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 xml:space="preserve">okresie </w:t>
      </w:r>
      <w:r w:rsidR="006C33EC">
        <w:t>dziesięciu</w:t>
      </w:r>
      <w:r w:rsidR="00A27D93">
        <w:t xml:space="preserve">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  <w:bookmarkStart w:id="0" w:name="_GoBack"/>
      <w:bookmarkEnd w:id="0"/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4A5ED96B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1A6A6A">
                              <w:t>62,4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612D21">
                              <w:t>2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4A5ED96B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1A6A6A">
                        <w:t>62,4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612D21">
                        <w:t>2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3CCD8BE0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4D97D7EA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1A6A6A">
                              <w:t>X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452007">
                              <w:t>wyniosła</w:t>
                            </w:r>
                            <w:r w:rsidR="0018730D">
                              <w:t xml:space="preserve"> 89,5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4D97D7EA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1A6A6A">
                        <w:t>X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452007">
                        <w:t>wyniosła</w:t>
                      </w:r>
                      <w:r w:rsidR="0018730D">
                        <w:t xml:space="preserve"> 89,5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6C33EC">
        <w:rPr>
          <w:shd w:val="clear" w:color="auto" w:fill="FFFFFF"/>
        </w:rPr>
        <w:t>październik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6C33EC">
        <w:rPr>
          <w:shd w:val="clear" w:color="auto" w:fill="FFFFFF"/>
        </w:rPr>
        <w:t>164</w:t>
      </w:r>
      <w:r w:rsidR="003D1203">
        <w:rPr>
          <w:shd w:val="clear" w:color="auto" w:fill="FFFFFF"/>
        </w:rPr>
        <w:t>,6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6C33EC">
        <w:rPr>
          <w:shd w:val="clear" w:color="auto" w:fill="FFFFFF"/>
        </w:rPr>
        <w:t>10</w:t>
      </w:r>
      <w:r w:rsidR="00DB1E64">
        <w:rPr>
          <w:shd w:val="clear" w:color="auto" w:fill="FFFFFF"/>
        </w:rPr>
        <w:t>,</w:t>
      </w:r>
      <w:r w:rsidR="006C33EC">
        <w:rPr>
          <w:shd w:val="clear" w:color="auto" w:fill="FFFFFF"/>
        </w:rPr>
        <w:t>8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6C33EC">
        <w:rPr>
          <w:shd w:val="clear" w:color="auto" w:fill="FFFFFF"/>
        </w:rPr>
        <w:t>102,7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612D21">
        <w:rPr>
          <w:shd w:val="clear" w:color="auto" w:fill="FFFFFF"/>
        </w:rPr>
        <w:t>14</w:t>
      </w:r>
      <w:r w:rsidR="003D1203">
        <w:rPr>
          <w:shd w:val="clear" w:color="auto" w:fill="FFFFFF"/>
        </w:rPr>
        <w:t>,8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341966">
        <w:rPr>
          <w:b/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6C33EC">
        <w:rPr>
          <w:shd w:val="clear" w:color="auto" w:fill="FFFFFF"/>
        </w:rPr>
        <w:t>56,4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3D1203">
        <w:rPr>
          <w:shd w:val="clear" w:color="auto" w:fill="FFFFFF"/>
        </w:rPr>
        <w:t>3</w:t>
      </w:r>
      <w:r w:rsidR="00865E47" w:rsidRPr="00DA0F32">
        <w:rPr>
          <w:shd w:val="clear" w:color="auto" w:fill="FFFFFF"/>
        </w:rPr>
        <w:t>,</w:t>
      </w:r>
      <w:r w:rsidR="00612D21">
        <w:rPr>
          <w:shd w:val="clear" w:color="auto" w:fill="FFFFFF"/>
        </w:rPr>
        <w:t>5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904121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,</w:t>
      </w:r>
      <w:r w:rsidR="008C5119">
        <w:rPr>
          <w:shd w:val="clear" w:color="auto" w:fill="FFFFFF"/>
        </w:rPr>
        <w:t>6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612D21">
        <w:rPr>
          <w:shd w:val="clear" w:color="auto" w:fill="FFFFFF"/>
        </w:rPr>
        <w:t>1866</w:t>
      </w:r>
      <w:r w:rsidR="00B1192F" w:rsidRPr="00DA0F32">
        <w:rPr>
          <w:shd w:val="clear" w:color="auto" w:fill="FFFFFF"/>
        </w:rPr>
        <w:t xml:space="preserve"> wobec </w:t>
      </w:r>
      <w:r w:rsidR="00612D21">
        <w:rPr>
          <w:shd w:val="clear" w:color="auto" w:fill="FFFFFF"/>
        </w:rPr>
        <w:t>2167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612D21">
        <w:rPr>
          <w:shd w:val="clear" w:color="auto" w:fill="FFFFFF"/>
        </w:rPr>
        <w:t>3701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612D21">
        <w:rPr>
          <w:shd w:val="clear" w:color="auto" w:fill="FFFFFF"/>
        </w:rPr>
        <w:t>45</w:t>
      </w:r>
      <w:r w:rsidR="00076F86">
        <w:rPr>
          <w:shd w:val="clear" w:color="auto" w:fill="FFFFFF"/>
        </w:rPr>
        <w:t>,7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7A0338DA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1A6A6A">
        <w:rPr>
          <w:shd w:val="clear" w:color="auto" w:fill="FFFFFF"/>
        </w:rPr>
        <w:t>X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612D21">
        <w:rPr>
          <w:shd w:val="clear" w:color="auto" w:fill="FFFFFF"/>
        </w:rPr>
        <w:t>14,</w:t>
      </w:r>
      <w:r w:rsidR="0018730D">
        <w:rPr>
          <w:shd w:val="clear" w:color="auto" w:fill="FFFFFF"/>
        </w:rPr>
        <w:t>7</w:t>
      </w:r>
      <w:r w:rsidR="009D48C2">
        <w:rPr>
          <w:shd w:val="clear" w:color="auto" w:fill="FFFFFF"/>
        </w:rPr>
        <w:t xml:space="preserve"> </w:t>
      </w:r>
      <w:r w:rsidRPr="00DA0F32">
        <w:rPr>
          <w:shd w:val="clear" w:color="auto" w:fill="FFFFFF"/>
        </w:rPr>
        <w:t>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18730D">
        <w:rPr>
          <w:shd w:val="clear" w:color="auto" w:fill="FFFFFF"/>
        </w:rPr>
        <w:t>8</w:t>
      </w:r>
      <w:r w:rsidRPr="00DA0F32">
        <w:rPr>
          <w:shd w:val="clear" w:color="auto" w:fill="FFFFFF"/>
        </w:rPr>
        <w:t>,</w:t>
      </w:r>
      <w:r w:rsidR="0091350E">
        <w:rPr>
          <w:shd w:val="clear" w:color="auto" w:fill="FFFFFF"/>
        </w:rPr>
        <w:t>8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</w:t>
      </w:r>
      <w:r w:rsidR="0018730D">
        <w:rPr>
          <w:shd w:val="clear" w:color="auto" w:fill="FFFFFF"/>
        </w:rPr>
        <w:t>październik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1A6A6A">
        <w:rPr>
          <w:shd w:val="clear" w:color="auto" w:fill="FFFFFF"/>
        </w:rPr>
        <w:t>zmniejszyła się o 1</w:t>
      </w:r>
      <w:r w:rsidR="005662CD">
        <w:rPr>
          <w:shd w:val="clear" w:color="auto" w:fill="FFFFFF"/>
        </w:rPr>
        <w:t>,</w:t>
      </w:r>
      <w:r w:rsidR="0018730D">
        <w:rPr>
          <w:shd w:val="clear" w:color="auto" w:fill="FFFFFF"/>
        </w:rPr>
        <w:t>6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18730D">
        <w:rPr>
          <w:shd w:val="clear" w:color="auto" w:fill="FFFFFF"/>
        </w:rPr>
        <w:t>89,5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55431D86" w:rsidR="00FA56EF" w:rsidRPr="00FA5128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0AD07EA4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7B970EB3" w:rsidR="00FA56EF" w:rsidRDefault="001A6A6A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4A5D7CF3" w:rsidR="00FA56EF" w:rsidRDefault="0018730D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7F8F41F4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1A6A6A">
              <w:rPr>
                <w:color w:val="000000" w:themeColor="text1"/>
                <w:sz w:val="16"/>
                <w:szCs w:val="16"/>
              </w:rPr>
              <w:t>X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59D83257" w:rsidR="00FA56EF" w:rsidRPr="00FA5128" w:rsidRDefault="0018730D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19 078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4D1E24CE" w:rsidR="00FA56EF" w:rsidRPr="00FA5128" w:rsidRDefault="0018730D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40AE5A5C" w:rsidR="00FA56EF" w:rsidRPr="00FA5128" w:rsidRDefault="0018730D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b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3A160B62" w:rsidR="00FA56EF" w:rsidRPr="00FA5128" w:rsidRDefault="00DC09D7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b/>
                <w:color w:val="000000" w:themeColor="text1"/>
                <w:sz w:val="16"/>
                <w:szCs w:val="16"/>
              </w:rPr>
              <w:t>164 632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634A0DCF" w:rsidR="00FA56EF" w:rsidRPr="00FA5128" w:rsidRDefault="00DC09D7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b/>
                <w:color w:val="000000" w:themeColor="text1"/>
                <w:sz w:val="16"/>
                <w:szCs w:val="16"/>
              </w:rPr>
              <w:t>110,8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41CF355A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6338</w:t>
            </w:r>
          </w:p>
        </w:tc>
        <w:tc>
          <w:tcPr>
            <w:tcW w:w="1206" w:type="dxa"/>
            <w:vAlign w:val="center"/>
          </w:tcPr>
          <w:p w14:paraId="5D54C604" w14:textId="65ACC119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206" w:type="dxa"/>
            <w:vAlign w:val="center"/>
          </w:tcPr>
          <w:p w14:paraId="183D79A6" w14:textId="48EE2DBF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110,9</w:t>
            </w:r>
          </w:p>
        </w:tc>
        <w:tc>
          <w:tcPr>
            <w:tcW w:w="1206" w:type="dxa"/>
            <w:vAlign w:val="center"/>
          </w:tcPr>
          <w:p w14:paraId="097081E4" w14:textId="274CFA53" w:rsidR="00FA56EF" w:rsidRPr="00907546" w:rsidRDefault="00DC09D7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56 359</w:t>
            </w:r>
          </w:p>
        </w:tc>
        <w:tc>
          <w:tcPr>
            <w:tcW w:w="1207" w:type="dxa"/>
            <w:vAlign w:val="center"/>
          </w:tcPr>
          <w:p w14:paraId="3C33BE3A" w14:textId="1B2FFA0E" w:rsidR="00FA56EF" w:rsidRPr="00907546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5EC10AAF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11 908</w:t>
            </w:r>
          </w:p>
        </w:tc>
        <w:tc>
          <w:tcPr>
            <w:tcW w:w="1206" w:type="dxa"/>
            <w:vAlign w:val="center"/>
          </w:tcPr>
          <w:p w14:paraId="7A2D6AC4" w14:textId="2847EDD6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206" w:type="dxa"/>
            <w:vAlign w:val="center"/>
          </w:tcPr>
          <w:p w14:paraId="3B65D5B8" w14:textId="5E4C912B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206" w:type="dxa"/>
            <w:vAlign w:val="center"/>
          </w:tcPr>
          <w:p w14:paraId="4CC4B8B4" w14:textId="46EAC5B9" w:rsidR="00FA56EF" w:rsidRPr="008A1C80" w:rsidRDefault="00DC09D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102 706</w:t>
            </w:r>
          </w:p>
        </w:tc>
        <w:tc>
          <w:tcPr>
            <w:tcW w:w="1207" w:type="dxa"/>
            <w:vAlign w:val="center"/>
          </w:tcPr>
          <w:p w14:paraId="31EEA875" w14:textId="3AC6FF41" w:rsidR="00FA56EF" w:rsidRPr="00FA5128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114,8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14E4B5BB" w:rsidR="00FA56EF" w:rsidRPr="005241EA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08D101CF" w:rsidR="00FA56EF" w:rsidRPr="004327B6" w:rsidRDefault="0018730D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1206" w:type="dxa"/>
            <w:vAlign w:val="center"/>
          </w:tcPr>
          <w:p w14:paraId="26E8EB4C" w14:textId="0833A0EF" w:rsidR="00FA56EF" w:rsidRPr="00553B0B" w:rsidRDefault="00DC09D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1 768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05D1E6A2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1206" w:type="dxa"/>
            <w:vAlign w:val="center"/>
          </w:tcPr>
          <w:p w14:paraId="1ADD896C" w14:textId="47583D43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1206" w:type="dxa"/>
            <w:vAlign w:val="center"/>
          </w:tcPr>
          <w:p w14:paraId="3FEDC322" w14:textId="3732C008" w:rsidR="00FA56EF" w:rsidRPr="00E102B7" w:rsidRDefault="0018730D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8730D">
              <w:rPr>
                <w:rFonts w:cs="Arial"/>
                <w:sz w:val="16"/>
                <w:szCs w:val="16"/>
              </w:rPr>
              <w:t>204,0</w:t>
            </w:r>
          </w:p>
        </w:tc>
        <w:tc>
          <w:tcPr>
            <w:tcW w:w="1206" w:type="dxa"/>
            <w:vAlign w:val="center"/>
          </w:tcPr>
          <w:p w14:paraId="1F63D375" w14:textId="6F251D30" w:rsidR="00FA56EF" w:rsidRPr="00F54181" w:rsidRDefault="00DC09D7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C09D7">
              <w:rPr>
                <w:rFonts w:ascii="Fira Sans" w:hAnsi="Fira Sans"/>
                <w:color w:val="000000" w:themeColor="text1"/>
                <w:sz w:val="16"/>
                <w:szCs w:val="16"/>
              </w:rPr>
              <w:t>1 866</w:t>
            </w:r>
          </w:p>
        </w:tc>
        <w:tc>
          <w:tcPr>
            <w:tcW w:w="1207" w:type="dxa"/>
            <w:vAlign w:val="center"/>
          </w:tcPr>
          <w:p w14:paraId="53B3FCC1" w14:textId="75B60E20" w:rsidR="00FA56EF" w:rsidRPr="00FA5128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86,1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6D83E4C0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206" w:type="dxa"/>
            <w:vAlign w:val="center"/>
          </w:tcPr>
          <w:p w14:paraId="2385018D" w14:textId="7A682A52" w:rsidR="00FA56EF" w:rsidRPr="00FA512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206" w:type="dxa"/>
            <w:vAlign w:val="center"/>
          </w:tcPr>
          <w:p w14:paraId="40995331" w14:textId="7CE92BE5" w:rsidR="00FA56EF" w:rsidRPr="00E102B7" w:rsidRDefault="0018730D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8730D">
              <w:rPr>
                <w:rFonts w:cs="Arial"/>
                <w:sz w:val="16"/>
                <w:szCs w:val="16"/>
              </w:rPr>
              <w:t>304,3</w:t>
            </w:r>
          </w:p>
        </w:tc>
        <w:tc>
          <w:tcPr>
            <w:tcW w:w="1206" w:type="dxa"/>
            <w:vAlign w:val="center"/>
          </w:tcPr>
          <w:p w14:paraId="551957E4" w14:textId="266B64B4" w:rsidR="00FA56EF" w:rsidRPr="00E87F78" w:rsidRDefault="00DC09D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1 408</w:t>
            </w:r>
          </w:p>
        </w:tc>
        <w:tc>
          <w:tcPr>
            <w:tcW w:w="1207" w:type="dxa"/>
            <w:vAlign w:val="center"/>
          </w:tcPr>
          <w:p w14:paraId="484D9E8B" w14:textId="2C5DB980" w:rsidR="00FA56EF" w:rsidRPr="00FA5128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119,0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00A534DC" w:rsidR="00FA56EF" w:rsidRPr="00A030E6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206" w:type="dxa"/>
            <w:vAlign w:val="center"/>
          </w:tcPr>
          <w:p w14:paraId="5264D7D8" w14:textId="2334B6C7" w:rsidR="00FA56EF" w:rsidRPr="006E0C1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206" w:type="dxa"/>
            <w:vAlign w:val="center"/>
          </w:tcPr>
          <w:p w14:paraId="01B94E97" w14:textId="48ECACF3" w:rsidR="00FA56EF" w:rsidRPr="00296F96" w:rsidRDefault="0018730D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8730D">
              <w:rPr>
                <w:rFonts w:cs="Arial"/>
                <w:sz w:val="16"/>
                <w:szCs w:val="16"/>
              </w:rPr>
              <w:t>45,8</w:t>
            </w:r>
          </w:p>
        </w:tc>
        <w:tc>
          <w:tcPr>
            <w:tcW w:w="1206" w:type="dxa"/>
            <w:vAlign w:val="center"/>
          </w:tcPr>
          <w:p w14:paraId="3D08B785" w14:textId="575EA064" w:rsidR="00FA56EF" w:rsidRPr="00E87F78" w:rsidRDefault="00DC09D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2 058</w:t>
            </w:r>
          </w:p>
        </w:tc>
        <w:tc>
          <w:tcPr>
            <w:tcW w:w="1207" w:type="dxa"/>
            <w:vAlign w:val="center"/>
          </w:tcPr>
          <w:p w14:paraId="127539CB" w14:textId="5CB675C1" w:rsidR="00FA56EF" w:rsidRPr="009F4F41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rFonts w:cs="Arial"/>
                <w:color w:val="000000" w:themeColor="text1"/>
                <w:sz w:val="16"/>
                <w:szCs w:val="16"/>
              </w:rPr>
              <w:t>162,8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06FE2FEE" w:rsidR="00FA56EF" w:rsidRPr="00A030E6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51103FA1" w14:textId="541D3E1F" w:rsidR="00FA56EF" w:rsidRPr="006E0C18" w:rsidRDefault="0018730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8730D">
              <w:rPr>
                <w:rFonts w:cs="Arial"/>
                <w:color w:val="000000" w:themeColor="text1"/>
                <w:sz w:val="16"/>
                <w:szCs w:val="16"/>
              </w:rPr>
              <w:t>233,3</w:t>
            </w:r>
          </w:p>
        </w:tc>
        <w:tc>
          <w:tcPr>
            <w:tcW w:w="1206" w:type="dxa"/>
            <w:vAlign w:val="center"/>
          </w:tcPr>
          <w:p w14:paraId="7765DBC0" w14:textId="2F4D1708" w:rsidR="00FA56EF" w:rsidRPr="00296F96" w:rsidRDefault="0018730D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8730D">
              <w:rPr>
                <w:rFonts w:cs="Arial"/>
                <w:sz w:val="16"/>
                <w:szCs w:val="16"/>
              </w:rPr>
              <w:t>700,0</w:t>
            </w:r>
          </w:p>
        </w:tc>
        <w:tc>
          <w:tcPr>
            <w:tcW w:w="1206" w:type="dxa"/>
            <w:vAlign w:val="center"/>
          </w:tcPr>
          <w:p w14:paraId="19AC53E8" w14:textId="6FF6140C" w:rsidR="00FA56EF" w:rsidRPr="00E87F78" w:rsidRDefault="00DC09D7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207" w:type="dxa"/>
            <w:vAlign w:val="center"/>
          </w:tcPr>
          <w:p w14:paraId="031BA834" w14:textId="4C399F66" w:rsidR="00FA56EF" w:rsidRPr="009F4F41" w:rsidRDefault="00DC09D7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9D7">
              <w:rPr>
                <w:color w:val="000000" w:themeColor="text1"/>
                <w:sz w:val="16"/>
                <w:szCs w:val="16"/>
              </w:rPr>
              <w:t>250,0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6E35492D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26486C25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A01A6B">
                              <w:t>X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E01AB1">
                              <w:t xml:space="preserve"> o 5,0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26486C25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A01A6B">
                        <w:t>X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E01AB1">
                        <w:t xml:space="preserve"> o 5,0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</w:t>
      </w:r>
      <w:r w:rsidR="00DC09D7">
        <w:rPr>
          <w:shd w:val="clear" w:color="auto" w:fill="FFFFFF"/>
        </w:rPr>
        <w:t>dziesięciu</w:t>
      </w:r>
      <w:r w:rsidR="00053AF8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7E1B1D">
        <w:rPr>
          <w:shd w:val="clear" w:color="auto" w:fill="FFFFFF"/>
        </w:rPr>
        <w:t xml:space="preserve"> </w:t>
      </w:r>
      <w:r w:rsidR="00E01AB1">
        <w:rPr>
          <w:shd w:val="clear" w:color="auto" w:fill="FFFFFF"/>
        </w:rPr>
        <w:t>228,9</w:t>
      </w:r>
      <w:r w:rsidR="007E1B1D">
        <w:rPr>
          <w:shd w:val="clear" w:color="auto" w:fill="FFFFFF"/>
        </w:rPr>
        <w:t> 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E01AB1">
        <w:rPr>
          <w:shd w:val="clear" w:color="auto" w:fill="FFFFFF"/>
        </w:rPr>
        <w:t>5,0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E01AB1">
        <w:rPr>
          <w:shd w:val="clear" w:color="auto" w:fill="FFFFFF"/>
        </w:rPr>
        <w:t>142</w:t>
      </w:r>
      <w:r w:rsidR="00423192">
        <w:rPr>
          <w:shd w:val="clear" w:color="auto" w:fill="FFFFFF"/>
        </w:rPr>
        <w:t>,</w:t>
      </w:r>
      <w:r w:rsidR="00E01AB1">
        <w:rPr>
          <w:shd w:val="clear" w:color="auto" w:fill="FFFFFF"/>
        </w:rPr>
        <w:t>0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E01AB1">
        <w:rPr>
          <w:shd w:val="clear" w:color="auto" w:fill="FFFFFF"/>
        </w:rPr>
        <w:t>83,5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A01A6B">
        <w:rPr>
          <w:shd w:val="clear" w:color="auto" w:fill="FFFFFF"/>
        </w:rPr>
        <w:t xml:space="preserve">, tj. </w:t>
      </w:r>
      <w:r w:rsidR="00E01AB1">
        <w:rPr>
          <w:shd w:val="clear" w:color="auto" w:fill="FFFFFF"/>
        </w:rPr>
        <w:t>odpowiednio o 6,1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</w:t>
      </w:r>
      <w:r w:rsidR="00E01AB1">
        <w:rPr>
          <w:shd w:val="clear" w:color="auto" w:fill="FFFFFF"/>
        </w:rPr>
        <w:t>i 5,2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7E1B1D">
        <w:rPr>
          <w:shd w:val="clear" w:color="auto" w:fill="FFFFFF"/>
        </w:rPr>
        <w:t> 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E1B1D">
        <w:rPr>
          <w:shd w:val="clear" w:color="auto" w:fill="FFFFFF"/>
        </w:rPr>
        <w:t>z </w:t>
      </w:r>
      <w:r w:rsidR="00187A74">
        <w:rPr>
          <w:shd w:val="clear" w:color="auto" w:fill="FFFFFF"/>
        </w:rPr>
        <w:t>projektem budowlanym</w:t>
      </w:r>
      <w:r w:rsidR="00A01B2E">
        <w:rPr>
          <w:shd w:val="clear" w:color="auto" w:fill="FFFFFF"/>
        </w:rPr>
        <w:t xml:space="preserve"> dla</w:t>
      </w:r>
      <w:r w:rsidR="00E01AB1">
        <w:rPr>
          <w:shd w:val="clear" w:color="auto" w:fill="FFFFFF"/>
        </w:rPr>
        <w:t xml:space="preserve"> 98,5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E01AB1">
        <w:rPr>
          <w:shd w:val="clear" w:color="auto" w:fill="FFFFFF"/>
        </w:rPr>
        <w:t xml:space="preserve">dziesięciu </w:t>
      </w:r>
      <w:r w:rsidR="00B43D8E">
        <w:rPr>
          <w:shd w:val="clear" w:color="auto" w:fill="FFFFFF"/>
        </w:rPr>
        <w:t>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E01AB1">
        <w:rPr>
          <w:shd w:val="clear" w:color="auto" w:fill="FFFFFF"/>
        </w:rPr>
        <w:t>1</w:t>
      </w:r>
      <w:r w:rsidR="00E01AB1" w:rsidRPr="00E01AB1">
        <w:rPr>
          <w:shd w:val="clear" w:color="auto" w:fill="FFFFFF"/>
        </w:rPr>
        <w:t>301</w:t>
      </w:r>
      <w:r w:rsidR="00E01AB1">
        <w:rPr>
          <w:shd w:val="clear" w:color="auto" w:fill="FFFFFF"/>
        </w:rPr>
        <w:t xml:space="preserve"> </w:t>
      </w:r>
      <w:r w:rsidR="001753B5" w:rsidRPr="007D1F83">
        <w:rPr>
          <w:shd w:val="clear" w:color="auto" w:fill="FFFFFF"/>
        </w:rPr>
        <w:t xml:space="preserve">mieszkań </w:t>
      </w:r>
      <w:r w:rsidR="00A0335F" w:rsidRPr="007D1F83">
        <w:rPr>
          <w:shd w:val="clear" w:color="auto" w:fill="FFFFFF"/>
        </w:rPr>
        <w:t xml:space="preserve">wobec </w:t>
      </w:r>
      <w:r w:rsidR="00E01AB1">
        <w:rPr>
          <w:shd w:val="clear" w:color="auto" w:fill="FFFFFF"/>
        </w:rPr>
        <w:t>1</w:t>
      </w:r>
      <w:r w:rsidR="00E01AB1" w:rsidRPr="00E01AB1">
        <w:rPr>
          <w:shd w:val="clear" w:color="auto" w:fill="FFFFFF"/>
        </w:rPr>
        <w:t>461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E01AB1">
        <w:rPr>
          <w:shd w:val="clear" w:color="auto" w:fill="FFFFFF"/>
        </w:rPr>
        <w:t>2</w:t>
      </w:r>
      <w:r w:rsidR="00E01AB1" w:rsidRPr="00E01AB1">
        <w:rPr>
          <w:shd w:val="clear" w:color="auto" w:fill="FFFFFF"/>
        </w:rPr>
        <w:t>190</w:t>
      </w:r>
      <w:r w:rsidR="00E01AB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wobec </w:t>
      </w:r>
      <w:r w:rsidR="00E01AB1">
        <w:rPr>
          <w:shd w:val="clear" w:color="auto" w:fill="FFFFFF"/>
        </w:rPr>
        <w:t>3</w:t>
      </w:r>
      <w:r w:rsidR="00E01AB1" w:rsidRPr="00E01AB1">
        <w:rPr>
          <w:shd w:val="clear" w:color="auto" w:fill="FFFFFF"/>
        </w:rPr>
        <w:t>402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3EBF2E96" w:rsidR="00B43D8E" w:rsidRPr="00FA5128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476B0F0D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43697C6A" w:rsidR="00B43D8E" w:rsidRDefault="00D2644B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1AFE8EB2" w:rsidR="00B43D8E" w:rsidRDefault="00E01AB1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32B4FC6F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D2644B">
              <w:rPr>
                <w:color w:val="000000" w:themeColor="text1"/>
                <w:sz w:val="16"/>
                <w:szCs w:val="16"/>
              </w:rPr>
              <w:t>X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29952EFD" w:rsidR="00B43D8E" w:rsidRPr="00FA5128" w:rsidRDefault="00567A7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27 824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74AC11ED" w:rsidR="00B43D8E" w:rsidRPr="00FA5128" w:rsidRDefault="00567A7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112,3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14B5A9D2" w:rsidR="00B43D8E" w:rsidRPr="00FA5128" w:rsidRDefault="00567A7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112,4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2CB9A045" w:rsidR="00B43D8E" w:rsidRPr="00FA5128" w:rsidRDefault="00E01AB1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01AB1">
              <w:rPr>
                <w:rFonts w:cs="Arial"/>
                <w:b/>
                <w:color w:val="000000" w:themeColor="text1"/>
                <w:sz w:val="16"/>
                <w:szCs w:val="16"/>
              </w:rPr>
              <w:t>228 934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2FABE4ED" w:rsidR="00B43D8E" w:rsidRPr="00FA5128" w:rsidRDefault="00567A72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b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4D96CFCA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8 691</w:t>
            </w:r>
          </w:p>
        </w:tc>
        <w:tc>
          <w:tcPr>
            <w:tcW w:w="1206" w:type="dxa"/>
            <w:vAlign w:val="center"/>
          </w:tcPr>
          <w:p w14:paraId="0406CC6E" w14:textId="27CB4FFE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1206" w:type="dxa"/>
            <w:vAlign w:val="center"/>
          </w:tcPr>
          <w:p w14:paraId="13DD4AC4" w14:textId="1CD36868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06" w:type="dxa"/>
            <w:vAlign w:val="center"/>
          </w:tcPr>
          <w:p w14:paraId="2B89FA86" w14:textId="52975491" w:rsidR="00B43D8E" w:rsidRPr="00907546" w:rsidRDefault="00E01AB1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83 487</w:t>
            </w:r>
          </w:p>
        </w:tc>
        <w:tc>
          <w:tcPr>
            <w:tcW w:w="1207" w:type="dxa"/>
            <w:vAlign w:val="center"/>
          </w:tcPr>
          <w:p w14:paraId="675CBECB" w14:textId="53AB2D90" w:rsidR="00B43D8E" w:rsidRPr="00907546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7DB6D191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18 810</w:t>
            </w:r>
          </w:p>
        </w:tc>
        <w:tc>
          <w:tcPr>
            <w:tcW w:w="1206" w:type="dxa"/>
            <w:vAlign w:val="center"/>
          </w:tcPr>
          <w:p w14:paraId="0735648A" w14:textId="4CB73188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115,9</w:t>
            </w:r>
          </w:p>
        </w:tc>
        <w:tc>
          <w:tcPr>
            <w:tcW w:w="1206" w:type="dxa"/>
            <w:vAlign w:val="center"/>
          </w:tcPr>
          <w:p w14:paraId="265EAD38" w14:textId="7B39AD95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114,4</w:t>
            </w:r>
          </w:p>
        </w:tc>
        <w:tc>
          <w:tcPr>
            <w:tcW w:w="1206" w:type="dxa"/>
            <w:vAlign w:val="center"/>
          </w:tcPr>
          <w:p w14:paraId="192801D5" w14:textId="104E0FB9" w:rsidR="00B43D8E" w:rsidRPr="008A1C80" w:rsidRDefault="00E01AB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141 956</w:t>
            </w:r>
          </w:p>
        </w:tc>
        <w:tc>
          <w:tcPr>
            <w:tcW w:w="1207" w:type="dxa"/>
            <w:vAlign w:val="center"/>
          </w:tcPr>
          <w:p w14:paraId="2EDAFC9B" w14:textId="5D1C0C2F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16DF2850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06" w:type="dxa"/>
            <w:vAlign w:val="center"/>
          </w:tcPr>
          <w:p w14:paraId="2F99732F" w14:textId="767282CB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1206" w:type="dxa"/>
            <w:vAlign w:val="center"/>
          </w:tcPr>
          <w:p w14:paraId="2CE48FD1" w14:textId="2C6B6B81" w:rsidR="00B43D8E" w:rsidRPr="00E102B7" w:rsidRDefault="00567A72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A72">
              <w:rPr>
                <w:rFonts w:cs="Arial"/>
                <w:sz w:val="16"/>
                <w:szCs w:val="16"/>
              </w:rPr>
              <w:t>47,9</w:t>
            </w:r>
          </w:p>
        </w:tc>
        <w:tc>
          <w:tcPr>
            <w:tcW w:w="1206" w:type="dxa"/>
            <w:vAlign w:val="center"/>
          </w:tcPr>
          <w:p w14:paraId="576E122D" w14:textId="42E30457" w:rsidR="00B43D8E" w:rsidRPr="00C230EE" w:rsidRDefault="00E01AB1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01AB1">
              <w:rPr>
                <w:rFonts w:ascii="Fira Sans" w:hAnsi="Fira Sans"/>
                <w:color w:val="000000" w:themeColor="text1"/>
                <w:sz w:val="16"/>
                <w:szCs w:val="16"/>
              </w:rPr>
              <w:t>1 301</w:t>
            </w:r>
          </w:p>
        </w:tc>
        <w:tc>
          <w:tcPr>
            <w:tcW w:w="1207" w:type="dxa"/>
            <w:vAlign w:val="center"/>
          </w:tcPr>
          <w:p w14:paraId="34BC2C9A" w14:textId="25FE275D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89,0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7E759EFE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14:paraId="57027840" w14:textId="680C0E58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1206" w:type="dxa"/>
            <w:vAlign w:val="center"/>
          </w:tcPr>
          <w:p w14:paraId="14CC0F50" w14:textId="6963E717" w:rsidR="00B43D8E" w:rsidRPr="00E102B7" w:rsidRDefault="00567A72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A72">
              <w:rPr>
                <w:rFonts w:cs="Arial"/>
                <w:sz w:val="16"/>
                <w:szCs w:val="16"/>
              </w:rPr>
              <w:t>179,7</w:t>
            </w:r>
          </w:p>
        </w:tc>
        <w:tc>
          <w:tcPr>
            <w:tcW w:w="1206" w:type="dxa"/>
            <w:vAlign w:val="center"/>
          </w:tcPr>
          <w:p w14:paraId="73741E4A" w14:textId="50EEC2FB" w:rsidR="00B43D8E" w:rsidRPr="00E87F78" w:rsidRDefault="00E01AB1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1 171</w:t>
            </w:r>
          </w:p>
        </w:tc>
        <w:tc>
          <w:tcPr>
            <w:tcW w:w="1207" w:type="dxa"/>
            <w:vAlign w:val="center"/>
          </w:tcPr>
          <w:p w14:paraId="48BAFFDB" w14:textId="4EC816F0" w:rsidR="00B43D8E" w:rsidRPr="00FA512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599936D5" w:rsidR="00B43D8E" w:rsidRPr="00A030E6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14:paraId="6FCFE84F" w14:textId="3CEE4912" w:rsidR="00B43D8E" w:rsidRPr="006E0C18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161015EA" w14:textId="54534E0B" w:rsidR="00B43D8E" w:rsidRPr="00296F96" w:rsidRDefault="00567A72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67A72">
              <w:rPr>
                <w:rFonts w:cs="Arial"/>
                <w:sz w:val="16"/>
                <w:szCs w:val="16"/>
              </w:rPr>
              <w:t>375,8</w:t>
            </w:r>
          </w:p>
        </w:tc>
        <w:tc>
          <w:tcPr>
            <w:tcW w:w="1206" w:type="dxa"/>
            <w:vAlign w:val="center"/>
          </w:tcPr>
          <w:p w14:paraId="02256530" w14:textId="1CA36E90" w:rsidR="00B43D8E" w:rsidRPr="00E87F78" w:rsidRDefault="00E01AB1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1207" w:type="dxa"/>
            <w:vAlign w:val="center"/>
          </w:tcPr>
          <w:p w14:paraId="6FA7983C" w14:textId="0E0FFE5A" w:rsidR="00B43D8E" w:rsidRPr="009F4F41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34,5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5B2922F2" w:rsidR="00B43D8E" w:rsidRPr="00A030E6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06" w:type="dxa"/>
            <w:vAlign w:val="center"/>
          </w:tcPr>
          <w:p w14:paraId="63A1E99C" w14:textId="4A533A1D" w:rsidR="00B43D8E" w:rsidRPr="006D4BD3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58BED5F" w14:textId="26D9E4B3" w:rsidR="00B43D8E" w:rsidRPr="006D4BD3" w:rsidRDefault="0014711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47118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41E3E55" w14:textId="12A03034" w:rsidR="00B43D8E" w:rsidRPr="00E87F78" w:rsidRDefault="00E01AB1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E01AB1">
              <w:rPr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207" w:type="dxa"/>
            <w:vAlign w:val="center"/>
          </w:tcPr>
          <w:p w14:paraId="474A4780" w14:textId="30D5E4B2" w:rsidR="00B43D8E" w:rsidRPr="009F4F41" w:rsidRDefault="00567A72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67A72">
              <w:rPr>
                <w:rFonts w:cs="Arial"/>
                <w:sz w:val="16"/>
                <w:szCs w:val="16"/>
              </w:rPr>
              <w:t>490,6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4DD00DE3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8F6283">
        <w:rPr>
          <w:noProof/>
          <w:lang w:eastAsia="pl-PL"/>
        </w:rPr>
        <w:t>październik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</w:t>
      </w:r>
      <w:r w:rsidR="008F6283">
        <w:rPr>
          <w:noProof/>
          <w:lang w:eastAsia="pl-PL"/>
        </w:rPr>
        <w:t>202,5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5027A8">
        <w:rPr>
          <w:shd w:val="clear" w:color="auto" w:fill="FFFFFF"/>
        </w:rPr>
        <w:t>4</w:t>
      </w:r>
      <w:r w:rsidR="003C0165" w:rsidRPr="00DA0F32">
        <w:rPr>
          <w:shd w:val="clear" w:color="auto" w:fill="FFFFFF"/>
        </w:rPr>
        <w:t>,</w:t>
      </w:r>
      <w:r w:rsidR="005027A8">
        <w:rPr>
          <w:shd w:val="clear" w:color="auto" w:fill="FFFFFF"/>
        </w:rPr>
        <w:t>4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8F6283">
        <w:rPr>
          <w:shd w:val="clear" w:color="auto" w:fill="FFFFFF"/>
        </w:rPr>
        <w:t>117,4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8F6283">
        <w:rPr>
          <w:shd w:val="clear" w:color="auto" w:fill="FFFFFF"/>
        </w:rPr>
        <w:t>80,8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6283">
        <w:rPr>
          <w:shd w:val="clear" w:color="auto" w:fill="FFFFFF"/>
        </w:rPr>
        <w:t>ącznie 97,9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5027A8">
        <w:rPr>
          <w:shd w:val="clear" w:color="auto" w:fill="FFFFFF"/>
        </w:rPr>
        <w:t>4,3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5027A8">
        <w:rPr>
          <w:shd w:val="clear" w:color="auto" w:fill="FFFFFF"/>
        </w:rPr>
        <w:t>i 5,0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9218D1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8F6283">
        <w:rPr>
          <w:shd w:val="clear" w:color="auto" w:fill="FFFFFF"/>
        </w:rPr>
        <w:t>1</w:t>
      </w:r>
      <w:r w:rsidR="008F6283" w:rsidRPr="008F6283">
        <w:rPr>
          <w:shd w:val="clear" w:color="auto" w:fill="FFFFFF"/>
        </w:rPr>
        <w:t xml:space="preserve">895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8F6283">
        <w:rPr>
          <w:shd w:val="clear" w:color="auto" w:fill="FFFFFF"/>
        </w:rPr>
        <w:t>2</w:t>
      </w:r>
      <w:r w:rsidR="008F6283" w:rsidRPr="008F6283">
        <w:rPr>
          <w:shd w:val="clear" w:color="auto" w:fill="FFFFFF"/>
        </w:rPr>
        <w:t>006</w:t>
      </w:r>
      <w:r w:rsidR="004F64F0">
        <w:rPr>
          <w:shd w:val="clear" w:color="auto" w:fill="FFFFFF"/>
        </w:rPr>
        <w:t>) oraz</w:t>
      </w:r>
      <w:r w:rsidR="00E02918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8F6283">
        <w:rPr>
          <w:shd w:val="clear" w:color="auto" w:fill="FFFFFF"/>
        </w:rPr>
        <w:t>2</w:t>
      </w:r>
      <w:r w:rsidR="008F6283" w:rsidRPr="008F6283">
        <w:rPr>
          <w:shd w:val="clear" w:color="auto" w:fill="FFFFFF"/>
        </w:rPr>
        <w:t xml:space="preserve">376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8F6283">
        <w:rPr>
          <w:shd w:val="clear" w:color="auto" w:fill="FFFFFF"/>
        </w:rPr>
        <w:t>2</w:t>
      </w:r>
      <w:r w:rsidR="008F6283" w:rsidRPr="008F6283">
        <w:rPr>
          <w:shd w:val="clear" w:color="auto" w:fill="FFFFFF"/>
        </w:rPr>
        <w:t>483</w:t>
      </w:r>
      <w:r w:rsidR="00336412">
        <w:rPr>
          <w:shd w:val="clear" w:color="auto" w:fill="FFFFFF"/>
        </w:rPr>
        <w:t>).</w:t>
      </w:r>
    </w:p>
    <w:p w14:paraId="0084EC86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6728057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47E1C16D" w:rsidR="00EE66D9" w:rsidRPr="00FA5128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3AC6574D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6610039B" w:rsidR="00EE66D9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4D1EDE20" w:rsidR="00EE66D9" w:rsidRDefault="005C747C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D4186">
              <w:rPr>
                <w:color w:val="000000" w:themeColor="text1"/>
                <w:sz w:val="16"/>
                <w:szCs w:val="16"/>
              </w:rPr>
              <w:t>X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343C55A8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5C747C">
              <w:rPr>
                <w:color w:val="000000" w:themeColor="text1"/>
                <w:sz w:val="16"/>
                <w:szCs w:val="16"/>
              </w:rPr>
              <w:t>X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2751B198" w:rsidR="00EE66D9" w:rsidRPr="00FA5128" w:rsidRDefault="006D4186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b/>
                <w:color w:val="000000" w:themeColor="text1"/>
                <w:sz w:val="16"/>
                <w:szCs w:val="16"/>
              </w:rPr>
              <w:t>24 095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31A0C359" w:rsidR="00EE66D9" w:rsidRPr="00FA5128" w:rsidRDefault="00ED5EC7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b/>
                <w:color w:val="000000" w:themeColor="text1"/>
                <w:sz w:val="16"/>
                <w:szCs w:val="16"/>
              </w:rPr>
              <w:t>120,1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2DB4C989" w:rsidR="00EE66D9" w:rsidRPr="00FA5128" w:rsidRDefault="005027A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111,7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5D1D1352" w:rsidR="00EE66D9" w:rsidRPr="00FA5128" w:rsidRDefault="005027A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202 539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1E3FFB59" w:rsidR="00EE66D9" w:rsidRPr="00FA5128" w:rsidRDefault="005027A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57A85036" w:rsidR="00EE66D9" w:rsidRPr="00FA5128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8 291</w:t>
            </w:r>
          </w:p>
        </w:tc>
        <w:tc>
          <w:tcPr>
            <w:tcW w:w="1206" w:type="dxa"/>
            <w:vAlign w:val="center"/>
          </w:tcPr>
          <w:p w14:paraId="659B9970" w14:textId="7E8949AA" w:rsidR="00EE66D9" w:rsidRPr="00FA5128" w:rsidRDefault="00ED5EC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110,5</w:t>
            </w:r>
          </w:p>
        </w:tc>
        <w:tc>
          <w:tcPr>
            <w:tcW w:w="1206" w:type="dxa"/>
            <w:vAlign w:val="center"/>
          </w:tcPr>
          <w:p w14:paraId="1D5A4EFB" w14:textId="4E53A26D" w:rsidR="00EE66D9" w:rsidRPr="00FA5128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1206" w:type="dxa"/>
            <w:vAlign w:val="center"/>
          </w:tcPr>
          <w:p w14:paraId="2C94BF3D" w14:textId="13329DE4" w:rsidR="00EE66D9" w:rsidRPr="00907546" w:rsidRDefault="005027A8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80 823</w:t>
            </w:r>
          </w:p>
        </w:tc>
        <w:tc>
          <w:tcPr>
            <w:tcW w:w="1207" w:type="dxa"/>
            <w:vAlign w:val="center"/>
          </w:tcPr>
          <w:p w14:paraId="617948A5" w14:textId="2F46F13A" w:rsidR="00EE66D9" w:rsidRPr="00907546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687D6587" w:rsidR="00EE66D9" w:rsidRPr="00FA5128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15 166</w:t>
            </w:r>
          </w:p>
        </w:tc>
        <w:tc>
          <w:tcPr>
            <w:tcW w:w="1206" w:type="dxa"/>
            <w:vAlign w:val="center"/>
          </w:tcPr>
          <w:p w14:paraId="404214C6" w14:textId="1CA608E8" w:rsidR="00E467CC" w:rsidRPr="00FA5128" w:rsidRDefault="00ED5EC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206" w:type="dxa"/>
            <w:vAlign w:val="center"/>
          </w:tcPr>
          <w:p w14:paraId="4223D169" w14:textId="28E07452" w:rsidR="00EE66D9" w:rsidRPr="00FA5128" w:rsidRDefault="00ED5EC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120,8</w:t>
            </w:r>
          </w:p>
        </w:tc>
        <w:tc>
          <w:tcPr>
            <w:tcW w:w="1206" w:type="dxa"/>
            <w:vAlign w:val="center"/>
          </w:tcPr>
          <w:p w14:paraId="73258F0B" w14:textId="38441D9E" w:rsidR="00EE66D9" w:rsidRPr="008A1C80" w:rsidRDefault="005027A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117 445</w:t>
            </w:r>
          </w:p>
        </w:tc>
        <w:tc>
          <w:tcPr>
            <w:tcW w:w="1207" w:type="dxa"/>
            <w:vAlign w:val="center"/>
          </w:tcPr>
          <w:p w14:paraId="02ED9A67" w14:textId="68990D63" w:rsidR="00EE66D9" w:rsidRPr="00FA5128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14:paraId="509595CF" w14:textId="1D235D5F" w:rsidR="00EE66D9" w:rsidRPr="005241EA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4831D365" w:rsidR="00EE66D9" w:rsidRPr="004327B6" w:rsidRDefault="00ED5EC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487,8</w:t>
            </w:r>
          </w:p>
        </w:tc>
        <w:tc>
          <w:tcPr>
            <w:tcW w:w="1206" w:type="dxa"/>
            <w:vAlign w:val="center"/>
          </w:tcPr>
          <w:p w14:paraId="2E82320F" w14:textId="04C864CC" w:rsidR="00EE66D9" w:rsidRPr="00553B0B" w:rsidRDefault="005027A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4A37D338" w:rsidR="00EE66D9" w:rsidRPr="00FA5128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1206" w:type="dxa"/>
            <w:vAlign w:val="center"/>
          </w:tcPr>
          <w:p w14:paraId="50E478AF" w14:textId="1217B128" w:rsidR="00EE66D9" w:rsidRPr="00FA5128" w:rsidRDefault="00ED5EC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D5EC7">
              <w:rPr>
                <w:rFonts w:cs="Arial"/>
                <w:color w:val="000000" w:themeColor="text1"/>
                <w:sz w:val="16"/>
                <w:szCs w:val="16"/>
              </w:rPr>
              <w:t>522,7</w:t>
            </w:r>
          </w:p>
        </w:tc>
        <w:tc>
          <w:tcPr>
            <w:tcW w:w="1206" w:type="dxa"/>
            <w:vAlign w:val="center"/>
          </w:tcPr>
          <w:p w14:paraId="67F6BC1F" w14:textId="3A72585D" w:rsidR="00EE66D9" w:rsidRPr="00E102B7" w:rsidRDefault="005027A8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027A8">
              <w:rPr>
                <w:rFonts w:cs="Arial"/>
                <w:sz w:val="16"/>
                <w:szCs w:val="16"/>
              </w:rPr>
              <w:t>133,7</w:t>
            </w:r>
          </w:p>
        </w:tc>
        <w:tc>
          <w:tcPr>
            <w:tcW w:w="1206" w:type="dxa"/>
            <w:vAlign w:val="center"/>
          </w:tcPr>
          <w:p w14:paraId="7F9BD656" w14:textId="5802750B" w:rsidR="00EE66D9" w:rsidRPr="00C230EE" w:rsidRDefault="005027A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027A8">
              <w:rPr>
                <w:rFonts w:ascii="Fira Sans" w:hAnsi="Fira Sans"/>
                <w:color w:val="000000" w:themeColor="text1"/>
                <w:sz w:val="16"/>
                <w:szCs w:val="16"/>
              </w:rPr>
              <w:t>1 895</w:t>
            </w:r>
          </w:p>
        </w:tc>
        <w:tc>
          <w:tcPr>
            <w:tcW w:w="1207" w:type="dxa"/>
            <w:vAlign w:val="center"/>
          </w:tcPr>
          <w:p w14:paraId="187AA2B9" w14:textId="0B2A54CE" w:rsidR="00EE66D9" w:rsidRPr="00FA5128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94,5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63AF4A0A" w:rsidR="00EE66D9" w:rsidRPr="00FA5128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06" w:type="dxa"/>
            <w:vAlign w:val="center"/>
          </w:tcPr>
          <w:p w14:paraId="7B55480A" w14:textId="5D4D23F5" w:rsidR="00EE66D9" w:rsidRPr="00FA5128" w:rsidRDefault="006D4186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161,4</w:t>
            </w:r>
          </w:p>
        </w:tc>
        <w:tc>
          <w:tcPr>
            <w:tcW w:w="1206" w:type="dxa"/>
            <w:vAlign w:val="center"/>
          </w:tcPr>
          <w:p w14:paraId="11B994F5" w14:textId="1D5B8C50" w:rsidR="00EE66D9" w:rsidRPr="00E102B7" w:rsidRDefault="00ED5EC7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D5EC7">
              <w:rPr>
                <w:rFonts w:cs="Arial"/>
                <w:sz w:val="16"/>
                <w:szCs w:val="16"/>
              </w:rPr>
              <w:t>154,8</w:t>
            </w:r>
          </w:p>
        </w:tc>
        <w:tc>
          <w:tcPr>
            <w:tcW w:w="1206" w:type="dxa"/>
            <w:vAlign w:val="center"/>
          </w:tcPr>
          <w:p w14:paraId="17942F15" w14:textId="6C12F1A2" w:rsidR="00EE66D9" w:rsidRPr="00E87F78" w:rsidRDefault="005027A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1 228</w:t>
            </w:r>
          </w:p>
        </w:tc>
        <w:tc>
          <w:tcPr>
            <w:tcW w:w="1207" w:type="dxa"/>
            <w:vAlign w:val="center"/>
          </w:tcPr>
          <w:p w14:paraId="2ADEF553" w14:textId="49230920" w:rsidR="00EE66D9" w:rsidRPr="00FA5128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113,2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2BF85EFF" w:rsidR="00EE66D9" w:rsidRPr="00A030E6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206" w:type="dxa"/>
            <w:vAlign w:val="center"/>
          </w:tcPr>
          <w:p w14:paraId="19796821" w14:textId="4BB76B2A" w:rsidR="00EE66D9" w:rsidRPr="006E0C18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147,9</w:t>
            </w:r>
          </w:p>
        </w:tc>
        <w:tc>
          <w:tcPr>
            <w:tcW w:w="1206" w:type="dxa"/>
            <w:vAlign w:val="center"/>
          </w:tcPr>
          <w:p w14:paraId="619C837E" w14:textId="601337FE" w:rsidR="00EE66D9" w:rsidRPr="00296F96" w:rsidRDefault="00ED5EC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ED5EC7">
              <w:rPr>
                <w:rFonts w:cs="Arial"/>
                <w:sz w:val="16"/>
                <w:szCs w:val="16"/>
              </w:rPr>
              <w:t>131,6</w:t>
            </w:r>
          </w:p>
        </w:tc>
        <w:tc>
          <w:tcPr>
            <w:tcW w:w="1206" w:type="dxa"/>
            <w:vAlign w:val="center"/>
          </w:tcPr>
          <w:p w14:paraId="4C6D59E1" w14:textId="69B9FD0F" w:rsidR="00EE66D9" w:rsidRPr="00E87F78" w:rsidRDefault="005027A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1 146</w:t>
            </w:r>
          </w:p>
        </w:tc>
        <w:tc>
          <w:tcPr>
            <w:tcW w:w="1207" w:type="dxa"/>
            <w:vAlign w:val="center"/>
          </w:tcPr>
          <w:p w14:paraId="1A1DF62A" w14:textId="7435E908" w:rsidR="00EE66D9" w:rsidRPr="009F4F41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44212DAB" w:rsidR="00EE66D9" w:rsidRPr="00A030E6" w:rsidRDefault="006D4186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9B21647" w14:textId="7423EC2A" w:rsidR="00EE66D9" w:rsidRPr="006E0C18" w:rsidRDefault="006D4186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D4186">
              <w:rPr>
                <w:rFonts w:cs="Arial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1206" w:type="dxa"/>
            <w:vAlign w:val="center"/>
          </w:tcPr>
          <w:p w14:paraId="200D7890" w14:textId="77777777"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3A2B2862" w:rsidR="00EE66D9" w:rsidRPr="00E87F78" w:rsidRDefault="005027A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5027A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3348438E" w14:textId="1F532A1E" w:rsidR="00EE66D9" w:rsidRPr="009F4F41" w:rsidRDefault="005027A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027A8">
              <w:rPr>
                <w:rFonts w:cs="Arial"/>
                <w:color w:val="000000" w:themeColor="text1"/>
                <w:sz w:val="16"/>
                <w:szCs w:val="16"/>
              </w:rPr>
              <w:t>0,7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2EE30BBF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6D4186">
        <w:rPr>
          <w:shd w:val="clear" w:color="auto" w:fill="FFFFFF"/>
        </w:rPr>
        <w:t>października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6D4186">
        <w:rPr>
          <w:shd w:val="clear" w:color="auto" w:fill="FFFFFF"/>
        </w:rPr>
        <w:t>833</w:t>
      </w:r>
      <w:r w:rsidR="000C0B2E">
        <w:rPr>
          <w:shd w:val="clear" w:color="auto" w:fill="FFFFFF"/>
        </w:rPr>
        <w:t>,</w:t>
      </w:r>
      <w:r w:rsidR="00535F4C">
        <w:rPr>
          <w:shd w:val="clear" w:color="auto" w:fill="FFFFFF"/>
        </w:rPr>
        <w:t>6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6D4186">
        <w:rPr>
          <w:shd w:val="clear" w:color="auto" w:fill="FFFFFF"/>
        </w:rPr>
        <w:t>o 3,6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096C0826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4F327732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CBA0748" w14:textId="128E4F69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57B60050" w14:textId="47F1FA1D" w:rsidR="00047CF8" w:rsidRDefault="00210A6F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4553D9A1" wp14:editId="59F5BB2F">
            <wp:simplePos x="0" y="0"/>
            <wp:positionH relativeFrom="margin">
              <wp:align>right</wp:align>
            </wp:positionH>
            <wp:positionV relativeFrom="paragraph">
              <wp:posOffset>225480</wp:posOffset>
            </wp:positionV>
            <wp:extent cx="5122545" cy="2570400"/>
            <wp:effectExtent l="0" t="0" r="0" b="190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5EE" w:rsidRPr="00C31687">
        <w:rPr>
          <w:b/>
          <w:noProof/>
          <w:sz w:val="18"/>
          <w:szCs w:val="18"/>
          <w:lang w:eastAsia="pl-PL"/>
        </w:rPr>
        <w:t xml:space="preserve">   </w:t>
      </w:r>
      <w:r w:rsidR="007E1B1D"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14979B52">
                <wp:simplePos x="0" y="0"/>
                <wp:positionH relativeFrom="page">
                  <wp:posOffset>5775325</wp:posOffset>
                </wp:positionH>
                <wp:positionV relativeFrom="paragraph">
                  <wp:posOffset>59690</wp:posOffset>
                </wp:positionV>
                <wp:extent cx="171704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1CC0DF49" w:rsidR="002D36F4" w:rsidRPr="00296B74" w:rsidRDefault="00F25C7B" w:rsidP="002D36F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6D4186">
                              <w:t>październiku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w porównaniu </w:t>
                            </w:r>
                            <w:r w:rsidR="001B4968" w:rsidRPr="00296B74">
                              <w:br/>
                            </w:r>
                            <w:r w:rsidRPr="00296B74">
                              <w:t xml:space="preserve">do </w:t>
                            </w:r>
                            <w:r w:rsidR="006D4186">
                              <w:t>września</w:t>
                            </w:r>
                            <w:r w:rsidRPr="00296B74">
                              <w:t xml:space="preserve"> 2019 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6D4186" w:rsidRPr="006D4186">
                              <w:t xml:space="preserve">wzrosła </w:t>
                            </w:r>
                            <w:r w:rsidR="006D4186">
                              <w:t xml:space="preserve">zarówno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</w:t>
                            </w:r>
                            <w:r w:rsidR="006D4186">
                              <w:t>(o 1,1</w:t>
                            </w:r>
                            <w:r w:rsidR="002D36F4">
                              <w:t>%</w:t>
                            </w:r>
                            <w:r w:rsidR="006D4186">
                              <w:t>)</w:t>
                            </w:r>
                            <w:r w:rsidR="002D36F4">
                              <w:t xml:space="preserve">, </w:t>
                            </w:r>
                            <w:r w:rsidR="006D4186">
                              <w:t>jak również</w:t>
                            </w:r>
                            <w:r w:rsidR="002D36F4">
                              <w:t xml:space="preserve"> liczba</w:t>
                            </w:r>
                            <w:r w:rsidR="00F84441" w:rsidRPr="00296B74">
                              <w:t xml:space="preserve"> mieszkań, na których budowę wydano pozwolenia lub dokonano zgłoszenia z projektem budowlanym </w:t>
                            </w:r>
                            <w:r w:rsidR="00F864BE" w:rsidRPr="00296B74">
                              <w:t>i</w:t>
                            </w:r>
                            <w:r w:rsidR="00F84441" w:rsidRPr="00296B74">
                              <w:t xml:space="preserve"> których budowę rozpoczęto</w:t>
                            </w:r>
                            <w:r w:rsidR="00460EB6">
                              <w:t>,</w:t>
                            </w:r>
                            <w:r w:rsidR="00F84441" w:rsidRPr="00296B74">
                              <w:t xml:space="preserve"> </w:t>
                            </w:r>
                            <w:r w:rsidR="00975725">
                              <w:t>odpowiednio o 12,3% i 20,1</w:t>
                            </w:r>
                            <w:r w:rsidR="002D36F4">
                              <w:t>%.</w:t>
                            </w:r>
                          </w:p>
                          <w:p w14:paraId="4F0C4222" w14:textId="4FAB5B05" w:rsidR="00C31687" w:rsidRPr="00296B74" w:rsidRDefault="00C31687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9AE4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54.75pt;margin-top:4.7pt;width:135.2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" filled="f" stroked="f">
                <v:textbox style="mso-fit-shape-to-text:t">
                  <w:txbxContent>
                    <w:p w14:paraId="62FBD940" w14:textId="1CC0DF49" w:rsidR="002D36F4" w:rsidRPr="00296B74" w:rsidRDefault="00F25C7B" w:rsidP="002D36F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6D4186">
                        <w:t>październiku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w porównaniu </w:t>
                      </w:r>
                      <w:r w:rsidR="001B4968" w:rsidRPr="00296B74">
                        <w:br/>
                      </w:r>
                      <w:r w:rsidRPr="00296B74">
                        <w:t xml:space="preserve">do </w:t>
                      </w:r>
                      <w:r w:rsidR="006D4186">
                        <w:t>września</w:t>
                      </w:r>
                      <w:r w:rsidRPr="00296B74">
                        <w:t xml:space="preserve"> 2019 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6D4186" w:rsidRPr="006D4186">
                        <w:t xml:space="preserve">wzrosła </w:t>
                      </w:r>
                      <w:r w:rsidR="006D4186">
                        <w:t xml:space="preserve">zarówno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</w:t>
                      </w:r>
                      <w:r w:rsidR="006D4186">
                        <w:t>(o 1,1</w:t>
                      </w:r>
                      <w:r w:rsidR="002D36F4">
                        <w:t>%</w:t>
                      </w:r>
                      <w:r w:rsidR="006D4186">
                        <w:t>)</w:t>
                      </w:r>
                      <w:r w:rsidR="002D36F4">
                        <w:t xml:space="preserve">, </w:t>
                      </w:r>
                      <w:r w:rsidR="006D4186">
                        <w:t>jak również</w:t>
                      </w:r>
                      <w:r w:rsidR="002D36F4">
                        <w:t xml:space="preserve"> liczba</w:t>
                      </w:r>
                      <w:r w:rsidR="00F84441" w:rsidRPr="00296B74">
                        <w:t xml:space="preserve"> mieszkań, na których budowę wydano pozwolenia lub dokonano zgłoszenia z projektem budowlanym </w:t>
                      </w:r>
                      <w:r w:rsidR="00F864BE" w:rsidRPr="00296B74">
                        <w:t>i</w:t>
                      </w:r>
                      <w:r w:rsidR="00F84441" w:rsidRPr="00296B74">
                        <w:t xml:space="preserve"> których budowę rozpoczęto</w:t>
                      </w:r>
                      <w:r w:rsidR="00460EB6">
                        <w:t>,</w:t>
                      </w:r>
                      <w:r w:rsidR="00F84441" w:rsidRPr="00296B74">
                        <w:t xml:space="preserve"> </w:t>
                      </w:r>
                      <w:r w:rsidR="00975725">
                        <w:t>odpowiednio o 12,3% i 20,1</w:t>
                      </w:r>
                      <w:r w:rsidR="002D36F4">
                        <w:t>%.</w:t>
                      </w:r>
                    </w:p>
                    <w:p w14:paraId="4F0C4222" w14:textId="4FAB5B05" w:rsidR="00C31687" w:rsidRPr="00296B74" w:rsidRDefault="00C31687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36EEE0" w14:textId="034D4F90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4AD12505" w14:textId="77777777" w:rsidR="00951EDB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861F1C" w14:textId="40FA345B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975725">
        <w:rPr>
          <w:szCs w:val="19"/>
          <w:shd w:val="clear" w:color="auto" w:fill="FFFFFF"/>
        </w:rPr>
        <w:t>październik</w:t>
      </w:r>
      <w:r w:rsidR="005921E2" w:rsidRPr="005921E2">
        <w:rPr>
          <w:szCs w:val="19"/>
          <w:shd w:val="clear" w:color="auto" w:fill="FFFFFF"/>
        </w:rPr>
        <w:t xml:space="preserve"> </w:t>
      </w:r>
      <w:r w:rsidR="000B256C">
        <w:rPr>
          <w:szCs w:val="19"/>
          <w:shd w:val="clear" w:color="auto" w:fill="FFFFFF"/>
        </w:rPr>
        <w:t>2019 </w:t>
      </w:r>
      <w:r w:rsidR="00BB53B6" w:rsidRPr="005921E2">
        <w:rPr>
          <w:szCs w:val="19"/>
          <w:shd w:val="clear" w:color="auto" w:fill="FFFFFF"/>
        </w:rPr>
        <w:t>r</w:t>
      </w:r>
      <w:r w:rsidR="00BB53B6" w:rsidRPr="008F1C42">
        <w:rPr>
          <w:szCs w:val="19"/>
          <w:shd w:val="clear" w:color="auto" w:fill="FFFFFF"/>
        </w:rPr>
        <w:t>.</w:t>
      </w:r>
      <w:r w:rsidR="0061791A" w:rsidRPr="008F1C42">
        <w:rPr>
          <w:szCs w:val="19"/>
          <w:shd w:val="clear" w:color="auto" w:fill="FFFFFF"/>
        </w:rPr>
        <w:t>,</w:t>
      </w:r>
      <w:r w:rsidR="00BB53B6" w:rsidRPr="008F1C42">
        <w:rPr>
          <w:szCs w:val="19"/>
          <w:shd w:val="clear" w:color="auto" w:fill="FFFFFF"/>
        </w:rPr>
        <w:t xml:space="preserve">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905739">
        <w:rPr>
          <w:szCs w:val="19"/>
          <w:shd w:val="clear" w:color="auto" w:fill="FFFFFF"/>
        </w:rPr>
        <w:t>odpowiednio 41,6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905739">
        <w:rPr>
          <w:szCs w:val="19"/>
          <w:shd w:val="clear" w:color="auto" w:fill="FFFFFF"/>
        </w:rPr>
        <w:t xml:space="preserve"> i 38,4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5F4A3B">
        <w:rPr>
          <w:szCs w:val="19"/>
          <w:shd w:val="clear" w:color="auto" w:fill="FFFFFF"/>
        </w:rPr>
        <w:t>25,1</w:t>
      </w:r>
      <w:r w:rsidRPr="005921E2">
        <w:rPr>
          <w:szCs w:val="19"/>
          <w:shd w:val="clear" w:color="auto" w:fill="FFFFFF"/>
        </w:rPr>
        <w:t xml:space="preserve"> tys. </w:t>
      </w:r>
      <w:r w:rsidR="005F4A3B">
        <w:rPr>
          <w:szCs w:val="19"/>
          <w:shd w:val="clear" w:color="auto" w:fill="FFFFFF"/>
        </w:rPr>
        <w:t>i 22</w:t>
      </w:r>
      <w:r w:rsidR="001030FA" w:rsidRPr="005921E2">
        <w:rPr>
          <w:szCs w:val="19"/>
          <w:shd w:val="clear" w:color="auto" w:fill="FFFFFF"/>
        </w:rPr>
        <w:t>,</w:t>
      </w:r>
      <w:r w:rsidR="005F4A3B">
        <w:rPr>
          <w:szCs w:val="19"/>
          <w:shd w:val="clear" w:color="auto" w:fill="FFFFFF"/>
        </w:rPr>
        <w:t>0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5F4A3B">
        <w:rPr>
          <w:szCs w:val="19"/>
          <w:shd w:val="clear" w:color="auto" w:fill="FFFFFF"/>
        </w:rPr>
        <w:t>(34,7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955B2A">
        <w:rPr>
          <w:szCs w:val="19"/>
          <w:shd w:val="clear" w:color="auto" w:fill="FFFFFF"/>
        </w:rPr>
        <w:t>wielkopolskie</w:t>
      </w:r>
      <w:r w:rsidR="0041374E" w:rsidRPr="005921E2">
        <w:rPr>
          <w:szCs w:val="19"/>
          <w:shd w:val="clear" w:color="auto" w:fill="FFFFFF"/>
        </w:rPr>
        <w:t xml:space="preserve"> (</w:t>
      </w:r>
      <w:r w:rsidR="005F4A3B">
        <w:rPr>
          <w:szCs w:val="19"/>
          <w:shd w:val="clear" w:color="auto" w:fill="FFFFFF"/>
        </w:rPr>
        <w:t>17,9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1FEDE77A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905739">
        <w:rPr>
          <w:b/>
          <w:sz w:val="18"/>
          <w:szCs w:val="18"/>
        </w:rPr>
        <w:t>październik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26E91FA2" w:rsidR="00E56DD9" w:rsidRDefault="00905739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12864" behindDoc="0" locked="0" layoutInCell="1" allowOverlap="1" wp14:anchorId="586F42A5" wp14:editId="7321FA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575685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2AA97E39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8C5119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6CCCA039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750A83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8" w:history="1">
              <w:r w:rsidRPr="00750A8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197B833C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DA13B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DA13B7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DA13B7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DA13B7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DA13B7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D651F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D651F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D651F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1D651F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Mieszkania, na których budowę 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ydan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</w:t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k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D651F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  <w:bookmarkStart w:id="1" w:name="_GoBack"/>
                      <w:bookmarkEnd w:id="1"/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94F3" w14:textId="77777777" w:rsidR="00DA13B7" w:rsidRDefault="00DA13B7" w:rsidP="000662E2">
      <w:pPr>
        <w:spacing w:after="0" w:line="240" w:lineRule="auto"/>
      </w:pPr>
      <w:r>
        <w:separator/>
      </w:r>
    </w:p>
  </w:endnote>
  <w:endnote w:type="continuationSeparator" w:id="0">
    <w:p w14:paraId="4AB4C469" w14:textId="77777777" w:rsidR="00DA13B7" w:rsidRDefault="00DA13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9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9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1B2D3" w14:textId="77777777" w:rsidR="00DA13B7" w:rsidRDefault="00DA13B7" w:rsidP="000662E2">
      <w:pPr>
        <w:spacing w:after="0" w:line="240" w:lineRule="auto"/>
      </w:pPr>
      <w:r>
        <w:separator/>
      </w:r>
    </w:p>
  </w:footnote>
  <w:footnote w:type="continuationSeparator" w:id="0">
    <w:p w14:paraId="5D9DA7FF" w14:textId="77777777" w:rsidR="00DA13B7" w:rsidRDefault="00DA13B7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6A1F7ADE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7E1B1D">
        <w:rPr>
          <w:sz w:val="16"/>
          <w:szCs w:val="16"/>
        </w:rPr>
        <w:t>, natomiast informacje o 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2F804E03" w:rsidR="00112A4D" w:rsidRPr="00C97596" w:rsidRDefault="006C33EC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22.11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2F804E03" w:rsidR="00112A4D" w:rsidRPr="00C97596" w:rsidRDefault="006C33EC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22.11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31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1CE5"/>
    <w:rsid w:val="001B3932"/>
    <w:rsid w:val="001B48A8"/>
    <w:rsid w:val="001B4968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1F6CD0"/>
    <w:rsid w:val="0020139E"/>
    <w:rsid w:val="00202E71"/>
    <w:rsid w:val="002056B1"/>
    <w:rsid w:val="00207360"/>
    <w:rsid w:val="00210A6F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08C6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6811"/>
    <w:rsid w:val="00277F85"/>
    <w:rsid w:val="0028004D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77C8"/>
    <w:rsid w:val="0030115B"/>
    <w:rsid w:val="00304F22"/>
    <w:rsid w:val="00305979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27A8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2EC2"/>
    <w:rsid w:val="00566275"/>
    <w:rsid w:val="005662CD"/>
    <w:rsid w:val="00567A72"/>
    <w:rsid w:val="00576096"/>
    <w:rsid w:val="005762A7"/>
    <w:rsid w:val="005776E0"/>
    <w:rsid w:val="00577BDE"/>
    <w:rsid w:val="00581240"/>
    <w:rsid w:val="00581324"/>
    <w:rsid w:val="00582ED4"/>
    <w:rsid w:val="00585630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1419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2E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7DCC"/>
    <w:rsid w:val="00741554"/>
    <w:rsid w:val="00743BDF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198E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1B1D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25EE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3CA0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3106"/>
    <w:rsid w:val="00904121"/>
    <w:rsid w:val="00904133"/>
    <w:rsid w:val="00905375"/>
    <w:rsid w:val="00905739"/>
    <w:rsid w:val="00905A67"/>
    <w:rsid w:val="00906857"/>
    <w:rsid w:val="00907546"/>
    <w:rsid w:val="009076B2"/>
    <w:rsid w:val="00911CF2"/>
    <w:rsid w:val="009127BA"/>
    <w:rsid w:val="0091310A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5F03"/>
    <w:rsid w:val="009665D3"/>
    <w:rsid w:val="0096740A"/>
    <w:rsid w:val="009705EE"/>
    <w:rsid w:val="00972147"/>
    <w:rsid w:val="00972898"/>
    <w:rsid w:val="00972B83"/>
    <w:rsid w:val="0097447F"/>
    <w:rsid w:val="00975725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6309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A6B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561ED"/>
    <w:rsid w:val="00C64A37"/>
    <w:rsid w:val="00C6552F"/>
    <w:rsid w:val="00C67295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350E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13B7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9D7"/>
    <w:rsid w:val="00DC0CDE"/>
    <w:rsid w:val="00DC4295"/>
    <w:rsid w:val="00DC6708"/>
    <w:rsid w:val="00DC6871"/>
    <w:rsid w:val="00DD0E9C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291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obszary-tematyczne/przemysl-budownictwo-srodki-trwale/budownictwo/publikacja,3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19\INFORMACJA%20SYGNALNA\pa&#378;dziernik\wykres%20wg%20wojew&#243;dztw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Arkusz1!$B$4:$AU$4</c:f>
              <c:numCache>
                <c:formatCode>General</c:formatCode>
                <c:ptCount val="46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15551</c:v>
                </c:pt>
                <c:pt idx="43">
                  <c:v>17748</c:v>
                </c:pt>
                <c:pt idx="44">
                  <c:v>17722</c:v>
                </c:pt>
                <c:pt idx="45">
                  <c:v>19078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Arkusz1!$B$16:$AU$16</c:f>
              <c:numCache>
                <c:formatCode>General</c:formatCode>
                <c:ptCount val="46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Arkusz1!$B$2:$AU$3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Arkusz1!$B$10:$AU$10</c:f>
              <c:numCache>
                <c:formatCode>General</c:formatCode>
                <c:ptCount val="46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6715968"/>
        <c:axId val="-1656718144"/>
      </c:lineChart>
      <c:catAx>
        <c:axId val="-165671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67181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5671814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671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9197313054351E-3"/>
          <c:y val="0.83117230805748987"/>
          <c:w val="0.89657758008958455"/>
          <c:h val="0.168827691942510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6697632"/>
        <c:axId val="-1656691648"/>
      </c:lineChart>
      <c:catAx>
        <c:axId val="-165669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669164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5669164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669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2878</c:v>
                </c:pt>
                <c:pt idx="1">
                  <c:v>3493</c:v>
                </c:pt>
                <c:pt idx="2">
                  <c:v>4805</c:v>
                </c:pt>
                <c:pt idx="3">
                  <c:v>6689</c:v>
                </c:pt>
                <c:pt idx="4">
                  <c:v>4752</c:v>
                </c:pt>
                <c:pt idx="5">
                  <c:v>7510</c:v>
                </c:pt>
                <c:pt idx="6">
                  <c:v>8817</c:v>
                </c:pt>
                <c:pt idx="7">
                  <c:v>8215</c:v>
                </c:pt>
                <c:pt idx="8">
                  <c:v>9873</c:v>
                </c:pt>
                <c:pt idx="9">
                  <c:v>11278</c:v>
                </c:pt>
                <c:pt idx="10">
                  <c:v>14697</c:v>
                </c:pt>
                <c:pt idx="11">
                  <c:v>19178</c:v>
                </c:pt>
                <c:pt idx="12">
                  <c:v>18846</c:v>
                </c:pt>
                <c:pt idx="13">
                  <c:v>22027</c:v>
                </c:pt>
                <c:pt idx="14">
                  <c:v>21081</c:v>
                </c:pt>
                <c:pt idx="15">
                  <c:v>38400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3288</c:v>
                </c:pt>
                <c:pt idx="1">
                  <c:v>3625</c:v>
                </c:pt>
                <c:pt idx="2">
                  <c:v>5534</c:v>
                </c:pt>
                <c:pt idx="3">
                  <c:v>6922</c:v>
                </c:pt>
                <c:pt idx="4">
                  <c:v>6519</c:v>
                </c:pt>
                <c:pt idx="5">
                  <c:v>8418</c:v>
                </c:pt>
                <c:pt idx="6">
                  <c:v>9755</c:v>
                </c:pt>
                <c:pt idx="7">
                  <c:v>10705</c:v>
                </c:pt>
                <c:pt idx="8">
                  <c:v>11117</c:v>
                </c:pt>
                <c:pt idx="9">
                  <c:v>12034</c:v>
                </c:pt>
                <c:pt idx="10">
                  <c:v>17995</c:v>
                </c:pt>
                <c:pt idx="11">
                  <c:v>22070</c:v>
                </c:pt>
                <c:pt idx="12">
                  <c:v>20084</c:v>
                </c:pt>
                <c:pt idx="13">
                  <c:v>25140</c:v>
                </c:pt>
                <c:pt idx="14">
                  <c:v>24096</c:v>
                </c:pt>
                <c:pt idx="15">
                  <c:v>41632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Zachodniopomorskie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1946</c:v>
                </c:pt>
                <c:pt idx="1">
                  <c:v>3025</c:v>
                </c:pt>
                <c:pt idx="2">
                  <c:v>3315</c:v>
                </c:pt>
                <c:pt idx="3">
                  <c:v>4827</c:v>
                </c:pt>
                <c:pt idx="4">
                  <c:v>4991</c:v>
                </c:pt>
                <c:pt idx="5">
                  <c:v>5742</c:v>
                </c:pt>
                <c:pt idx="6">
                  <c:v>6410</c:v>
                </c:pt>
                <c:pt idx="7">
                  <c:v>6961</c:v>
                </c:pt>
                <c:pt idx="8">
                  <c:v>7472</c:v>
                </c:pt>
                <c:pt idx="9">
                  <c:v>7933</c:v>
                </c:pt>
                <c:pt idx="10">
                  <c:v>10848</c:v>
                </c:pt>
                <c:pt idx="11">
                  <c:v>13827</c:v>
                </c:pt>
                <c:pt idx="12">
                  <c:v>17087</c:v>
                </c:pt>
                <c:pt idx="13">
                  <c:v>17617</c:v>
                </c:pt>
                <c:pt idx="14">
                  <c:v>17903</c:v>
                </c:pt>
                <c:pt idx="15">
                  <c:v>34728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56692736"/>
        <c:axId val="-1656697088"/>
      </c:barChart>
      <c:catAx>
        <c:axId val="-1656692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56697088"/>
        <c:crosses val="autoZero"/>
        <c:auto val="1"/>
        <c:lblAlgn val="ctr"/>
        <c:lblOffset val="100"/>
        <c:noMultiLvlLbl val="0"/>
      </c:catAx>
      <c:valAx>
        <c:axId val="-1656697088"/>
        <c:scaling>
          <c:orientation val="minMax"/>
          <c:max val="4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656692736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20070882735047"/>
          <c:y val="0.83608819009504476"/>
          <c:w val="0.83688211129506873"/>
          <c:h val="0.118754308614992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F4D4-60ED-49F3-8250-C0D33404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styczeń-wrzesień 2019 roku</vt:lpstr>
    </vt:vector>
  </TitlesOfParts>
  <Company>Główny Urząd Statystyczny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styczeń-październik 2019 roku</dc:title>
  <dc:creator>GUS</dc:creator>
  <cp:keywords>mieszkania oddane do użytkowania; mieszkania w budowie; mieszkania rozpoczęte; pozwolenie na budowę; powierzchnia użytkowa</cp:keywords>
  <cp:lastPrinted>2019-11-21T12:47:00Z</cp:lastPrinted>
  <dcterms:created xsi:type="dcterms:W3CDTF">2019-11-20T11:36:00Z</dcterms:created>
  <dcterms:modified xsi:type="dcterms:W3CDTF">2019-11-21T12:47:00Z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