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0B910C0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A6B91">
        <w:rPr>
          <w:color w:val="auto"/>
          <w:szCs w:val="40"/>
          <w:shd w:val="clear" w:color="auto" w:fill="FFFFFF"/>
        </w:rPr>
        <w:t>V</w:t>
      </w:r>
      <w:r w:rsidR="00412E8A">
        <w:rPr>
          <w:color w:val="auto"/>
          <w:szCs w:val="40"/>
          <w:shd w:val="clear" w:color="auto" w:fill="FFFFFF"/>
        </w:rPr>
        <w:t>I</w:t>
      </w:r>
      <w:r w:rsidR="000167C7">
        <w:rPr>
          <w:color w:val="auto"/>
          <w:szCs w:val="40"/>
          <w:shd w:val="clear" w:color="auto" w:fill="FFFFFF"/>
        </w:rPr>
        <w:t>I</w:t>
      </w:r>
      <w:r w:rsidR="00904121">
        <w:rPr>
          <w:color w:val="auto"/>
          <w:szCs w:val="40"/>
          <w:shd w:val="clear" w:color="auto" w:fill="FFFFFF"/>
        </w:rPr>
        <w:t>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1C9A90FE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728CB21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0DFAFE2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046D913A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412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110,4</w:t>
                            </w:r>
                          </w:p>
                          <w:p w14:paraId="7EBB0A62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81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531F9C46" w14:textId="046D913A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412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110,4</w:t>
                      </w:r>
                    </w:p>
                    <w:p w14:paraId="7EBB0A62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27D93">
        <w:t xml:space="preserve">okresie </w:t>
      </w:r>
      <w:r w:rsidR="00904121">
        <w:t>ośmiu</w:t>
      </w:r>
      <w:r w:rsidR="00A27D93">
        <w:t xml:space="preserve"> 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F91606">
        <w:t xml:space="preserve"> oraz</w:t>
      </w:r>
      <w:r w:rsidR="008B0F20">
        <w:t xml:space="preserve">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EA8CBED">
                <wp:simplePos x="0" y="0"/>
                <wp:positionH relativeFrom="page">
                  <wp:posOffset>5739130</wp:posOffset>
                </wp:positionH>
                <wp:positionV relativeFrom="paragraph">
                  <wp:posOffset>182245</wp:posOffset>
                </wp:positionV>
                <wp:extent cx="1760220" cy="767080"/>
                <wp:effectExtent l="0" t="0" r="0" b="0"/>
                <wp:wrapTight wrapText="bothSides">
                  <wp:wrapPolygon edited="0">
                    <wp:start x="701" y="0"/>
                    <wp:lineTo x="701" y="20921"/>
                    <wp:lineTo x="20805" y="20921"/>
                    <wp:lineTo x="20805" y="0"/>
                    <wp:lineTo x="701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3D99FF54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9D48C2">
                              <w:t>62,2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5662CD">
                              <w:t>2</w:t>
                            </w:r>
                            <w:r w:rsidR="00A14EA4">
                              <w:t>,</w:t>
                            </w:r>
                            <w:r w:rsidR="009D48C2">
                              <w:t>2</w:t>
                            </w:r>
                            <w:r w:rsidR="00231001" w:rsidRPr="0023461B">
                              <w:t xml:space="preserve"> p. proc. więcej niż w ub.</w:t>
                            </w:r>
                            <w:r w:rsidR="0039588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1.9pt;margin-top:14.35pt;width:138.6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" filled="f" stroked="f">
                <v:textbox>
                  <w:txbxContent>
                    <w:p w14:paraId="1DB05ABD" w14:textId="3D99FF54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9D48C2">
                        <w:t>62,2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5662CD">
                        <w:t>2</w:t>
                      </w:r>
                      <w:r w:rsidR="00A14EA4">
                        <w:t>,</w:t>
                      </w:r>
                      <w:r w:rsidR="009D48C2">
                        <w:t>2</w:t>
                      </w:r>
                      <w:r w:rsidR="00231001" w:rsidRPr="0023461B">
                        <w:t xml:space="preserve"> p. proc. więcej niż w ub.</w:t>
                      </w:r>
                      <w:r w:rsidR="00395881">
                        <w:t xml:space="preserve">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739192AF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1E6CA055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350F22">
                              <w:t>V</w:t>
                            </w:r>
                            <w:r w:rsidR="00165D6F">
                              <w:t>I</w:t>
                            </w:r>
                            <w:r w:rsidR="00536846">
                              <w:t>I</w:t>
                            </w:r>
                            <w:r w:rsidR="00452007">
                              <w:t>I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452007">
                              <w:t>wyniosła 89,9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1E6CA055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350F22">
                        <w:t>V</w:t>
                      </w:r>
                      <w:r w:rsidR="00165D6F">
                        <w:t>I</w:t>
                      </w:r>
                      <w:r w:rsidR="00536846">
                        <w:t>I</w:t>
                      </w:r>
                      <w:r w:rsidR="00452007">
                        <w:t>I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452007">
                        <w:t>wyniosła 89,9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904121">
        <w:rPr>
          <w:shd w:val="clear" w:color="auto" w:fill="FFFFFF"/>
        </w:rPr>
        <w:t>sierpień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904121">
        <w:rPr>
          <w:shd w:val="clear" w:color="auto" w:fill="FFFFFF"/>
        </w:rPr>
        <w:t>127,8</w:t>
      </w:r>
      <w:r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F91606">
        <w:rPr>
          <w:shd w:val="clear" w:color="auto" w:fill="FFFFFF"/>
        </w:rPr>
        <w:t>10</w:t>
      </w:r>
      <w:r w:rsidR="00DB1E64">
        <w:rPr>
          <w:shd w:val="clear" w:color="auto" w:fill="FFFFFF"/>
        </w:rPr>
        <w:t>,</w:t>
      </w:r>
      <w:r w:rsidR="00904121">
        <w:rPr>
          <w:shd w:val="clear" w:color="auto" w:fill="FFFFFF"/>
        </w:rPr>
        <w:t>4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904121">
        <w:rPr>
          <w:shd w:val="clear" w:color="auto" w:fill="FFFFFF"/>
        </w:rPr>
        <w:t>79,5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904121">
        <w:rPr>
          <w:shd w:val="clear" w:color="auto" w:fill="FFFFFF"/>
        </w:rPr>
        <w:t>14,3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proofErr w:type="spellStart"/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proofErr w:type="spellEnd"/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904121">
        <w:rPr>
          <w:shd w:val="clear" w:color="auto" w:fill="FFFFFF"/>
        </w:rPr>
        <w:t>44,3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E8566C">
        <w:rPr>
          <w:shd w:val="clear" w:color="auto" w:fill="FFFFFF"/>
        </w:rPr>
        <w:t>2</w:t>
      </w:r>
      <w:r w:rsidR="00865E47" w:rsidRPr="00DA0F32">
        <w:rPr>
          <w:shd w:val="clear" w:color="auto" w:fill="FFFFFF"/>
        </w:rPr>
        <w:t>,</w:t>
      </w:r>
      <w:r w:rsidR="00904121">
        <w:rPr>
          <w:shd w:val="clear" w:color="auto" w:fill="FFFFFF"/>
        </w:rPr>
        <w:t>0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904121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,</w:t>
      </w:r>
      <w:r w:rsidR="00904121">
        <w:rPr>
          <w:shd w:val="clear" w:color="auto" w:fill="FFFFFF"/>
        </w:rPr>
        <w:t>8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9D48C2">
        <w:rPr>
          <w:shd w:val="clear" w:color="auto" w:fill="FFFFFF"/>
        </w:rPr>
        <w:t>1337</w:t>
      </w:r>
      <w:r w:rsidR="00B1192F" w:rsidRPr="00DA0F32">
        <w:rPr>
          <w:shd w:val="clear" w:color="auto" w:fill="FFFFFF"/>
        </w:rPr>
        <w:t xml:space="preserve"> wobec </w:t>
      </w:r>
      <w:r w:rsidR="009D48C2">
        <w:rPr>
          <w:shd w:val="clear" w:color="auto" w:fill="FFFFFF"/>
        </w:rPr>
        <w:t>1425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9D48C2">
        <w:rPr>
          <w:shd w:val="clear" w:color="auto" w:fill="FFFFFF"/>
        </w:rPr>
        <w:t>2716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9D48C2">
        <w:rPr>
          <w:shd w:val="clear" w:color="auto" w:fill="FFFFFF"/>
        </w:rPr>
        <w:t>84,3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66BB6D37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A13514">
        <w:rPr>
          <w:shd w:val="clear" w:color="auto" w:fill="FFFFFF"/>
        </w:rPr>
        <w:t>V</w:t>
      </w:r>
      <w:r w:rsidR="00165D6F">
        <w:rPr>
          <w:shd w:val="clear" w:color="auto" w:fill="FFFFFF"/>
        </w:rPr>
        <w:t>I</w:t>
      </w:r>
      <w:r w:rsidR="005662CD">
        <w:rPr>
          <w:shd w:val="clear" w:color="auto" w:fill="FFFFFF"/>
        </w:rPr>
        <w:t>I</w:t>
      </w:r>
      <w:r w:rsidR="009D48C2">
        <w:rPr>
          <w:shd w:val="clear" w:color="auto" w:fill="FFFFFF"/>
        </w:rPr>
        <w:t>I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9D48C2">
        <w:rPr>
          <w:shd w:val="clear" w:color="auto" w:fill="FFFFFF"/>
        </w:rPr>
        <w:t xml:space="preserve">11,5 </w:t>
      </w:r>
      <w:r w:rsidRPr="00DA0F32">
        <w:rPr>
          <w:shd w:val="clear" w:color="auto" w:fill="FFFFFF"/>
        </w:rPr>
        <w:t>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91350E">
        <w:rPr>
          <w:shd w:val="clear" w:color="auto" w:fill="FFFFFF"/>
        </w:rPr>
        <w:t>7</w:t>
      </w:r>
      <w:r w:rsidRPr="00DA0F32">
        <w:rPr>
          <w:shd w:val="clear" w:color="auto" w:fill="FFFFFF"/>
        </w:rPr>
        <w:t>,</w:t>
      </w:r>
      <w:r w:rsidR="0091350E">
        <w:rPr>
          <w:shd w:val="clear" w:color="auto" w:fill="FFFFFF"/>
        </w:rPr>
        <w:t>8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165D6F">
        <w:rPr>
          <w:shd w:val="clear" w:color="auto" w:fill="FFFFFF"/>
        </w:rPr>
        <w:t>styczeń-</w:t>
      </w:r>
      <w:r w:rsidR="00452007">
        <w:rPr>
          <w:shd w:val="clear" w:color="auto" w:fill="FFFFFF"/>
        </w:rPr>
        <w:t>sierpień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5662CD">
        <w:rPr>
          <w:shd w:val="clear" w:color="auto" w:fill="FFFFFF"/>
        </w:rPr>
        <w:t>zmniejszyła się o 2,</w:t>
      </w:r>
      <w:r w:rsidR="00452007">
        <w:rPr>
          <w:shd w:val="clear" w:color="auto" w:fill="FFFFFF"/>
        </w:rPr>
        <w:t>1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452007">
        <w:rPr>
          <w:shd w:val="clear" w:color="auto" w:fill="FFFFFF"/>
        </w:rPr>
        <w:t>89,9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484F8C75" w:rsidR="00FA56EF" w:rsidRPr="00FA5128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45200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2ECC4B75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45200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6E779102" w:rsidR="00FA56EF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452007">
              <w:rPr>
                <w:color w:val="000000" w:themeColor="text1"/>
                <w:sz w:val="16"/>
                <w:szCs w:val="16"/>
              </w:rPr>
              <w:t>I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7C02DAD5" w:rsidR="00FA56EF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452007">
              <w:rPr>
                <w:color w:val="000000" w:themeColor="text1"/>
                <w:sz w:val="16"/>
                <w:szCs w:val="16"/>
              </w:rPr>
              <w:t>I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149206CE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452007">
              <w:rPr>
                <w:color w:val="000000" w:themeColor="text1"/>
                <w:sz w:val="16"/>
                <w:szCs w:val="16"/>
              </w:rPr>
              <w:t>I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06E99438" w:rsidR="00FA56EF" w:rsidRPr="00FA5128" w:rsidRDefault="00452007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b/>
                <w:color w:val="000000" w:themeColor="text1"/>
                <w:sz w:val="16"/>
                <w:szCs w:val="16"/>
              </w:rPr>
              <w:t>17 748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0751A136" w:rsidR="00FA56EF" w:rsidRPr="00FA5128" w:rsidRDefault="002056B1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b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371B8DEC" w:rsidR="00FA56EF" w:rsidRPr="00FA5128" w:rsidRDefault="002056B1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b/>
                <w:color w:val="000000" w:themeColor="text1"/>
                <w:sz w:val="16"/>
                <w:szCs w:val="16"/>
              </w:rPr>
              <w:t>114,1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6AE2F665" w:rsidR="00FA56EF" w:rsidRPr="00FA5128" w:rsidRDefault="00452007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b/>
                <w:color w:val="000000" w:themeColor="text1"/>
                <w:sz w:val="16"/>
                <w:szCs w:val="16"/>
              </w:rPr>
              <w:t>127 832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16B50CF9" w:rsidR="00FA56EF" w:rsidRPr="00FA5128" w:rsidRDefault="00452007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b/>
                <w:color w:val="000000" w:themeColor="text1"/>
                <w:sz w:val="16"/>
                <w:szCs w:val="16"/>
              </w:rPr>
              <w:t>110,4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3A6462BD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5 509</w:t>
            </w:r>
          </w:p>
        </w:tc>
        <w:tc>
          <w:tcPr>
            <w:tcW w:w="1206" w:type="dxa"/>
            <w:vAlign w:val="center"/>
          </w:tcPr>
          <w:p w14:paraId="5D54C604" w14:textId="5221B0A1" w:rsidR="00FA56EF" w:rsidRPr="00FA5128" w:rsidRDefault="002056B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206" w:type="dxa"/>
            <w:vAlign w:val="center"/>
          </w:tcPr>
          <w:p w14:paraId="183D79A6" w14:textId="65E0C7BC" w:rsidR="00FA56EF" w:rsidRPr="00FA5128" w:rsidRDefault="002056B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1206" w:type="dxa"/>
            <w:vAlign w:val="center"/>
          </w:tcPr>
          <w:p w14:paraId="097081E4" w14:textId="41096BBC" w:rsidR="00FA56EF" w:rsidRPr="00907546" w:rsidRDefault="00452007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52007">
              <w:rPr>
                <w:rFonts w:ascii="Fira Sans" w:hAnsi="Fira Sans"/>
                <w:color w:val="000000" w:themeColor="text1"/>
                <w:sz w:val="16"/>
                <w:szCs w:val="16"/>
              </w:rPr>
              <w:t>44 308</w:t>
            </w:r>
          </w:p>
        </w:tc>
        <w:tc>
          <w:tcPr>
            <w:tcW w:w="1207" w:type="dxa"/>
            <w:vAlign w:val="center"/>
          </w:tcPr>
          <w:p w14:paraId="3C33BE3A" w14:textId="71038796" w:rsidR="00FA56EF" w:rsidRPr="00907546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4CAA31A4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11 276</w:t>
            </w:r>
          </w:p>
        </w:tc>
        <w:tc>
          <w:tcPr>
            <w:tcW w:w="1206" w:type="dxa"/>
            <w:vAlign w:val="center"/>
          </w:tcPr>
          <w:p w14:paraId="7A2D6AC4" w14:textId="4867E02B" w:rsidR="00FA56EF" w:rsidRPr="00FA5128" w:rsidRDefault="002056B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1206" w:type="dxa"/>
            <w:vAlign w:val="center"/>
          </w:tcPr>
          <w:p w14:paraId="3B65D5B8" w14:textId="6833299F" w:rsidR="00FA56EF" w:rsidRPr="00FA5128" w:rsidRDefault="006E2350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2350">
              <w:rPr>
                <w:rFonts w:cs="Arial"/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1206" w:type="dxa"/>
            <w:vAlign w:val="center"/>
          </w:tcPr>
          <w:p w14:paraId="4CC4B8B4" w14:textId="0E729510" w:rsidR="00FA56EF" w:rsidRPr="008A1C80" w:rsidRDefault="00452007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52007">
              <w:rPr>
                <w:rFonts w:ascii="Fira Sans" w:hAnsi="Fira Sans"/>
                <w:color w:val="000000" w:themeColor="text1"/>
                <w:sz w:val="16"/>
                <w:szCs w:val="16"/>
              </w:rPr>
              <w:t>79 471</w:t>
            </w:r>
          </w:p>
        </w:tc>
        <w:tc>
          <w:tcPr>
            <w:tcW w:w="1207" w:type="dxa"/>
            <w:vAlign w:val="center"/>
          </w:tcPr>
          <w:p w14:paraId="31EEA875" w14:textId="28E6F79F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114,3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25D82F78" w:rsidR="00FA56EF" w:rsidRPr="005241EA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4FA396AC" w:rsidR="00FA56EF" w:rsidRPr="004327B6" w:rsidRDefault="006E2350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2350">
              <w:rPr>
                <w:rFonts w:cs="Arial"/>
                <w:color w:val="000000" w:themeColor="text1"/>
                <w:sz w:val="16"/>
                <w:szCs w:val="16"/>
              </w:rPr>
              <w:t>232,7</w:t>
            </w:r>
          </w:p>
        </w:tc>
        <w:tc>
          <w:tcPr>
            <w:tcW w:w="1206" w:type="dxa"/>
            <w:vAlign w:val="center"/>
          </w:tcPr>
          <w:p w14:paraId="26E8EB4C" w14:textId="085CF39E" w:rsidR="00FA56EF" w:rsidRPr="00553B0B" w:rsidRDefault="00452007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52007">
              <w:rPr>
                <w:rFonts w:ascii="Fira Sans" w:hAnsi="Fira Sans"/>
                <w:color w:val="000000" w:themeColor="text1"/>
                <w:sz w:val="16"/>
                <w:szCs w:val="16"/>
              </w:rPr>
              <w:t>1 167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6DD391C8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1206" w:type="dxa"/>
            <w:vAlign w:val="center"/>
          </w:tcPr>
          <w:p w14:paraId="1ADD896C" w14:textId="4FA9F016" w:rsidR="00FA56EF" w:rsidRPr="00FA5128" w:rsidRDefault="002056B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06" w:type="dxa"/>
            <w:vAlign w:val="center"/>
          </w:tcPr>
          <w:p w14:paraId="3FEDC322" w14:textId="3A6794FA" w:rsidR="00FA56EF" w:rsidRPr="00E102B7" w:rsidRDefault="002056B1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056B1"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1206" w:type="dxa"/>
            <w:vAlign w:val="center"/>
          </w:tcPr>
          <w:p w14:paraId="1F63D375" w14:textId="47C97A09" w:rsidR="00FA56EF" w:rsidRPr="00F54181" w:rsidRDefault="00452007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52007">
              <w:rPr>
                <w:rFonts w:ascii="Fira Sans" w:hAnsi="Fira Sans"/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1207" w:type="dxa"/>
            <w:vAlign w:val="center"/>
          </w:tcPr>
          <w:p w14:paraId="53B3FCC1" w14:textId="22378918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93,8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1DE60B26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206" w:type="dxa"/>
            <w:vAlign w:val="center"/>
          </w:tcPr>
          <w:p w14:paraId="2385018D" w14:textId="21CBEA4F" w:rsidR="00FA56EF" w:rsidRPr="00FA5128" w:rsidRDefault="002056B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color w:val="000000" w:themeColor="text1"/>
                <w:sz w:val="16"/>
                <w:szCs w:val="16"/>
              </w:rPr>
              <w:t>115,7</w:t>
            </w:r>
          </w:p>
        </w:tc>
        <w:tc>
          <w:tcPr>
            <w:tcW w:w="1206" w:type="dxa"/>
            <w:vAlign w:val="center"/>
          </w:tcPr>
          <w:p w14:paraId="40995331" w14:textId="4F32CB91" w:rsidR="00FA56EF" w:rsidRPr="00E102B7" w:rsidRDefault="006E2350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168,8</w:t>
            </w:r>
          </w:p>
        </w:tc>
        <w:tc>
          <w:tcPr>
            <w:tcW w:w="1206" w:type="dxa"/>
            <w:vAlign w:val="center"/>
          </w:tcPr>
          <w:p w14:paraId="551957E4" w14:textId="645340B9" w:rsidR="00FA56EF" w:rsidRPr="00E87F78" w:rsidRDefault="00452007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1 036</w:t>
            </w:r>
          </w:p>
        </w:tc>
        <w:tc>
          <w:tcPr>
            <w:tcW w:w="1207" w:type="dxa"/>
            <w:vAlign w:val="center"/>
          </w:tcPr>
          <w:p w14:paraId="484D9E8B" w14:textId="694C6A54" w:rsidR="00FA56EF" w:rsidRPr="00FA5128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141,0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77BAF573" w:rsidR="00FA56EF" w:rsidRPr="00A030E6" w:rsidRDefault="00C6729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525</w:t>
            </w:r>
          </w:p>
        </w:tc>
        <w:tc>
          <w:tcPr>
            <w:tcW w:w="1206" w:type="dxa"/>
            <w:vAlign w:val="center"/>
          </w:tcPr>
          <w:p w14:paraId="5264D7D8" w14:textId="2AB2C3F7" w:rsidR="00FA56EF" w:rsidRPr="006E0C18" w:rsidRDefault="002056B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056B1">
              <w:rPr>
                <w:rFonts w:cs="Arial"/>
                <w:color w:val="000000" w:themeColor="text1"/>
                <w:sz w:val="16"/>
                <w:szCs w:val="16"/>
              </w:rPr>
              <w:t>444,9</w:t>
            </w:r>
          </w:p>
        </w:tc>
        <w:tc>
          <w:tcPr>
            <w:tcW w:w="1206" w:type="dxa"/>
            <w:vAlign w:val="center"/>
          </w:tcPr>
          <w:p w14:paraId="01B94E97" w14:textId="2B554D56" w:rsidR="00FA56EF" w:rsidRPr="00296F96" w:rsidRDefault="006E2350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294,9</w:t>
            </w:r>
          </w:p>
        </w:tc>
        <w:tc>
          <w:tcPr>
            <w:tcW w:w="1206" w:type="dxa"/>
            <w:vAlign w:val="center"/>
          </w:tcPr>
          <w:p w14:paraId="3D08B785" w14:textId="0D295DA6" w:rsidR="00FA56EF" w:rsidRPr="00E87F78" w:rsidRDefault="00452007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1 453</w:t>
            </w:r>
          </w:p>
        </w:tc>
        <w:tc>
          <w:tcPr>
            <w:tcW w:w="1207" w:type="dxa"/>
            <w:vAlign w:val="center"/>
          </w:tcPr>
          <w:p w14:paraId="127539CB" w14:textId="09AA67FE" w:rsidR="00FA56EF" w:rsidRPr="009F4F41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223,2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6902546A" w:rsidR="00FA56EF" w:rsidRPr="00A030E6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06" w:type="dxa"/>
            <w:vAlign w:val="center"/>
          </w:tcPr>
          <w:p w14:paraId="51103FA1" w14:textId="6573BE97" w:rsidR="00FA56EF" w:rsidRPr="006E0C18" w:rsidRDefault="006E2350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2056B1">
              <w:rPr>
                <w:rFonts w:cs="Arial"/>
                <w:color w:val="000000" w:themeColor="text1"/>
                <w:sz w:val="16"/>
                <w:szCs w:val="16"/>
              </w:rPr>
              <w:t>onad 15-krotnie</w:t>
            </w:r>
          </w:p>
        </w:tc>
        <w:tc>
          <w:tcPr>
            <w:tcW w:w="1206" w:type="dxa"/>
            <w:vAlign w:val="center"/>
          </w:tcPr>
          <w:p w14:paraId="7765DBC0" w14:textId="30616D7E" w:rsidR="00FA56EF" w:rsidRPr="00296F96" w:rsidRDefault="006E2350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13</w:t>
            </w:r>
            <w:r w:rsidRPr="006E2350">
              <w:rPr>
                <w:rFonts w:cs="Arial"/>
                <w:sz w:val="16"/>
                <w:szCs w:val="16"/>
              </w:rPr>
              <w:t>-krotnie</w:t>
            </w:r>
          </w:p>
        </w:tc>
        <w:tc>
          <w:tcPr>
            <w:tcW w:w="1206" w:type="dxa"/>
            <w:vAlign w:val="center"/>
          </w:tcPr>
          <w:p w14:paraId="19AC53E8" w14:textId="2F9AAF69" w:rsidR="00FA56EF" w:rsidRPr="00E87F78" w:rsidRDefault="00452007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207" w:type="dxa"/>
            <w:vAlign w:val="center"/>
          </w:tcPr>
          <w:p w14:paraId="031BA834" w14:textId="5C9CB31B" w:rsidR="00FA56EF" w:rsidRPr="009F4F41" w:rsidRDefault="0045200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52007">
              <w:rPr>
                <w:color w:val="000000" w:themeColor="text1"/>
                <w:sz w:val="16"/>
                <w:szCs w:val="16"/>
              </w:rPr>
              <w:t>258,0</w:t>
            </w:r>
          </w:p>
        </w:tc>
      </w:tr>
    </w:tbl>
    <w:p w14:paraId="1DEA9659" w14:textId="4B969465" w:rsidR="00B24AF7" w:rsidRPr="00B24AF7" w:rsidRDefault="004D107E" w:rsidP="00B24A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346EEA86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1C17D11D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87A74">
                              <w:t>zwiększyła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 xml:space="preserve">okresie </w:t>
                            </w:r>
                            <w:r w:rsidR="0042453E">
                              <w:br/>
                            </w:r>
                            <w:r w:rsidR="003E7C6E" w:rsidRPr="002F1617">
                              <w:t>I-</w:t>
                            </w:r>
                            <w:r w:rsidR="00B17330" w:rsidRPr="002F1617">
                              <w:t>V</w:t>
                            </w:r>
                            <w:r w:rsidR="00115520" w:rsidRPr="002F1617">
                              <w:t>I</w:t>
                            </w:r>
                            <w:r w:rsidR="00187A74">
                              <w:t>I</w:t>
                            </w:r>
                            <w:r w:rsidR="00105A2D">
                              <w:t>I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187A74">
                              <w:t xml:space="preserve"> o 1</w:t>
                            </w:r>
                            <w:r w:rsidR="00105A2D">
                              <w:t>,6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1C17D11D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87A74">
                        <w:t>zwiększyła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 xml:space="preserve">okresie </w:t>
                      </w:r>
                      <w:r w:rsidR="0042453E">
                        <w:br/>
                      </w:r>
                      <w:r w:rsidR="003E7C6E" w:rsidRPr="002F1617">
                        <w:t>I-</w:t>
                      </w:r>
                      <w:r w:rsidR="00B17330" w:rsidRPr="002F1617">
                        <w:t>V</w:t>
                      </w:r>
                      <w:r w:rsidR="00115520" w:rsidRPr="002F1617">
                        <w:t>I</w:t>
                      </w:r>
                      <w:r w:rsidR="00187A74">
                        <w:t>I</w:t>
                      </w:r>
                      <w:r w:rsidR="00105A2D">
                        <w:t>I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187A74">
                        <w:t xml:space="preserve"> o 1</w:t>
                      </w:r>
                      <w:r w:rsidR="00105A2D">
                        <w:t>,6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053AF8">
        <w:rPr>
          <w:shd w:val="clear" w:color="auto" w:fill="FFFFFF"/>
        </w:rPr>
        <w:t xml:space="preserve">okresie </w:t>
      </w:r>
      <w:r w:rsidR="00105A2D">
        <w:rPr>
          <w:shd w:val="clear" w:color="auto" w:fill="FFFFFF"/>
        </w:rPr>
        <w:t>ośmiu</w:t>
      </w:r>
      <w:r w:rsidR="00053AF8">
        <w:rPr>
          <w:shd w:val="clear" w:color="auto" w:fill="FFFFFF"/>
        </w:rPr>
        <w:t xml:space="preserve"> </w:t>
      </w:r>
      <w:r w:rsidR="00562EC2">
        <w:rPr>
          <w:shd w:val="clear" w:color="auto" w:fill="FFFFFF"/>
        </w:rPr>
        <w:t>miesię</w:t>
      </w:r>
      <w:r w:rsidR="00053AF8">
        <w:rPr>
          <w:shd w:val="clear" w:color="auto" w:fill="FFFFFF"/>
        </w:rPr>
        <w:t xml:space="preserve">cy </w:t>
      </w:r>
      <w:r w:rsidR="00423192">
        <w:rPr>
          <w:shd w:val="clear" w:color="auto" w:fill="FFFFFF"/>
        </w:rPr>
        <w:t>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7E1B1D">
        <w:rPr>
          <w:shd w:val="clear" w:color="auto" w:fill="FFFFFF"/>
        </w:rPr>
        <w:t xml:space="preserve"> </w:t>
      </w:r>
      <w:r w:rsidR="00105A2D">
        <w:rPr>
          <w:shd w:val="clear" w:color="auto" w:fill="FFFFFF"/>
        </w:rPr>
        <w:t>176,4</w:t>
      </w:r>
      <w:r w:rsidR="007E1B1D">
        <w:rPr>
          <w:shd w:val="clear" w:color="auto" w:fill="FFFFFF"/>
        </w:rPr>
        <w:t> 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562EC2">
        <w:rPr>
          <w:shd w:val="clear" w:color="auto" w:fill="FFFFFF"/>
        </w:rPr>
        <w:t>1</w:t>
      </w:r>
      <w:r w:rsidR="00105A2D">
        <w:rPr>
          <w:shd w:val="clear" w:color="auto" w:fill="FFFFFF"/>
        </w:rPr>
        <w:t>,6</w:t>
      </w:r>
      <w:r w:rsidR="00A0335F" w:rsidRPr="00DA0F32">
        <w:rPr>
          <w:shd w:val="clear" w:color="auto" w:fill="FFFFFF"/>
        </w:rPr>
        <w:t xml:space="preserve">% </w:t>
      </w:r>
      <w:r w:rsidR="00562EC2">
        <w:rPr>
          <w:shd w:val="clear" w:color="auto" w:fill="FFFFFF"/>
        </w:rPr>
        <w:t>więcej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105A2D">
        <w:rPr>
          <w:shd w:val="clear" w:color="auto" w:fill="FFFFFF"/>
        </w:rPr>
        <w:t>106</w:t>
      </w:r>
      <w:r w:rsidR="00423192">
        <w:rPr>
          <w:shd w:val="clear" w:color="auto" w:fill="FFFFFF"/>
        </w:rPr>
        <w:t>,</w:t>
      </w:r>
      <w:r w:rsidR="00105A2D">
        <w:rPr>
          <w:shd w:val="clear" w:color="auto" w:fill="FFFFFF"/>
        </w:rPr>
        <w:t>7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105A2D">
        <w:rPr>
          <w:shd w:val="clear" w:color="auto" w:fill="FFFFFF"/>
        </w:rPr>
        <w:t>66,7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187A74">
        <w:rPr>
          <w:shd w:val="clear" w:color="auto" w:fill="FFFFFF"/>
        </w:rPr>
        <w:t>0,3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</w:t>
      </w:r>
      <w:r w:rsidR="00105A2D">
        <w:rPr>
          <w:shd w:val="clear" w:color="auto" w:fill="FFFFFF"/>
        </w:rPr>
        <w:t>i 4</w:t>
      </w:r>
      <w:r w:rsidR="00187A74">
        <w:rPr>
          <w:shd w:val="clear" w:color="auto" w:fill="FFFFFF"/>
        </w:rPr>
        <w:t>,9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7E1B1D">
        <w:rPr>
          <w:shd w:val="clear" w:color="auto" w:fill="FFFFFF"/>
        </w:rPr>
        <w:t> 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E1B1D">
        <w:rPr>
          <w:shd w:val="clear" w:color="auto" w:fill="FFFFFF"/>
        </w:rPr>
        <w:t>z </w:t>
      </w:r>
      <w:r w:rsidR="00187A74">
        <w:rPr>
          <w:shd w:val="clear" w:color="auto" w:fill="FFFFFF"/>
        </w:rPr>
        <w:t>projektem budowlanym</w:t>
      </w:r>
      <w:r w:rsidR="00A01B2E">
        <w:rPr>
          <w:shd w:val="clear" w:color="auto" w:fill="FFFFFF"/>
        </w:rPr>
        <w:t xml:space="preserve"> dla</w:t>
      </w:r>
      <w:r w:rsidR="00187A74">
        <w:rPr>
          <w:shd w:val="clear" w:color="auto" w:fill="FFFFFF"/>
        </w:rPr>
        <w:t xml:space="preserve"> 98,3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niż w </w:t>
      </w:r>
      <w:r w:rsidR="00B43D8E">
        <w:rPr>
          <w:shd w:val="clear" w:color="auto" w:fill="FFFFFF"/>
        </w:rPr>
        <w:t xml:space="preserve">okresie </w:t>
      </w:r>
      <w:r w:rsidR="00105A2D">
        <w:rPr>
          <w:shd w:val="clear" w:color="auto" w:fill="FFFFFF"/>
        </w:rPr>
        <w:t>ośmiu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105A2D">
        <w:rPr>
          <w:shd w:val="clear" w:color="auto" w:fill="FFFFFF"/>
        </w:rPr>
        <w:t>1159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105A2D">
        <w:rPr>
          <w:shd w:val="clear" w:color="auto" w:fill="FFFFFF"/>
        </w:rPr>
        <w:t>1248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105A2D">
        <w:rPr>
          <w:shd w:val="clear" w:color="auto" w:fill="FFFFFF"/>
        </w:rPr>
        <w:t>1811</w:t>
      </w:r>
      <w:r w:rsidR="00A52737">
        <w:rPr>
          <w:shd w:val="clear" w:color="auto" w:fill="FFFFFF"/>
        </w:rPr>
        <w:t xml:space="preserve"> wobec </w:t>
      </w:r>
      <w:r w:rsidR="00105A2D">
        <w:rPr>
          <w:shd w:val="clear" w:color="auto" w:fill="FFFFFF"/>
        </w:rPr>
        <w:t>2376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24E8AB3C" w:rsidR="00B43D8E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05A2D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5F1BA0E3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  <w:r w:rsidR="00105A2D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41F8014D" w:rsidR="00B43D8E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  <w:r w:rsidR="00105A2D">
              <w:rPr>
                <w:color w:val="000000" w:themeColor="text1"/>
                <w:sz w:val="16"/>
                <w:szCs w:val="16"/>
              </w:rPr>
              <w:t>I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0CFDF524" w:rsidR="00B43D8E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  <w:r w:rsidR="00105A2D">
              <w:rPr>
                <w:color w:val="000000" w:themeColor="text1"/>
                <w:sz w:val="16"/>
                <w:szCs w:val="16"/>
              </w:rPr>
              <w:t>I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057E46AC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  <w:r w:rsidR="00E17D40">
              <w:rPr>
                <w:color w:val="000000" w:themeColor="text1"/>
                <w:sz w:val="16"/>
                <w:szCs w:val="16"/>
              </w:rPr>
              <w:t>I</w:t>
            </w:r>
            <w:bookmarkStart w:id="0" w:name="_GoBack"/>
            <w:bookmarkEnd w:id="0"/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2C49FD6F" w:rsidR="00B43D8E" w:rsidRPr="00FA5128" w:rsidRDefault="0020139E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0139E">
              <w:rPr>
                <w:rFonts w:cs="Arial"/>
                <w:b/>
                <w:color w:val="000000" w:themeColor="text1"/>
                <w:sz w:val="16"/>
                <w:szCs w:val="16"/>
              </w:rPr>
              <w:t>22 431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3D662188" w:rsidR="00B43D8E" w:rsidRPr="00FA5128" w:rsidRDefault="00E654B6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4DEFAE43" w:rsidR="00B43D8E" w:rsidRPr="00FA5128" w:rsidRDefault="006E2350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E2350">
              <w:rPr>
                <w:rFonts w:cs="Arial"/>
                <w:b/>
                <w:color w:val="000000" w:themeColor="text1"/>
                <w:sz w:val="16"/>
                <w:szCs w:val="16"/>
              </w:rPr>
              <w:t>91,9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11B1D607" w:rsidR="00B43D8E" w:rsidRPr="00FA5128" w:rsidRDefault="00105A2D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05A2D">
              <w:rPr>
                <w:rFonts w:cs="Arial"/>
                <w:b/>
                <w:color w:val="000000" w:themeColor="text1"/>
                <w:sz w:val="16"/>
                <w:szCs w:val="16"/>
              </w:rPr>
              <w:t>176 356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6A803B54" w:rsidR="00B43D8E" w:rsidRPr="00FA5128" w:rsidRDefault="00EA2B7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A2B74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2CE22F69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8 189</w:t>
            </w:r>
          </w:p>
        </w:tc>
        <w:tc>
          <w:tcPr>
            <w:tcW w:w="1206" w:type="dxa"/>
            <w:vAlign w:val="center"/>
          </w:tcPr>
          <w:p w14:paraId="0406CC6E" w14:textId="4D6AA551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206" w:type="dxa"/>
            <w:vAlign w:val="center"/>
          </w:tcPr>
          <w:p w14:paraId="13DD4AC4" w14:textId="621E75BF" w:rsidR="00B43D8E" w:rsidRPr="00FA5128" w:rsidRDefault="006E235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2350">
              <w:rPr>
                <w:rFonts w:cs="Arial"/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1206" w:type="dxa"/>
            <w:vAlign w:val="center"/>
          </w:tcPr>
          <w:p w14:paraId="2B89FA86" w14:textId="6715CDCE" w:rsidR="00B43D8E" w:rsidRPr="00907546" w:rsidRDefault="00105A2D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5A2D">
              <w:rPr>
                <w:rFonts w:ascii="Fira Sans" w:hAnsi="Fira Sans"/>
                <w:color w:val="000000" w:themeColor="text1"/>
                <w:sz w:val="16"/>
                <w:szCs w:val="16"/>
              </w:rPr>
              <w:t>66 684</w:t>
            </w:r>
          </w:p>
        </w:tc>
        <w:tc>
          <w:tcPr>
            <w:tcW w:w="1207" w:type="dxa"/>
            <w:vAlign w:val="center"/>
          </w:tcPr>
          <w:p w14:paraId="675CBECB" w14:textId="1F3D14D7" w:rsidR="00B43D8E" w:rsidRPr="00907546" w:rsidRDefault="00EA2B7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2B74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60885927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13 912</w:t>
            </w:r>
          </w:p>
        </w:tc>
        <w:tc>
          <w:tcPr>
            <w:tcW w:w="1206" w:type="dxa"/>
            <w:vAlign w:val="center"/>
          </w:tcPr>
          <w:p w14:paraId="0735648A" w14:textId="1D6A1338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206" w:type="dxa"/>
            <w:vAlign w:val="center"/>
          </w:tcPr>
          <w:p w14:paraId="265EAD38" w14:textId="3463FC19" w:rsidR="00B43D8E" w:rsidRPr="00FA5128" w:rsidRDefault="006E235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2350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206" w:type="dxa"/>
            <w:vAlign w:val="center"/>
          </w:tcPr>
          <w:p w14:paraId="192801D5" w14:textId="65AA68B1" w:rsidR="00B43D8E" w:rsidRPr="008A1C80" w:rsidRDefault="00105A2D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5A2D">
              <w:rPr>
                <w:rFonts w:ascii="Fira Sans" w:hAnsi="Fira Sans"/>
                <w:color w:val="000000" w:themeColor="text1"/>
                <w:sz w:val="16"/>
                <w:szCs w:val="16"/>
              </w:rPr>
              <w:t>106 702</w:t>
            </w:r>
          </w:p>
        </w:tc>
        <w:tc>
          <w:tcPr>
            <w:tcW w:w="1207" w:type="dxa"/>
            <w:vAlign w:val="center"/>
          </w:tcPr>
          <w:p w14:paraId="2EDAFC9B" w14:textId="2E96A6EC" w:rsidR="00B43D8E" w:rsidRPr="00FA5128" w:rsidRDefault="00EA2B7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2B7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6E6814AB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206" w:type="dxa"/>
            <w:vAlign w:val="center"/>
          </w:tcPr>
          <w:p w14:paraId="2F99732F" w14:textId="3EAB04FA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135,3</w:t>
            </w:r>
          </w:p>
        </w:tc>
        <w:tc>
          <w:tcPr>
            <w:tcW w:w="1206" w:type="dxa"/>
            <w:vAlign w:val="center"/>
          </w:tcPr>
          <w:p w14:paraId="2CE48FD1" w14:textId="1919258F" w:rsidR="00B43D8E" w:rsidRPr="00E102B7" w:rsidRDefault="006E235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371,0</w:t>
            </w:r>
          </w:p>
        </w:tc>
        <w:tc>
          <w:tcPr>
            <w:tcW w:w="1206" w:type="dxa"/>
            <w:vAlign w:val="center"/>
          </w:tcPr>
          <w:p w14:paraId="576E122D" w14:textId="2C83A893" w:rsidR="00B43D8E" w:rsidRPr="00C230EE" w:rsidRDefault="00105A2D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5A2D">
              <w:rPr>
                <w:rFonts w:ascii="Fira Sans" w:hAnsi="Fira Sans"/>
                <w:color w:val="000000" w:themeColor="text1"/>
                <w:sz w:val="16"/>
                <w:szCs w:val="16"/>
              </w:rPr>
              <w:t>1 159</w:t>
            </w:r>
          </w:p>
        </w:tc>
        <w:tc>
          <w:tcPr>
            <w:tcW w:w="1207" w:type="dxa"/>
            <w:vAlign w:val="center"/>
          </w:tcPr>
          <w:p w14:paraId="34BC2C9A" w14:textId="37DD3956" w:rsidR="00B43D8E" w:rsidRPr="00FA5128" w:rsidRDefault="00EA2B7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2B74">
              <w:rPr>
                <w:rFonts w:cs="Arial"/>
                <w:color w:val="000000" w:themeColor="text1"/>
                <w:sz w:val="16"/>
                <w:szCs w:val="16"/>
              </w:rPr>
              <w:t>92,9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7B415E58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027840" w14:textId="7A60220F" w:rsidR="00B43D8E" w:rsidRPr="00FA512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14CC0F50" w14:textId="6920D8CF" w:rsidR="00B43D8E" w:rsidRPr="00E102B7" w:rsidRDefault="006E235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3741E4A" w14:textId="05D973A1" w:rsidR="00B43D8E" w:rsidRPr="00E87F78" w:rsidRDefault="00C8338F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8338F">
              <w:rPr>
                <w:color w:val="000000" w:themeColor="text1"/>
                <w:sz w:val="16"/>
                <w:szCs w:val="16"/>
              </w:rPr>
              <w:t>978</w:t>
            </w:r>
          </w:p>
        </w:tc>
        <w:tc>
          <w:tcPr>
            <w:tcW w:w="1207" w:type="dxa"/>
            <w:vAlign w:val="center"/>
          </w:tcPr>
          <w:p w14:paraId="48BAFFDB" w14:textId="79F7EC95" w:rsidR="00B43D8E" w:rsidRPr="00FA5128" w:rsidRDefault="00EA2B7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2B74">
              <w:rPr>
                <w:rFonts w:cs="Arial"/>
                <w:color w:val="000000" w:themeColor="text1"/>
                <w:sz w:val="16"/>
                <w:szCs w:val="16"/>
              </w:rPr>
              <w:t>123,0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2785B874" w:rsidR="00B43D8E" w:rsidRPr="00A030E6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06" w:type="dxa"/>
            <w:vAlign w:val="center"/>
          </w:tcPr>
          <w:p w14:paraId="6FCFE84F" w14:textId="181C3063" w:rsidR="00B43D8E" w:rsidRPr="006E0C18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116,7</w:t>
            </w:r>
          </w:p>
        </w:tc>
        <w:tc>
          <w:tcPr>
            <w:tcW w:w="1206" w:type="dxa"/>
            <w:vAlign w:val="center"/>
          </w:tcPr>
          <w:p w14:paraId="161015EA" w14:textId="4821722C" w:rsidR="00B43D8E" w:rsidRPr="00296F96" w:rsidRDefault="006E235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35,9</w:t>
            </w:r>
          </w:p>
        </w:tc>
        <w:tc>
          <w:tcPr>
            <w:tcW w:w="1206" w:type="dxa"/>
            <w:vAlign w:val="center"/>
          </w:tcPr>
          <w:p w14:paraId="02256530" w14:textId="13782E52" w:rsidR="00B43D8E" w:rsidRPr="00E87F78" w:rsidRDefault="00EA2B7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A2B74">
              <w:rPr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207" w:type="dxa"/>
            <w:vAlign w:val="center"/>
          </w:tcPr>
          <w:p w14:paraId="6FA7983C" w14:textId="491362A9" w:rsidR="00B43D8E" w:rsidRPr="009F4F41" w:rsidRDefault="00EA2B7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2B74">
              <w:rPr>
                <w:rFonts w:cs="Arial"/>
                <w:color w:val="000000" w:themeColor="text1"/>
                <w:sz w:val="16"/>
                <w:szCs w:val="16"/>
              </w:rPr>
              <w:t>39,4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69BE4A36" w:rsidR="00B43D8E" w:rsidRPr="00A030E6" w:rsidRDefault="00E654B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654B6"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14:paraId="63A1E99C" w14:textId="2C5A7E72" w:rsidR="00B43D8E" w:rsidRPr="006D4BD3" w:rsidRDefault="00E654B6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654B6">
              <w:rPr>
                <w:rFonts w:cs="Arial"/>
                <w:sz w:val="16"/>
                <w:szCs w:val="16"/>
              </w:rPr>
              <w:t>244,4</w:t>
            </w:r>
          </w:p>
        </w:tc>
        <w:tc>
          <w:tcPr>
            <w:tcW w:w="1206" w:type="dxa"/>
            <w:vAlign w:val="center"/>
          </w:tcPr>
          <w:p w14:paraId="558BED5F" w14:textId="16E131DB" w:rsidR="00B43D8E" w:rsidRPr="006D4BD3" w:rsidRDefault="006E235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44</w:t>
            </w:r>
            <w:r w:rsidRPr="006E2350">
              <w:rPr>
                <w:rFonts w:cs="Arial"/>
                <w:sz w:val="16"/>
                <w:szCs w:val="16"/>
              </w:rPr>
              <w:t>-krotnie</w:t>
            </w:r>
          </w:p>
        </w:tc>
        <w:tc>
          <w:tcPr>
            <w:tcW w:w="1206" w:type="dxa"/>
            <w:vAlign w:val="center"/>
          </w:tcPr>
          <w:p w14:paraId="741E3E55" w14:textId="6E22FE2C" w:rsidR="00B43D8E" w:rsidRPr="00E87F78" w:rsidRDefault="00EA2B7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A2B74">
              <w:rPr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7" w:type="dxa"/>
            <w:vAlign w:val="center"/>
          </w:tcPr>
          <w:p w14:paraId="474A4780" w14:textId="538925AB" w:rsidR="00B43D8E" w:rsidRPr="009F4F41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EA2B74">
              <w:t xml:space="preserve"> </w:t>
            </w:r>
            <w:r w:rsidR="00EA2B74" w:rsidRPr="00EA2B74">
              <w:rPr>
                <w:rFonts w:cs="Arial"/>
                <w:sz w:val="16"/>
                <w:szCs w:val="16"/>
              </w:rPr>
              <w:t>435,8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0827DAF0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1039FA">
        <w:rPr>
          <w:noProof/>
          <w:lang w:eastAsia="pl-PL"/>
        </w:rPr>
        <w:t>sierpień</w:t>
      </w:r>
      <w:r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</w:t>
      </w:r>
      <w:r w:rsidR="001039FA">
        <w:rPr>
          <w:noProof/>
          <w:lang w:eastAsia="pl-PL"/>
        </w:rPr>
        <w:t>156,9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1039FA">
        <w:rPr>
          <w:shd w:val="clear" w:color="auto" w:fill="FFFFFF"/>
        </w:rPr>
        <w:t>1</w:t>
      </w:r>
      <w:r w:rsidR="003C0165" w:rsidRPr="00DA0F32">
        <w:rPr>
          <w:shd w:val="clear" w:color="auto" w:fill="FFFFFF"/>
        </w:rPr>
        <w:t>,</w:t>
      </w:r>
      <w:r w:rsidR="001039FA">
        <w:rPr>
          <w:shd w:val="clear" w:color="auto" w:fill="FFFFFF"/>
        </w:rPr>
        <w:t>5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1039FA">
        <w:rPr>
          <w:shd w:val="clear" w:color="auto" w:fill="FFFFFF"/>
        </w:rPr>
        <w:t>89</w:t>
      </w:r>
      <w:r w:rsidR="00774F4E">
        <w:rPr>
          <w:shd w:val="clear" w:color="auto" w:fill="FFFFFF"/>
        </w:rPr>
        <w:t>,7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1039FA">
        <w:rPr>
          <w:shd w:val="clear" w:color="auto" w:fill="FFFFFF"/>
        </w:rPr>
        <w:t>64,0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1039FA">
        <w:rPr>
          <w:shd w:val="clear" w:color="auto" w:fill="FFFFFF"/>
        </w:rPr>
        <w:t>ącznie 98,0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1039FA">
        <w:rPr>
          <w:shd w:val="clear" w:color="auto" w:fill="FFFFFF"/>
        </w:rPr>
        <w:t>0</w:t>
      </w:r>
      <w:r w:rsidR="004F64F0">
        <w:rPr>
          <w:shd w:val="clear" w:color="auto" w:fill="FFFFFF"/>
        </w:rPr>
        <w:t>,7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1039FA">
        <w:rPr>
          <w:shd w:val="clear" w:color="auto" w:fill="FFFFFF"/>
        </w:rPr>
        <w:t>i 3,8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9218D1">
        <w:rPr>
          <w:shd w:val="clear" w:color="auto" w:fill="FFFFFF"/>
        </w:rPr>
        <w:t>Mniej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1039FA">
        <w:rPr>
          <w:shd w:val="clear" w:color="auto" w:fill="FFFFFF"/>
        </w:rPr>
        <w:t>1292</w:t>
      </w:r>
      <w:r w:rsidR="00336412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1039FA">
        <w:rPr>
          <w:shd w:val="clear" w:color="auto" w:fill="FFFFFF"/>
        </w:rPr>
        <w:t>1709</w:t>
      </w:r>
      <w:r w:rsidR="004F64F0">
        <w:rPr>
          <w:shd w:val="clear" w:color="auto" w:fill="FFFFFF"/>
        </w:rPr>
        <w:t>) oraz</w:t>
      </w:r>
      <w:r w:rsidR="00E02918">
        <w:rPr>
          <w:shd w:val="clear" w:color="auto" w:fill="FFFFFF"/>
        </w:rPr>
        <w:t xml:space="preserve">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1039FA">
        <w:rPr>
          <w:shd w:val="clear" w:color="auto" w:fill="FFFFFF"/>
        </w:rPr>
        <w:t>1874</w:t>
      </w:r>
      <w:r w:rsidR="004F64F0" w:rsidRPr="004F64F0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1039FA">
        <w:rPr>
          <w:shd w:val="clear" w:color="auto" w:fill="FFFFFF"/>
        </w:rPr>
        <w:t>2060</w:t>
      </w:r>
      <w:r w:rsidR="00336412">
        <w:rPr>
          <w:shd w:val="clear" w:color="auto" w:fill="FFFFFF"/>
        </w:rPr>
        <w:t>).</w:t>
      </w:r>
    </w:p>
    <w:p w14:paraId="0084EC86" w14:textId="77777777"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6728057" w14:textId="77777777" w:rsidR="004B628B" w:rsidRPr="00C92A18" w:rsidRDefault="004B628B" w:rsidP="004B628B">
      <w:pPr>
        <w:spacing w:before="0"/>
        <w:rPr>
          <w:shd w:val="clear" w:color="auto" w:fill="FFFFFF"/>
        </w:rPr>
      </w:pPr>
    </w:p>
    <w:p w14:paraId="71B22ACC" w14:textId="77777777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B20CB5A" w14:textId="77777777"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436D362E" w:rsidR="00EE66D9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  <w:r w:rsidR="00A647B9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4FC461CB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  <w:r w:rsidR="00A647B9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3BE895D8" w:rsidR="00EE66D9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  <w:r w:rsidR="00A647B9">
              <w:rPr>
                <w:color w:val="000000" w:themeColor="text1"/>
                <w:sz w:val="16"/>
                <w:szCs w:val="16"/>
              </w:rPr>
              <w:t>I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64C944ED" w:rsidR="00EE66D9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  <w:r w:rsidR="00A647B9">
              <w:rPr>
                <w:color w:val="000000" w:themeColor="text1"/>
                <w:sz w:val="16"/>
                <w:szCs w:val="16"/>
              </w:rPr>
              <w:t>I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1866208D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  <w:r w:rsidR="00A647B9">
              <w:rPr>
                <w:color w:val="000000" w:themeColor="text1"/>
                <w:sz w:val="16"/>
                <w:szCs w:val="16"/>
              </w:rPr>
              <w:t>I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53BF732E" w:rsidR="00EE66D9" w:rsidRPr="00FA5128" w:rsidRDefault="00A647B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b/>
                <w:color w:val="000000" w:themeColor="text1"/>
                <w:sz w:val="16"/>
                <w:szCs w:val="16"/>
              </w:rPr>
              <w:t>19 528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3BE476D7" w:rsidR="00EE66D9" w:rsidRPr="00FA5128" w:rsidRDefault="000C0B2E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b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76DF98D1" w:rsidR="00EE66D9" w:rsidRPr="00FA5128" w:rsidRDefault="000C0B2E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b/>
                <w:color w:val="000000" w:themeColor="text1"/>
                <w:sz w:val="16"/>
                <w:szCs w:val="16"/>
              </w:rPr>
              <w:t>88,9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241123EB" w:rsidR="00EE66D9" w:rsidRPr="00FA5128" w:rsidRDefault="00A647B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b/>
                <w:color w:val="000000" w:themeColor="text1"/>
                <w:sz w:val="16"/>
                <w:szCs w:val="16"/>
              </w:rPr>
              <w:t>156 878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7090804B" w:rsidR="00EE66D9" w:rsidRPr="00FA5128" w:rsidRDefault="00A647B9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20FFFC1C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8 287</w:t>
            </w:r>
          </w:p>
        </w:tc>
        <w:tc>
          <w:tcPr>
            <w:tcW w:w="1206" w:type="dxa"/>
            <w:vAlign w:val="center"/>
          </w:tcPr>
          <w:p w14:paraId="659B9970" w14:textId="1B82F984" w:rsidR="00EE66D9" w:rsidRPr="00FA5128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206" w:type="dxa"/>
            <w:vAlign w:val="center"/>
          </w:tcPr>
          <w:p w14:paraId="1D5A4EFB" w14:textId="4318C5F0" w:rsidR="00EE66D9" w:rsidRPr="00FA5128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1206" w:type="dxa"/>
            <w:vAlign w:val="center"/>
          </w:tcPr>
          <w:p w14:paraId="2C94BF3D" w14:textId="350FC73A" w:rsidR="00EE66D9" w:rsidRPr="00907546" w:rsidRDefault="00A647B9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63 984</w:t>
            </w:r>
          </w:p>
        </w:tc>
        <w:tc>
          <w:tcPr>
            <w:tcW w:w="1207" w:type="dxa"/>
            <w:vAlign w:val="center"/>
          </w:tcPr>
          <w:p w14:paraId="617948A5" w14:textId="22958C34" w:rsidR="00EE66D9" w:rsidRPr="00907546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4C85D605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11 011</w:t>
            </w:r>
          </w:p>
        </w:tc>
        <w:tc>
          <w:tcPr>
            <w:tcW w:w="1206" w:type="dxa"/>
            <w:vAlign w:val="center"/>
          </w:tcPr>
          <w:p w14:paraId="404214C6" w14:textId="40FADA20" w:rsidR="00E467CC" w:rsidRPr="00FA5128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83,2</w:t>
            </w:r>
          </w:p>
        </w:tc>
        <w:tc>
          <w:tcPr>
            <w:tcW w:w="1206" w:type="dxa"/>
            <w:vAlign w:val="center"/>
          </w:tcPr>
          <w:p w14:paraId="4223D169" w14:textId="05B4C80A" w:rsidR="00EE66D9" w:rsidRPr="00FA5128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1206" w:type="dxa"/>
            <w:vAlign w:val="center"/>
          </w:tcPr>
          <w:p w14:paraId="73258F0B" w14:textId="5C3896A7" w:rsidR="00EE66D9" w:rsidRPr="008A1C80" w:rsidRDefault="00A647B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89 728</w:t>
            </w:r>
          </w:p>
        </w:tc>
        <w:tc>
          <w:tcPr>
            <w:tcW w:w="1207" w:type="dxa"/>
            <w:vAlign w:val="center"/>
          </w:tcPr>
          <w:p w14:paraId="02ED9A67" w14:textId="044588B9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 na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14:paraId="509595CF" w14:textId="34D98B91" w:rsidR="00EE66D9" w:rsidRPr="005241EA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088504A7" w:rsidR="00EE66D9" w:rsidRPr="004327B6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1206" w:type="dxa"/>
            <w:vAlign w:val="center"/>
          </w:tcPr>
          <w:p w14:paraId="2E82320F" w14:textId="22002353" w:rsidR="00EE66D9" w:rsidRPr="00553B0B" w:rsidRDefault="00A647B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449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332DCD66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6" w:type="dxa"/>
            <w:vAlign w:val="center"/>
          </w:tcPr>
          <w:p w14:paraId="50E478AF" w14:textId="5C7050E7" w:rsidR="00EE66D9" w:rsidRPr="00FA5128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206" w:type="dxa"/>
            <w:vAlign w:val="center"/>
          </w:tcPr>
          <w:p w14:paraId="67F6BC1F" w14:textId="5D7D4131" w:rsidR="00EE66D9" w:rsidRPr="00E102B7" w:rsidRDefault="000C0B2E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C0B2E">
              <w:rPr>
                <w:rFonts w:cs="Arial"/>
                <w:sz w:val="16"/>
                <w:szCs w:val="16"/>
              </w:rPr>
              <w:t>53,8</w:t>
            </w:r>
          </w:p>
        </w:tc>
        <w:tc>
          <w:tcPr>
            <w:tcW w:w="1206" w:type="dxa"/>
            <w:vAlign w:val="center"/>
          </w:tcPr>
          <w:p w14:paraId="7F9BD656" w14:textId="3B913AFB" w:rsidR="00EE66D9" w:rsidRPr="00C230EE" w:rsidRDefault="00A647B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647B9">
              <w:rPr>
                <w:rFonts w:ascii="Fira Sans" w:hAnsi="Fira Sans"/>
                <w:color w:val="000000" w:themeColor="text1"/>
                <w:sz w:val="16"/>
                <w:szCs w:val="16"/>
              </w:rPr>
              <w:t>1 292</w:t>
            </w:r>
          </w:p>
        </w:tc>
        <w:tc>
          <w:tcPr>
            <w:tcW w:w="1207" w:type="dxa"/>
            <w:vAlign w:val="center"/>
          </w:tcPr>
          <w:p w14:paraId="187AA2B9" w14:textId="5E9509FA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75,6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0298BCA7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14:paraId="7B55480A" w14:textId="7645A928" w:rsidR="00EE66D9" w:rsidRPr="00FA5128" w:rsidRDefault="000C0B2E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1206" w:type="dxa"/>
            <w:vAlign w:val="center"/>
          </w:tcPr>
          <w:p w14:paraId="11B994F5" w14:textId="2A835CDC" w:rsidR="00EE66D9" w:rsidRPr="00E102B7" w:rsidRDefault="000C0B2E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C0B2E">
              <w:rPr>
                <w:rFonts w:cs="Arial"/>
                <w:sz w:val="16"/>
                <w:szCs w:val="16"/>
              </w:rPr>
              <w:t>65,3</w:t>
            </w:r>
          </w:p>
        </w:tc>
        <w:tc>
          <w:tcPr>
            <w:tcW w:w="1206" w:type="dxa"/>
            <w:vAlign w:val="center"/>
          </w:tcPr>
          <w:p w14:paraId="17942F15" w14:textId="4BD47632" w:rsidR="00EE66D9" w:rsidRPr="00E87F78" w:rsidRDefault="00A647B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647B9">
              <w:rPr>
                <w:color w:val="000000" w:themeColor="text1"/>
                <w:sz w:val="16"/>
                <w:szCs w:val="16"/>
              </w:rPr>
              <w:t>1 042</w:t>
            </w:r>
          </w:p>
        </w:tc>
        <w:tc>
          <w:tcPr>
            <w:tcW w:w="1207" w:type="dxa"/>
            <w:vAlign w:val="center"/>
          </w:tcPr>
          <w:p w14:paraId="2ADEF553" w14:textId="6634D35E" w:rsidR="00EE66D9" w:rsidRPr="00FA5128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118,5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756AB67D" w:rsidR="00EE66D9" w:rsidRPr="00A030E6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6" w:type="dxa"/>
            <w:vAlign w:val="center"/>
          </w:tcPr>
          <w:p w14:paraId="19796821" w14:textId="2FF4F0EE" w:rsidR="00EE66D9" w:rsidRPr="006E0C18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06" w:type="dxa"/>
            <w:vAlign w:val="center"/>
          </w:tcPr>
          <w:p w14:paraId="619C837E" w14:textId="0DE71AF7" w:rsidR="00EE66D9" w:rsidRPr="00296F96" w:rsidRDefault="000C0B2E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5-krotnie</w:t>
            </w:r>
          </w:p>
        </w:tc>
        <w:tc>
          <w:tcPr>
            <w:tcW w:w="1206" w:type="dxa"/>
            <w:vAlign w:val="center"/>
          </w:tcPr>
          <w:p w14:paraId="4C6D59E1" w14:textId="70D6A622" w:rsidR="00EE66D9" w:rsidRPr="00E87F78" w:rsidRDefault="00A647B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647B9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1207" w:type="dxa"/>
            <w:vAlign w:val="center"/>
          </w:tcPr>
          <w:p w14:paraId="1A1DF62A" w14:textId="189C6233" w:rsidR="00EE66D9" w:rsidRPr="009F4F41" w:rsidRDefault="00A647B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647B9">
              <w:rPr>
                <w:rFonts w:cs="Arial"/>
                <w:color w:val="000000" w:themeColor="text1"/>
                <w:sz w:val="16"/>
                <w:szCs w:val="16"/>
              </w:rPr>
              <w:t>83,1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433DE948" w:rsidR="00EE66D9" w:rsidRPr="00A030E6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9B21647" w14:textId="6416C4BB" w:rsidR="00EE66D9" w:rsidRPr="006E0C18" w:rsidRDefault="000C0B2E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200D7890" w14:textId="77777777"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3FD6ECD3" w14:textId="3A82188C" w:rsidR="00EE66D9" w:rsidRPr="00E87F78" w:rsidRDefault="004F64F0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14:paraId="3348438E" w14:textId="1B45C276" w:rsidR="00EE66D9" w:rsidRPr="009F4F41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0,6</w:t>
            </w:r>
          </w:p>
        </w:tc>
      </w:tr>
    </w:tbl>
    <w:p w14:paraId="1D91EDD4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04E9A2D0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0C0B2E">
        <w:rPr>
          <w:shd w:val="clear" w:color="auto" w:fill="FFFFFF"/>
        </w:rPr>
        <w:t>sierpnia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0C0B2E">
        <w:rPr>
          <w:shd w:val="clear" w:color="auto" w:fill="FFFFFF"/>
        </w:rPr>
        <w:t>824,</w:t>
      </w:r>
      <w:r w:rsidR="002D36F4">
        <w:rPr>
          <w:shd w:val="clear" w:color="auto" w:fill="FFFFFF"/>
        </w:rPr>
        <w:t>7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2D36F4">
        <w:rPr>
          <w:shd w:val="clear" w:color="auto" w:fill="FFFFFF"/>
        </w:rPr>
        <w:t>o 3,4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77777777"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3BF44BB7" w:rsidR="00047CF8" w:rsidRDefault="00460904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55C823A7" wp14:editId="771B0FB8">
            <wp:simplePos x="0" y="0"/>
            <wp:positionH relativeFrom="margin">
              <wp:align>right</wp:align>
            </wp:positionH>
            <wp:positionV relativeFrom="paragraph">
              <wp:posOffset>50996</wp:posOffset>
            </wp:positionV>
            <wp:extent cx="5122545" cy="3297116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A0748" w14:textId="0446DFDC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7B60050" w14:textId="2E06BAFD" w:rsidR="00047CF8" w:rsidRDefault="007E1B1D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119E129">
                <wp:simplePos x="0" y="0"/>
                <wp:positionH relativeFrom="page">
                  <wp:posOffset>5717032</wp:posOffset>
                </wp:positionH>
                <wp:positionV relativeFrom="paragraph">
                  <wp:posOffset>57531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0FFD702D" w:rsidR="002D36F4" w:rsidRPr="00296B74" w:rsidRDefault="00F25C7B" w:rsidP="002D36F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2D36F4">
                              <w:t>sierpniu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w porównaniu </w:t>
                            </w:r>
                            <w:r w:rsidR="001B4968" w:rsidRPr="00296B74">
                              <w:br/>
                            </w:r>
                            <w:r w:rsidRPr="00296B74">
                              <w:t xml:space="preserve">do </w:t>
                            </w:r>
                            <w:r w:rsidR="002D36F4">
                              <w:t>lipca</w:t>
                            </w:r>
                            <w:r w:rsidRPr="00296B74">
                              <w:t xml:space="preserve"> 2019 r.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</w:t>
                            </w:r>
                            <w:r w:rsidR="002D36F4">
                              <w:t>wzrosła o 14,1%, natomiast spadła liczba</w:t>
                            </w:r>
                            <w:r w:rsidR="00F84441" w:rsidRPr="00296B74">
                              <w:t xml:space="preserve"> mieszkań, na których budowę wydano pozwolenia lub dokonano zgłoszenia z projektem budowlanym </w:t>
                            </w:r>
                            <w:r w:rsidR="00F864BE" w:rsidRPr="00296B74">
                              <w:t>i</w:t>
                            </w:r>
                            <w:r w:rsidR="00F84441" w:rsidRPr="00296B74">
                              <w:t xml:space="preserve"> których budowę rozpoczęto </w:t>
                            </w:r>
                            <w:r w:rsidR="002D36F4">
                              <w:t>odpowiednio o 8,1% i 11,1%.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0.15pt;margin-top:4.55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" filled="f" stroked="f">
                <v:textbox style="mso-fit-shape-to-text:t">
                  <w:txbxContent>
                    <w:p w14:paraId="62FBD940" w14:textId="0FFD702D" w:rsidR="002D36F4" w:rsidRPr="00296B74" w:rsidRDefault="00F25C7B" w:rsidP="002D36F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2D36F4">
                        <w:t>sierpniu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w porównaniu </w:t>
                      </w:r>
                      <w:r w:rsidR="001B4968" w:rsidRPr="00296B74">
                        <w:br/>
                      </w:r>
                      <w:r w:rsidRPr="00296B74">
                        <w:t xml:space="preserve">do </w:t>
                      </w:r>
                      <w:r w:rsidR="002D36F4">
                        <w:t>lipca</w:t>
                      </w:r>
                      <w:r w:rsidRPr="00296B74">
                        <w:t xml:space="preserve"> 2019 r.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</w:t>
                      </w:r>
                      <w:r w:rsidR="002D36F4">
                        <w:t>wzrosła o 14,1%, natomiast spadła liczba</w:t>
                      </w:r>
                      <w:r w:rsidR="00F84441" w:rsidRPr="00296B74">
                        <w:t xml:space="preserve"> mieszkań, na których budowę wydano pozwolenia lub dokonano zgłoszenia z projektem budowlanym </w:t>
                      </w:r>
                      <w:r w:rsidR="00F864BE" w:rsidRPr="00296B74">
                        <w:t>i</w:t>
                      </w:r>
                      <w:r w:rsidR="00F84441" w:rsidRPr="00296B74">
                        <w:t xml:space="preserve"> których budowę rozpoczęto </w:t>
                      </w:r>
                      <w:r w:rsidR="002D36F4">
                        <w:t>odpowiednio o 8,1% i 11,1%.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36EEE0" w14:textId="2031BCC3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6B729377" w14:textId="77777777" w:rsidR="00E56DD9" w:rsidRDefault="00E56DD9" w:rsidP="00F113BA">
      <w:pPr>
        <w:rPr>
          <w:szCs w:val="19"/>
          <w:shd w:val="clear" w:color="auto" w:fill="FFFFFF"/>
        </w:rPr>
      </w:pPr>
    </w:p>
    <w:p w14:paraId="25901D3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4BC9614" w14:textId="77777777" w:rsidR="00E56DD9" w:rsidRDefault="00E56DD9" w:rsidP="00F113BA">
      <w:pPr>
        <w:rPr>
          <w:szCs w:val="19"/>
          <w:shd w:val="clear" w:color="auto" w:fill="FFFFFF"/>
        </w:rPr>
      </w:pPr>
    </w:p>
    <w:p w14:paraId="71D6365C" w14:textId="77777777" w:rsidR="00E56DD9" w:rsidRDefault="00E56DD9" w:rsidP="00F113BA">
      <w:pPr>
        <w:rPr>
          <w:szCs w:val="19"/>
          <w:shd w:val="clear" w:color="auto" w:fill="FFFFFF"/>
        </w:rPr>
      </w:pPr>
    </w:p>
    <w:p w14:paraId="41F050FF" w14:textId="77777777" w:rsidR="006720A1" w:rsidRDefault="006720A1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63F40E61" w14:textId="77777777" w:rsidR="00CF55D1" w:rsidRDefault="00CF55D1" w:rsidP="00F113BA">
      <w:pPr>
        <w:rPr>
          <w:szCs w:val="19"/>
          <w:shd w:val="clear" w:color="auto" w:fill="FFFFFF"/>
        </w:rPr>
      </w:pPr>
    </w:p>
    <w:p w14:paraId="21C62DA0" w14:textId="77777777" w:rsidR="00355AF4" w:rsidRDefault="00355AF4" w:rsidP="0041374E">
      <w:pPr>
        <w:rPr>
          <w:szCs w:val="19"/>
          <w:shd w:val="clear" w:color="auto" w:fill="FFFFFF"/>
        </w:rPr>
      </w:pPr>
    </w:p>
    <w:p w14:paraId="4AD12505" w14:textId="77777777" w:rsidR="00951EDB" w:rsidRDefault="00951EDB" w:rsidP="0041374E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092859D" wp14:editId="301C95B4">
            <wp:extent cx="5122545" cy="210883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861F1C" w14:textId="24AE3C6D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E4240F">
        <w:rPr>
          <w:szCs w:val="19"/>
          <w:shd w:val="clear" w:color="auto" w:fill="FFFFFF"/>
        </w:rPr>
        <w:t>sierpień</w:t>
      </w:r>
      <w:r w:rsidR="005921E2" w:rsidRPr="005921E2">
        <w:rPr>
          <w:szCs w:val="19"/>
          <w:shd w:val="clear" w:color="auto" w:fill="FFFFFF"/>
        </w:rPr>
        <w:t xml:space="preserve"> </w:t>
      </w:r>
      <w:r w:rsidR="00BB53B6" w:rsidRPr="005921E2">
        <w:rPr>
          <w:szCs w:val="19"/>
          <w:shd w:val="clear" w:color="auto" w:fill="FFFFFF"/>
        </w:rPr>
        <w:t>2019 r</w:t>
      </w:r>
      <w:r w:rsidR="00BB53B6" w:rsidRPr="008F1C42">
        <w:rPr>
          <w:szCs w:val="19"/>
          <w:shd w:val="clear" w:color="auto" w:fill="FFFFFF"/>
        </w:rPr>
        <w:t>.</w:t>
      </w:r>
      <w:r w:rsidR="0061791A" w:rsidRPr="008F1C42">
        <w:rPr>
          <w:szCs w:val="19"/>
          <w:shd w:val="clear" w:color="auto" w:fill="FFFFFF"/>
        </w:rPr>
        <w:t>,</w:t>
      </w:r>
      <w:r w:rsidR="00BB53B6" w:rsidRPr="008F1C42">
        <w:rPr>
          <w:szCs w:val="19"/>
          <w:shd w:val="clear" w:color="auto" w:fill="FFFFFF"/>
        </w:rPr>
        <w:t xml:space="preserve">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965F03">
        <w:rPr>
          <w:szCs w:val="19"/>
          <w:shd w:val="clear" w:color="auto" w:fill="FFFFFF"/>
        </w:rPr>
        <w:t>odpowiednio 31,2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965F03">
        <w:rPr>
          <w:szCs w:val="19"/>
          <w:shd w:val="clear" w:color="auto" w:fill="FFFFFF"/>
        </w:rPr>
        <w:t xml:space="preserve"> i 28</w:t>
      </w:r>
      <w:r w:rsidR="00594802">
        <w:rPr>
          <w:szCs w:val="19"/>
          <w:shd w:val="clear" w:color="auto" w:fill="FFFFFF"/>
        </w:rPr>
        <w:t>,2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965F03">
        <w:rPr>
          <w:szCs w:val="19"/>
          <w:shd w:val="clear" w:color="auto" w:fill="FFFFFF"/>
        </w:rPr>
        <w:t>19,5</w:t>
      </w:r>
      <w:r w:rsidRPr="005921E2">
        <w:rPr>
          <w:szCs w:val="19"/>
          <w:shd w:val="clear" w:color="auto" w:fill="FFFFFF"/>
        </w:rPr>
        <w:t xml:space="preserve"> tys. </w:t>
      </w:r>
      <w:r w:rsidR="00965F03">
        <w:rPr>
          <w:szCs w:val="19"/>
          <w:shd w:val="clear" w:color="auto" w:fill="FFFFFF"/>
        </w:rPr>
        <w:t>i 17</w:t>
      </w:r>
      <w:r w:rsidR="001030FA" w:rsidRPr="005921E2">
        <w:rPr>
          <w:szCs w:val="19"/>
          <w:shd w:val="clear" w:color="auto" w:fill="FFFFFF"/>
        </w:rPr>
        <w:t>,</w:t>
      </w:r>
      <w:r w:rsidR="00965F03">
        <w:rPr>
          <w:szCs w:val="19"/>
          <w:shd w:val="clear" w:color="auto" w:fill="FFFFFF"/>
        </w:rPr>
        <w:t>2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965F03">
        <w:rPr>
          <w:szCs w:val="19"/>
          <w:shd w:val="clear" w:color="auto" w:fill="FFFFFF"/>
        </w:rPr>
        <w:t>(26</w:t>
      </w:r>
      <w:r w:rsidR="00594802">
        <w:rPr>
          <w:szCs w:val="19"/>
          <w:shd w:val="clear" w:color="auto" w:fill="FFFFFF"/>
        </w:rPr>
        <w:t>,8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41374E" w:rsidRPr="005921E2">
        <w:rPr>
          <w:szCs w:val="19"/>
          <w:shd w:val="clear" w:color="auto" w:fill="FFFFFF"/>
        </w:rPr>
        <w:t>małopolskie (</w:t>
      </w:r>
      <w:r w:rsidR="00965F03">
        <w:rPr>
          <w:szCs w:val="19"/>
          <w:shd w:val="clear" w:color="auto" w:fill="FFFFFF"/>
        </w:rPr>
        <w:t>14,1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61F8383C" w14:textId="1ABE0079" w:rsidR="00E56DD9" w:rsidRPr="00127F26" w:rsidRDefault="003457E4" w:rsidP="00066081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E4240F">
        <w:rPr>
          <w:b/>
          <w:sz w:val="18"/>
          <w:szCs w:val="18"/>
        </w:rPr>
        <w:t>sierpień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0A9245AB" w14:textId="17EB833E" w:rsidR="00E56DD9" w:rsidRDefault="00965F03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anchorId="339EA6F4" wp14:editId="04E736F0">
            <wp:simplePos x="0" y="0"/>
            <wp:positionH relativeFrom="margin">
              <wp:align>right</wp:align>
            </wp:positionH>
            <wp:positionV relativeFrom="paragraph">
              <wp:posOffset>89291</wp:posOffset>
            </wp:positionV>
            <wp:extent cx="5122545" cy="3662387"/>
            <wp:effectExtent l="0" t="0" r="0" b="0"/>
            <wp:wrapNone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6BDE" w14:textId="6CCD3808" w:rsidR="00E56DD9" w:rsidRDefault="00E56DD9" w:rsidP="00047CF8">
      <w:pPr>
        <w:jc w:val="center"/>
        <w:rPr>
          <w:b/>
          <w:sz w:val="18"/>
          <w:szCs w:val="18"/>
        </w:rPr>
      </w:pPr>
    </w:p>
    <w:p w14:paraId="6E41E6B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E17D40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443F6BDB" w14:textId="6CCCA039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14:paraId="50199915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750A83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0" w:history="1">
              <w:r w:rsidRPr="00750A8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197B833C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EC245C2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2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A63FE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A63FE4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A63FE4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Default="00A63FE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D2518C" w:rsidRDefault="00D650EB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77777777" w:rsidR="004862B6" w:rsidRPr="00D2518C" w:rsidRDefault="00A63FE4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753D614D" w14:textId="77777777" w:rsidR="004862B6" w:rsidRPr="00D2518C" w:rsidRDefault="00A63FE4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A63FE4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F6CD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F6CD0" w:rsidP="00AB6D25">
                      <w:pPr>
                        <w:rPr>
                          <w:color w:val="001D77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F6CD0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Default="001F6CD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D2518C" w:rsidRDefault="00D650EB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77777777" w:rsidR="004862B6" w:rsidRPr="00D2518C" w:rsidRDefault="001F6CD0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753D614D" w14:textId="77777777" w:rsidR="004862B6" w:rsidRPr="00D2518C" w:rsidRDefault="001F6CD0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F6CD0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6D66" w14:textId="77777777" w:rsidR="00A63FE4" w:rsidRDefault="00A63FE4" w:rsidP="000662E2">
      <w:pPr>
        <w:spacing w:after="0" w:line="240" w:lineRule="auto"/>
      </w:pPr>
      <w:r>
        <w:separator/>
      </w:r>
    </w:p>
  </w:endnote>
  <w:endnote w:type="continuationSeparator" w:id="0">
    <w:p w14:paraId="11A4596C" w14:textId="77777777" w:rsidR="00A63FE4" w:rsidRDefault="00A63F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D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9EF91" w14:textId="77777777" w:rsidR="00A63FE4" w:rsidRDefault="00A63FE4" w:rsidP="000662E2">
      <w:pPr>
        <w:spacing w:after="0" w:line="240" w:lineRule="auto"/>
      </w:pPr>
      <w:r>
        <w:separator/>
      </w:r>
    </w:p>
  </w:footnote>
  <w:footnote w:type="continuationSeparator" w:id="0">
    <w:p w14:paraId="08EDBE38" w14:textId="77777777" w:rsidR="00A63FE4" w:rsidRDefault="00A63FE4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6A1F7ADE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7E1B1D">
        <w:rPr>
          <w:sz w:val="16"/>
          <w:szCs w:val="16"/>
        </w:rPr>
        <w:t>, natomiast informacje o 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07FC892" w:rsidR="00112A4D" w:rsidRPr="00C97596" w:rsidRDefault="00904121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23.09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07FC892" w:rsidR="00112A4D" w:rsidRPr="00C97596" w:rsidRDefault="00904121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23.09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6AD0"/>
    <w:rsid w:val="00057CA1"/>
    <w:rsid w:val="000612F7"/>
    <w:rsid w:val="00061DAF"/>
    <w:rsid w:val="000657FC"/>
    <w:rsid w:val="00066081"/>
    <w:rsid w:val="000662E2"/>
    <w:rsid w:val="00066883"/>
    <w:rsid w:val="00066B05"/>
    <w:rsid w:val="0007222B"/>
    <w:rsid w:val="00073259"/>
    <w:rsid w:val="00073311"/>
    <w:rsid w:val="00074DD8"/>
    <w:rsid w:val="000761AC"/>
    <w:rsid w:val="00076D95"/>
    <w:rsid w:val="00077B8C"/>
    <w:rsid w:val="000806F7"/>
    <w:rsid w:val="000809C8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52273"/>
    <w:rsid w:val="00162325"/>
    <w:rsid w:val="00163C91"/>
    <w:rsid w:val="00164CF6"/>
    <w:rsid w:val="00165D6F"/>
    <w:rsid w:val="00175380"/>
    <w:rsid w:val="001753B5"/>
    <w:rsid w:val="00175AE8"/>
    <w:rsid w:val="0017779B"/>
    <w:rsid w:val="00177A36"/>
    <w:rsid w:val="00177DD6"/>
    <w:rsid w:val="001823A4"/>
    <w:rsid w:val="001850EA"/>
    <w:rsid w:val="001852BE"/>
    <w:rsid w:val="00186B6B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55D0"/>
    <w:rsid w:val="001A6EC1"/>
    <w:rsid w:val="001B1CE5"/>
    <w:rsid w:val="001B3932"/>
    <w:rsid w:val="001B48A8"/>
    <w:rsid w:val="001B4968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1F6CD0"/>
    <w:rsid w:val="0020139E"/>
    <w:rsid w:val="00202E71"/>
    <w:rsid w:val="002056B1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77C8"/>
    <w:rsid w:val="0030115B"/>
    <w:rsid w:val="00304F22"/>
    <w:rsid w:val="00305F35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C8D"/>
    <w:rsid w:val="003D0B5F"/>
    <w:rsid w:val="003D0F50"/>
    <w:rsid w:val="003D3C6E"/>
    <w:rsid w:val="003D4F95"/>
    <w:rsid w:val="003D5F42"/>
    <w:rsid w:val="003D60A9"/>
    <w:rsid w:val="003E2C2A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60904"/>
    <w:rsid w:val="00460DA9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2EC2"/>
    <w:rsid w:val="00566275"/>
    <w:rsid w:val="005662CD"/>
    <w:rsid w:val="00576096"/>
    <w:rsid w:val="005762A7"/>
    <w:rsid w:val="005776E0"/>
    <w:rsid w:val="00577BDE"/>
    <w:rsid w:val="00581240"/>
    <w:rsid w:val="00581324"/>
    <w:rsid w:val="00582ED4"/>
    <w:rsid w:val="00585630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4589"/>
    <w:rsid w:val="006673CA"/>
    <w:rsid w:val="00667D6F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AE4"/>
    <w:rsid w:val="006B5D9A"/>
    <w:rsid w:val="006B6187"/>
    <w:rsid w:val="006C4AF3"/>
    <w:rsid w:val="006C4BEC"/>
    <w:rsid w:val="006C5216"/>
    <w:rsid w:val="006C6D12"/>
    <w:rsid w:val="006D07A2"/>
    <w:rsid w:val="006D109D"/>
    <w:rsid w:val="006D1926"/>
    <w:rsid w:val="006D4054"/>
    <w:rsid w:val="006D4BD3"/>
    <w:rsid w:val="006D5ACE"/>
    <w:rsid w:val="006E02E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7DCC"/>
    <w:rsid w:val="00741554"/>
    <w:rsid w:val="00743BDF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3B09"/>
    <w:rsid w:val="00773CF3"/>
    <w:rsid w:val="00774F4E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D6D55"/>
    <w:rsid w:val="007E0C88"/>
    <w:rsid w:val="007E1B1D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C28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F0C"/>
    <w:rsid w:val="008A1C80"/>
    <w:rsid w:val="008A26D9"/>
    <w:rsid w:val="008A3DAD"/>
    <w:rsid w:val="008A58C2"/>
    <w:rsid w:val="008B0F20"/>
    <w:rsid w:val="008B1B16"/>
    <w:rsid w:val="008B3CA0"/>
    <w:rsid w:val="008B6A9A"/>
    <w:rsid w:val="008C0007"/>
    <w:rsid w:val="008C0C29"/>
    <w:rsid w:val="008C1F33"/>
    <w:rsid w:val="008C37DB"/>
    <w:rsid w:val="008C3AB7"/>
    <w:rsid w:val="008C4E2B"/>
    <w:rsid w:val="008C5D81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F31"/>
    <w:rsid w:val="008F74DF"/>
    <w:rsid w:val="00903106"/>
    <w:rsid w:val="00904121"/>
    <w:rsid w:val="00904133"/>
    <w:rsid w:val="00905375"/>
    <w:rsid w:val="00905A67"/>
    <w:rsid w:val="00906857"/>
    <w:rsid w:val="00907546"/>
    <w:rsid w:val="009076B2"/>
    <w:rsid w:val="009127BA"/>
    <w:rsid w:val="0091310A"/>
    <w:rsid w:val="0091350E"/>
    <w:rsid w:val="00913766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F03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6309"/>
    <w:rsid w:val="00997A21"/>
    <w:rsid w:val="009A0B91"/>
    <w:rsid w:val="009A2FF0"/>
    <w:rsid w:val="009A4459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CB8"/>
    <w:rsid w:val="00B46521"/>
    <w:rsid w:val="00B465A7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5DEE"/>
    <w:rsid w:val="00C3702F"/>
    <w:rsid w:val="00C37A03"/>
    <w:rsid w:val="00C41642"/>
    <w:rsid w:val="00C41764"/>
    <w:rsid w:val="00C45997"/>
    <w:rsid w:val="00C46C43"/>
    <w:rsid w:val="00C47820"/>
    <w:rsid w:val="00C52C74"/>
    <w:rsid w:val="00C5434F"/>
    <w:rsid w:val="00C561ED"/>
    <w:rsid w:val="00C64A37"/>
    <w:rsid w:val="00C6552F"/>
    <w:rsid w:val="00C67295"/>
    <w:rsid w:val="00C7158E"/>
    <w:rsid w:val="00C7250B"/>
    <w:rsid w:val="00C7346B"/>
    <w:rsid w:val="00C77C0E"/>
    <w:rsid w:val="00C8094E"/>
    <w:rsid w:val="00C8338F"/>
    <w:rsid w:val="00C84055"/>
    <w:rsid w:val="00C84740"/>
    <w:rsid w:val="00C84D08"/>
    <w:rsid w:val="00C861F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C6871"/>
    <w:rsid w:val="00DD1B39"/>
    <w:rsid w:val="00DD1D64"/>
    <w:rsid w:val="00DD20E2"/>
    <w:rsid w:val="00DD21A2"/>
    <w:rsid w:val="00DD4E61"/>
    <w:rsid w:val="00DD5A66"/>
    <w:rsid w:val="00DD6840"/>
    <w:rsid w:val="00DE3D51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291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40F"/>
    <w:rsid w:val="00E42FF9"/>
    <w:rsid w:val="00E43C74"/>
    <w:rsid w:val="00E44F82"/>
    <w:rsid w:val="00E457ED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2F31"/>
    <w:rsid w:val="00F4477E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BE7"/>
    <w:rsid w:val="00FB42D4"/>
    <w:rsid w:val="00FB58A3"/>
    <w:rsid w:val="00FB5906"/>
    <w:rsid w:val="00FB762F"/>
    <w:rsid w:val="00FC0BA6"/>
    <w:rsid w:val="00FC2AED"/>
    <w:rsid w:val="00FC625D"/>
    <w:rsid w:val="00FC67EF"/>
    <w:rsid w:val="00FC6AC9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przemysl-budownictwo-srodki-trwale/budownictwo/publikacja,3.html" TargetMode="External"/><Relationship Id="rId39" Type="http://schemas.openxmlformats.org/officeDocument/2006/relationships/hyperlink" Target="http://stat.gov.pl/metainformacje/slownik-pojec/pojecia-stosowane-w-statystyce-publicznej/3763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obszary-tematyczne/przemysl-budownictwo-srodki-trwale/budownictwo/publikacja,3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Z.Kurlej@stat.gov.pl" TargetMode="External"/><Relationship Id="rId29" Type="http://schemas.openxmlformats.org/officeDocument/2006/relationships/hyperlink" Target="http://swaid.stat.gov.pl/Budownictwo_dashboards/Raporty_predefiniowane/RAP_DBD_BUD_9.aspx" TargetMode="External"/><Relationship Id="rId41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945,pojecie.html" TargetMode="External"/><Relationship Id="rId37" Type="http://schemas.openxmlformats.org/officeDocument/2006/relationships/hyperlink" Target="http://swaid.stat.gov.pl/Budownictwo_dashboards/Raporty_predefiniowane/RAP_DBD_BUD_9.aspx" TargetMode="External"/><Relationship Id="rId40" Type="http://schemas.openxmlformats.org/officeDocument/2006/relationships/hyperlink" Target="http://stat.gov.pl/metainformacje/slownik-pojec/pojecia-stosowane-w-statystyce-publicznej/945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Budownictwo_dashboards/Raporty_predefiniowane/RAP_DBD_BUD_7.aspx" TargetMode="External"/><Relationship Id="rId36" Type="http://schemas.openxmlformats.org/officeDocument/2006/relationships/hyperlink" Target="http://swaid.stat.gov.pl/Budownictwo_dashboards/Raporty_predefiniowane/RAP_DBD_BUD_7.aspx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3763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obszary-tematyczne/przemysl-budownictwo-srodki-trwale/budownictwo/publikacja,13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s://stat.gov.pl/obszary-tematyczne/przemysl-budownictwo-srodki-trwale/budownictwo/publikacja,13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201,pojecie.html" TargetMode="External"/><Relationship Id="rId38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Arkusz1!$B$2:$AS$3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Arkusz1!$B$4:$AS$4</c:f>
              <c:numCache>
                <c:formatCode>General</c:formatCode>
                <c:ptCount val="44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15551</c:v>
                </c:pt>
                <c:pt idx="43">
                  <c:v>17748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8542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Arkusz1!$B$2:$AS$3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Arkusz1!$B$16:$AS$16</c:f>
              <c:numCache>
                <c:formatCode>General</c:formatCode>
                <c:ptCount val="44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CCD2E4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multiLvlStrRef>
              <c:f>Arkusz1!$B$2:$AS$3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Arkusz1!$B$10:$AS$10</c:f>
              <c:numCache>
                <c:formatCode>General</c:formatCode>
                <c:ptCount val="44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21899408"/>
        <c:axId val="-1921901040"/>
      </c:lineChart>
      <c:catAx>
        <c:axId val="-192189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2190104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92190104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2189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379877580382414E-2"/>
          <c:y val="0.82555209018055675"/>
          <c:w val="0.71807255820166771"/>
          <c:h val="0.174447909819443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21898320"/>
        <c:axId val="-1921913552"/>
      </c:lineChart>
      <c:catAx>
        <c:axId val="-192189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2191355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92191355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2189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6.5143929143415769E-2"/>
          <c:w val="0.78147912136044484"/>
          <c:h val="0.69701027704465679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2489</c:v>
                </c:pt>
                <c:pt idx="1">
                  <c:v>2762</c:v>
                </c:pt>
                <c:pt idx="2">
                  <c:v>3991</c:v>
                </c:pt>
                <c:pt idx="3">
                  <c:v>5742</c:v>
                </c:pt>
                <c:pt idx="4">
                  <c:v>3775</c:v>
                </c:pt>
                <c:pt idx="5">
                  <c:v>6304</c:v>
                </c:pt>
                <c:pt idx="6">
                  <c:v>6923</c:v>
                </c:pt>
                <c:pt idx="7">
                  <c:v>6112</c:v>
                </c:pt>
                <c:pt idx="8">
                  <c:v>6953</c:v>
                </c:pt>
                <c:pt idx="9">
                  <c:v>8904</c:v>
                </c:pt>
                <c:pt idx="10">
                  <c:v>11853</c:v>
                </c:pt>
                <c:pt idx="11">
                  <c:v>15066</c:v>
                </c:pt>
                <c:pt idx="12">
                  <c:v>17179</c:v>
                </c:pt>
                <c:pt idx="13">
                  <c:v>16510</c:v>
                </c:pt>
                <c:pt idx="14">
                  <c:v>14088</c:v>
                </c:pt>
                <c:pt idx="15">
                  <c:v>28227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2615</c:v>
                </c:pt>
                <c:pt idx="1">
                  <c:v>2801</c:v>
                </c:pt>
                <c:pt idx="2">
                  <c:v>4306</c:v>
                </c:pt>
                <c:pt idx="3">
                  <c:v>5525</c:v>
                </c:pt>
                <c:pt idx="4">
                  <c:v>4932</c:v>
                </c:pt>
                <c:pt idx="5">
                  <c:v>6668</c:v>
                </c:pt>
                <c:pt idx="6">
                  <c:v>7181</c:v>
                </c:pt>
                <c:pt idx="7">
                  <c:v>8012</c:v>
                </c:pt>
                <c:pt idx="8">
                  <c:v>8550</c:v>
                </c:pt>
                <c:pt idx="9">
                  <c:v>10209</c:v>
                </c:pt>
                <c:pt idx="10">
                  <c:v>13819</c:v>
                </c:pt>
                <c:pt idx="11">
                  <c:v>17077</c:v>
                </c:pt>
                <c:pt idx="12">
                  <c:v>19543</c:v>
                </c:pt>
                <c:pt idx="13">
                  <c:v>18815</c:v>
                </c:pt>
                <c:pt idx="14">
                  <c:v>15122</c:v>
                </c:pt>
                <c:pt idx="15">
                  <c:v>31181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1551</c:v>
                </c:pt>
                <c:pt idx="1">
                  <c:v>2380</c:v>
                </c:pt>
                <c:pt idx="2">
                  <c:v>2536</c:v>
                </c:pt>
                <c:pt idx="3">
                  <c:v>3612</c:v>
                </c:pt>
                <c:pt idx="4">
                  <c:v>3813</c:v>
                </c:pt>
                <c:pt idx="5">
                  <c:v>4669</c:v>
                </c:pt>
                <c:pt idx="6">
                  <c:v>5386</c:v>
                </c:pt>
                <c:pt idx="7">
                  <c:v>5529</c:v>
                </c:pt>
                <c:pt idx="8">
                  <c:v>5772</c:v>
                </c:pt>
                <c:pt idx="9">
                  <c:v>5986</c:v>
                </c:pt>
                <c:pt idx="10">
                  <c:v>8764</c:v>
                </c:pt>
                <c:pt idx="11">
                  <c:v>10559</c:v>
                </c:pt>
                <c:pt idx="12">
                  <c:v>12771</c:v>
                </c:pt>
                <c:pt idx="13">
                  <c:v>13612</c:v>
                </c:pt>
                <c:pt idx="14">
                  <c:v>14092</c:v>
                </c:pt>
                <c:pt idx="15">
                  <c:v>26800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921913008"/>
        <c:axId val="-1921911920"/>
      </c:barChart>
      <c:catAx>
        <c:axId val="-1921913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1911920"/>
        <c:crosses val="autoZero"/>
        <c:auto val="1"/>
        <c:lblAlgn val="ctr"/>
        <c:lblOffset val="100"/>
        <c:noMultiLvlLbl val="0"/>
      </c:catAx>
      <c:valAx>
        <c:axId val="-1921911920"/>
        <c:scaling>
          <c:orientation val="minMax"/>
          <c:max val="32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921913008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32536465281011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DE0D8-F69D-4A01-9915-2664000E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GUS</dc:creator>
  <cp:keywords>mieszkania oddane do użytkowania; mieszkania w budowie; mieszkania rozpoczęte; pozwolenie na budowę; powierzchnia użytkowa</cp:keywords>
  <dc:description>Budownictwo mieszkaniowe w okresie styczeń-czerwiec 2018 roku</dc:description>
  <cp:lastPrinted>2019-09-19T08:16:00Z</cp:lastPrinted>
  <dcterms:created xsi:type="dcterms:W3CDTF">2019-09-19T11:10:00Z</dcterms:created>
  <dcterms:modified xsi:type="dcterms:W3CDTF">2019-09-27T10:57:00Z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