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565170C6"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A6B91">
        <w:rPr>
          <w:color w:val="auto"/>
          <w:szCs w:val="40"/>
          <w:shd w:val="clear" w:color="auto" w:fill="FFFFFF"/>
        </w:rPr>
        <w:t>V</w:t>
      </w:r>
      <w:r w:rsidR="00412E8A">
        <w:rPr>
          <w:color w:val="auto"/>
          <w:szCs w:val="40"/>
          <w:shd w:val="clear" w:color="auto" w:fill="FFFFFF"/>
        </w:rPr>
        <w:t>I</w:t>
      </w:r>
      <w:r w:rsidR="000167C7">
        <w:rPr>
          <w:color w:val="auto"/>
          <w:szCs w:val="40"/>
          <w:shd w:val="clear" w:color="auto" w:fill="FFFFFF"/>
        </w:rPr>
        <w:t>I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432F6FE0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5219C66F"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728CB21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77777777"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2BDAC8DA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14:paraId="164074AE" w14:textId="77777777"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DBC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32057403" w14:textId="77777777"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2BDAC8DA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14:paraId="164074AE" w14:textId="77777777"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1A99811D" wp14:editId="0DFAFE2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F9C46" w14:textId="0078B0CC"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582ED6" wp14:editId="690980D6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C56E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110,9</w:t>
                            </w:r>
                          </w:p>
                          <w:p w14:paraId="7EBB0A62" w14:textId="77777777"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81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531F9C46" w14:textId="0078B0CC"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582ED6" wp14:editId="690980D6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C56E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110,9</w:t>
                      </w:r>
                    </w:p>
                    <w:p w14:paraId="7EBB0A62" w14:textId="77777777"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27D93">
        <w:t xml:space="preserve">okresie </w:t>
      </w:r>
      <w:r w:rsidR="005C56E1">
        <w:t>siedmiu</w:t>
      </w:r>
      <w:r w:rsidR="00A27D93">
        <w:t xml:space="preserve"> miesięcy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>to</w:t>
      </w:r>
      <w:r w:rsidR="00F91606">
        <w:t xml:space="preserve"> oraz</w:t>
      </w:r>
      <w:r w:rsidR="008B0F20">
        <w:t xml:space="preserve">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>lub dokonano zgłoszenia z projektem budowlanym</w:t>
      </w:r>
      <w:r w:rsidR="008B0F20">
        <w:t>.</w:t>
      </w:r>
      <w:r w:rsidR="00B1192F" w:rsidRPr="00DA0F32">
        <w:t xml:space="preserve"> </w:t>
      </w:r>
    </w:p>
    <w:p w14:paraId="6EB6C166" w14:textId="77777777" w:rsidR="0075636C" w:rsidRPr="009A6B72" w:rsidRDefault="0075636C" w:rsidP="0075636C">
      <w:pPr>
        <w:pStyle w:val="Nagwek1"/>
      </w:pPr>
      <w:bookmarkStart w:id="0" w:name="_GoBack"/>
      <w:bookmarkEnd w:id="0"/>
    </w:p>
    <w:p w14:paraId="74265326" w14:textId="77777777" w:rsidR="00C6552F" w:rsidRPr="009A6B72" w:rsidRDefault="00231001" w:rsidP="00F113BA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EA8CBED">
                <wp:simplePos x="0" y="0"/>
                <wp:positionH relativeFrom="page">
                  <wp:posOffset>5739130</wp:posOffset>
                </wp:positionH>
                <wp:positionV relativeFrom="paragraph">
                  <wp:posOffset>182245</wp:posOffset>
                </wp:positionV>
                <wp:extent cx="1760220" cy="767080"/>
                <wp:effectExtent l="0" t="0" r="0" b="0"/>
                <wp:wrapTight wrapText="bothSides">
                  <wp:wrapPolygon edited="0">
                    <wp:start x="701" y="0"/>
                    <wp:lineTo x="701" y="20921"/>
                    <wp:lineTo x="20805" y="20921"/>
                    <wp:lineTo x="20805" y="0"/>
                    <wp:lineTo x="701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76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5ABD" w14:textId="53EE46D3"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F1617">
                              <w:t>De</w:t>
                            </w:r>
                            <w:r w:rsidR="00231001" w:rsidRPr="002F1617">
                              <w:t>weloperzy o</w:t>
                            </w:r>
                            <w:r w:rsidR="00231001" w:rsidRPr="0023461B">
                              <w:t xml:space="preserve">ddali do użytkowania </w:t>
                            </w:r>
                            <w:r w:rsidR="005662CD">
                              <w:t>61,8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 w:rsidRPr="002F1617">
                              <w:t xml:space="preserve">ogólnej liczby mieszkań, tj. </w:t>
                            </w:r>
                            <w:r w:rsidR="009D258B" w:rsidRPr="0007222B">
                              <w:t>o</w:t>
                            </w:r>
                            <w:r w:rsidR="009D258B">
                              <w:t xml:space="preserve"> </w:t>
                            </w:r>
                            <w:r w:rsidR="005662CD">
                              <w:t>2</w:t>
                            </w:r>
                            <w:r w:rsidR="00A14EA4">
                              <w:t>,</w:t>
                            </w:r>
                            <w:r w:rsidR="005662CD">
                              <w:t>6</w:t>
                            </w:r>
                            <w:r w:rsidR="00231001" w:rsidRPr="0023461B">
                              <w:t xml:space="preserve"> p. proc. więcej niż w ub.</w:t>
                            </w:r>
                            <w:r w:rsidR="00395881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9" type="#_x0000_t202" style="position:absolute;margin-left:451.9pt;margin-top:14.35pt;width:138.6pt;height:60.4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" filled="f" stroked="f">
                <v:textbox>
                  <w:txbxContent>
                    <w:p w14:paraId="1DB05ABD" w14:textId="53EE46D3"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F1617">
                        <w:t>De</w:t>
                      </w:r>
                      <w:r w:rsidR="00231001" w:rsidRPr="002F1617">
                        <w:t>weloperzy o</w:t>
                      </w:r>
                      <w:r w:rsidR="00231001" w:rsidRPr="0023461B">
                        <w:t xml:space="preserve">ddali do użytkowania </w:t>
                      </w:r>
                      <w:r w:rsidR="005662CD">
                        <w:t>61,8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 w:rsidRPr="002F1617">
                        <w:t xml:space="preserve">ogólnej liczby mieszkań, tj. </w:t>
                      </w:r>
                      <w:r w:rsidR="009D258B" w:rsidRPr="0007222B">
                        <w:t>o</w:t>
                      </w:r>
                      <w:r w:rsidR="009D258B">
                        <w:t xml:space="preserve"> </w:t>
                      </w:r>
                      <w:r w:rsidR="005662CD">
                        <w:t>2</w:t>
                      </w:r>
                      <w:r w:rsidR="00A14EA4">
                        <w:t>,</w:t>
                      </w:r>
                      <w:r w:rsidR="005662CD">
                        <w:t>6</w:t>
                      </w:r>
                      <w:r w:rsidR="00231001" w:rsidRPr="0023461B">
                        <w:t xml:space="preserve"> p. proc. więcej niż w ub.</w:t>
                      </w:r>
                      <w:r w:rsidR="00395881">
                        <w:t xml:space="preserve">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9A6B72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4D6CC974" w:rsidR="004D107E" w:rsidRPr="008B0F20" w:rsidRDefault="003476A5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75A779E9" wp14:editId="34FCDD27">
                <wp:simplePos x="0" y="0"/>
                <wp:positionH relativeFrom="page">
                  <wp:posOffset>5740400</wp:posOffset>
                </wp:positionH>
                <wp:positionV relativeFrom="paragraph">
                  <wp:posOffset>1217930</wp:posOffset>
                </wp:positionV>
                <wp:extent cx="1643380" cy="910590"/>
                <wp:effectExtent l="0" t="0" r="0" b="3810"/>
                <wp:wrapTight wrapText="bothSides">
                  <wp:wrapPolygon edited="0">
                    <wp:start x="751" y="0"/>
                    <wp:lineTo x="751" y="21238"/>
                    <wp:lineTo x="20782" y="21238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910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12FA" w14:textId="4C4914AC"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350F22">
                              <w:t>V</w:t>
                            </w:r>
                            <w:r w:rsidR="00165D6F">
                              <w:t>I</w:t>
                            </w:r>
                            <w:r w:rsidR="00536846">
                              <w:t>I</w:t>
                            </w:r>
                            <w:r w:rsidR="00423192">
                              <w:t xml:space="preserve"> </w:t>
                            </w:r>
                            <w:r w:rsidR="00423192" w:rsidRPr="002F1617">
                              <w:t>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 xml:space="preserve">. </w:t>
                            </w:r>
                            <w:r w:rsidR="00536846">
                              <w:t>wyniosła 90,5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779E9" id="Pole tekstowe 16" o:spid="_x0000_s1030" type="#_x0000_t202" style="position:absolute;margin-left:452pt;margin-top:95.9pt;width:129.4pt;height:71.7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" filled="f" stroked="f">
                <v:textbox>
                  <w:txbxContent>
                    <w:p w14:paraId="3C6912FA" w14:textId="4C4914AC"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350F22">
                        <w:t>V</w:t>
                      </w:r>
                      <w:r w:rsidR="00165D6F">
                        <w:t>I</w:t>
                      </w:r>
                      <w:r w:rsidR="00536846">
                        <w:t>I</w:t>
                      </w:r>
                      <w:r w:rsidR="00423192">
                        <w:t xml:space="preserve"> </w:t>
                      </w:r>
                      <w:r w:rsidR="00423192" w:rsidRPr="002F1617">
                        <w:t>2019</w:t>
                      </w:r>
                      <w:r w:rsidR="008C1F33" w:rsidRPr="002F1617">
                        <w:t xml:space="preserve"> r</w:t>
                      </w:r>
                      <w:r w:rsidR="002F1617">
                        <w:t xml:space="preserve">. </w:t>
                      </w:r>
                      <w:r w:rsidR="00536846">
                        <w:t>wyniosła 90,5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5FA67F0F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F91606">
        <w:rPr>
          <w:shd w:val="clear" w:color="auto" w:fill="FFFFFF"/>
        </w:rPr>
        <w:t>lipiec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F91606">
        <w:rPr>
          <w:shd w:val="clear" w:color="auto" w:fill="FFFFFF"/>
        </w:rPr>
        <w:t>110,2</w:t>
      </w:r>
      <w:r>
        <w:rPr>
          <w:shd w:val="clear" w:color="auto" w:fill="FFFFFF"/>
        </w:rPr>
        <w:t> 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F91606">
        <w:rPr>
          <w:shd w:val="clear" w:color="auto" w:fill="FFFFFF"/>
        </w:rPr>
        <w:t>10</w:t>
      </w:r>
      <w:r w:rsidR="00DB1E64">
        <w:rPr>
          <w:shd w:val="clear" w:color="auto" w:fill="FFFFFF"/>
        </w:rPr>
        <w:t>,</w:t>
      </w:r>
      <w:r w:rsidR="00F91606">
        <w:rPr>
          <w:shd w:val="clear" w:color="auto" w:fill="FFFFFF"/>
        </w:rPr>
        <w:t>9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5662CD">
        <w:rPr>
          <w:shd w:val="clear" w:color="auto" w:fill="FFFFFF"/>
        </w:rPr>
        <w:t>68,2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5662CD">
        <w:rPr>
          <w:shd w:val="clear" w:color="auto" w:fill="FFFFFF"/>
        </w:rPr>
        <w:t>15,8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proofErr w:type="spellStart"/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proofErr w:type="spellEnd"/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5662CD">
        <w:rPr>
          <w:shd w:val="clear" w:color="auto" w:fill="FFFFFF"/>
        </w:rPr>
        <w:t>39,0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E8566C">
        <w:rPr>
          <w:shd w:val="clear" w:color="auto" w:fill="FFFFFF"/>
        </w:rPr>
        <w:t>2</w:t>
      </w:r>
      <w:r w:rsidR="00865E47" w:rsidRPr="00DA0F32">
        <w:rPr>
          <w:shd w:val="clear" w:color="auto" w:fill="FFFFFF"/>
        </w:rPr>
        <w:t>,</w:t>
      </w:r>
      <w:r w:rsidR="005662CD">
        <w:rPr>
          <w:shd w:val="clear" w:color="auto" w:fill="FFFFFF"/>
        </w:rPr>
        <w:t>3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</w:t>
      </w:r>
      <w:r w:rsidR="00737DCC">
        <w:rPr>
          <w:shd w:val="clear" w:color="auto" w:fill="FFFFFF"/>
        </w:rPr>
        <w:t xml:space="preserve"> </w:t>
      </w:r>
      <w:r w:rsidR="006C5216">
        <w:rPr>
          <w:shd w:val="clear" w:color="auto" w:fill="FFFFFF"/>
        </w:rPr>
        <w:t>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7F7483" w:rsidRPr="00DA0F32">
        <w:rPr>
          <w:shd w:val="clear" w:color="auto" w:fill="FFFFFF"/>
        </w:rPr>
        <w:t xml:space="preserve">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33525D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,</w:t>
      </w:r>
      <w:r w:rsidR="005662CD">
        <w:rPr>
          <w:shd w:val="clear" w:color="auto" w:fill="FFFFFF"/>
        </w:rPr>
        <w:t>2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5662CD">
        <w:rPr>
          <w:shd w:val="clear" w:color="auto" w:fill="FFFFFF"/>
        </w:rPr>
        <w:t>1114</w:t>
      </w:r>
      <w:r w:rsidR="00B1192F" w:rsidRPr="00DA0F32">
        <w:rPr>
          <w:shd w:val="clear" w:color="auto" w:fill="FFFFFF"/>
        </w:rPr>
        <w:t xml:space="preserve"> wobec </w:t>
      </w:r>
      <w:r w:rsidR="005662CD">
        <w:rPr>
          <w:shd w:val="clear" w:color="auto" w:fill="FFFFFF"/>
        </w:rPr>
        <w:t>1197</w:t>
      </w:r>
      <w:r w:rsidR="00B1192F" w:rsidRPr="00DA0F32">
        <w:rPr>
          <w:shd w:val="clear" w:color="auto" w:fill="FFFFFF"/>
        </w:rPr>
        <w:t>)</w:t>
      </w:r>
      <w:r w:rsidR="009E21D0">
        <w:rPr>
          <w:shd w:val="clear" w:color="auto" w:fill="FFFFFF"/>
        </w:rPr>
        <w:t>;</w:t>
      </w:r>
      <w:r w:rsidR="00D467D8">
        <w:rPr>
          <w:shd w:val="clear" w:color="auto" w:fill="FFFFFF"/>
        </w:rPr>
        <w:t xml:space="preserve"> </w:t>
      </w:r>
      <w:r w:rsidR="009E21D0">
        <w:rPr>
          <w:shd w:val="clear" w:color="auto" w:fill="FFFFFF"/>
        </w:rPr>
        <w:t>w</w:t>
      </w:r>
      <w:r w:rsidR="00D467D8">
        <w:rPr>
          <w:shd w:val="clear" w:color="auto" w:fill="FFFFFF"/>
        </w:rPr>
        <w:t>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DD6840" w:rsidRPr="00DA0F32">
        <w:rPr>
          <w:shd w:val="clear" w:color="auto" w:fill="FFFFFF"/>
        </w:rPr>
        <w:t>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</w:t>
      </w:r>
      <w:r w:rsidR="00547737">
        <w:rPr>
          <w:shd w:val="clear" w:color="auto" w:fill="FFFFFF"/>
        </w:rPr>
        <w:t> </w:t>
      </w:r>
      <w:r w:rsidR="00DD6840" w:rsidRPr="00DA0F32">
        <w:rPr>
          <w:shd w:val="clear" w:color="auto" w:fill="FFFFFF"/>
        </w:rPr>
        <w:t>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</w:t>
      </w:r>
      <w:r w:rsidR="005662CD">
        <w:rPr>
          <w:shd w:val="clear" w:color="auto" w:fill="FFFFFF"/>
        </w:rPr>
        <w:t>1936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5662CD">
        <w:rPr>
          <w:shd w:val="clear" w:color="auto" w:fill="FFFFFF"/>
        </w:rPr>
        <w:t>60,0</w:t>
      </w:r>
      <w:r w:rsidR="000F156F" w:rsidRPr="00DA0F32">
        <w:rPr>
          <w:shd w:val="clear" w:color="auto" w:fill="FFFFFF"/>
        </w:rPr>
        <w:t>% więcej</w:t>
      </w:r>
      <w:r w:rsidR="0033525D">
        <w:rPr>
          <w:shd w:val="clear" w:color="auto" w:fill="FFFFFF"/>
        </w:rPr>
        <w:t>.</w:t>
      </w:r>
    </w:p>
    <w:p w14:paraId="1E9416A7" w14:textId="54652319"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w </w:t>
      </w:r>
      <w:r w:rsidR="00C023D9">
        <w:rPr>
          <w:shd w:val="clear" w:color="auto" w:fill="FFFFFF"/>
        </w:rPr>
        <w:t>okresie I-</w:t>
      </w:r>
      <w:r w:rsidR="00A13514">
        <w:rPr>
          <w:shd w:val="clear" w:color="auto" w:fill="FFFFFF"/>
        </w:rPr>
        <w:t>V</w:t>
      </w:r>
      <w:r w:rsidR="00165D6F">
        <w:rPr>
          <w:shd w:val="clear" w:color="auto" w:fill="FFFFFF"/>
        </w:rPr>
        <w:t>I</w:t>
      </w:r>
      <w:r w:rsidR="005662CD">
        <w:rPr>
          <w:shd w:val="clear" w:color="auto" w:fill="FFFFFF"/>
        </w:rPr>
        <w:t>I</w:t>
      </w:r>
      <w:r w:rsidR="00A13514">
        <w:rPr>
          <w:shd w:val="clear" w:color="auto" w:fill="FFFFFF"/>
        </w:rPr>
        <w:t xml:space="preserve">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5662CD">
        <w:rPr>
          <w:shd w:val="clear" w:color="auto" w:fill="FFFFFF"/>
        </w:rPr>
        <w:t>10,0</w:t>
      </w:r>
      <w:r w:rsidRPr="00DA0F32">
        <w:rPr>
          <w:shd w:val="clear" w:color="auto" w:fill="FFFFFF"/>
        </w:rPr>
        <w:t xml:space="preserve"> 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3476A5">
        <w:rPr>
          <w:shd w:val="clear" w:color="auto" w:fill="FFFFFF"/>
        </w:rPr>
        <w:t> </w:t>
      </w:r>
      <w:r w:rsidR="005662CD">
        <w:rPr>
          <w:shd w:val="clear" w:color="auto" w:fill="FFFFFF"/>
        </w:rPr>
        <w:t>8</w:t>
      </w:r>
      <w:r w:rsidRPr="00DA0F32">
        <w:rPr>
          <w:shd w:val="clear" w:color="auto" w:fill="FFFFFF"/>
        </w:rPr>
        <w:t>,</w:t>
      </w:r>
      <w:r w:rsidR="005662CD">
        <w:rPr>
          <w:shd w:val="clear" w:color="auto" w:fill="FFFFFF"/>
        </w:rPr>
        <w:t>1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165D6F">
        <w:rPr>
          <w:shd w:val="clear" w:color="auto" w:fill="FFFFFF"/>
        </w:rPr>
        <w:t>styczeń-</w:t>
      </w:r>
      <w:r w:rsidR="005662CD">
        <w:rPr>
          <w:shd w:val="clear" w:color="auto" w:fill="FFFFFF"/>
        </w:rPr>
        <w:t>lipiec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5662CD">
        <w:rPr>
          <w:shd w:val="clear" w:color="auto" w:fill="FFFFFF"/>
        </w:rPr>
        <w:t>zmniejszyła się o 2,3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5662CD">
        <w:rPr>
          <w:shd w:val="clear" w:color="auto" w:fill="FFFFFF"/>
        </w:rPr>
        <w:t>90,5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14:paraId="3235C721" w14:textId="77777777"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14:paraId="5F3464E0" w14:textId="77777777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14:paraId="54251B3F" w14:textId="77777777"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2E932D0F" w14:textId="77777777"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14:paraId="2FF08BCE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80EC9B3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6A5CE08B" w14:textId="3AB4BB23" w:rsidR="00FA56EF" w:rsidRPr="00FA5128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081F32E7" w14:textId="427C0E99"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FA56EF" w:rsidRPr="00FA5128" w14:paraId="4B4BEAAF" w14:textId="77777777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A30270B" w14:textId="77777777"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456963A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68CE28FA" w14:textId="2C48D81A" w:rsidR="00FA56EF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</w:p>
          <w:p w14:paraId="4806ECF7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4CBD9A05" w14:textId="01973318" w:rsidR="00FA56EF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</w:p>
          <w:p w14:paraId="20CA86F0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4A765D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74FB2CAA" w14:textId="208FC470"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591FDF">
              <w:rPr>
                <w:color w:val="000000" w:themeColor="text1"/>
                <w:sz w:val="16"/>
                <w:szCs w:val="16"/>
              </w:rPr>
              <w:t>I</w:t>
            </w:r>
            <w:r w:rsidR="002C4336">
              <w:rPr>
                <w:color w:val="000000" w:themeColor="text1"/>
                <w:sz w:val="16"/>
                <w:szCs w:val="16"/>
              </w:rPr>
              <w:t>I</w:t>
            </w:r>
          </w:p>
          <w:p w14:paraId="62ED791B" w14:textId="77777777"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14:paraId="17BCE492" w14:textId="77777777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3A77084D" w14:textId="77777777"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3864BD1" w14:textId="39F90E93" w:rsidR="00FA56EF" w:rsidRPr="00FA5128" w:rsidRDefault="002C4336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b/>
                <w:color w:val="000000" w:themeColor="text1"/>
                <w:sz w:val="16"/>
                <w:szCs w:val="16"/>
              </w:rPr>
              <w:t>15 551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2173C3C" w14:textId="13A7A002" w:rsidR="00FA56EF" w:rsidRPr="00FA5128" w:rsidRDefault="002C4336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b/>
                <w:color w:val="000000" w:themeColor="text1"/>
                <w:sz w:val="16"/>
                <w:szCs w:val="16"/>
              </w:rPr>
              <w:t>93,5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06EA32F" w14:textId="5B88B718" w:rsidR="00FA56EF" w:rsidRPr="00FA5128" w:rsidRDefault="00536846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36846">
              <w:rPr>
                <w:rFonts w:cs="Arial"/>
                <w:b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0F7736AA" w14:textId="6C71D5A3" w:rsidR="00FA56EF" w:rsidRPr="00FA5128" w:rsidRDefault="002C4336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b/>
                <w:color w:val="000000" w:themeColor="text1"/>
                <w:sz w:val="16"/>
                <w:szCs w:val="16"/>
              </w:rPr>
              <w:t>110 247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B78E382" w14:textId="4D8D0DD6" w:rsidR="00FA56EF" w:rsidRPr="00FA5128" w:rsidRDefault="002C4336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b/>
                <w:color w:val="000000" w:themeColor="text1"/>
                <w:sz w:val="16"/>
                <w:szCs w:val="16"/>
              </w:rPr>
              <w:t>110,9</w:t>
            </w:r>
          </w:p>
        </w:tc>
      </w:tr>
      <w:tr w:rsidR="00FA56EF" w:rsidRPr="00907546" w14:paraId="28158BF7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4996FB5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4D5F5536" w14:textId="21FCA180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5 663</w:t>
            </w:r>
          </w:p>
        </w:tc>
        <w:tc>
          <w:tcPr>
            <w:tcW w:w="1206" w:type="dxa"/>
            <w:vAlign w:val="center"/>
          </w:tcPr>
          <w:p w14:paraId="5D54C604" w14:textId="56816DBA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206" w:type="dxa"/>
            <w:vAlign w:val="center"/>
          </w:tcPr>
          <w:p w14:paraId="183D79A6" w14:textId="28CABB62" w:rsidR="00FA56EF" w:rsidRPr="00FA5128" w:rsidRDefault="0053684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36846">
              <w:rPr>
                <w:rFonts w:cs="Arial"/>
                <w:color w:val="000000" w:themeColor="text1"/>
                <w:sz w:val="16"/>
                <w:szCs w:val="16"/>
              </w:rPr>
              <w:t>114,5</w:t>
            </w:r>
          </w:p>
        </w:tc>
        <w:tc>
          <w:tcPr>
            <w:tcW w:w="1206" w:type="dxa"/>
            <w:vAlign w:val="center"/>
          </w:tcPr>
          <w:p w14:paraId="097081E4" w14:textId="3BC9F615" w:rsidR="00FA56EF" w:rsidRPr="00907546" w:rsidRDefault="002C4336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C4336">
              <w:rPr>
                <w:rFonts w:ascii="Fira Sans" w:hAnsi="Fira Sans"/>
                <w:color w:val="000000" w:themeColor="text1"/>
                <w:sz w:val="16"/>
                <w:szCs w:val="16"/>
              </w:rPr>
              <w:t>39 025</w:t>
            </w:r>
          </w:p>
        </w:tc>
        <w:tc>
          <w:tcPr>
            <w:tcW w:w="1207" w:type="dxa"/>
            <w:vAlign w:val="center"/>
          </w:tcPr>
          <w:p w14:paraId="3C33BE3A" w14:textId="2DC7A4E9" w:rsidR="00FA56EF" w:rsidRPr="00907546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</w:tr>
      <w:tr w:rsidR="00FA56EF" w:rsidRPr="00FA5128" w14:paraId="2BC16CE4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5DA754DA" w14:textId="77777777"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776F0C07" w14:textId="071BFD6B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9 407</w:t>
            </w:r>
          </w:p>
        </w:tc>
        <w:tc>
          <w:tcPr>
            <w:tcW w:w="1206" w:type="dxa"/>
            <w:vAlign w:val="center"/>
          </w:tcPr>
          <w:p w14:paraId="7A2D6AC4" w14:textId="4F52A351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86,8</w:t>
            </w:r>
          </w:p>
        </w:tc>
        <w:tc>
          <w:tcPr>
            <w:tcW w:w="1206" w:type="dxa"/>
            <w:vAlign w:val="center"/>
          </w:tcPr>
          <w:p w14:paraId="3B65D5B8" w14:textId="6365E916" w:rsidR="00FA56EF" w:rsidRPr="00FA5128" w:rsidRDefault="0053684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36846">
              <w:rPr>
                <w:rFonts w:cs="Arial"/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1206" w:type="dxa"/>
            <w:vAlign w:val="center"/>
          </w:tcPr>
          <w:p w14:paraId="4CC4B8B4" w14:textId="24AE7B76" w:rsidR="00FA56EF" w:rsidRPr="008A1C80" w:rsidRDefault="002C4336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C4336">
              <w:rPr>
                <w:rFonts w:ascii="Fira Sans" w:hAnsi="Fira Sans"/>
                <w:color w:val="000000" w:themeColor="text1"/>
                <w:sz w:val="16"/>
                <w:szCs w:val="16"/>
              </w:rPr>
              <w:t>68 172</w:t>
            </w:r>
          </w:p>
        </w:tc>
        <w:tc>
          <w:tcPr>
            <w:tcW w:w="1207" w:type="dxa"/>
            <w:vAlign w:val="center"/>
          </w:tcPr>
          <w:p w14:paraId="31EEA875" w14:textId="0A6145B1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115,8</w:t>
            </w:r>
          </w:p>
        </w:tc>
      </w:tr>
      <w:tr w:rsidR="00FA56EF" w:rsidRPr="00FA5128" w14:paraId="60267E4E" w14:textId="77777777" w:rsidTr="00226CDB">
        <w:trPr>
          <w:trHeight w:val="409"/>
        </w:trPr>
        <w:tc>
          <w:tcPr>
            <w:tcW w:w="2049" w:type="dxa"/>
            <w:vAlign w:val="center"/>
          </w:tcPr>
          <w:p w14:paraId="367B3F3F" w14:textId="77777777"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14:paraId="31361440" w14:textId="240CC3F8" w:rsidR="00FA56EF" w:rsidRPr="005241EA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206" w:type="dxa"/>
            <w:vAlign w:val="center"/>
          </w:tcPr>
          <w:p w14:paraId="02B3B638" w14:textId="77777777"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43622316" w14:textId="484147B8" w:rsidR="00FA56EF" w:rsidRPr="004327B6" w:rsidRDefault="00536846" w:rsidP="00EC55D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36846">
              <w:rPr>
                <w:rFonts w:cs="Arial"/>
                <w:color w:val="000000" w:themeColor="text1"/>
                <w:sz w:val="16"/>
                <w:szCs w:val="16"/>
              </w:rPr>
              <w:t>40,3</w:t>
            </w:r>
          </w:p>
        </w:tc>
        <w:tc>
          <w:tcPr>
            <w:tcW w:w="1206" w:type="dxa"/>
            <w:vAlign w:val="center"/>
          </w:tcPr>
          <w:p w14:paraId="26E8EB4C" w14:textId="11FB7417" w:rsidR="00FA56EF" w:rsidRPr="00553B0B" w:rsidRDefault="002C4336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C4336">
              <w:rPr>
                <w:rFonts w:ascii="Fira Sans" w:hAnsi="Fira Sans"/>
                <w:color w:val="000000" w:themeColor="text1"/>
                <w:sz w:val="16"/>
                <w:szCs w:val="16"/>
              </w:rPr>
              <w:t>816</w:t>
            </w:r>
          </w:p>
        </w:tc>
        <w:tc>
          <w:tcPr>
            <w:tcW w:w="1207" w:type="dxa"/>
            <w:vAlign w:val="center"/>
          </w:tcPr>
          <w:p w14:paraId="50978718" w14:textId="77777777"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14:paraId="3AF45C5E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3FC86754" w14:textId="77777777"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0630D810" w14:textId="5E739DF2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206" w:type="dxa"/>
            <w:vAlign w:val="center"/>
          </w:tcPr>
          <w:p w14:paraId="1ADD896C" w14:textId="7C4E3CF3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1206" w:type="dxa"/>
            <w:vAlign w:val="center"/>
          </w:tcPr>
          <w:p w14:paraId="3FEDC322" w14:textId="5118F63D" w:rsidR="00FA56EF" w:rsidRPr="00E102B7" w:rsidRDefault="00536846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36846">
              <w:rPr>
                <w:rFonts w:cs="Arial"/>
                <w:sz w:val="16"/>
                <w:szCs w:val="16"/>
              </w:rPr>
              <w:t>194,2</w:t>
            </w:r>
          </w:p>
        </w:tc>
        <w:tc>
          <w:tcPr>
            <w:tcW w:w="1206" w:type="dxa"/>
            <w:vAlign w:val="center"/>
          </w:tcPr>
          <w:p w14:paraId="1F63D375" w14:textId="30A75904" w:rsidR="00FA56EF" w:rsidRPr="00F54181" w:rsidRDefault="002C4336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2C4336">
              <w:rPr>
                <w:rFonts w:ascii="Fira Sans" w:hAnsi="Fira Sans"/>
                <w:color w:val="000000" w:themeColor="text1"/>
                <w:sz w:val="16"/>
                <w:szCs w:val="16"/>
              </w:rPr>
              <w:t>1 114</w:t>
            </w:r>
          </w:p>
        </w:tc>
        <w:tc>
          <w:tcPr>
            <w:tcW w:w="1207" w:type="dxa"/>
            <w:vAlign w:val="center"/>
          </w:tcPr>
          <w:p w14:paraId="53B3FCC1" w14:textId="2EA4FD03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93,1</w:t>
            </w:r>
          </w:p>
        </w:tc>
      </w:tr>
      <w:tr w:rsidR="00FA56EF" w:rsidRPr="00FA5128" w14:paraId="64C816BB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4B885D56" w14:textId="77777777"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49718841" w14:textId="3345BF19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206" w:type="dxa"/>
            <w:vAlign w:val="center"/>
          </w:tcPr>
          <w:p w14:paraId="2385018D" w14:textId="71BA4C6A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92,3</w:t>
            </w:r>
          </w:p>
        </w:tc>
        <w:tc>
          <w:tcPr>
            <w:tcW w:w="1206" w:type="dxa"/>
            <w:vAlign w:val="center"/>
          </w:tcPr>
          <w:p w14:paraId="40995331" w14:textId="6BC0126E" w:rsidR="00FA56EF" w:rsidRPr="00E102B7" w:rsidRDefault="00536846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36846">
              <w:rPr>
                <w:rFonts w:cs="Arial"/>
                <w:sz w:val="16"/>
                <w:szCs w:val="16"/>
              </w:rPr>
              <w:t>28,2</w:t>
            </w:r>
          </w:p>
        </w:tc>
        <w:tc>
          <w:tcPr>
            <w:tcW w:w="1206" w:type="dxa"/>
            <w:vAlign w:val="center"/>
          </w:tcPr>
          <w:p w14:paraId="551957E4" w14:textId="7089C22E" w:rsidR="00FA56EF" w:rsidRPr="00E87F78" w:rsidRDefault="002C4336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2C4336">
              <w:rPr>
                <w:color w:val="000000" w:themeColor="text1"/>
                <w:sz w:val="16"/>
                <w:szCs w:val="16"/>
              </w:rPr>
              <w:t>874</w:t>
            </w:r>
          </w:p>
        </w:tc>
        <w:tc>
          <w:tcPr>
            <w:tcW w:w="1207" w:type="dxa"/>
            <w:vAlign w:val="center"/>
          </w:tcPr>
          <w:p w14:paraId="484D9E8B" w14:textId="11107243" w:rsidR="00FA56EF" w:rsidRPr="00FA512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color w:val="000000" w:themeColor="text1"/>
                <w:sz w:val="16"/>
                <w:szCs w:val="16"/>
              </w:rPr>
              <w:t>146,9</w:t>
            </w:r>
          </w:p>
        </w:tc>
      </w:tr>
      <w:tr w:rsidR="00FA56EF" w:rsidRPr="00FA5128" w14:paraId="3636EE5F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6B1CF4C6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50E73EE6" w14:textId="66D92CE9" w:rsidR="00FA56EF" w:rsidRPr="00A030E6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1206" w:type="dxa"/>
            <w:vAlign w:val="center"/>
          </w:tcPr>
          <w:p w14:paraId="5264D7D8" w14:textId="7C7774A0" w:rsidR="00FA56EF" w:rsidRPr="006E0C1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01B94E97" w14:textId="7050575A" w:rsidR="00FA56EF" w:rsidRPr="00296F96" w:rsidRDefault="00536846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36846">
              <w:rPr>
                <w:rFonts w:cs="Arial"/>
                <w:sz w:val="16"/>
                <w:szCs w:val="16"/>
              </w:rPr>
              <w:t>60,1</w:t>
            </w:r>
          </w:p>
        </w:tc>
        <w:tc>
          <w:tcPr>
            <w:tcW w:w="1206" w:type="dxa"/>
            <w:vAlign w:val="center"/>
          </w:tcPr>
          <w:p w14:paraId="3D08B785" w14:textId="1ED56A15" w:rsidR="00FA56EF" w:rsidRPr="00E87F78" w:rsidRDefault="002C4336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2C4336">
              <w:rPr>
                <w:color w:val="000000" w:themeColor="text1"/>
                <w:sz w:val="16"/>
                <w:szCs w:val="16"/>
              </w:rPr>
              <w:t>928</w:t>
            </w:r>
          </w:p>
        </w:tc>
        <w:tc>
          <w:tcPr>
            <w:tcW w:w="1207" w:type="dxa"/>
            <w:vAlign w:val="center"/>
          </w:tcPr>
          <w:p w14:paraId="127539CB" w14:textId="4A6415B6" w:rsidR="00FA56EF" w:rsidRPr="009F4F41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174,1</w:t>
            </w:r>
          </w:p>
        </w:tc>
      </w:tr>
      <w:tr w:rsidR="00FA56EF" w:rsidRPr="00FA5128" w14:paraId="571079DA" w14:textId="77777777" w:rsidTr="00FA56EF">
        <w:trPr>
          <w:trHeight w:val="57"/>
        </w:trPr>
        <w:tc>
          <w:tcPr>
            <w:tcW w:w="2049" w:type="dxa"/>
            <w:vAlign w:val="center"/>
          </w:tcPr>
          <w:p w14:paraId="7463933E" w14:textId="77777777"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149E79" w14:textId="4D79A379" w:rsidR="00FA56EF" w:rsidRPr="00A030E6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51103FA1" w14:textId="6D291CD8" w:rsidR="00FA56EF" w:rsidRPr="006E0C18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206" w:type="dxa"/>
            <w:vAlign w:val="center"/>
          </w:tcPr>
          <w:p w14:paraId="7765DBC0" w14:textId="4D3F47F1" w:rsidR="00FA56EF" w:rsidRPr="00296F96" w:rsidRDefault="00536846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536846"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1206" w:type="dxa"/>
            <w:vAlign w:val="center"/>
          </w:tcPr>
          <w:p w14:paraId="19AC53E8" w14:textId="064CD5B6" w:rsidR="00FA56EF" w:rsidRPr="00E87F78" w:rsidRDefault="002C4336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2C4336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207" w:type="dxa"/>
            <w:vAlign w:val="center"/>
          </w:tcPr>
          <w:p w14:paraId="031BA834" w14:textId="3E54F3AF" w:rsidR="00FA56EF" w:rsidRPr="009F4F41" w:rsidRDefault="002C4336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4336">
              <w:rPr>
                <w:color w:val="000000" w:themeColor="text1"/>
                <w:sz w:val="16"/>
                <w:szCs w:val="16"/>
              </w:rPr>
              <w:t>163,4</w:t>
            </w:r>
          </w:p>
        </w:tc>
      </w:tr>
    </w:tbl>
    <w:p w14:paraId="1DEA9659" w14:textId="4B969465" w:rsidR="00B24AF7" w:rsidRPr="00B24AF7" w:rsidRDefault="004D107E" w:rsidP="00B24AF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14:paraId="0B3475F2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769D71DE" w14:textId="6DD4EAE7" w:rsidR="00833D4E" w:rsidRPr="00A54EC5" w:rsidRDefault="00C17251" w:rsidP="00A52737">
      <w:pPr>
        <w:spacing w:before="0" w:after="0"/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752564C6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11C4" w14:textId="1CA41D77" w:rsidR="007F1316" w:rsidRPr="002F1617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>z projektem budowlanym</w:t>
                            </w:r>
                            <w:r w:rsidR="00E93560" w:rsidRPr="0007222B">
                              <w:t>,</w:t>
                            </w:r>
                            <w:r w:rsidR="00D95100" w:rsidRPr="00DA0F32">
                              <w:t xml:space="preserve"> </w:t>
                            </w:r>
                            <w:r w:rsidR="00187A74">
                              <w:t>zwiększyła</w:t>
                            </w:r>
                            <w:r w:rsidR="001425F1" w:rsidRPr="002F1617">
                              <w:t xml:space="preserve"> się</w:t>
                            </w:r>
                            <w:r w:rsidR="00CE2C3A" w:rsidRPr="002F1617">
                              <w:t xml:space="preserve"> w </w:t>
                            </w:r>
                            <w:r w:rsidR="003E7C6E" w:rsidRPr="002F1617">
                              <w:t xml:space="preserve">okresie </w:t>
                            </w:r>
                            <w:r w:rsidR="0042453E">
                              <w:br/>
                            </w:r>
                            <w:r w:rsidR="003E7C6E" w:rsidRPr="002F1617">
                              <w:t>I-</w:t>
                            </w:r>
                            <w:r w:rsidR="00B17330" w:rsidRPr="002F1617">
                              <w:t>V</w:t>
                            </w:r>
                            <w:r w:rsidR="00115520" w:rsidRPr="002F1617">
                              <w:t>I</w:t>
                            </w:r>
                            <w:r w:rsidR="00187A74">
                              <w:t>I</w:t>
                            </w:r>
                            <w:r w:rsidR="00CE2C3A" w:rsidRPr="002F1617">
                              <w:t xml:space="preserve"> 2019</w:t>
                            </w:r>
                            <w:r w:rsidR="008C1F33" w:rsidRPr="002F1617">
                              <w:t xml:space="preserve"> r</w:t>
                            </w:r>
                            <w:r w:rsidR="002F1617">
                              <w:t>.</w:t>
                            </w:r>
                            <w:r w:rsidR="00187A74">
                              <w:t xml:space="preserve"> o 1</w:t>
                            </w:r>
                            <w:r w:rsidR="00115520" w:rsidRPr="002F1617">
                              <w:t>,5</w:t>
                            </w:r>
                            <w:r w:rsidR="00B43D8E" w:rsidRPr="002F1617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14:paraId="6FF511C4" w14:textId="1CA41D77" w:rsidR="007F1316" w:rsidRPr="002F1617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>z projektem budowlanym</w:t>
                      </w:r>
                      <w:r w:rsidR="00E93560" w:rsidRPr="0007222B">
                        <w:t>,</w:t>
                      </w:r>
                      <w:r w:rsidR="00D95100" w:rsidRPr="00DA0F32">
                        <w:t xml:space="preserve"> </w:t>
                      </w:r>
                      <w:r w:rsidR="00187A74">
                        <w:t>zwiększyła</w:t>
                      </w:r>
                      <w:r w:rsidR="001425F1" w:rsidRPr="002F1617">
                        <w:t xml:space="preserve"> się</w:t>
                      </w:r>
                      <w:r w:rsidR="00CE2C3A" w:rsidRPr="002F1617">
                        <w:t xml:space="preserve"> w </w:t>
                      </w:r>
                      <w:r w:rsidR="003E7C6E" w:rsidRPr="002F1617">
                        <w:t xml:space="preserve">okresie </w:t>
                      </w:r>
                      <w:r w:rsidR="0042453E">
                        <w:br/>
                      </w:r>
                      <w:r w:rsidR="003E7C6E" w:rsidRPr="002F1617">
                        <w:t>I-</w:t>
                      </w:r>
                      <w:r w:rsidR="00B17330" w:rsidRPr="002F1617">
                        <w:t>V</w:t>
                      </w:r>
                      <w:r w:rsidR="00115520" w:rsidRPr="002F1617">
                        <w:t>I</w:t>
                      </w:r>
                      <w:r w:rsidR="00187A74">
                        <w:t>I</w:t>
                      </w:r>
                      <w:r w:rsidR="00CE2C3A" w:rsidRPr="002F1617">
                        <w:t xml:space="preserve"> 2019</w:t>
                      </w:r>
                      <w:r w:rsidR="008C1F33" w:rsidRPr="002F1617">
                        <w:t xml:space="preserve"> r</w:t>
                      </w:r>
                      <w:r w:rsidR="002F1617">
                        <w:t>.</w:t>
                      </w:r>
                      <w:r w:rsidR="00187A74">
                        <w:t xml:space="preserve"> o 1</w:t>
                      </w:r>
                      <w:r w:rsidR="00115520" w:rsidRPr="002F1617">
                        <w:t>,5</w:t>
                      </w:r>
                      <w:r w:rsidR="00B43D8E" w:rsidRPr="002F1617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053AF8">
        <w:rPr>
          <w:shd w:val="clear" w:color="auto" w:fill="FFFFFF"/>
        </w:rPr>
        <w:t xml:space="preserve">okresie siedmiu </w:t>
      </w:r>
      <w:r w:rsidR="00562EC2">
        <w:rPr>
          <w:shd w:val="clear" w:color="auto" w:fill="FFFFFF"/>
        </w:rPr>
        <w:t>miesię</w:t>
      </w:r>
      <w:r w:rsidR="00053AF8">
        <w:rPr>
          <w:shd w:val="clear" w:color="auto" w:fill="FFFFFF"/>
        </w:rPr>
        <w:t xml:space="preserve">cy </w:t>
      </w:r>
      <w:r w:rsidR="00423192">
        <w:rPr>
          <w:shd w:val="clear" w:color="auto" w:fill="FFFFFF"/>
        </w:rPr>
        <w:t>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A0335F" w:rsidRPr="00DA0F32">
        <w:rPr>
          <w:shd w:val="clear" w:color="auto" w:fill="FFFFFF"/>
        </w:rPr>
        <w:t xml:space="preserve"> </w:t>
      </w:r>
      <w:r w:rsidR="00562EC2">
        <w:rPr>
          <w:shd w:val="clear" w:color="auto" w:fill="FFFFFF"/>
        </w:rPr>
        <w:t>153,9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562EC2">
        <w:rPr>
          <w:shd w:val="clear" w:color="auto" w:fill="FFFFFF"/>
        </w:rPr>
        <w:t>1</w:t>
      </w:r>
      <w:r w:rsidR="0047387B">
        <w:rPr>
          <w:shd w:val="clear" w:color="auto" w:fill="FFFFFF"/>
        </w:rPr>
        <w:t>,5</w:t>
      </w:r>
      <w:r w:rsidR="00A0335F" w:rsidRPr="00DA0F32">
        <w:rPr>
          <w:shd w:val="clear" w:color="auto" w:fill="FFFFFF"/>
        </w:rPr>
        <w:t xml:space="preserve">% </w:t>
      </w:r>
      <w:r w:rsidR="00562EC2">
        <w:rPr>
          <w:shd w:val="clear" w:color="auto" w:fill="FFFFFF"/>
        </w:rPr>
        <w:t>więcej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187A74">
        <w:rPr>
          <w:shd w:val="clear" w:color="auto" w:fill="FFFFFF"/>
        </w:rPr>
        <w:t>92</w:t>
      </w:r>
      <w:r w:rsidR="00423192">
        <w:rPr>
          <w:shd w:val="clear" w:color="auto" w:fill="FFFFFF"/>
        </w:rPr>
        <w:t>,</w:t>
      </w:r>
      <w:r w:rsidR="00187A74">
        <w:rPr>
          <w:shd w:val="clear" w:color="auto" w:fill="FFFFFF"/>
        </w:rPr>
        <w:t>8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187A74">
        <w:rPr>
          <w:shd w:val="clear" w:color="auto" w:fill="FFFFFF"/>
        </w:rPr>
        <w:t>58,5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187A74">
        <w:rPr>
          <w:shd w:val="clear" w:color="auto" w:fill="FFFFFF"/>
        </w:rPr>
        <w:t>0,3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mniej</w:t>
      </w:r>
      <w:r w:rsidR="003531A5" w:rsidRPr="003531A5">
        <w:rPr>
          <w:shd w:val="clear" w:color="auto" w:fill="FFFFFF"/>
        </w:rPr>
        <w:t xml:space="preserve"> </w:t>
      </w:r>
      <w:r w:rsidR="00187A74">
        <w:rPr>
          <w:shd w:val="clear" w:color="auto" w:fill="FFFFFF"/>
        </w:rPr>
        <w:t>i 5,9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047CF8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187A74">
        <w:rPr>
          <w:shd w:val="clear" w:color="auto" w:fill="FFFFFF"/>
        </w:rPr>
        <w:t>z projektem budowlanym</w:t>
      </w:r>
      <w:r w:rsidR="00A01B2E">
        <w:rPr>
          <w:shd w:val="clear" w:color="auto" w:fill="FFFFFF"/>
        </w:rPr>
        <w:t xml:space="preserve"> dla</w:t>
      </w:r>
      <w:r w:rsidR="00187A74">
        <w:rPr>
          <w:shd w:val="clear" w:color="auto" w:fill="FFFFFF"/>
        </w:rPr>
        <w:t xml:space="preserve"> 98,3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>Mniej</w:t>
      </w:r>
      <w:r w:rsidR="001753B5" w:rsidRPr="007D1F83">
        <w:rPr>
          <w:shd w:val="clear" w:color="auto" w:fill="FFFFFF"/>
        </w:rPr>
        <w:t xml:space="preserve"> </w:t>
      </w:r>
      <w:r w:rsidR="00187A74">
        <w:rPr>
          <w:shd w:val="clear" w:color="auto" w:fill="FFFFFF"/>
        </w:rPr>
        <w:t>niż w </w:t>
      </w:r>
      <w:r w:rsidR="00B43D8E">
        <w:rPr>
          <w:shd w:val="clear" w:color="auto" w:fill="FFFFFF"/>
        </w:rPr>
        <w:t xml:space="preserve">okresie </w:t>
      </w:r>
      <w:r w:rsidR="00187A74">
        <w:rPr>
          <w:shd w:val="clear" w:color="auto" w:fill="FFFFFF"/>
        </w:rPr>
        <w:t>siedmiu</w:t>
      </w:r>
      <w:r w:rsidR="00B43D8E">
        <w:rPr>
          <w:shd w:val="clear" w:color="auto" w:fill="FFFFFF"/>
        </w:rPr>
        <w:t xml:space="preserve">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</w:t>
      </w:r>
      <w:r w:rsidR="001753B5" w:rsidRPr="0007222B">
        <w:rPr>
          <w:shd w:val="clear" w:color="auto" w:fill="FFFFFF"/>
        </w:rPr>
        <w:t>, na których budowę wydano pozw</w:t>
      </w:r>
      <w:r w:rsidR="00756B32" w:rsidRPr="0007222B">
        <w:rPr>
          <w:shd w:val="clear" w:color="auto" w:fill="FFFFFF"/>
        </w:rPr>
        <w:t xml:space="preserve">olenia lub dokonano zgłoszenia </w:t>
      </w:r>
      <w:r w:rsidR="001753B5" w:rsidRPr="0007222B">
        <w:rPr>
          <w:shd w:val="clear" w:color="auto" w:fill="FFFFFF"/>
        </w:rPr>
        <w:t xml:space="preserve">z projektem budowlanym </w:t>
      </w:r>
      <w:r w:rsidR="001753B5" w:rsidRPr="00DA0F32">
        <w:rPr>
          <w:shd w:val="clear" w:color="auto" w:fill="FFFFFF"/>
        </w:rPr>
        <w:t>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187A74">
        <w:rPr>
          <w:shd w:val="clear" w:color="auto" w:fill="FFFFFF"/>
        </w:rPr>
        <w:t>929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187A74">
        <w:rPr>
          <w:shd w:val="clear" w:color="auto" w:fill="FFFFFF"/>
        </w:rPr>
        <w:t>1078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b/>
          <w:shd w:val="clear" w:color="auto" w:fill="FFFFFF"/>
        </w:rPr>
        <w:t xml:space="preserve"> </w:t>
      </w:r>
      <w:r w:rsidR="00A52737">
        <w:rPr>
          <w:shd w:val="clear" w:color="auto" w:fill="FFFFFF"/>
        </w:rPr>
        <w:t xml:space="preserve">oraz </w:t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1425F1">
        <w:rPr>
          <w:shd w:val="clear" w:color="auto" w:fill="FFFFFF"/>
        </w:rPr>
        <w:t xml:space="preserve"> </w:t>
      </w:r>
      <w:r w:rsidR="00A52737">
        <w:rPr>
          <w:shd w:val="clear" w:color="auto" w:fill="FFFFFF"/>
        </w:rPr>
        <w:t>(</w:t>
      </w:r>
      <w:r w:rsidR="00187A74">
        <w:rPr>
          <w:shd w:val="clear" w:color="auto" w:fill="FFFFFF"/>
        </w:rPr>
        <w:t>1711</w:t>
      </w:r>
      <w:r w:rsidR="00A52737">
        <w:rPr>
          <w:shd w:val="clear" w:color="auto" w:fill="FFFFFF"/>
        </w:rPr>
        <w:t xml:space="preserve"> wobec </w:t>
      </w:r>
      <w:r w:rsidR="00187A74">
        <w:rPr>
          <w:shd w:val="clear" w:color="auto" w:fill="FFFFFF"/>
        </w:rPr>
        <w:t>2217</w:t>
      </w:r>
      <w:r w:rsidR="00A52737">
        <w:rPr>
          <w:shd w:val="clear" w:color="auto" w:fill="FFFFFF"/>
        </w:rPr>
        <w:t>).</w:t>
      </w:r>
    </w:p>
    <w:p w14:paraId="11265141" w14:textId="667883E2" w:rsidR="00EE66D9" w:rsidRPr="004D107E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14:paraId="1E710D21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0607EAFB" w14:textId="77777777"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78CE53C8" w14:textId="77777777"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14:paraId="123AD344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2116CF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218F73D1" w14:textId="1499DA3B" w:rsidR="00B43D8E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175AD219" w14:textId="6D55D542"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43D8E" w:rsidRPr="00FA5128" w14:paraId="7E06F3A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75C7846F" w14:textId="77777777"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2308107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19D28FD6" w14:textId="445FA5EC" w:rsidR="00B43D8E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</w:p>
          <w:p w14:paraId="3DE4B141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0970D10D" w14:textId="246D1CE3" w:rsidR="00B43D8E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</w:p>
          <w:p w14:paraId="4810894F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D706E4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1D432D5A" w14:textId="08F9F541"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0612F7">
              <w:rPr>
                <w:color w:val="000000" w:themeColor="text1"/>
                <w:sz w:val="16"/>
                <w:szCs w:val="16"/>
              </w:rPr>
              <w:t>I</w:t>
            </w:r>
            <w:r w:rsidR="00187A74">
              <w:rPr>
                <w:color w:val="000000" w:themeColor="text1"/>
                <w:sz w:val="16"/>
                <w:szCs w:val="16"/>
              </w:rPr>
              <w:t>I</w:t>
            </w:r>
          </w:p>
          <w:p w14:paraId="352F98D5" w14:textId="77777777"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14:paraId="58CAF5CE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BBD2F91" w14:textId="77777777"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53D6C3FD" w14:textId="0CE33B98" w:rsidR="00B43D8E" w:rsidRPr="00FA5128" w:rsidRDefault="00C8338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b/>
                <w:color w:val="000000" w:themeColor="text1"/>
                <w:sz w:val="16"/>
                <w:szCs w:val="16"/>
              </w:rPr>
              <w:t>24 407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129938E" w14:textId="76DA10A9" w:rsidR="00B43D8E" w:rsidRPr="00FA5128" w:rsidRDefault="00C8338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b/>
                <w:color w:val="000000" w:themeColor="text1"/>
                <w:sz w:val="16"/>
                <w:szCs w:val="16"/>
              </w:rPr>
              <w:t>124,2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30E95D6" w14:textId="19C25B1F" w:rsidR="00B43D8E" w:rsidRPr="00FA5128" w:rsidRDefault="00C8338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b/>
                <w:color w:val="000000" w:themeColor="text1"/>
                <w:sz w:val="16"/>
                <w:szCs w:val="16"/>
              </w:rPr>
              <w:t>108,4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41971845" w14:textId="1A807706" w:rsidR="00B43D8E" w:rsidRPr="00FA5128" w:rsidRDefault="00C8338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b/>
                <w:color w:val="000000" w:themeColor="text1"/>
                <w:sz w:val="16"/>
                <w:szCs w:val="16"/>
              </w:rPr>
              <w:t>153 925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5C8AEDA0" w14:textId="2A7D4E63" w:rsidR="00B43D8E" w:rsidRPr="00FA5128" w:rsidRDefault="00C8338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B43D8E" w:rsidRPr="00907546" w14:paraId="6C1062F6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D44C223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51D8C4E8" w14:textId="65EFF8D5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10 006</w:t>
            </w:r>
          </w:p>
        </w:tc>
        <w:tc>
          <w:tcPr>
            <w:tcW w:w="1206" w:type="dxa"/>
            <w:vAlign w:val="center"/>
          </w:tcPr>
          <w:p w14:paraId="0406CC6E" w14:textId="75F6A302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114,4</w:t>
            </w:r>
          </w:p>
        </w:tc>
        <w:tc>
          <w:tcPr>
            <w:tcW w:w="1206" w:type="dxa"/>
            <w:vAlign w:val="center"/>
          </w:tcPr>
          <w:p w14:paraId="13DD4AC4" w14:textId="4F21C66B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119,8</w:t>
            </w:r>
          </w:p>
        </w:tc>
        <w:tc>
          <w:tcPr>
            <w:tcW w:w="1206" w:type="dxa"/>
            <w:vAlign w:val="center"/>
          </w:tcPr>
          <w:p w14:paraId="2B89FA86" w14:textId="264E743D" w:rsidR="00B43D8E" w:rsidRPr="00907546" w:rsidRDefault="00C8338F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8338F">
              <w:rPr>
                <w:rFonts w:ascii="Fira Sans" w:hAnsi="Fira Sans"/>
                <w:color w:val="000000" w:themeColor="text1"/>
                <w:sz w:val="16"/>
                <w:szCs w:val="16"/>
              </w:rPr>
              <w:t>58 495</w:t>
            </w:r>
          </w:p>
        </w:tc>
        <w:tc>
          <w:tcPr>
            <w:tcW w:w="1207" w:type="dxa"/>
            <w:vAlign w:val="center"/>
          </w:tcPr>
          <w:p w14:paraId="675CBECB" w14:textId="3EF1501D" w:rsidR="00B43D8E" w:rsidRPr="00907546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105,9</w:t>
            </w:r>
          </w:p>
        </w:tc>
      </w:tr>
      <w:tr w:rsidR="00B43D8E" w:rsidRPr="00FA5128" w14:paraId="221990F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BB162D0" w14:textId="77777777"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6F28B1AE" w14:textId="3DB0487D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14 088</w:t>
            </w:r>
          </w:p>
        </w:tc>
        <w:tc>
          <w:tcPr>
            <w:tcW w:w="1206" w:type="dxa"/>
            <w:vAlign w:val="center"/>
          </w:tcPr>
          <w:p w14:paraId="0735648A" w14:textId="67EB9400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130,6</w:t>
            </w:r>
          </w:p>
        </w:tc>
        <w:tc>
          <w:tcPr>
            <w:tcW w:w="1206" w:type="dxa"/>
            <w:vAlign w:val="center"/>
          </w:tcPr>
          <w:p w14:paraId="265EAD38" w14:textId="29909C7F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206" w:type="dxa"/>
            <w:vAlign w:val="center"/>
          </w:tcPr>
          <w:p w14:paraId="192801D5" w14:textId="1F83927F" w:rsidR="00B43D8E" w:rsidRPr="008A1C80" w:rsidRDefault="00C8338F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8338F">
              <w:rPr>
                <w:rFonts w:ascii="Fira Sans" w:hAnsi="Fira Sans"/>
                <w:color w:val="000000" w:themeColor="text1"/>
                <w:sz w:val="16"/>
                <w:szCs w:val="16"/>
              </w:rPr>
              <w:t>92 790</w:t>
            </w:r>
          </w:p>
        </w:tc>
        <w:tc>
          <w:tcPr>
            <w:tcW w:w="1207" w:type="dxa"/>
            <w:vAlign w:val="center"/>
          </w:tcPr>
          <w:p w14:paraId="2EDAFC9B" w14:textId="2E4542E1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</w:tr>
      <w:tr w:rsidR="00B43D8E" w:rsidRPr="00FA5128" w14:paraId="3207EB22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49DA1DBB" w14:textId="77777777"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4FB360E8" w14:textId="7C6D65E3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206" w:type="dxa"/>
            <w:vAlign w:val="center"/>
          </w:tcPr>
          <w:p w14:paraId="2F99732F" w14:textId="02742698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119,2</w:t>
            </w:r>
          </w:p>
        </w:tc>
        <w:tc>
          <w:tcPr>
            <w:tcW w:w="1206" w:type="dxa"/>
            <w:vAlign w:val="center"/>
          </w:tcPr>
          <w:p w14:paraId="2CE48FD1" w14:textId="6C9E2B20" w:rsidR="00B43D8E" w:rsidRPr="00E102B7" w:rsidRDefault="00C8338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C8338F">
              <w:rPr>
                <w:rFonts w:cs="Arial"/>
                <w:sz w:val="16"/>
                <w:szCs w:val="16"/>
              </w:rPr>
              <w:t>62,0</w:t>
            </w:r>
          </w:p>
        </w:tc>
        <w:tc>
          <w:tcPr>
            <w:tcW w:w="1206" w:type="dxa"/>
            <w:vAlign w:val="center"/>
          </w:tcPr>
          <w:p w14:paraId="576E122D" w14:textId="5D06470F" w:rsidR="00B43D8E" w:rsidRPr="00C230EE" w:rsidRDefault="00C8338F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8338F">
              <w:rPr>
                <w:rFonts w:ascii="Fira Sans" w:hAnsi="Fira Sans"/>
                <w:color w:val="000000" w:themeColor="text1"/>
                <w:sz w:val="16"/>
                <w:szCs w:val="16"/>
              </w:rPr>
              <w:t>929</w:t>
            </w:r>
          </w:p>
        </w:tc>
        <w:tc>
          <w:tcPr>
            <w:tcW w:w="1207" w:type="dxa"/>
            <w:vAlign w:val="center"/>
          </w:tcPr>
          <w:p w14:paraId="34BC2C9A" w14:textId="7FED3B5F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86,2</w:t>
            </w:r>
          </w:p>
        </w:tc>
      </w:tr>
      <w:tr w:rsidR="00B43D8E" w:rsidRPr="00FA5128" w14:paraId="48F661E1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4D4535C" w14:textId="77777777"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108EF2BA" w14:textId="5CC98AF1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6" w:type="dxa"/>
            <w:vAlign w:val="center"/>
          </w:tcPr>
          <w:p w14:paraId="57027840" w14:textId="15748501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6-krotnie</w:t>
            </w:r>
          </w:p>
        </w:tc>
        <w:tc>
          <w:tcPr>
            <w:tcW w:w="1206" w:type="dxa"/>
            <w:vAlign w:val="center"/>
          </w:tcPr>
          <w:p w14:paraId="14CC0F50" w14:textId="55A0755A" w:rsidR="00B43D8E" w:rsidRPr="00E102B7" w:rsidRDefault="00C8338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C8338F">
              <w:rPr>
                <w:rFonts w:cs="Arial"/>
                <w:sz w:val="16"/>
                <w:szCs w:val="16"/>
              </w:rPr>
              <w:t>254,1</w:t>
            </w:r>
          </w:p>
        </w:tc>
        <w:tc>
          <w:tcPr>
            <w:tcW w:w="1206" w:type="dxa"/>
            <w:vAlign w:val="center"/>
          </w:tcPr>
          <w:p w14:paraId="73741E4A" w14:textId="05D973A1" w:rsidR="00B43D8E" w:rsidRPr="00E87F78" w:rsidRDefault="00C8338F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8338F">
              <w:rPr>
                <w:color w:val="000000" w:themeColor="text1"/>
                <w:sz w:val="16"/>
                <w:szCs w:val="16"/>
              </w:rPr>
              <w:t>978</w:t>
            </w:r>
          </w:p>
        </w:tc>
        <w:tc>
          <w:tcPr>
            <w:tcW w:w="1207" w:type="dxa"/>
            <w:vAlign w:val="center"/>
          </w:tcPr>
          <w:p w14:paraId="48BAFFDB" w14:textId="3779D678" w:rsidR="00B43D8E" w:rsidRPr="00FA512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139,3</w:t>
            </w:r>
          </w:p>
        </w:tc>
      </w:tr>
      <w:tr w:rsidR="00B43D8E" w:rsidRPr="009F4F41" w14:paraId="0B881FAD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2F15CF1A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72B6F488" w14:textId="3BF636BD" w:rsidR="00B43D8E" w:rsidRPr="00A030E6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206" w:type="dxa"/>
            <w:vAlign w:val="center"/>
          </w:tcPr>
          <w:p w14:paraId="6FCFE84F" w14:textId="321F3C86" w:rsidR="00B43D8E" w:rsidRPr="006E0C18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</w:t>
            </w: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nad 6-krotnie</w:t>
            </w:r>
          </w:p>
        </w:tc>
        <w:tc>
          <w:tcPr>
            <w:tcW w:w="1206" w:type="dxa"/>
            <w:vAlign w:val="center"/>
          </w:tcPr>
          <w:p w14:paraId="161015EA" w14:textId="3986663B" w:rsidR="00B43D8E" w:rsidRPr="00296F96" w:rsidRDefault="00C8338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C8338F">
              <w:rPr>
                <w:rFonts w:cs="Arial"/>
                <w:sz w:val="16"/>
                <w:szCs w:val="16"/>
              </w:rPr>
              <w:t>205,3</w:t>
            </w:r>
          </w:p>
        </w:tc>
        <w:tc>
          <w:tcPr>
            <w:tcW w:w="1206" w:type="dxa"/>
            <w:vAlign w:val="center"/>
          </w:tcPr>
          <w:p w14:paraId="02256530" w14:textId="6C9A4A96" w:rsidR="00B43D8E" w:rsidRPr="00E87F78" w:rsidRDefault="00C8338F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8338F">
              <w:rPr>
                <w:color w:val="000000" w:themeColor="text1"/>
                <w:sz w:val="16"/>
                <w:szCs w:val="16"/>
              </w:rPr>
              <w:t>546</w:t>
            </w:r>
          </w:p>
        </w:tc>
        <w:tc>
          <w:tcPr>
            <w:tcW w:w="1207" w:type="dxa"/>
            <w:vAlign w:val="center"/>
          </w:tcPr>
          <w:p w14:paraId="6FA7983C" w14:textId="5F723FE6" w:rsidR="00B43D8E" w:rsidRPr="009F4F41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36,9</w:t>
            </w:r>
          </w:p>
        </w:tc>
      </w:tr>
      <w:tr w:rsidR="00B43D8E" w:rsidRPr="009F4F41" w14:paraId="07A5E6D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033ED38" w14:textId="77777777"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632027C0" w14:textId="54C55F5F" w:rsidR="00B43D8E" w:rsidRPr="00A030E6" w:rsidRDefault="00C8338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8338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63A1E99C" w14:textId="1D8AD934" w:rsidR="00B43D8E" w:rsidRPr="006D4BD3" w:rsidRDefault="00C8338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C8338F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1206" w:type="dxa"/>
            <w:vAlign w:val="center"/>
          </w:tcPr>
          <w:p w14:paraId="558BED5F" w14:textId="77777777" w:rsidR="00B43D8E" w:rsidRPr="006D4BD3" w:rsidRDefault="00DE3D51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741E3E55" w14:textId="58CDDDA1" w:rsidR="00B43D8E" w:rsidRPr="00E87F78" w:rsidRDefault="00C8338F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C8338F">
              <w:rPr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1207" w:type="dxa"/>
            <w:vAlign w:val="center"/>
          </w:tcPr>
          <w:p w14:paraId="474A4780" w14:textId="3EEA4969" w:rsidR="00B43D8E" w:rsidRPr="009F4F41" w:rsidRDefault="006A0A6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C8338F">
              <w:rPr>
                <w:rFonts w:cs="Arial"/>
                <w:sz w:val="16"/>
                <w:szCs w:val="16"/>
              </w:rPr>
              <w:t>ponad 5</w:t>
            </w:r>
            <w:r w:rsidR="006B14C5">
              <w:rPr>
                <w:rFonts w:cs="Arial"/>
                <w:sz w:val="16"/>
                <w:szCs w:val="16"/>
              </w:rPr>
              <w:t>-krotnie</w:t>
            </w:r>
          </w:p>
        </w:tc>
      </w:tr>
    </w:tbl>
    <w:p w14:paraId="0294E0A8" w14:textId="77777777" w:rsidR="00833D4E" w:rsidRPr="00DA0F32" w:rsidRDefault="00833D4E" w:rsidP="00F113BA">
      <w:pPr>
        <w:rPr>
          <w:strike/>
          <w:shd w:val="clear" w:color="auto" w:fill="FFFFFF"/>
        </w:rPr>
      </w:pPr>
    </w:p>
    <w:p w14:paraId="247B42C2" w14:textId="77777777" w:rsidR="00833D4E" w:rsidRDefault="00833D4E" w:rsidP="00336412">
      <w:pPr>
        <w:spacing w:before="240"/>
        <w:rPr>
          <w:noProof/>
          <w:lang w:eastAsia="pl-PL"/>
        </w:rPr>
      </w:pPr>
    </w:p>
    <w:p w14:paraId="27BCC906" w14:textId="77777777" w:rsidR="004D06AC" w:rsidRPr="009A6B72" w:rsidRDefault="004D06AC" w:rsidP="009A6B72">
      <w:pPr>
        <w:rPr>
          <w:rFonts w:ascii="Fira Sans SemiBold" w:hAnsi="Fira Sans SemiBold"/>
          <w:color w:val="001D77"/>
          <w:szCs w:val="19"/>
        </w:rPr>
      </w:pPr>
      <w:r w:rsidRPr="009A6B72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1078ACAC" w14:textId="6FFF1A56" w:rsidR="004B628B" w:rsidRDefault="00B7105D" w:rsidP="00C92A18">
      <w:pPr>
        <w:spacing w:before="240"/>
        <w:rPr>
          <w:shd w:val="clear" w:color="auto" w:fill="FFFFFF"/>
        </w:rPr>
      </w:pPr>
      <w:r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774F4E">
        <w:rPr>
          <w:noProof/>
          <w:lang w:eastAsia="pl-PL"/>
        </w:rPr>
        <w:t>lipiec</w:t>
      </w:r>
      <w:r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774F4E">
        <w:rPr>
          <w:noProof/>
          <w:lang w:eastAsia="pl-PL"/>
        </w:rPr>
        <w:t xml:space="preserve"> 137</w:t>
      </w:r>
      <w:r w:rsidR="00D84B34">
        <w:rPr>
          <w:shd w:val="clear" w:color="auto" w:fill="FFFFFF"/>
        </w:rPr>
        <w:t>,</w:t>
      </w:r>
      <w:r w:rsidR="003E7C6E">
        <w:rPr>
          <w:shd w:val="clear" w:color="auto" w:fill="FFFFFF"/>
        </w:rPr>
        <w:t>4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774F4E">
        <w:rPr>
          <w:shd w:val="clear" w:color="auto" w:fill="FFFFFF"/>
        </w:rPr>
        <w:t>3</w:t>
      </w:r>
      <w:r w:rsidR="003C0165" w:rsidRPr="00DA0F32">
        <w:rPr>
          <w:shd w:val="clear" w:color="auto" w:fill="FFFFFF"/>
        </w:rPr>
        <w:t>,</w:t>
      </w:r>
      <w:r w:rsidR="00774F4E">
        <w:rPr>
          <w:shd w:val="clear" w:color="auto" w:fill="FFFFFF"/>
        </w:rPr>
        <w:t>6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774F4E">
        <w:rPr>
          <w:shd w:val="clear" w:color="auto" w:fill="FFFFFF"/>
        </w:rPr>
        <w:t>78,7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2F1617">
        <w:rPr>
          <w:shd w:val="clear" w:color="auto" w:fill="FFFFFF"/>
        </w:rPr>
        <w:t xml:space="preserve"> a 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774F4E">
        <w:rPr>
          <w:shd w:val="clear" w:color="auto" w:fill="FFFFFF"/>
        </w:rPr>
        <w:t>55,7</w:t>
      </w:r>
      <w:r w:rsidR="00237327" w:rsidRPr="00DA0F32">
        <w:rPr>
          <w:shd w:val="clear" w:color="auto" w:fill="FFFFFF"/>
        </w:rPr>
        <w:t xml:space="preserve"> tys.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774F4E">
        <w:rPr>
          <w:shd w:val="clear" w:color="auto" w:fill="FFFFFF"/>
        </w:rPr>
        <w:t>,9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</w:t>
      </w:r>
      <w:r w:rsidR="002F1617">
        <w:rPr>
          <w:shd w:val="clear" w:color="auto" w:fill="FFFFFF"/>
        </w:rPr>
        <w:t> </w:t>
      </w:r>
      <w:r w:rsidR="00F04030">
        <w:rPr>
          <w:shd w:val="clear" w:color="auto" w:fill="FFFFFF"/>
        </w:rPr>
        <w:t>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4F64F0">
        <w:rPr>
          <w:shd w:val="clear" w:color="auto" w:fill="FFFFFF"/>
        </w:rPr>
        <w:t>3,7</w:t>
      </w:r>
      <w:r w:rsidR="00F4008D" w:rsidRPr="00F4008D">
        <w:rPr>
          <w:shd w:val="clear" w:color="auto" w:fill="FFFFFF"/>
        </w:rPr>
        <w:t>%</w:t>
      </w:r>
      <w:r w:rsidR="00F4008D" w:rsidRPr="0061791A">
        <w:rPr>
          <w:shd w:val="clear" w:color="auto" w:fill="FFFFFF"/>
        </w:rPr>
        <w:t xml:space="preserve"> </w:t>
      </w:r>
      <w:r w:rsidR="004F64F0">
        <w:rPr>
          <w:shd w:val="clear" w:color="auto" w:fill="FFFFFF"/>
        </w:rPr>
        <w:t>i 4,4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9218D1">
        <w:rPr>
          <w:shd w:val="clear" w:color="auto" w:fill="FFFFFF"/>
        </w:rPr>
        <w:t>Mniej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61791A" w:rsidRPr="00C94C3C">
        <w:rPr>
          <w:shd w:val="clear" w:color="auto" w:fill="FFFFFF"/>
        </w:rPr>
        <w:t>,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E02918">
        <w:rPr>
          <w:shd w:val="clear" w:color="auto" w:fill="FFFFFF"/>
        </w:rPr>
        <w:t xml:space="preserve">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4F64F0">
        <w:rPr>
          <w:shd w:val="clear" w:color="auto" w:fill="FFFFFF"/>
        </w:rPr>
        <w:t>1228</w:t>
      </w:r>
      <w:r w:rsidR="00336412">
        <w:rPr>
          <w:shd w:val="clear" w:color="auto" w:fill="FFFFFF"/>
        </w:rPr>
        <w:t xml:space="preserve"> </w:t>
      </w:r>
      <w:r w:rsidR="009218D1">
        <w:rPr>
          <w:shd w:val="clear" w:color="auto" w:fill="FFFFFF"/>
        </w:rPr>
        <w:t>mieszkań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4F64F0">
        <w:rPr>
          <w:shd w:val="clear" w:color="auto" w:fill="FFFFFF"/>
        </w:rPr>
        <w:t>1583) oraz</w:t>
      </w:r>
      <w:r w:rsidR="00E02918">
        <w:rPr>
          <w:shd w:val="clear" w:color="auto" w:fill="FFFFFF"/>
        </w:rPr>
        <w:t xml:space="preserve">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4F64F0">
        <w:rPr>
          <w:shd w:val="clear" w:color="auto" w:fill="FFFFFF"/>
        </w:rPr>
        <w:t>1</w:t>
      </w:r>
      <w:r w:rsidR="004F64F0" w:rsidRPr="004F64F0">
        <w:rPr>
          <w:shd w:val="clear" w:color="auto" w:fill="FFFFFF"/>
        </w:rPr>
        <w:t xml:space="preserve">708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4F64F0">
        <w:rPr>
          <w:shd w:val="clear" w:color="auto" w:fill="FFFFFF"/>
        </w:rPr>
        <w:t>1</w:t>
      </w:r>
      <w:r w:rsidR="004F64F0" w:rsidRPr="004F64F0">
        <w:rPr>
          <w:shd w:val="clear" w:color="auto" w:fill="FFFFFF"/>
        </w:rPr>
        <w:t>766</w:t>
      </w:r>
      <w:r w:rsidR="00336412">
        <w:rPr>
          <w:shd w:val="clear" w:color="auto" w:fill="FFFFFF"/>
        </w:rPr>
        <w:t>).</w:t>
      </w:r>
    </w:p>
    <w:p w14:paraId="0084EC86" w14:textId="77777777"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06728057" w14:textId="77777777" w:rsidR="004B628B" w:rsidRPr="00C92A18" w:rsidRDefault="004B628B" w:rsidP="004B628B">
      <w:pPr>
        <w:spacing w:before="0"/>
        <w:rPr>
          <w:shd w:val="clear" w:color="auto" w:fill="FFFFFF"/>
        </w:rPr>
      </w:pPr>
    </w:p>
    <w:p w14:paraId="71B22ACC" w14:textId="77777777"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14:paraId="5B20CB5A" w14:textId="77777777"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14:paraId="71C1AD02" w14:textId="77777777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14:paraId="14262439" w14:textId="77777777"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16486119" w14:textId="77777777"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14:paraId="2D1A90E6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2E171705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14:paraId="46DAE6DE" w14:textId="29419511" w:rsidR="00EE66D9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14:paraId="56D7BA7F" w14:textId="54006EBD"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EE66D9" w:rsidRPr="00FA5128" w14:paraId="611DB9D0" w14:textId="77777777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F359D92" w14:textId="77777777"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6EAD7F5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2A6BBDD4" w14:textId="2FA52007" w:rsidR="00EE66D9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</w:p>
          <w:p w14:paraId="025E302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26B1718" w14:textId="6CCA7E70" w:rsidR="00EE66D9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</w:p>
          <w:p w14:paraId="1161F161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75D1CE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3FEB52F" w14:textId="2F617CFC"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  <w:r w:rsidR="00D204D8">
              <w:rPr>
                <w:color w:val="000000" w:themeColor="text1"/>
                <w:sz w:val="16"/>
                <w:szCs w:val="16"/>
              </w:rPr>
              <w:t>I</w:t>
            </w:r>
            <w:r w:rsidR="004F64F0">
              <w:rPr>
                <w:color w:val="000000" w:themeColor="text1"/>
                <w:sz w:val="16"/>
                <w:szCs w:val="16"/>
              </w:rPr>
              <w:t>I</w:t>
            </w:r>
          </w:p>
          <w:p w14:paraId="1D79B4E7" w14:textId="77777777"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14:paraId="0503E7F0" w14:textId="77777777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4C6E4DBC" w14:textId="77777777"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EA8F1B9" w14:textId="478FD4F2" w:rsidR="00EE66D9" w:rsidRPr="00FA5128" w:rsidRDefault="004F64F0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b/>
                <w:color w:val="000000" w:themeColor="text1"/>
                <w:sz w:val="16"/>
                <w:szCs w:val="16"/>
              </w:rPr>
              <w:t>21 958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724E2A89" w14:textId="4A3765DF" w:rsidR="00EE66D9" w:rsidRPr="00FA5128" w:rsidRDefault="0073330A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b/>
                <w:color w:val="000000" w:themeColor="text1"/>
                <w:sz w:val="16"/>
                <w:szCs w:val="16"/>
              </w:rPr>
              <w:t>116,2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BC2ABED" w14:textId="42AD2B19" w:rsidR="00EE66D9" w:rsidRPr="00FA5128" w:rsidRDefault="0073330A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b/>
                <w:color w:val="000000" w:themeColor="text1"/>
                <w:sz w:val="16"/>
                <w:szCs w:val="16"/>
              </w:rPr>
              <w:t>115,8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364A7B24" w14:textId="373906ED" w:rsidR="00EE66D9" w:rsidRPr="00FA5128" w:rsidRDefault="004F64F0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b/>
                <w:color w:val="000000" w:themeColor="text1"/>
                <w:sz w:val="16"/>
                <w:szCs w:val="16"/>
              </w:rPr>
              <w:t>137 350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6262D7F6" w14:textId="47147FB2" w:rsidR="00EE66D9" w:rsidRPr="00FA5128" w:rsidRDefault="004F64F0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b/>
                <w:color w:val="000000" w:themeColor="text1"/>
                <w:sz w:val="16"/>
                <w:szCs w:val="16"/>
              </w:rPr>
              <w:t>103,6</w:t>
            </w:r>
          </w:p>
        </w:tc>
      </w:tr>
      <w:tr w:rsidR="00EE66D9" w:rsidRPr="00907546" w14:paraId="04E4D8B5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01E5A76D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6254ADC7" w14:textId="46B043A6" w:rsidR="00EE66D9" w:rsidRPr="00FA5128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9 594</w:t>
            </w:r>
          </w:p>
        </w:tc>
        <w:tc>
          <w:tcPr>
            <w:tcW w:w="1206" w:type="dxa"/>
            <w:vAlign w:val="center"/>
          </w:tcPr>
          <w:p w14:paraId="659B9970" w14:textId="65F03C72" w:rsidR="00EE66D9" w:rsidRPr="00FA5128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111,7</w:t>
            </w:r>
          </w:p>
        </w:tc>
        <w:tc>
          <w:tcPr>
            <w:tcW w:w="1206" w:type="dxa"/>
            <w:vAlign w:val="center"/>
          </w:tcPr>
          <w:p w14:paraId="1D5A4EFB" w14:textId="764678D2" w:rsidR="00EE66D9" w:rsidRPr="00FA5128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123,3</w:t>
            </w:r>
          </w:p>
        </w:tc>
        <w:tc>
          <w:tcPr>
            <w:tcW w:w="1206" w:type="dxa"/>
            <w:vAlign w:val="center"/>
          </w:tcPr>
          <w:p w14:paraId="2C94BF3D" w14:textId="3C85039E" w:rsidR="00EE66D9" w:rsidRPr="00907546" w:rsidRDefault="004F64F0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F64F0">
              <w:rPr>
                <w:rFonts w:ascii="Fira Sans" w:hAnsi="Fira Sans"/>
                <w:color w:val="000000" w:themeColor="text1"/>
                <w:sz w:val="16"/>
                <w:szCs w:val="16"/>
              </w:rPr>
              <w:t>55 697</w:t>
            </w:r>
          </w:p>
        </w:tc>
        <w:tc>
          <w:tcPr>
            <w:tcW w:w="1207" w:type="dxa"/>
            <w:vAlign w:val="center"/>
          </w:tcPr>
          <w:p w14:paraId="617948A5" w14:textId="57EF97B1" w:rsidR="00EE66D9" w:rsidRPr="00907546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</w:tr>
      <w:tr w:rsidR="00EE66D9" w:rsidRPr="00FA5128" w14:paraId="70490934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5A5A4768" w14:textId="77777777"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14:paraId="54724EB3" w14:textId="40D56BB2" w:rsidR="00EE66D9" w:rsidRPr="00FA5128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12 148</w:t>
            </w:r>
          </w:p>
        </w:tc>
        <w:tc>
          <w:tcPr>
            <w:tcW w:w="1206" w:type="dxa"/>
            <w:vAlign w:val="center"/>
          </w:tcPr>
          <w:p w14:paraId="404214C6" w14:textId="21EC90F5" w:rsidR="00E467CC" w:rsidRPr="00FA5128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127,7</w:t>
            </w:r>
          </w:p>
        </w:tc>
        <w:tc>
          <w:tcPr>
            <w:tcW w:w="1206" w:type="dxa"/>
            <w:vAlign w:val="center"/>
          </w:tcPr>
          <w:p w14:paraId="4223D169" w14:textId="4B8B09DE" w:rsidR="00EE66D9" w:rsidRPr="00FA5128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115,3</w:t>
            </w:r>
          </w:p>
        </w:tc>
        <w:tc>
          <w:tcPr>
            <w:tcW w:w="1206" w:type="dxa"/>
            <w:vAlign w:val="center"/>
          </w:tcPr>
          <w:p w14:paraId="73258F0B" w14:textId="2263CC01" w:rsidR="00EE66D9" w:rsidRPr="008A1C80" w:rsidRDefault="004F64F0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F64F0">
              <w:rPr>
                <w:rFonts w:ascii="Fira Sans" w:hAnsi="Fira Sans"/>
                <w:color w:val="000000" w:themeColor="text1"/>
                <w:sz w:val="16"/>
                <w:szCs w:val="16"/>
              </w:rPr>
              <w:t>78 717</w:t>
            </w:r>
          </w:p>
        </w:tc>
        <w:tc>
          <w:tcPr>
            <w:tcW w:w="1207" w:type="dxa"/>
            <w:vAlign w:val="center"/>
          </w:tcPr>
          <w:p w14:paraId="02ED9A67" w14:textId="203593BB" w:rsidR="00EE66D9" w:rsidRPr="00FA5128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</w:tr>
      <w:tr w:rsidR="00EE66D9" w:rsidRPr="004266F7" w14:paraId="1A5CAE60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CF2FB0A" w14:textId="77777777"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 tym na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1206" w:type="dxa"/>
            <w:vAlign w:val="center"/>
          </w:tcPr>
          <w:p w14:paraId="509595CF" w14:textId="24F568B1" w:rsidR="00EE66D9" w:rsidRPr="005241EA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06" w:type="dxa"/>
            <w:vAlign w:val="center"/>
          </w:tcPr>
          <w:p w14:paraId="15A1049D" w14:textId="77777777"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5D3AA96A" w14:textId="088504A7" w:rsidR="00EE66D9" w:rsidRPr="004327B6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34,8</w:t>
            </w:r>
          </w:p>
        </w:tc>
        <w:tc>
          <w:tcPr>
            <w:tcW w:w="1206" w:type="dxa"/>
            <w:vAlign w:val="center"/>
          </w:tcPr>
          <w:p w14:paraId="2E82320F" w14:textId="64B0CD1D" w:rsidR="00EE66D9" w:rsidRPr="00553B0B" w:rsidRDefault="004F64F0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F64F0">
              <w:rPr>
                <w:rFonts w:ascii="Fira Sans" w:hAnsi="Fira Sans"/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1207" w:type="dxa"/>
            <w:vAlign w:val="center"/>
          </w:tcPr>
          <w:p w14:paraId="53C7282A" w14:textId="77777777"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14:paraId="33C141E3" w14:textId="77777777" w:rsidTr="00865B30">
        <w:trPr>
          <w:trHeight w:val="370"/>
        </w:trPr>
        <w:tc>
          <w:tcPr>
            <w:tcW w:w="2049" w:type="dxa"/>
            <w:vAlign w:val="center"/>
          </w:tcPr>
          <w:p w14:paraId="709A478D" w14:textId="77777777"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69B7F2A4" w14:textId="65A76112" w:rsidR="00EE66D9" w:rsidRPr="00FA5128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206" w:type="dxa"/>
            <w:vAlign w:val="center"/>
          </w:tcPr>
          <w:p w14:paraId="50E478AF" w14:textId="7C6DA58D" w:rsidR="00EE66D9" w:rsidRPr="00FA5128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33,2</w:t>
            </w:r>
          </w:p>
        </w:tc>
        <w:tc>
          <w:tcPr>
            <w:tcW w:w="1206" w:type="dxa"/>
            <w:vAlign w:val="center"/>
          </w:tcPr>
          <w:p w14:paraId="67F6BC1F" w14:textId="421BABC8" w:rsidR="00EE66D9" w:rsidRPr="00E102B7" w:rsidRDefault="0073330A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330A">
              <w:rPr>
                <w:rFonts w:cs="Arial"/>
                <w:sz w:val="16"/>
                <w:szCs w:val="16"/>
              </w:rPr>
              <w:t>145,1</w:t>
            </w:r>
          </w:p>
        </w:tc>
        <w:tc>
          <w:tcPr>
            <w:tcW w:w="1206" w:type="dxa"/>
            <w:vAlign w:val="center"/>
          </w:tcPr>
          <w:p w14:paraId="7F9BD656" w14:textId="3291548C" w:rsidR="00EE66D9" w:rsidRPr="00C230EE" w:rsidRDefault="004F64F0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F64F0">
              <w:rPr>
                <w:rFonts w:ascii="Fira Sans" w:hAnsi="Fira Sans"/>
                <w:color w:val="000000" w:themeColor="text1"/>
                <w:sz w:val="16"/>
                <w:szCs w:val="16"/>
              </w:rPr>
              <w:t>1 228</w:t>
            </w:r>
          </w:p>
        </w:tc>
        <w:tc>
          <w:tcPr>
            <w:tcW w:w="1207" w:type="dxa"/>
            <w:vAlign w:val="center"/>
          </w:tcPr>
          <w:p w14:paraId="187AA2B9" w14:textId="6AA622C9" w:rsidR="00EE66D9" w:rsidRPr="00FA5128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77,6</w:t>
            </w:r>
          </w:p>
        </w:tc>
      </w:tr>
      <w:tr w:rsidR="00EE66D9" w:rsidRPr="00FA5128" w14:paraId="4676299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18098187" w14:textId="77777777"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FBAC646" w14:textId="569F18CC" w:rsidR="00EE66D9" w:rsidRPr="00FA5128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206" w:type="dxa"/>
            <w:vAlign w:val="center"/>
          </w:tcPr>
          <w:p w14:paraId="7B55480A" w14:textId="781AE467" w:rsidR="00EE66D9" w:rsidRPr="00FA5128" w:rsidRDefault="0073330A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22,5</w:t>
            </w:r>
          </w:p>
        </w:tc>
        <w:tc>
          <w:tcPr>
            <w:tcW w:w="1206" w:type="dxa"/>
            <w:vAlign w:val="center"/>
          </w:tcPr>
          <w:p w14:paraId="11B994F5" w14:textId="51E78F2E" w:rsidR="00EE66D9" w:rsidRPr="00E102B7" w:rsidRDefault="0073330A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330A"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1206" w:type="dxa"/>
            <w:vAlign w:val="center"/>
          </w:tcPr>
          <w:p w14:paraId="17942F15" w14:textId="57F3F157" w:rsidR="00EE66D9" w:rsidRPr="00E87F78" w:rsidRDefault="004F64F0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F64F0">
              <w:rPr>
                <w:color w:val="000000" w:themeColor="text1"/>
                <w:sz w:val="16"/>
                <w:szCs w:val="16"/>
              </w:rPr>
              <w:t>993</w:t>
            </w:r>
          </w:p>
        </w:tc>
        <w:tc>
          <w:tcPr>
            <w:tcW w:w="1207" w:type="dxa"/>
            <w:vAlign w:val="center"/>
          </w:tcPr>
          <w:p w14:paraId="2ADEF553" w14:textId="2D15A75E" w:rsidR="00EE66D9" w:rsidRPr="00FA5128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132,6</w:t>
            </w:r>
          </w:p>
        </w:tc>
      </w:tr>
      <w:tr w:rsidR="00EE66D9" w:rsidRPr="009F4F41" w14:paraId="0A79728B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3E25BDA0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48E87911" w14:textId="4B8E79D6" w:rsidR="00EE66D9" w:rsidRPr="00A030E6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206" w:type="dxa"/>
            <w:vAlign w:val="center"/>
          </w:tcPr>
          <w:p w14:paraId="19796821" w14:textId="3156D442" w:rsidR="00EE66D9" w:rsidRPr="006E0C18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20,0</w:t>
            </w:r>
          </w:p>
        </w:tc>
        <w:tc>
          <w:tcPr>
            <w:tcW w:w="1206" w:type="dxa"/>
            <w:vAlign w:val="center"/>
          </w:tcPr>
          <w:p w14:paraId="619C837E" w14:textId="71CE0ED9" w:rsidR="00EE66D9" w:rsidRPr="00296F96" w:rsidRDefault="0073330A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3330A">
              <w:rPr>
                <w:rFonts w:cs="Arial"/>
                <w:sz w:val="16"/>
                <w:szCs w:val="16"/>
              </w:rPr>
              <w:t>46,7</w:t>
            </w:r>
          </w:p>
        </w:tc>
        <w:tc>
          <w:tcPr>
            <w:tcW w:w="1206" w:type="dxa"/>
            <w:vAlign w:val="center"/>
          </w:tcPr>
          <w:p w14:paraId="4C6D59E1" w14:textId="4EF24D3F" w:rsidR="00EE66D9" w:rsidRPr="00E87F78" w:rsidRDefault="004F64F0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F64F0">
              <w:rPr>
                <w:color w:val="000000" w:themeColor="text1"/>
                <w:sz w:val="16"/>
                <w:szCs w:val="16"/>
              </w:rPr>
              <w:t>714</w:t>
            </w:r>
          </w:p>
        </w:tc>
        <w:tc>
          <w:tcPr>
            <w:tcW w:w="1207" w:type="dxa"/>
            <w:vAlign w:val="center"/>
          </w:tcPr>
          <w:p w14:paraId="1A1DF62A" w14:textId="482DD5C1" w:rsidR="00EE66D9" w:rsidRPr="009F4F41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82,8</w:t>
            </w:r>
          </w:p>
        </w:tc>
      </w:tr>
      <w:tr w:rsidR="00EE66D9" w:rsidRPr="009F4F41" w14:paraId="76545D73" w14:textId="77777777" w:rsidTr="005C72F8">
        <w:trPr>
          <w:trHeight w:val="57"/>
        </w:trPr>
        <w:tc>
          <w:tcPr>
            <w:tcW w:w="2049" w:type="dxa"/>
            <w:vAlign w:val="center"/>
          </w:tcPr>
          <w:p w14:paraId="702BE455" w14:textId="77777777"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5EE386AA" w14:textId="09BECC68" w:rsidR="00EE66D9" w:rsidRPr="00A030E6" w:rsidRDefault="0073330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59B21647" w14:textId="033E9A9A" w:rsidR="00EE66D9" w:rsidRPr="006E0C18" w:rsidRDefault="0073330A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3330A">
              <w:rPr>
                <w:rFonts w:cs="Arial"/>
                <w:color w:val="000000" w:themeColor="text1"/>
                <w:sz w:val="16"/>
                <w:szCs w:val="16"/>
              </w:rPr>
              <w:t xml:space="preserve">100,0 </w:t>
            </w:r>
            <w:r w:rsidR="00EE66D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200D7890" w14:textId="77777777" w:rsidR="00EE66D9" w:rsidRPr="00296F96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14:paraId="3FD6ECD3" w14:textId="3A82188C" w:rsidR="00EE66D9" w:rsidRPr="00E87F78" w:rsidRDefault="004F64F0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F64F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7" w:type="dxa"/>
            <w:vAlign w:val="center"/>
          </w:tcPr>
          <w:p w14:paraId="3348438E" w14:textId="1B45C276" w:rsidR="00EE66D9" w:rsidRPr="009F4F41" w:rsidRDefault="004F64F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F64F0">
              <w:rPr>
                <w:rFonts w:cs="Arial"/>
                <w:color w:val="000000" w:themeColor="text1"/>
                <w:sz w:val="16"/>
                <w:szCs w:val="16"/>
              </w:rPr>
              <w:t>0,6</w:t>
            </w:r>
          </w:p>
        </w:tc>
      </w:tr>
    </w:tbl>
    <w:p w14:paraId="1D91EDD4" w14:textId="77777777"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025DAAF9" w14:textId="77777777"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14:paraId="5E74B479" w14:textId="3E1DDC4C"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73330A">
        <w:rPr>
          <w:shd w:val="clear" w:color="auto" w:fill="FFFFFF"/>
        </w:rPr>
        <w:t>lipca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 xml:space="preserve">budowie pozostawało </w:t>
      </w:r>
      <w:r w:rsidR="0073330A">
        <w:rPr>
          <w:shd w:val="clear" w:color="auto" w:fill="FFFFFF"/>
        </w:rPr>
        <w:t>822,8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73330A">
        <w:rPr>
          <w:shd w:val="clear" w:color="auto" w:fill="FFFFFF"/>
        </w:rPr>
        <w:t>o 3,9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14:paraId="3E3C71A2" w14:textId="77777777" w:rsidR="00047CF8" w:rsidRDefault="00047CF8" w:rsidP="00047CF8">
      <w:pPr>
        <w:rPr>
          <w:sz w:val="18"/>
        </w:rPr>
      </w:pPr>
    </w:p>
    <w:p w14:paraId="2FE01F02" w14:textId="77777777"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14:paraId="44124A52" w14:textId="19E90449" w:rsidR="00047CF8" w:rsidRDefault="006969C0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6720" behindDoc="0" locked="0" layoutInCell="1" allowOverlap="1" wp14:anchorId="06447A9C" wp14:editId="17228B20">
            <wp:simplePos x="0" y="0"/>
            <wp:positionH relativeFrom="margin">
              <wp:align>right</wp:align>
            </wp:positionH>
            <wp:positionV relativeFrom="paragraph">
              <wp:posOffset>165046</wp:posOffset>
            </wp:positionV>
            <wp:extent cx="5122545" cy="3161179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A0748" w14:textId="791E4925" w:rsidR="00047CF8" w:rsidRDefault="00257031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2C7F093F">
                <wp:simplePos x="0" y="0"/>
                <wp:positionH relativeFrom="page">
                  <wp:posOffset>5704840</wp:posOffset>
                </wp:positionH>
                <wp:positionV relativeFrom="paragraph">
                  <wp:posOffset>97707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BD940" w14:textId="437C330F" w:rsidR="00F84441" w:rsidRPr="00296B74" w:rsidRDefault="00F25C7B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>
                              <w:rPr>
                                <w:bCs w:val="0"/>
                              </w:rPr>
                              <w:t>W</w:t>
                            </w:r>
                            <w:r w:rsidRPr="00296B74">
                              <w:t xml:space="preserve"> </w:t>
                            </w:r>
                            <w:r w:rsidR="0073330A" w:rsidRPr="00296B74">
                              <w:t>lipcu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w porównaniu </w:t>
                            </w:r>
                            <w:r w:rsidR="001B4968" w:rsidRPr="00296B74">
                              <w:br/>
                            </w:r>
                            <w:r w:rsidRPr="00296B74">
                              <w:t xml:space="preserve">do </w:t>
                            </w:r>
                            <w:r w:rsidR="00F864BE" w:rsidRPr="00296B74">
                              <w:t>czerwca</w:t>
                            </w:r>
                            <w:r w:rsidRPr="00296B74">
                              <w:t xml:space="preserve"> 2019 r.</w:t>
                            </w:r>
                            <w:r w:rsidR="009E21D0" w:rsidRPr="00296B74">
                              <w:t>,</w:t>
                            </w:r>
                            <w:r w:rsidR="001B4968" w:rsidRPr="00296B74">
                              <w:t xml:space="preserve"> </w:t>
                            </w:r>
                            <w:r w:rsidR="00A270F5" w:rsidRPr="00296B74">
                              <w:t>liczba mieszkań</w:t>
                            </w:r>
                            <w:r w:rsidR="00F864BE" w:rsidRPr="00296B74">
                              <w:t xml:space="preserve"> oddanych do użytkowania oraz</w:t>
                            </w:r>
                            <w:r w:rsidR="00F84441" w:rsidRPr="00296B74">
                              <w:t xml:space="preserve"> mieszkań, na których budowę wydano pozwolenia lub dokonano zgłoszenia z projektem budowlanym </w:t>
                            </w:r>
                            <w:r w:rsidR="00F864BE" w:rsidRPr="00296B74">
                              <w:t>i</w:t>
                            </w:r>
                            <w:r w:rsidR="00F84441" w:rsidRPr="00296B74">
                              <w:t xml:space="preserve"> których budowę rozpoczęto wzrosła odpowiednio o 1,2%, 8,4% </w:t>
                            </w:r>
                          </w:p>
                          <w:p w14:paraId="4F0C4222" w14:textId="72CA6435" w:rsidR="00C31687" w:rsidRPr="00296B74" w:rsidRDefault="00F84441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96B74">
                              <w:t>i 15,8%</w:t>
                            </w:r>
                            <w:r w:rsidR="001B4968" w:rsidRPr="00296B7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59AE43" id="_x0000_s1034" type="#_x0000_t202" style="position:absolute;margin-left:449.2pt;margin-top:7.7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" filled="f" stroked="f">
                <v:textbox style="mso-fit-shape-to-text:t">
                  <w:txbxContent>
                    <w:p w14:paraId="62FBD940" w14:textId="437C330F" w:rsidR="00F84441" w:rsidRPr="00296B74" w:rsidRDefault="00F25C7B" w:rsidP="00296B74">
                      <w:pPr>
                        <w:pStyle w:val="tekstzboku"/>
                        <w:spacing w:before="0"/>
                        <w:ind w:left="-142"/>
                      </w:pPr>
                      <w:r>
                        <w:rPr>
                          <w:bCs w:val="0"/>
                        </w:rPr>
                        <w:t>W</w:t>
                      </w:r>
                      <w:r w:rsidRPr="00296B74">
                        <w:t xml:space="preserve"> </w:t>
                      </w:r>
                      <w:r w:rsidR="0073330A" w:rsidRPr="00296B74">
                        <w:t>lipcu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w porównaniu </w:t>
                      </w:r>
                      <w:r w:rsidR="001B4968" w:rsidRPr="00296B74">
                        <w:br/>
                      </w:r>
                      <w:r w:rsidRPr="00296B74">
                        <w:t xml:space="preserve">do </w:t>
                      </w:r>
                      <w:r w:rsidR="00F864BE" w:rsidRPr="00296B74">
                        <w:t>czerwca</w:t>
                      </w:r>
                      <w:r w:rsidRPr="00296B74">
                        <w:t xml:space="preserve"> 2019 r.</w:t>
                      </w:r>
                      <w:r w:rsidR="009E21D0" w:rsidRPr="00296B74">
                        <w:t>,</w:t>
                      </w:r>
                      <w:r w:rsidR="001B4968" w:rsidRPr="00296B74">
                        <w:t xml:space="preserve"> </w:t>
                      </w:r>
                      <w:r w:rsidR="00A270F5" w:rsidRPr="00296B74">
                        <w:t>liczba mieszkań</w:t>
                      </w:r>
                      <w:r w:rsidR="00F864BE" w:rsidRPr="00296B74">
                        <w:t xml:space="preserve"> oddanych do użytkowania oraz</w:t>
                      </w:r>
                      <w:r w:rsidR="00F84441" w:rsidRPr="00296B74">
                        <w:t xml:space="preserve"> mieszkań, na których budowę wydano pozwolenia lub dokonano zgłoszenia z projektem budowlanym </w:t>
                      </w:r>
                      <w:r w:rsidR="00F864BE" w:rsidRPr="00296B74">
                        <w:t>i</w:t>
                      </w:r>
                      <w:r w:rsidR="00F84441" w:rsidRPr="00296B74">
                        <w:t xml:space="preserve"> których budowę rozpoczęto wzrosła odpowiednio o 1,2%, 8,4% </w:t>
                      </w:r>
                    </w:p>
                    <w:p w14:paraId="4F0C4222" w14:textId="72CA6435" w:rsidR="00C31687" w:rsidRPr="00296B74" w:rsidRDefault="00F84441" w:rsidP="00296B74">
                      <w:pPr>
                        <w:pStyle w:val="tekstzboku"/>
                        <w:spacing w:before="0"/>
                        <w:ind w:left="-142"/>
                      </w:pPr>
                      <w:r w:rsidRPr="00296B74">
                        <w:t>i 15,8%</w:t>
                      </w:r>
                      <w:r w:rsidR="001B4968" w:rsidRPr="00296B74"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7B60050" w14:textId="29D6BC14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7C36EEE0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62770434" w14:textId="77777777" w:rsidR="00047CF8" w:rsidRDefault="00047CF8" w:rsidP="00F113BA">
      <w:pPr>
        <w:rPr>
          <w:sz w:val="16"/>
          <w:szCs w:val="16"/>
          <w:shd w:val="clear" w:color="auto" w:fill="FFFFFF"/>
        </w:rPr>
      </w:pPr>
    </w:p>
    <w:p w14:paraId="0AE93069" w14:textId="77777777" w:rsidR="00E56DD9" w:rsidRDefault="00E56DD9" w:rsidP="00F113BA">
      <w:pPr>
        <w:rPr>
          <w:szCs w:val="19"/>
          <w:shd w:val="clear" w:color="auto" w:fill="FFFFFF"/>
        </w:rPr>
      </w:pPr>
    </w:p>
    <w:p w14:paraId="2EF2E6BD" w14:textId="77777777" w:rsidR="00E56DD9" w:rsidRDefault="00E56DD9" w:rsidP="00F113BA">
      <w:pPr>
        <w:rPr>
          <w:szCs w:val="19"/>
          <w:shd w:val="clear" w:color="auto" w:fill="FFFFFF"/>
        </w:rPr>
      </w:pPr>
    </w:p>
    <w:p w14:paraId="378ABC26" w14:textId="77777777" w:rsidR="00E56DD9" w:rsidRDefault="00E56DD9" w:rsidP="00F113BA">
      <w:pPr>
        <w:rPr>
          <w:szCs w:val="19"/>
          <w:shd w:val="clear" w:color="auto" w:fill="FFFFFF"/>
        </w:rPr>
      </w:pPr>
    </w:p>
    <w:p w14:paraId="6060CF53" w14:textId="77777777" w:rsidR="00E56DD9" w:rsidRDefault="00E56DD9" w:rsidP="00F113BA">
      <w:pPr>
        <w:rPr>
          <w:szCs w:val="19"/>
          <w:shd w:val="clear" w:color="auto" w:fill="FFFFFF"/>
        </w:rPr>
      </w:pPr>
    </w:p>
    <w:p w14:paraId="7CFE94F7" w14:textId="77777777" w:rsidR="00E56DD9" w:rsidRDefault="00E56DD9" w:rsidP="00F113BA">
      <w:pPr>
        <w:rPr>
          <w:szCs w:val="19"/>
          <w:shd w:val="clear" w:color="auto" w:fill="FFFFFF"/>
        </w:rPr>
      </w:pPr>
    </w:p>
    <w:p w14:paraId="4DA5C48F" w14:textId="77777777" w:rsidR="00E56DD9" w:rsidRDefault="00E56DD9" w:rsidP="00F113BA">
      <w:pPr>
        <w:rPr>
          <w:szCs w:val="19"/>
          <w:shd w:val="clear" w:color="auto" w:fill="FFFFFF"/>
        </w:rPr>
      </w:pPr>
    </w:p>
    <w:p w14:paraId="6B729377" w14:textId="77777777" w:rsidR="00E56DD9" w:rsidRDefault="00E56DD9" w:rsidP="00F113BA">
      <w:pPr>
        <w:rPr>
          <w:szCs w:val="19"/>
          <w:shd w:val="clear" w:color="auto" w:fill="FFFFFF"/>
        </w:rPr>
      </w:pPr>
    </w:p>
    <w:p w14:paraId="25901D31" w14:textId="77777777" w:rsidR="00E56DD9" w:rsidRDefault="00E56DD9" w:rsidP="00F113BA">
      <w:pPr>
        <w:rPr>
          <w:szCs w:val="19"/>
          <w:shd w:val="clear" w:color="auto" w:fill="FFFFFF"/>
        </w:rPr>
      </w:pPr>
    </w:p>
    <w:p w14:paraId="24BC9614" w14:textId="77777777" w:rsidR="00E56DD9" w:rsidRDefault="00E56DD9" w:rsidP="00F113BA">
      <w:pPr>
        <w:rPr>
          <w:szCs w:val="19"/>
          <w:shd w:val="clear" w:color="auto" w:fill="FFFFFF"/>
        </w:rPr>
      </w:pPr>
    </w:p>
    <w:p w14:paraId="71D6365C" w14:textId="77777777" w:rsidR="00E56DD9" w:rsidRDefault="00E56DD9" w:rsidP="00F113BA">
      <w:pPr>
        <w:rPr>
          <w:szCs w:val="19"/>
          <w:shd w:val="clear" w:color="auto" w:fill="FFFFFF"/>
        </w:rPr>
      </w:pPr>
    </w:p>
    <w:p w14:paraId="41F050FF" w14:textId="77777777" w:rsidR="006720A1" w:rsidRDefault="006720A1" w:rsidP="00F113BA">
      <w:pPr>
        <w:rPr>
          <w:szCs w:val="19"/>
          <w:shd w:val="clear" w:color="auto" w:fill="FFFFFF"/>
        </w:rPr>
      </w:pPr>
    </w:p>
    <w:p w14:paraId="3B601DEE" w14:textId="77777777" w:rsidR="006720A1" w:rsidRDefault="006720A1" w:rsidP="00F113BA">
      <w:pPr>
        <w:rPr>
          <w:szCs w:val="19"/>
          <w:shd w:val="clear" w:color="auto" w:fill="FFFFFF"/>
        </w:rPr>
      </w:pPr>
    </w:p>
    <w:p w14:paraId="7168FE63" w14:textId="77777777" w:rsidR="00CF55D1" w:rsidRDefault="00CF55D1" w:rsidP="00F113BA">
      <w:pPr>
        <w:rPr>
          <w:szCs w:val="19"/>
          <w:shd w:val="clear" w:color="auto" w:fill="FFFFFF"/>
        </w:rPr>
      </w:pPr>
    </w:p>
    <w:p w14:paraId="63F40E61" w14:textId="77777777" w:rsidR="00CF55D1" w:rsidRDefault="00CF55D1" w:rsidP="00F113BA">
      <w:pPr>
        <w:rPr>
          <w:szCs w:val="19"/>
          <w:shd w:val="clear" w:color="auto" w:fill="FFFFFF"/>
        </w:rPr>
      </w:pPr>
    </w:p>
    <w:p w14:paraId="21C62DA0" w14:textId="77777777" w:rsidR="00355AF4" w:rsidRDefault="00355AF4" w:rsidP="0041374E">
      <w:pPr>
        <w:rPr>
          <w:szCs w:val="19"/>
          <w:shd w:val="clear" w:color="auto" w:fill="FFFFFF"/>
        </w:rPr>
      </w:pPr>
    </w:p>
    <w:p w14:paraId="4AD12505" w14:textId="77777777" w:rsidR="00951EDB" w:rsidRDefault="00951EDB" w:rsidP="0041374E">
      <w:pPr>
        <w:rPr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inline distT="0" distB="0" distL="0" distR="0" wp14:anchorId="2092859D" wp14:editId="301C95B4">
            <wp:extent cx="5122545" cy="210883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861F1C" w14:textId="5913D4DF"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F864BE">
        <w:rPr>
          <w:szCs w:val="19"/>
          <w:shd w:val="clear" w:color="auto" w:fill="FFFFFF"/>
        </w:rPr>
        <w:t>lipiec</w:t>
      </w:r>
      <w:r w:rsidR="005921E2" w:rsidRPr="005921E2">
        <w:rPr>
          <w:szCs w:val="19"/>
          <w:shd w:val="clear" w:color="auto" w:fill="FFFFFF"/>
        </w:rPr>
        <w:t xml:space="preserve"> </w:t>
      </w:r>
      <w:r w:rsidR="00BB53B6" w:rsidRPr="005921E2">
        <w:rPr>
          <w:szCs w:val="19"/>
          <w:shd w:val="clear" w:color="auto" w:fill="FFFFFF"/>
        </w:rPr>
        <w:t>2019 r</w:t>
      </w:r>
      <w:r w:rsidR="00BB53B6" w:rsidRPr="008F1C42">
        <w:rPr>
          <w:szCs w:val="19"/>
          <w:shd w:val="clear" w:color="auto" w:fill="FFFFFF"/>
        </w:rPr>
        <w:t>.</w:t>
      </w:r>
      <w:r w:rsidR="0061791A" w:rsidRPr="008F1C42">
        <w:rPr>
          <w:szCs w:val="19"/>
          <w:shd w:val="clear" w:color="auto" w:fill="FFFFFF"/>
        </w:rPr>
        <w:t>,</w:t>
      </w:r>
      <w:r w:rsidR="00BB53B6" w:rsidRPr="008F1C42">
        <w:rPr>
          <w:szCs w:val="19"/>
          <w:shd w:val="clear" w:color="auto" w:fill="FFFFFF"/>
        </w:rPr>
        <w:t xml:space="preserve">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594802">
        <w:rPr>
          <w:szCs w:val="19"/>
          <w:shd w:val="clear" w:color="auto" w:fill="FFFFFF"/>
        </w:rPr>
        <w:t>odpowiednio 26,9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594802">
        <w:rPr>
          <w:szCs w:val="19"/>
          <w:shd w:val="clear" w:color="auto" w:fill="FFFFFF"/>
        </w:rPr>
        <w:t xml:space="preserve"> i 24,2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164CF6" w:rsidRPr="005921E2">
        <w:rPr>
          <w:szCs w:val="19"/>
          <w:shd w:val="clear" w:color="auto" w:fill="FFFFFF"/>
        </w:rPr>
        <w:t xml:space="preserve">) oraz dolnośląskim </w:t>
      </w:r>
      <w:r w:rsidR="001030FA" w:rsidRPr="005921E2">
        <w:rPr>
          <w:szCs w:val="19"/>
          <w:shd w:val="clear" w:color="auto" w:fill="FFFFFF"/>
        </w:rPr>
        <w:t>(</w:t>
      </w:r>
      <w:r w:rsidR="00FA44C7" w:rsidRPr="005921E2">
        <w:rPr>
          <w:szCs w:val="19"/>
          <w:shd w:val="clear" w:color="auto" w:fill="FFFFFF"/>
        </w:rPr>
        <w:t xml:space="preserve">odpowiednio </w:t>
      </w:r>
      <w:r w:rsidR="00594802">
        <w:rPr>
          <w:szCs w:val="19"/>
          <w:shd w:val="clear" w:color="auto" w:fill="FFFFFF"/>
        </w:rPr>
        <w:t>17,7</w:t>
      </w:r>
      <w:r w:rsidRPr="005921E2">
        <w:rPr>
          <w:szCs w:val="19"/>
          <w:shd w:val="clear" w:color="auto" w:fill="FFFFFF"/>
        </w:rPr>
        <w:t xml:space="preserve"> tys. </w:t>
      </w:r>
      <w:r w:rsidR="00594802">
        <w:rPr>
          <w:szCs w:val="19"/>
          <w:shd w:val="clear" w:color="auto" w:fill="FFFFFF"/>
        </w:rPr>
        <w:t>i 15</w:t>
      </w:r>
      <w:r w:rsidR="001030FA" w:rsidRPr="005921E2">
        <w:rPr>
          <w:szCs w:val="19"/>
          <w:shd w:val="clear" w:color="auto" w:fill="FFFFFF"/>
        </w:rPr>
        <w:t>,</w:t>
      </w:r>
      <w:r w:rsidR="00594802">
        <w:rPr>
          <w:szCs w:val="19"/>
          <w:shd w:val="clear" w:color="auto" w:fill="FFFFFF"/>
        </w:rPr>
        <w:t>5</w:t>
      </w:r>
      <w:r w:rsidRPr="005921E2">
        <w:rPr>
          <w:szCs w:val="19"/>
          <w:shd w:val="clear" w:color="auto" w:fill="FFFFFF"/>
        </w:rPr>
        <w:t xml:space="preserve"> tys.).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594802">
        <w:rPr>
          <w:szCs w:val="19"/>
          <w:shd w:val="clear" w:color="auto" w:fill="FFFFFF"/>
        </w:rPr>
        <w:t>(22,8</w:t>
      </w:r>
      <w:r w:rsidR="0041374E" w:rsidRPr="005921E2">
        <w:rPr>
          <w:szCs w:val="19"/>
          <w:shd w:val="clear" w:color="auto" w:fill="FFFFFF"/>
        </w:rPr>
        <w:t xml:space="preserve"> t</w:t>
      </w:r>
      <w:r w:rsidR="00F35A58" w:rsidRPr="005921E2">
        <w:rPr>
          <w:szCs w:val="19"/>
          <w:shd w:val="clear" w:color="auto" w:fill="FFFFFF"/>
        </w:rPr>
        <w:t xml:space="preserve">ys. mieszkań) </w:t>
      </w:r>
      <w:r w:rsidR="005921E2">
        <w:rPr>
          <w:szCs w:val="19"/>
          <w:shd w:val="clear" w:color="auto" w:fill="FFFFFF"/>
        </w:rPr>
        <w:br/>
      </w:r>
      <w:r w:rsidR="00033D0D" w:rsidRPr="005921E2">
        <w:rPr>
          <w:szCs w:val="19"/>
          <w:shd w:val="clear" w:color="auto" w:fill="FFFFFF"/>
        </w:rPr>
        <w:t xml:space="preserve">i </w:t>
      </w:r>
      <w:r w:rsidR="0041374E" w:rsidRPr="005921E2">
        <w:rPr>
          <w:szCs w:val="19"/>
          <w:shd w:val="clear" w:color="auto" w:fill="FFFFFF"/>
        </w:rPr>
        <w:t>małopolskie (</w:t>
      </w:r>
      <w:r w:rsidR="00594802">
        <w:rPr>
          <w:szCs w:val="19"/>
          <w:shd w:val="clear" w:color="auto" w:fill="FFFFFF"/>
        </w:rPr>
        <w:t>12,3</w:t>
      </w:r>
      <w:r w:rsidR="0041374E" w:rsidRPr="005921E2">
        <w:rPr>
          <w:szCs w:val="19"/>
          <w:shd w:val="clear" w:color="auto" w:fill="FFFFFF"/>
        </w:rPr>
        <w:t xml:space="preserve"> tys.).</w:t>
      </w:r>
    </w:p>
    <w:p w14:paraId="38645D66" w14:textId="77777777"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14:paraId="61F8383C" w14:textId="12C50BE7" w:rsidR="00E56DD9" w:rsidRPr="00127F26" w:rsidRDefault="003457E4" w:rsidP="00066081">
      <w:pPr>
        <w:spacing w:line="240" w:lineRule="auto"/>
        <w:ind w:left="851" w:hanging="851"/>
        <w:rPr>
          <w:b/>
          <w:sz w:val="18"/>
          <w:szCs w:val="18"/>
        </w:rPr>
      </w:pPr>
      <w:r w:rsidRPr="00127F26">
        <w:rPr>
          <w:b/>
          <w:sz w:val="18"/>
          <w:szCs w:val="18"/>
        </w:rPr>
        <w:t>Wykres</w:t>
      </w:r>
      <w:r w:rsidR="006978FA" w:rsidRPr="00127F26">
        <w:rPr>
          <w:b/>
          <w:sz w:val="18"/>
          <w:szCs w:val="18"/>
        </w:rPr>
        <w:t xml:space="preserve"> 2. </w:t>
      </w:r>
      <w:r w:rsidR="00047CF8" w:rsidRPr="00127F26">
        <w:rPr>
          <w:b/>
          <w:sz w:val="18"/>
          <w:szCs w:val="18"/>
        </w:rPr>
        <w:t xml:space="preserve">Ruch budowlany w obszarze budownictwa mieszkaniowego </w:t>
      </w:r>
      <w:r w:rsidR="006978FA" w:rsidRPr="00127F26">
        <w:rPr>
          <w:b/>
          <w:sz w:val="18"/>
          <w:szCs w:val="18"/>
        </w:rPr>
        <w:t>według województw</w:t>
      </w:r>
      <w:r w:rsidR="00066081">
        <w:rPr>
          <w:b/>
          <w:sz w:val="18"/>
          <w:szCs w:val="18"/>
        </w:rPr>
        <w:t xml:space="preserve"> (</w:t>
      </w:r>
      <w:r w:rsidR="00047CF8" w:rsidRPr="00127F26">
        <w:rPr>
          <w:b/>
          <w:sz w:val="18"/>
          <w:szCs w:val="18"/>
        </w:rPr>
        <w:t>styczeń</w:t>
      </w:r>
      <w:r w:rsidR="00C37A03" w:rsidRPr="00127F26">
        <w:rPr>
          <w:b/>
          <w:sz w:val="18"/>
          <w:szCs w:val="18"/>
        </w:rPr>
        <w:t>-</w:t>
      </w:r>
      <w:r w:rsidR="00EC4F64">
        <w:rPr>
          <w:b/>
          <w:sz w:val="18"/>
          <w:szCs w:val="18"/>
        </w:rPr>
        <w:t>lipiec</w:t>
      </w:r>
      <w:r w:rsidR="00C37A03" w:rsidRPr="00127F26">
        <w:rPr>
          <w:b/>
          <w:sz w:val="18"/>
          <w:szCs w:val="18"/>
        </w:rPr>
        <w:t xml:space="preserve"> </w:t>
      </w:r>
      <w:r w:rsidR="00047CF8" w:rsidRPr="00127F26">
        <w:rPr>
          <w:b/>
          <w:sz w:val="18"/>
          <w:szCs w:val="18"/>
        </w:rPr>
        <w:t>2019 r.)</w:t>
      </w:r>
      <w:r w:rsidR="00E56DD9" w:rsidRPr="00127F26">
        <w:rPr>
          <w:b/>
          <w:sz w:val="18"/>
          <w:szCs w:val="18"/>
        </w:rPr>
        <w:t xml:space="preserve"> </w:t>
      </w:r>
    </w:p>
    <w:p w14:paraId="0A9245AB" w14:textId="77777777" w:rsidR="00E56DD9" w:rsidRDefault="00257031" w:rsidP="00047CF8">
      <w:pPr>
        <w:jc w:val="center"/>
        <w:rPr>
          <w:b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53A7E0AC" wp14:editId="5350529F">
            <wp:simplePos x="0" y="0"/>
            <wp:positionH relativeFrom="margin">
              <wp:posOffset>-323243</wp:posOffset>
            </wp:positionH>
            <wp:positionV relativeFrom="paragraph">
              <wp:posOffset>125915</wp:posOffset>
            </wp:positionV>
            <wp:extent cx="5270904" cy="4245845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76BD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E41E6B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13C9D65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3D6F1E68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EE5937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4E1803A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6A01049D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441AE92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7706400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0DB9291F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36B4AEE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1626369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3085C06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2BF3BFC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7D6CD1F0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52BEE883" w14:textId="77777777" w:rsidR="00E56DD9" w:rsidRDefault="00E56DD9" w:rsidP="00047CF8">
      <w:pPr>
        <w:jc w:val="center"/>
        <w:rPr>
          <w:b/>
          <w:sz w:val="18"/>
          <w:szCs w:val="18"/>
        </w:rPr>
      </w:pPr>
    </w:p>
    <w:p w14:paraId="00EAD1F8" w14:textId="77777777" w:rsidR="006720A1" w:rsidRDefault="006720A1" w:rsidP="00047CF8">
      <w:pPr>
        <w:jc w:val="center"/>
        <w:rPr>
          <w:b/>
          <w:sz w:val="18"/>
          <w:szCs w:val="18"/>
        </w:rPr>
      </w:pPr>
    </w:p>
    <w:p w14:paraId="4B85CB8B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66DE7307" w14:textId="77777777" w:rsidR="002A518A" w:rsidRDefault="002A518A" w:rsidP="00047CF8">
      <w:pPr>
        <w:jc w:val="center"/>
        <w:rPr>
          <w:b/>
          <w:sz w:val="18"/>
          <w:szCs w:val="18"/>
        </w:rPr>
      </w:pPr>
    </w:p>
    <w:p w14:paraId="7EEFCF8C" w14:textId="77777777" w:rsidR="00694AF0" w:rsidRPr="00033D0D" w:rsidRDefault="00694AF0" w:rsidP="0046503D">
      <w:pPr>
        <w:rPr>
          <w:lang w:eastAsia="pl-PL"/>
        </w:rPr>
      </w:pPr>
    </w:p>
    <w:p w14:paraId="50FA1F4D" w14:textId="77777777"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2C6D15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7777777"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443F6BDB" w14:textId="6CCCA039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01</w:t>
            </w:r>
          </w:p>
          <w:p w14:paraId="50199915" w14:textId="77777777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750A83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19" w:history="1">
              <w:r w:rsidRPr="00750A83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197B833C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2C6D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EC245C2" w14:textId="77777777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1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5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1F6CD0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1F6CD0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1F6CD0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Default="001F6CD0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D2518C" w:rsidRDefault="00D650EB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77777777" w:rsidR="004862B6" w:rsidRPr="00D2518C" w:rsidRDefault="001F6CD0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14:paraId="753D614D" w14:textId="77777777" w:rsidR="004862B6" w:rsidRPr="00D2518C" w:rsidRDefault="001F6CD0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1F6CD0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4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3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1F6CD0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1F6CD0" w:rsidP="00AB6D25">
                      <w:pPr>
                        <w:rPr>
                          <w:color w:val="001D77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1F6CD0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Default="001F6CD0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D2518C" w:rsidRDefault="00D650EB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77777777" w:rsidR="004862B6" w:rsidRPr="00D2518C" w:rsidRDefault="001F6CD0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14:paraId="753D614D" w14:textId="77777777" w:rsidR="004862B6" w:rsidRPr="00D2518C" w:rsidRDefault="001F6CD0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1F6CD0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2ACB57C1" w14:textId="77777777" w:rsidR="0021268C" w:rsidRPr="0021268C" w:rsidRDefault="0021268C" w:rsidP="0046503D">
      <w:pPr>
        <w:rPr>
          <w:sz w:val="18"/>
          <w:lang w:val="en-US"/>
        </w:rPr>
      </w:pP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994A4" w14:textId="77777777" w:rsidR="001F6CD0" w:rsidRDefault="001F6CD0" w:rsidP="000662E2">
      <w:pPr>
        <w:spacing w:after="0" w:line="240" w:lineRule="auto"/>
      </w:pPr>
      <w:r>
        <w:separator/>
      </w:r>
    </w:p>
  </w:endnote>
  <w:endnote w:type="continuationSeparator" w:id="0">
    <w:p w14:paraId="3E4355F0" w14:textId="77777777" w:rsidR="001F6CD0" w:rsidRDefault="001F6CD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D1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35FC2" w14:textId="77777777" w:rsidR="001F6CD0" w:rsidRDefault="001F6CD0" w:rsidP="000662E2">
      <w:pPr>
        <w:spacing w:after="0" w:line="240" w:lineRule="auto"/>
      </w:pPr>
      <w:r>
        <w:separator/>
      </w:r>
    </w:p>
  </w:footnote>
  <w:footnote w:type="continuationSeparator" w:id="0">
    <w:p w14:paraId="3C938541" w14:textId="77777777" w:rsidR="001F6CD0" w:rsidRDefault="001F6CD0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2C6D15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>Dane meldunkowe – mogą ulec zmianie po opracowaniu sprawozdań kwartalnych</w:t>
      </w:r>
      <w:r w:rsidR="003476A5" w:rsidRPr="002C6D15">
        <w:rPr>
          <w:rFonts w:eastAsia="Calibri" w:cs="Times New Roman"/>
          <w:sz w:val="16"/>
          <w:szCs w:val="16"/>
        </w:rPr>
        <w:t>.</w:t>
      </w:r>
    </w:p>
  </w:footnote>
  <w:footnote w:id="2">
    <w:p w14:paraId="5BAD0CF1" w14:textId="77777777" w:rsidR="00F4008D" w:rsidRPr="002C6D15" w:rsidRDefault="00086360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Ilekroć </w:t>
      </w:r>
      <w:r w:rsidR="00047CF8" w:rsidRPr="002C6D15">
        <w:rPr>
          <w:sz w:val="16"/>
          <w:szCs w:val="16"/>
        </w:rPr>
        <w:t xml:space="preserve">w notatce </w:t>
      </w:r>
      <w:r w:rsidRPr="002C6D15">
        <w:rPr>
          <w:sz w:val="16"/>
          <w:szCs w:val="16"/>
        </w:rPr>
        <w:t xml:space="preserve">jest </w:t>
      </w:r>
      <w:r w:rsidR="00047CF8" w:rsidRPr="002C6D15">
        <w:rPr>
          <w:sz w:val="16"/>
          <w:szCs w:val="16"/>
        </w:rPr>
        <w:t xml:space="preserve">mowa o deweloperach, oznacza to </w:t>
      </w:r>
      <w:r w:rsidRPr="002C6D15">
        <w:rPr>
          <w:sz w:val="16"/>
          <w:szCs w:val="16"/>
        </w:rPr>
        <w:t>budownictwo przeznaczo</w:t>
      </w:r>
      <w:r w:rsidR="00047CF8" w:rsidRPr="002C6D15">
        <w:rPr>
          <w:sz w:val="16"/>
          <w:szCs w:val="16"/>
        </w:rPr>
        <w:t xml:space="preserve">ne na sprzedaż lub wynajem, </w:t>
      </w:r>
      <w:r w:rsidR="0097447F" w:rsidRPr="002C6D15">
        <w:rPr>
          <w:sz w:val="16"/>
          <w:szCs w:val="16"/>
        </w:rPr>
        <w:t>realizowane przez różnych inwestorów z zamiarem osiągnięcia zysku</w:t>
      </w:r>
      <w:r w:rsidR="00047CF8" w:rsidRPr="002C6D15">
        <w:rPr>
          <w:sz w:val="16"/>
          <w:szCs w:val="16"/>
        </w:rPr>
        <w:t xml:space="preserve">, natomiast informacje o </w:t>
      </w:r>
      <w:r w:rsidR="009E374D" w:rsidRPr="002C6D15">
        <w:rPr>
          <w:sz w:val="16"/>
          <w:szCs w:val="16"/>
        </w:rPr>
        <w:t>inwestorach i</w:t>
      </w:r>
      <w:r w:rsidR="00047CF8" w:rsidRPr="002C6D15">
        <w:rPr>
          <w:sz w:val="16"/>
          <w:szCs w:val="16"/>
        </w:rPr>
        <w:t xml:space="preserve">ndywidualnych dotyczą </w:t>
      </w:r>
      <w:r w:rsidR="003457E4" w:rsidRPr="002C6D15">
        <w:rPr>
          <w:sz w:val="16"/>
          <w:szCs w:val="16"/>
        </w:rPr>
        <w:t>budownictwa</w:t>
      </w:r>
      <w:r w:rsidR="009E374D" w:rsidRPr="002C6D15">
        <w:rPr>
          <w:sz w:val="16"/>
          <w:szCs w:val="16"/>
        </w:rPr>
        <w:t xml:space="preserve"> realizowane</w:t>
      </w:r>
      <w:r w:rsidR="00047CF8" w:rsidRPr="002C6D15">
        <w:rPr>
          <w:sz w:val="16"/>
          <w:szCs w:val="16"/>
        </w:rPr>
        <w:t>go</w:t>
      </w:r>
      <w:r w:rsidR="009E374D" w:rsidRPr="002C6D15">
        <w:rPr>
          <w:sz w:val="16"/>
          <w:szCs w:val="16"/>
        </w:rPr>
        <w:t xml:space="preserve"> na użytek </w:t>
      </w:r>
      <w:r w:rsidR="008D5D1D" w:rsidRPr="002C6D15">
        <w:rPr>
          <w:sz w:val="16"/>
          <w:szCs w:val="16"/>
        </w:rPr>
        <w:t xml:space="preserve">własny </w:t>
      </w:r>
      <w:r w:rsidR="009E374D" w:rsidRPr="002C6D15">
        <w:rPr>
          <w:sz w:val="16"/>
          <w:szCs w:val="16"/>
        </w:rPr>
        <w:t>inwestora</w:t>
      </w:r>
      <w:r w:rsidR="003476A5" w:rsidRPr="002C6D15">
        <w:rPr>
          <w:sz w:val="16"/>
          <w:szCs w:val="16"/>
        </w:rPr>
        <w:t>.</w:t>
      </w:r>
    </w:p>
  </w:footnote>
  <w:footnote w:id="3">
    <w:p w14:paraId="18D65F28" w14:textId="77777777" w:rsidR="00E65046" w:rsidRDefault="00E65046">
      <w:pPr>
        <w:pStyle w:val="Tekstprzypisudolnego"/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Realizowane przez różnych inwestorów z zamiarem krótkoterminowego lub długoterminowego wynajmu mieszkań, w tym na podstawie umów najmu instytucjonalnego z dojściem do własności</w:t>
      </w:r>
      <w:r w:rsidR="003476A5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D2860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5222AFE2" w14:textId="77777777"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77777777"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30C071C" w:rsidR="00112A4D" w:rsidRPr="00C97596" w:rsidRDefault="000167C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21.08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430C071C" w:rsidR="00112A4D" w:rsidRPr="00C97596" w:rsidRDefault="000167C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21.08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417EDEE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45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6AD0"/>
    <w:rsid w:val="00057CA1"/>
    <w:rsid w:val="000612F7"/>
    <w:rsid w:val="00061DAF"/>
    <w:rsid w:val="000657FC"/>
    <w:rsid w:val="00066081"/>
    <w:rsid w:val="000662E2"/>
    <w:rsid w:val="00066883"/>
    <w:rsid w:val="00066B05"/>
    <w:rsid w:val="0007222B"/>
    <w:rsid w:val="00073259"/>
    <w:rsid w:val="00073311"/>
    <w:rsid w:val="00074DD8"/>
    <w:rsid w:val="000761AC"/>
    <w:rsid w:val="00076D95"/>
    <w:rsid w:val="00077B8C"/>
    <w:rsid w:val="000806F7"/>
    <w:rsid w:val="000809C8"/>
    <w:rsid w:val="00084531"/>
    <w:rsid w:val="00086360"/>
    <w:rsid w:val="00086B7D"/>
    <w:rsid w:val="000870D1"/>
    <w:rsid w:val="00090DAE"/>
    <w:rsid w:val="00091304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09C3"/>
    <w:rsid w:val="000C135D"/>
    <w:rsid w:val="000C4E6B"/>
    <w:rsid w:val="000D07D3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1571"/>
    <w:rsid w:val="001030FA"/>
    <w:rsid w:val="0010569E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20701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4E2D"/>
    <w:rsid w:val="001409E1"/>
    <w:rsid w:val="001423B6"/>
    <w:rsid w:val="001425F1"/>
    <w:rsid w:val="001448A7"/>
    <w:rsid w:val="00146621"/>
    <w:rsid w:val="001467DB"/>
    <w:rsid w:val="00152273"/>
    <w:rsid w:val="00162325"/>
    <w:rsid w:val="00163C91"/>
    <w:rsid w:val="00164CF6"/>
    <w:rsid w:val="00165D6F"/>
    <w:rsid w:val="00175380"/>
    <w:rsid w:val="001753B5"/>
    <w:rsid w:val="00175AE8"/>
    <w:rsid w:val="0017779B"/>
    <w:rsid w:val="00177A36"/>
    <w:rsid w:val="00177DD6"/>
    <w:rsid w:val="001823A4"/>
    <w:rsid w:val="001850EA"/>
    <w:rsid w:val="001852BE"/>
    <w:rsid w:val="00186B6B"/>
    <w:rsid w:val="00187A74"/>
    <w:rsid w:val="0019166D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6EC1"/>
    <w:rsid w:val="001B1CE5"/>
    <w:rsid w:val="001B3932"/>
    <w:rsid w:val="001B48A8"/>
    <w:rsid w:val="001B4968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1F6CD0"/>
    <w:rsid w:val="00202E71"/>
    <w:rsid w:val="0021268C"/>
    <w:rsid w:val="00213DF1"/>
    <w:rsid w:val="00216F21"/>
    <w:rsid w:val="002173E8"/>
    <w:rsid w:val="00217D5E"/>
    <w:rsid w:val="002217A8"/>
    <w:rsid w:val="0022605C"/>
    <w:rsid w:val="00226CDB"/>
    <w:rsid w:val="00226D83"/>
    <w:rsid w:val="00231001"/>
    <w:rsid w:val="0023461B"/>
    <w:rsid w:val="00237327"/>
    <w:rsid w:val="002452B8"/>
    <w:rsid w:val="00247C71"/>
    <w:rsid w:val="00252C19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388"/>
    <w:rsid w:val="002926DF"/>
    <w:rsid w:val="00296697"/>
    <w:rsid w:val="00296B74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C4336"/>
    <w:rsid w:val="002C6D15"/>
    <w:rsid w:val="002D0AC4"/>
    <w:rsid w:val="002D1DA5"/>
    <w:rsid w:val="002D2ECD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77C8"/>
    <w:rsid w:val="0030115B"/>
    <w:rsid w:val="00304F22"/>
    <w:rsid w:val="00305F35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1757"/>
    <w:rsid w:val="00371C7E"/>
    <w:rsid w:val="00373882"/>
    <w:rsid w:val="00373C02"/>
    <w:rsid w:val="00374B96"/>
    <w:rsid w:val="00375215"/>
    <w:rsid w:val="0037526E"/>
    <w:rsid w:val="003802E8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881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C8D"/>
    <w:rsid w:val="003D0B5F"/>
    <w:rsid w:val="003D0F50"/>
    <w:rsid w:val="003D3C6E"/>
    <w:rsid w:val="003D4F95"/>
    <w:rsid w:val="003D5F42"/>
    <w:rsid w:val="003D60A9"/>
    <w:rsid w:val="003E2C2A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5E43"/>
    <w:rsid w:val="004466B1"/>
    <w:rsid w:val="00450E62"/>
    <w:rsid w:val="00454004"/>
    <w:rsid w:val="00460DA9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0542"/>
    <w:rsid w:val="004E1A89"/>
    <w:rsid w:val="004E221F"/>
    <w:rsid w:val="004F0C3C"/>
    <w:rsid w:val="004F2A2C"/>
    <w:rsid w:val="004F4FCA"/>
    <w:rsid w:val="004F5A9B"/>
    <w:rsid w:val="004F63FC"/>
    <w:rsid w:val="004F64F0"/>
    <w:rsid w:val="004F6903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2EC2"/>
    <w:rsid w:val="00566275"/>
    <w:rsid w:val="005662CD"/>
    <w:rsid w:val="00576096"/>
    <w:rsid w:val="005762A7"/>
    <w:rsid w:val="005776E0"/>
    <w:rsid w:val="00577BDE"/>
    <w:rsid w:val="00581324"/>
    <w:rsid w:val="00582ED4"/>
    <w:rsid w:val="00585630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6E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6D6F"/>
    <w:rsid w:val="00664589"/>
    <w:rsid w:val="006673CA"/>
    <w:rsid w:val="00667D6F"/>
    <w:rsid w:val="00671511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4AF0"/>
    <w:rsid w:val="006969C0"/>
    <w:rsid w:val="006978FA"/>
    <w:rsid w:val="006A0A6A"/>
    <w:rsid w:val="006A1938"/>
    <w:rsid w:val="006A37E8"/>
    <w:rsid w:val="006A6B61"/>
    <w:rsid w:val="006A6DB6"/>
    <w:rsid w:val="006B0E9E"/>
    <w:rsid w:val="006B14C5"/>
    <w:rsid w:val="006B25A7"/>
    <w:rsid w:val="006B3ACC"/>
    <w:rsid w:val="006B5AE4"/>
    <w:rsid w:val="006B6187"/>
    <w:rsid w:val="006C4AF3"/>
    <w:rsid w:val="006C4BEC"/>
    <w:rsid w:val="006C5216"/>
    <w:rsid w:val="006C6D12"/>
    <w:rsid w:val="006D07A2"/>
    <w:rsid w:val="006D1926"/>
    <w:rsid w:val="006D4054"/>
    <w:rsid w:val="006D4BD3"/>
    <w:rsid w:val="006D5ACE"/>
    <w:rsid w:val="006E02EC"/>
    <w:rsid w:val="006E0C18"/>
    <w:rsid w:val="006E2C25"/>
    <w:rsid w:val="006E43C9"/>
    <w:rsid w:val="006E4CDB"/>
    <w:rsid w:val="006E4D66"/>
    <w:rsid w:val="006E5888"/>
    <w:rsid w:val="006E6053"/>
    <w:rsid w:val="006E76CB"/>
    <w:rsid w:val="006F059C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FB4"/>
    <w:rsid w:val="007317DF"/>
    <w:rsid w:val="0073330A"/>
    <w:rsid w:val="00734924"/>
    <w:rsid w:val="00737DCC"/>
    <w:rsid w:val="00741554"/>
    <w:rsid w:val="00746187"/>
    <w:rsid w:val="00750A83"/>
    <w:rsid w:val="00753265"/>
    <w:rsid w:val="00753DA3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3B09"/>
    <w:rsid w:val="00773CF3"/>
    <w:rsid w:val="00774F4E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D6D55"/>
    <w:rsid w:val="007E0C88"/>
    <w:rsid w:val="007E24ED"/>
    <w:rsid w:val="007E319D"/>
    <w:rsid w:val="007E3314"/>
    <w:rsid w:val="007E4B03"/>
    <w:rsid w:val="007E58A2"/>
    <w:rsid w:val="007E713F"/>
    <w:rsid w:val="007E76BE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C28"/>
    <w:rsid w:val="00860F7B"/>
    <w:rsid w:val="00863E09"/>
    <w:rsid w:val="008646DA"/>
    <w:rsid w:val="00865B30"/>
    <w:rsid w:val="00865E47"/>
    <w:rsid w:val="00866416"/>
    <w:rsid w:val="008739BA"/>
    <w:rsid w:val="00874676"/>
    <w:rsid w:val="0088258A"/>
    <w:rsid w:val="00882FBF"/>
    <w:rsid w:val="00885575"/>
    <w:rsid w:val="00886332"/>
    <w:rsid w:val="00886D2F"/>
    <w:rsid w:val="00887F70"/>
    <w:rsid w:val="008948E4"/>
    <w:rsid w:val="008A0F0C"/>
    <w:rsid w:val="008A1C80"/>
    <w:rsid w:val="008A26D9"/>
    <w:rsid w:val="008A3DAD"/>
    <w:rsid w:val="008A58C2"/>
    <w:rsid w:val="008B0F20"/>
    <w:rsid w:val="008B1B16"/>
    <w:rsid w:val="008B3CA0"/>
    <w:rsid w:val="008B6A9A"/>
    <w:rsid w:val="008C0007"/>
    <w:rsid w:val="008C0C29"/>
    <w:rsid w:val="008C1F33"/>
    <w:rsid w:val="008C37DB"/>
    <w:rsid w:val="008C3AB7"/>
    <w:rsid w:val="008C4E2B"/>
    <w:rsid w:val="008C5D81"/>
    <w:rsid w:val="008D2074"/>
    <w:rsid w:val="008D21F2"/>
    <w:rsid w:val="008D3F85"/>
    <w:rsid w:val="008D561B"/>
    <w:rsid w:val="008D5D1D"/>
    <w:rsid w:val="008D6413"/>
    <w:rsid w:val="008E0933"/>
    <w:rsid w:val="008E6F47"/>
    <w:rsid w:val="008F04DA"/>
    <w:rsid w:val="008F1C42"/>
    <w:rsid w:val="008F2D53"/>
    <w:rsid w:val="008F3638"/>
    <w:rsid w:val="008F4B57"/>
    <w:rsid w:val="008F5556"/>
    <w:rsid w:val="008F6F31"/>
    <w:rsid w:val="008F74DF"/>
    <w:rsid w:val="00903106"/>
    <w:rsid w:val="00904133"/>
    <w:rsid w:val="00905375"/>
    <w:rsid w:val="00905A67"/>
    <w:rsid w:val="00906857"/>
    <w:rsid w:val="00907546"/>
    <w:rsid w:val="009076B2"/>
    <w:rsid w:val="009127BA"/>
    <w:rsid w:val="0091310A"/>
    <w:rsid w:val="00913766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7BDA"/>
    <w:rsid w:val="0094417D"/>
    <w:rsid w:val="00944262"/>
    <w:rsid w:val="00946A4C"/>
    <w:rsid w:val="009510F1"/>
    <w:rsid w:val="00951EDB"/>
    <w:rsid w:val="009530DB"/>
    <w:rsid w:val="00953676"/>
    <w:rsid w:val="00956313"/>
    <w:rsid w:val="0095687B"/>
    <w:rsid w:val="009609A1"/>
    <w:rsid w:val="00960A1C"/>
    <w:rsid w:val="00960A9C"/>
    <w:rsid w:val="00960BE4"/>
    <w:rsid w:val="0096150B"/>
    <w:rsid w:val="0096178E"/>
    <w:rsid w:val="00964DC1"/>
    <w:rsid w:val="00965255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6309"/>
    <w:rsid w:val="00997A21"/>
    <w:rsid w:val="009A0B91"/>
    <w:rsid w:val="009A2FF0"/>
    <w:rsid w:val="009A4459"/>
    <w:rsid w:val="009A6B72"/>
    <w:rsid w:val="009A6D10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494F"/>
    <w:rsid w:val="009C7028"/>
    <w:rsid w:val="009C7251"/>
    <w:rsid w:val="009C7FE3"/>
    <w:rsid w:val="009D258B"/>
    <w:rsid w:val="009D264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1B2E"/>
    <w:rsid w:val="00A030E6"/>
    <w:rsid w:val="00A0335F"/>
    <w:rsid w:val="00A0647C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436D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62E4"/>
    <w:rsid w:val="00AB6D25"/>
    <w:rsid w:val="00AB788D"/>
    <w:rsid w:val="00AB7943"/>
    <w:rsid w:val="00AB7945"/>
    <w:rsid w:val="00AC2B69"/>
    <w:rsid w:val="00AC37B3"/>
    <w:rsid w:val="00AC5CD6"/>
    <w:rsid w:val="00AD0438"/>
    <w:rsid w:val="00AD0A03"/>
    <w:rsid w:val="00AD0ADA"/>
    <w:rsid w:val="00AD2D79"/>
    <w:rsid w:val="00AD2EA0"/>
    <w:rsid w:val="00AD3D25"/>
    <w:rsid w:val="00AD3F41"/>
    <w:rsid w:val="00AD4A4E"/>
    <w:rsid w:val="00AD51B0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6719"/>
    <w:rsid w:val="00AF7709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6B4D"/>
    <w:rsid w:val="00B36D31"/>
    <w:rsid w:val="00B407D3"/>
    <w:rsid w:val="00B42455"/>
    <w:rsid w:val="00B4328D"/>
    <w:rsid w:val="00B43D8E"/>
    <w:rsid w:val="00B45CB8"/>
    <w:rsid w:val="00B46521"/>
    <w:rsid w:val="00B465A7"/>
    <w:rsid w:val="00B4788F"/>
    <w:rsid w:val="00B5588D"/>
    <w:rsid w:val="00B55974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142"/>
    <w:rsid w:val="00B76621"/>
    <w:rsid w:val="00B86655"/>
    <w:rsid w:val="00B914E9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F01CB"/>
    <w:rsid w:val="00BF5111"/>
    <w:rsid w:val="00C023D9"/>
    <w:rsid w:val="00C030DE"/>
    <w:rsid w:val="00C05167"/>
    <w:rsid w:val="00C11343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34"/>
    <w:rsid w:val="00C31687"/>
    <w:rsid w:val="00C33D4C"/>
    <w:rsid w:val="00C35DEE"/>
    <w:rsid w:val="00C3702F"/>
    <w:rsid w:val="00C37A03"/>
    <w:rsid w:val="00C41642"/>
    <w:rsid w:val="00C41764"/>
    <w:rsid w:val="00C45997"/>
    <w:rsid w:val="00C46C43"/>
    <w:rsid w:val="00C47820"/>
    <w:rsid w:val="00C52C74"/>
    <w:rsid w:val="00C5434F"/>
    <w:rsid w:val="00C64A37"/>
    <w:rsid w:val="00C6552F"/>
    <w:rsid w:val="00C7158E"/>
    <w:rsid w:val="00C7250B"/>
    <w:rsid w:val="00C7346B"/>
    <w:rsid w:val="00C77C0E"/>
    <w:rsid w:val="00C8094E"/>
    <w:rsid w:val="00C8338F"/>
    <w:rsid w:val="00C84055"/>
    <w:rsid w:val="00C84740"/>
    <w:rsid w:val="00C84D08"/>
    <w:rsid w:val="00C861F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10"/>
    <w:rsid w:val="00CF0172"/>
    <w:rsid w:val="00CF11EB"/>
    <w:rsid w:val="00CF1A2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30D5C"/>
    <w:rsid w:val="00D30EF4"/>
    <w:rsid w:val="00D342B1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66FB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CDE"/>
    <w:rsid w:val="00DC4295"/>
    <w:rsid w:val="00DC6708"/>
    <w:rsid w:val="00DD1B39"/>
    <w:rsid w:val="00DD1D64"/>
    <w:rsid w:val="00DD20E2"/>
    <w:rsid w:val="00DD21A2"/>
    <w:rsid w:val="00DD4E61"/>
    <w:rsid w:val="00DD5A66"/>
    <w:rsid w:val="00DD6840"/>
    <w:rsid w:val="00DE3D51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291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23337"/>
    <w:rsid w:val="00E2366B"/>
    <w:rsid w:val="00E24F07"/>
    <w:rsid w:val="00E259EA"/>
    <w:rsid w:val="00E270BA"/>
    <w:rsid w:val="00E30043"/>
    <w:rsid w:val="00E32061"/>
    <w:rsid w:val="00E322C8"/>
    <w:rsid w:val="00E34610"/>
    <w:rsid w:val="00E36CE3"/>
    <w:rsid w:val="00E3705B"/>
    <w:rsid w:val="00E42FF9"/>
    <w:rsid w:val="00E43C74"/>
    <w:rsid w:val="00E44F82"/>
    <w:rsid w:val="00E457ED"/>
    <w:rsid w:val="00E467CC"/>
    <w:rsid w:val="00E4714C"/>
    <w:rsid w:val="00E50B69"/>
    <w:rsid w:val="00E51AEB"/>
    <w:rsid w:val="00E522A7"/>
    <w:rsid w:val="00E523AD"/>
    <w:rsid w:val="00E52859"/>
    <w:rsid w:val="00E54452"/>
    <w:rsid w:val="00E55FC5"/>
    <w:rsid w:val="00E56DD9"/>
    <w:rsid w:val="00E641D0"/>
    <w:rsid w:val="00E65046"/>
    <w:rsid w:val="00E65538"/>
    <w:rsid w:val="00E664C5"/>
    <w:rsid w:val="00E66665"/>
    <w:rsid w:val="00E671A2"/>
    <w:rsid w:val="00E67A9D"/>
    <w:rsid w:val="00E71287"/>
    <w:rsid w:val="00E7580A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C4F64"/>
    <w:rsid w:val="00EC55DB"/>
    <w:rsid w:val="00ED04D0"/>
    <w:rsid w:val="00ED18A2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2740"/>
    <w:rsid w:val="00F233E3"/>
    <w:rsid w:val="00F23968"/>
    <w:rsid w:val="00F24D58"/>
    <w:rsid w:val="00F25C7B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2F31"/>
    <w:rsid w:val="00F4477E"/>
    <w:rsid w:val="00F46B76"/>
    <w:rsid w:val="00F51A96"/>
    <w:rsid w:val="00F539BD"/>
    <w:rsid w:val="00F54181"/>
    <w:rsid w:val="00F55149"/>
    <w:rsid w:val="00F608D1"/>
    <w:rsid w:val="00F6158E"/>
    <w:rsid w:val="00F61F53"/>
    <w:rsid w:val="00F64468"/>
    <w:rsid w:val="00F64AC1"/>
    <w:rsid w:val="00F66D82"/>
    <w:rsid w:val="00F67C2A"/>
    <w:rsid w:val="00F67D8F"/>
    <w:rsid w:val="00F708DF"/>
    <w:rsid w:val="00F802BE"/>
    <w:rsid w:val="00F816A1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BE7"/>
    <w:rsid w:val="00FB42D4"/>
    <w:rsid w:val="00FB58A3"/>
    <w:rsid w:val="00FB5906"/>
    <w:rsid w:val="00FB762F"/>
    <w:rsid w:val="00FC0BA6"/>
    <w:rsid w:val="00FC2AED"/>
    <w:rsid w:val="00FC625D"/>
    <w:rsid w:val="00FC67EF"/>
    <w:rsid w:val="00FC6AC9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s://stat.gov.pl/obszary-tematyczne/przemysl-budownictwo-srodki-trwale/budownictwo/publikacja,13.html" TargetMode="External"/><Relationship Id="rId39" Type="http://schemas.openxmlformats.org/officeDocument/2006/relationships/hyperlink" Target="http://stat.gov.pl/metainformacje/slownik-pojec/pojecia-stosowane-w-statystyce-publicznej/945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s://stat.gov.pl/obszary-tematyczne/przemysl-budownictwo-srodki-trwale/budownictwo/publikacja,13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201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201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Budownictwo_dashboards/Raporty_predefiniowane/RAP_DBD_BUD_9.aspx" TargetMode="External"/><Relationship Id="rId36" Type="http://schemas.openxmlformats.org/officeDocument/2006/relationships/hyperlink" Target="http://swaid.stat.gov.pl/Budownictwo_dashboards/Raporty_predefiniowane/RAP_DBD_BUD_9.aspx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Z.Kurlej@stat.gov.pl" TargetMode="External"/><Relationship Id="rId31" Type="http://schemas.openxmlformats.org/officeDocument/2006/relationships/hyperlink" Target="http://stat.gov.pl/metainformacje/slownik-pojec/pojecia-stosowane-w-statystyce-publicznej/94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://stat.gov.pl/metainformacje/slownik-pojec/pojecia-stosowane-w-statystyce-publicznej/3763,pojecie.html" TargetMode="External"/><Relationship Id="rId35" Type="http://schemas.openxmlformats.org/officeDocument/2006/relationships/hyperlink" Target="http://swaid.stat.gov.pl/Budownictwo_dashboards/Raporty_predefiniowane/RAP_DBD_BUD_7.aspx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obszary-tematyczne/przemysl-budownictwo-srodki-trwale/budownictwo/publikacja,3.html" TargetMode="External"/><Relationship Id="rId33" Type="http://schemas.openxmlformats.org/officeDocument/2006/relationships/hyperlink" Target="http://stat.gov.pl/obszary-tematyczne/przemysl-budownictwo-srodki-trwale/budownictwo/publikacja,3.html" TargetMode="External"/><Relationship Id="rId38" Type="http://schemas.openxmlformats.org/officeDocument/2006/relationships/hyperlink" Target="http://stat.gov.pl/metainformacje/slownik-pojec/pojecia-stosowane-w-statystyce-publicznej/376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2166793734953478"/>
          <c:w val="0.8683723551868533"/>
          <c:h val="0.56345052087452507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Arkusz1!$B$2:$AR$3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Arkusz1!$B$4:$AR$4</c:f>
              <c:numCache>
                <c:formatCode>General</c:formatCode>
                <c:ptCount val="43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  <c:pt idx="42">
                  <c:v>15551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Arkusz1!$B$2:$AR$3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Arkusz1!$B$16:$AR$16</c:f>
              <c:numCache>
                <c:formatCode>General</c:formatCode>
                <c:ptCount val="43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dPt>
            <c:idx val="40"/>
            <c:marker>
              <c:symbol val="circle"/>
              <c:size val="3"/>
              <c:spPr>
                <a:solidFill>
                  <a:schemeClr val="bg1"/>
                </a:solidFill>
                <a:ln w="9525">
                  <a:solidFill>
                    <a:srgbClr val="99A5C9"/>
                  </a:solidFill>
                </a:ln>
                <a:effectLst/>
              </c:spPr>
            </c:marker>
            <c:bubble3D val="0"/>
            <c:spPr>
              <a:ln w="15875" cap="rnd">
                <a:solidFill>
                  <a:srgbClr val="99A5C9"/>
                </a:solidFill>
                <a:round/>
              </a:ln>
              <a:effectLst/>
            </c:spPr>
          </c:dPt>
          <c:cat>
            <c:multiLvlStrRef>
              <c:f>Arkusz1!$B$2:$AR$3</c:f>
              <c:multiLvlStrCache>
                <c:ptCount val="4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Arkusz1!$B$10:$AR$10</c:f>
              <c:numCache>
                <c:formatCode>General</c:formatCode>
                <c:ptCount val="43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2742336"/>
        <c:axId val="1262743968"/>
      </c:lineChart>
      <c:catAx>
        <c:axId val="126274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274396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26274396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2742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255295951524103E-2"/>
          <c:y val="0.78928929949493376"/>
          <c:w val="0.77509499672526061"/>
          <c:h val="0.209878987985067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Word]Arkusz1'!$A$1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Word]Arkusz1'!$B$4:$AQ$4</c:f>
              <c:numCache>
                <c:formatCode>General</c:formatCode>
                <c:ptCount val="42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  <c:pt idx="41">
                  <c:v>15363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'[Wykres w programie Microsoft Word]Arkusz1'!$A$16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Word]Arkusz1'!$B$16:$AQ$16</c:f>
              <c:numCache>
                <c:formatCode>General</c:formatCode>
                <c:ptCount val="42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26965</c:v>
                </c:pt>
                <c:pt idx="41">
                  <c:v>21701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Word]Arkusz1'!$A$7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multiLvlStrRef>
              <c:f>'[Wykres w programie Microsoft Word]Arkusz1'!$B$2:$AQ$3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'[Wykres w programie Microsoft Word]Arkusz1'!$B$10:$AQ$10</c:f>
              <c:numCache>
                <c:formatCode>General</c:formatCode>
                <c:ptCount val="42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2744512"/>
        <c:axId val="1262730912"/>
      </c:lineChart>
      <c:catAx>
        <c:axId val="126274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273091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126273091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6274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920614742434304"/>
          <c:y val="7.842406627080678E-2"/>
          <c:w val="0.77899989165541739"/>
          <c:h val="0.69601432607017799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007AC9"/>
            </a:solidFill>
            <a:ln>
              <a:solidFill>
                <a:srgbClr val="6677AD"/>
              </a:solidFill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2297</c:v>
                </c:pt>
                <c:pt idx="1">
                  <c:v>2441</c:v>
                </c:pt>
                <c:pt idx="2">
                  <c:v>3624</c:v>
                </c:pt>
                <c:pt idx="3">
                  <c:v>5384</c:v>
                </c:pt>
                <c:pt idx="4">
                  <c:v>3307</c:v>
                </c:pt>
                <c:pt idx="5">
                  <c:v>5449</c:v>
                </c:pt>
                <c:pt idx="6">
                  <c:v>6293</c:v>
                </c:pt>
                <c:pt idx="7">
                  <c:v>6222</c:v>
                </c:pt>
                <c:pt idx="8">
                  <c:v>5073</c:v>
                </c:pt>
                <c:pt idx="9">
                  <c:v>8056</c:v>
                </c:pt>
                <c:pt idx="10">
                  <c:v>10586</c:v>
                </c:pt>
                <c:pt idx="11">
                  <c:v>12310</c:v>
                </c:pt>
                <c:pt idx="12">
                  <c:v>15526</c:v>
                </c:pt>
                <c:pt idx="13">
                  <c:v>14486</c:v>
                </c:pt>
                <c:pt idx="14">
                  <c:v>12088</c:v>
                </c:pt>
                <c:pt idx="15">
                  <c:v>24208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2350</c:v>
                </c:pt>
                <c:pt idx="1">
                  <c:v>2497</c:v>
                </c:pt>
                <c:pt idx="2">
                  <c:v>3888</c:v>
                </c:pt>
                <c:pt idx="3">
                  <c:v>5183</c:v>
                </c:pt>
                <c:pt idx="4">
                  <c:v>4385</c:v>
                </c:pt>
                <c:pt idx="5">
                  <c:v>5729</c:v>
                </c:pt>
                <c:pt idx="6">
                  <c:v>5885</c:v>
                </c:pt>
                <c:pt idx="7">
                  <c:v>7532</c:v>
                </c:pt>
                <c:pt idx="8">
                  <c:v>6465</c:v>
                </c:pt>
                <c:pt idx="9">
                  <c:v>9175</c:v>
                </c:pt>
                <c:pt idx="10">
                  <c:v>12042</c:v>
                </c:pt>
                <c:pt idx="11">
                  <c:v>14831</c:v>
                </c:pt>
                <c:pt idx="12">
                  <c:v>17659</c:v>
                </c:pt>
                <c:pt idx="13">
                  <c:v>16412</c:v>
                </c:pt>
                <c:pt idx="14">
                  <c:v>13001</c:v>
                </c:pt>
                <c:pt idx="15">
                  <c:v>26891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Podlaskie</c:v>
                </c:pt>
                <c:pt idx="4">
                  <c:v>Warmińsko-mazurskie</c:v>
                </c:pt>
                <c:pt idx="5">
                  <c:v>Lubelskie</c:v>
                </c:pt>
                <c:pt idx="6">
                  <c:v>Kujawsko-pomorskie</c:v>
                </c:pt>
                <c:pt idx="7">
                  <c:v>Podkarpackie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Dolnośląskie</c:v>
                </c:pt>
                <c:pt idx="13">
                  <c:v>Wielkopolskie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1315</c:v>
                </c:pt>
                <c:pt idx="1">
                  <c:v>2063</c:v>
                </c:pt>
                <c:pt idx="2">
                  <c:v>2190</c:v>
                </c:pt>
                <c:pt idx="3">
                  <c:v>3138</c:v>
                </c:pt>
                <c:pt idx="4">
                  <c:v>3308</c:v>
                </c:pt>
                <c:pt idx="5">
                  <c:v>4186</c:v>
                </c:pt>
                <c:pt idx="6">
                  <c:v>4825</c:v>
                </c:pt>
                <c:pt idx="7">
                  <c:v>4841</c:v>
                </c:pt>
                <c:pt idx="8">
                  <c:v>4899</c:v>
                </c:pt>
                <c:pt idx="9">
                  <c:v>5553</c:v>
                </c:pt>
                <c:pt idx="10">
                  <c:v>7264</c:v>
                </c:pt>
                <c:pt idx="11">
                  <c:v>9110</c:v>
                </c:pt>
                <c:pt idx="12">
                  <c:v>10789</c:v>
                </c:pt>
                <c:pt idx="13">
                  <c:v>11676</c:v>
                </c:pt>
                <c:pt idx="14">
                  <c:v>12256</c:v>
                </c:pt>
                <c:pt idx="15">
                  <c:v>22834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62731456"/>
        <c:axId val="974642048"/>
      </c:barChart>
      <c:catAx>
        <c:axId val="1262731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974642048"/>
        <c:crosses val="autoZero"/>
        <c:auto val="1"/>
        <c:lblAlgn val="ctr"/>
        <c:lblOffset val="100"/>
        <c:noMultiLvlLbl val="0"/>
      </c:catAx>
      <c:valAx>
        <c:axId val="974642048"/>
        <c:scaling>
          <c:orientation val="minMax"/>
          <c:max val="2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262731456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74945451095722"/>
          <c:y val="0.83405871005579879"/>
          <c:w val="0.83688211129506873"/>
          <c:h val="0.131749501249525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BFA05969-583F-40BB-AE34-A31114D4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GUS</dc:creator>
  <cp:keywords>mieszkania oddane do użytkowania; mieszkania w budowie; mieszkania rozpoczęte; pozwolenie na budowę; powierzchnia użytkowa</cp:keywords>
  <dc:description>Budownictwo mieszkaniowe w okresie styczeń-czerwiec 2018 roku</dc:description>
  <cp:lastPrinted>2019-08-16T12:17:00Z</cp:lastPrinted>
  <dcterms:created xsi:type="dcterms:W3CDTF">2019-08-19T10:24:00Z</dcterms:created>
  <dcterms:modified xsi:type="dcterms:W3CDTF">2019-08-20T12:21:00Z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