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77777777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DA0F32"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Pr="00DA0F32">
        <w:rPr>
          <w:color w:val="auto"/>
          <w:szCs w:val="40"/>
        </w:rPr>
        <w:t xml:space="preserve"> </w:t>
      </w:r>
      <w:r w:rsidR="004466B1" w:rsidRPr="00DA0F32">
        <w:rPr>
          <w:color w:val="auto"/>
          <w:szCs w:val="40"/>
          <w:shd w:val="clear" w:color="auto" w:fill="FFFFFF"/>
        </w:rPr>
        <w:t xml:space="preserve">w </w:t>
      </w:r>
      <w:r w:rsidR="00E8566C">
        <w:rPr>
          <w:color w:val="auto"/>
          <w:szCs w:val="40"/>
          <w:shd w:val="clear" w:color="auto" w:fill="FFFFFF"/>
        </w:rPr>
        <w:t>okresie I-</w:t>
      </w:r>
      <w:r w:rsidR="00EA6B91">
        <w:rPr>
          <w:color w:val="auto"/>
          <w:szCs w:val="40"/>
          <w:shd w:val="clear" w:color="auto" w:fill="FFFFFF"/>
        </w:rPr>
        <w:t>V</w:t>
      </w:r>
      <w:r w:rsidR="00412E8A">
        <w:rPr>
          <w:color w:val="auto"/>
          <w:szCs w:val="40"/>
          <w:shd w:val="clear" w:color="auto" w:fill="FFFFFF"/>
        </w:rPr>
        <w:t>I</w:t>
      </w:r>
      <w:r w:rsidR="009D757F">
        <w:rPr>
          <w:color w:val="auto"/>
          <w:szCs w:val="40"/>
          <w:shd w:val="clear" w:color="auto" w:fill="FFFFFF"/>
        </w:rPr>
        <w:t xml:space="preserve"> 2019</w:t>
      </w:r>
      <w:r w:rsidR="004466B1" w:rsidRPr="00DA0F32">
        <w:rPr>
          <w:color w:val="auto"/>
          <w:szCs w:val="40"/>
          <w:shd w:val="clear" w:color="auto" w:fill="FFFFFF"/>
        </w:rPr>
        <w:t xml:space="preserve"> r.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432F6FE0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77777777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728CB21A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2BDAC8DA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164074AE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3205740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2BDAC8DA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164074AE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A99811D" wp14:editId="0DFAFE25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9C46" w14:textId="77777777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3582ED6" wp14:editId="690980D6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27D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114,4</w:t>
                            </w:r>
                          </w:p>
                          <w:p w14:paraId="7EBB0A62" w14:textId="7777777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811D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531F9C46" w14:textId="77777777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3582ED6" wp14:editId="690980D6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27D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114,4</w:t>
                      </w:r>
                    </w:p>
                    <w:p w14:paraId="7EBB0A62" w14:textId="7777777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A27D93">
        <w:t>okresie pierwszych sześciu miesięcy</w:t>
      </w:r>
      <w:r w:rsidR="009D757F">
        <w:t xml:space="preserve"> 2019</w:t>
      </w:r>
      <w:r w:rsidR="004466B1" w:rsidRPr="00DA0F32">
        <w:t xml:space="preserve"> roku oddano do użytkowania </w:t>
      </w:r>
      <w:r w:rsidR="000C0137" w:rsidRPr="00DA0F32">
        <w:t>więce</w:t>
      </w:r>
      <w:r w:rsidR="00CA3423" w:rsidRPr="00DA0F32">
        <w:t>j</w:t>
      </w:r>
      <w:r w:rsidR="004466B1" w:rsidRPr="00DA0F32">
        <w:t xml:space="preserve"> mieszkań niż </w:t>
      </w:r>
      <w:r w:rsidR="00F17D27" w:rsidRPr="00DA0F32">
        <w:t>przed rokiem</w:t>
      </w:r>
      <w:r w:rsidR="004466B1" w:rsidRPr="00DA0F32">
        <w:t xml:space="preserve">. </w:t>
      </w:r>
      <w:r w:rsidR="008B0F20">
        <w:t>Wzrosła również liczba m</w:t>
      </w:r>
      <w:r w:rsidR="00585630">
        <w:t>ieszkań, których budowę rozpoczę</w:t>
      </w:r>
      <w:r w:rsidR="008B0F20">
        <w:t xml:space="preserve">to, natomiast spadła </w:t>
      </w:r>
      <w:r w:rsidR="00B1192F" w:rsidRPr="00DA0F32">
        <w:t>liczba mieszkań, na których budowę wydano pozwolenia</w:t>
      </w:r>
      <w:r w:rsidR="00904133" w:rsidRPr="00DA0F32">
        <w:t xml:space="preserve"> </w:t>
      </w:r>
      <w:r w:rsidR="00B1192F" w:rsidRPr="00DA0F32">
        <w:t>lub dokonano zgłoszenia z projektem budowlanym</w:t>
      </w:r>
      <w:r w:rsidR="008B0F20">
        <w:t>.</w:t>
      </w:r>
      <w:r w:rsidR="00B1192F" w:rsidRPr="00DA0F32">
        <w:t xml:space="preserve"> </w:t>
      </w:r>
    </w:p>
    <w:p w14:paraId="6EB6C166" w14:textId="77777777" w:rsidR="0075636C" w:rsidRPr="009A6B72" w:rsidRDefault="0075636C" w:rsidP="0075636C">
      <w:pPr>
        <w:pStyle w:val="Nagwek1"/>
      </w:pPr>
    </w:p>
    <w:p w14:paraId="74265326" w14:textId="77777777" w:rsidR="00C6552F" w:rsidRPr="009A6B72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6FAA5C65">
                <wp:simplePos x="0" y="0"/>
                <wp:positionH relativeFrom="page">
                  <wp:posOffset>5742305</wp:posOffset>
                </wp:positionH>
                <wp:positionV relativeFrom="paragraph">
                  <wp:posOffset>183515</wp:posOffset>
                </wp:positionV>
                <wp:extent cx="1706880" cy="1400810"/>
                <wp:effectExtent l="0" t="0" r="0" b="0"/>
                <wp:wrapTight wrapText="bothSides">
                  <wp:wrapPolygon edited="0">
                    <wp:start x="723" y="0"/>
                    <wp:lineTo x="723" y="21150"/>
                    <wp:lineTo x="20732" y="21150"/>
                    <wp:lineTo x="20732" y="0"/>
                    <wp:lineTo x="723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40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5ABD" w14:textId="75D72B9C"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F1617">
                              <w:t>De</w:t>
                            </w:r>
                            <w:r w:rsidR="00231001" w:rsidRPr="002F1617">
                              <w:t>weloperzy o</w:t>
                            </w:r>
                            <w:r w:rsidR="00231001" w:rsidRPr="0023461B">
                              <w:t xml:space="preserve">ddali do użytkowania </w:t>
                            </w:r>
                            <w:r w:rsidR="00091304">
                              <w:t>62,1</w:t>
                            </w:r>
                            <w:r w:rsidRPr="0023461B">
                              <w:t>%</w:t>
                            </w:r>
                            <w:r w:rsidR="00355643">
                              <w:t xml:space="preserve"> </w:t>
                            </w:r>
                            <w:r w:rsidR="003E7C6E" w:rsidRPr="002F1617">
                              <w:t xml:space="preserve">ogólnej liczby mieszkań, tj. </w:t>
                            </w:r>
                            <w:r w:rsidR="009D258B" w:rsidRPr="0007222B">
                              <w:t>o</w:t>
                            </w:r>
                            <w:r w:rsidR="009D258B">
                              <w:t xml:space="preserve"> </w:t>
                            </w:r>
                            <w:r w:rsidR="003E7C6E">
                              <w:t>4</w:t>
                            </w:r>
                            <w:r w:rsidR="00A14EA4">
                              <w:t>,</w:t>
                            </w:r>
                            <w:r w:rsidR="00710621">
                              <w:t>1</w:t>
                            </w:r>
                            <w:r w:rsidR="00231001" w:rsidRPr="0023461B">
                              <w:t xml:space="preserve"> p. proc. więcej niż w ub.</w:t>
                            </w:r>
                            <w:r w:rsidR="00395881">
                              <w:t xml:space="preserve"> r.,</w:t>
                            </w:r>
                            <w:r w:rsidR="00231001" w:rsidRPr="001425F1">
                              <w:rPr>
                                <w:color w:val="auto"/>
                              </w:rPr>
                              <w:t xml:space="preserve"> </w:t>
                            </w:r>
                            <w:r w:rsidR="00231001" w:rsidRPr="0023461B">
                              <w:t>natomiast udział inwestorów</w:t>
                            </w:r>
                            <w:r w:rsidR="0023461B">
                              <w:t xml:space="preserve"> </w:t>
                            </w:r>
                            <w:r w:rsidR="00231001" w:rsidRPr="0023461B">
                              <w:t>indywidualnych zmniejszył się</w:t>
                            </w:r>
                            <w:r w:rsidR="0023461B">
                              <w:br/>
                            </w:r>
                            <w:r w:rsidR="00710621">
                              <w:t>o 4,2</w:t>
                            </w:r>
                            <w:r w:rsidR="00091304">
                              <w:t xml:space="preserve"> p. proc i wyniósł 35,2</w:t>
                            </w:r>
                            <w:r w:rsidR="00231001" w:rsidRPr="0023461B">
                              <w:t>%</w:t>
                            </w:r>
                            <w:r w:rsidR="0023461B">
                              <w:br/>
                            </w:r>
                            <w:r w:rsidR="00231001" w:rsidRPr="0023461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4854A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9" type="#_x0000_t202" style="position:absolute;margin-left:452.15pt;margin-top:14.45pt;width:134.4pt;height:110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" filled="f" stroked="f">
                <v:textbox>
                  <w:txbxContent>
                    <w:p w14:paraId="1DB05ABD" w14:textId="75D72B9C"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F1617">
                        <w:t>De</w:t>
                      </w:r>
                      <w:r w:rsidR="00231001" w:rsidRPr="002F1617">
                        <w:t>weloperzy o</w:t>
                      </w:r>
                      <w:r w:rsidR="00231001" w:rsidRPr="0023461B">
                        <w:t xml:space="preserve">ddali do użytkowania </w:t>
                      </w:r>
                      <w:r w:rsidR="00091304">
                        <w:t>62,1</w:t>
                      </w:r>
                      <w:r w:rsidRPr="0023461B">
                        <w:t>%</w:t>
                      </w:r>
                      <w:r w:rsidR="00355643">
                        <w:t xml:space="preserve"> </w:t>
                      </w:r>
                      <w:r w:rsidR="003E7C6E" w:rsidRPr="002F1617">
                        <w:t xml:space="preserve">ogólnej liczby mieszkań, tj. </w:t>
                      </w:r>
                      <w:r w:rsidR="009D258B" w:rsidRPr="0007222B">
                        <w:t>o</w:t>
                      </w:r>
                      <w:r w:rsidR="009D258B">
                        <w:t xml:space="preserve"> </w:t>
                      </w:r>
                      <w:r w:rsidR="003E7C6E">
                        <w:t>4</w:t>
                      </w:r>
                      <w:r w:rsidR="00A14EA4">
                        <w:t>,</w:t>
                      </w:r>
                      <w:r w:rsidR="00710621">
                        <w:t>1</w:t>
                      </w:r>
                      <w:r w:rsidR="00231001" w:rsidRPr="0023461B">
                        <w:t xml:space="preserve"> p. proc. więcej niż w ub.</w:t>
                      </w:r>
                      <w:r w:rsidR="00395881">
                        <w:t xml:space="preserve"> </w:t>
                      </w:r>
                      <w:bookmarkStart w:id="1" w:name="_GoBack"/>
                      <w:bookmarkEnd w:id="1"/>
                      <w:r w:rsidR="00395881">
                        <w:t>r.,</w:t>
                      </w:r>
                      <w:r w:rsidR="00231001" w:rsidRPr="001425F1">
                        <w:rPr>
                          <w:color w:val="auto"/>
                        </w:rPr>
                        <w:t xml:space="preserve"> </w:t>
                      </w:r>
                      <w:r w:rsidR="00231001" w:rsidRPr="0023461B">
                        <w:t>natomiast udział inwestorów</w:t>
                      </w:r>
                      <w:r w:rsidR="0023461B">
                        <w:t xml:space="preserve"> </w:t>
                      </w:r>
                      <w:r w:rsidR="00231001" w:rsidRPr="0023461B">
                        <w:t>indywidualnych zmniejszył się</w:t>
                      </w:r>
                      <w:r w:rsidR="0023461B">
                        <w:br/>
                      </w:r>
                      <w:r w:rsidR="00710621">
                        <w:t>o 4,2</w:t>
                      </w:r>
                      <w:r w:rsidR="00091304">
                        <w:t xml:space="preserve"> p. proc i wyniósł 35,2</w:t>
                      </w:r>
                      <w:r w:rsidR="00231001" w:rsidRPr="0023461B">
                        <w:t>%</w:t>
                      </w:r>
                      <w:r w:rsidR="0023461B">
                        <w:br/>
                      </w:r>
                      <w:r w:rsidR="00231001" w:rsidRPr="0023461B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9A6B72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71CCFE14" w:rsidR="004D107E" w:rsidRPr="008B0F20" w:rsidRDefault="003476A5" w:rsidP="00DD4E61">
      <w:pPr>
        <w:rPr>
          <w:shd w:val="clear" w:color="auto" w:fill="FFFFFF"/>
        </w:rPr>
      </w:pPr>
      <w:r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34FCDD27">
                <wp:simplePos x="0" y="0"/>
                <wp:positionH relativeFrom="page">
                  <wp:posOffset>5740400</wp:posOffset>
                </wp:positionH>
                <wp:positionV relativeFrom="paragraph">
                  <wp:posOffset>1217930</wp:posOffset>
                </wp:positionV>
                <wp:extent cx="1643380" cy="910590"/>
                <wp:effectExtent l="0" t="0" r="0" b="3810"/>
                <wp:wrapTight wrapText="bothSides">
                  <wp:wrapPolygon edited="0">
                    <wp:start x="751" y="0"/>
                    <wp:lineTo x="751" y="21238"/>
                    <wp:lineTo x="20782" y="21238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12FA" w14:textId="77777777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mieszkania </w:t>
                            </w:r>
                            <w:r w:rsidR="00423192">
                              <w:br/>
                              <w:t xml:space="preserve">w </w:t>
                            </w:r>
                            <w:r w:rsidR="00C023D9">
                              <w:t>okresie I-</w:t>
                            </w:r>
                            <w:r w:rsidR="00350F22">
                              <w:t>V</w:t>
                            </w:r>
                            <w:r w:rsidR="00165D6F">
                              <w:t>I</w:t>
                            </w:r>
                            <w:r w:rsidR="00423192">
                              <w:t xml:space="preserve"> </w:t>
                            </w:r>
                            <w:r w:rsidR="00423192" w:rsidRPr="002F1617">
                              <w:t>2019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 xml:space="preserve">. </w:t>
                            </w:r>
                            <w:r w:rsidR="00165D6F">
                              <w:t>wyniosła 90,1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79E9" id="Pole tekstowe 16" o:spid="_x0000_s1030" type="#_x0000_t202" style="position:absolute;margin-left:452pt;margin-top:95.9pt;width:129.4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" filled="f" stroked="f">
                <v:textbox>
                  <w:txbxContent>
                    <w:p w14:paraId="3C6912FA" w14:textId="77777777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mieszkania </w:t>
                      </w:r>
                      <w:r w:rsidR="00423192">
                        <w:br/>
                        <w:t xml:space="preserve">w </w:t>
                      </w:r>
                      <w:r w:rsidR="00C023D9">
                        <w:t>okresie I-</w:t>
                      </w:r>
                      <w:r w:rsidR="00350F22">
                        <w:t>V</w:t>
                      </w:r>
                      <w:r w:rsidR="00165D6F">
                        <w:t>I</w:t>
                      </w:r>
                      <w:r w:rsidR="00423192">
                        <w:t xml:space="preserve"> </w:t>
                      </w:r>
                      <w:r w:rsidR="00423192" w:rsidRPr="002F1617">
                        <w:t>2019</w:t>
                      </w:r>
                      <w:r w:rsidR="008C1F33" w:rsidRPr="002F1617">
                        <w:t xml:space="preserve"> r</w:t>
                      </w:r>
                      <w:r w:rsidR="002F1617">
                        <w:t xml:space="preserve">. </w:t>
                      </w:r>
                      <w:r w:rsidR="00165D6F">
                        <w:t>wyniosła 90,1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92A18"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5FA67F0F">
                <wp:simplePos x="0" y="0"/>
                <wp:positionH relativeFrom="page">
                  <wp:posOffset>5697904</wp:posOffset>
                </wp:positionH>
                <wp:positionV relativeFrom="paragraph">
                  <wp:posOffset>215900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1" type="#_x0000_t202" style="position:absolute;margin-left:448.65pt;margin-top:17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8B0F20">
        <w:rPr>
          <w:shd w:val="clear" w:color="auto" w:fill="FFFFFF"/>
        </w:rPr>
        <w:t>okresie styczeń-</w:t>
      </w:r>
      <w:r w:rsidR="00123367">
        <w:rPr>
          <w:shd w:val="clear" w:color="auto" w:fill="FFFFFF"/>
        </w:rPr>
        <w:t>czerwiec</w:t>
      </w:r>
      <w:r w:rsidR="009D757F">
        <w:rPr>
          <w:shd w:val="clear" w:color="auto" w:fill="FFFFFF"/>
        </w:rPr>
        <w:t xml:space="preserve"> 2019</w:t>
      </w:r>
      <w:r w:rsidR="007F7483" w:rsidRPr="00DA0F32">
        <w:rPr>
          <w:shd w:val="clear" w:color="auto" w:fill="FFFFFF"/>
        </w:rPr>
        <w:t xml:space="preserve">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u</w:t>
      </w:r>
      <w:r w:rsidR="0075636C" w:rsidRPr="00DA0F32">
        <w:rPr>
          <w:shd w:val="clear" w:color="auto" w:fill="FFFFFF"/>
        </w:rPr>
        <w:t>żytkowania</w:t>
      </w:r>
      <w:r w:rsidR="007F7483" w:rsidRPr="00DA0F32">
        <w:rPr>
          <w:shd w:val="clear" w:color="auto" w:fill="FFFFFF"/>
        </w:rPr>
        <w:t xml:space="preserve"> </w:t>
      </w:r>
      <w:r w:rsidR="00123367">
        <w:rPr>
          <w:shd w:val="clear" w:color="auto" w:fill="FFFFFF"/>
        </w:rPr>
        <w:t>94,7</w:t>
      </w:r>
      <w:r>
        <w:rPr>
          <w:shd w:val="clear" w:color="auto" w:fill="FFFFFF"/>
        </w:rPr>
        <w:t> </w:t>
      </w:r>
      <w:r w:rsidR="00603187" w:rsidRPr="00DA0F32">
        <w:rPr>
          <w:shd w:val="clear" w:color="auto" w:fill="FFFFFF"/>
        </w:rPr>
        <w:t xml:space="preserve"> tys.</w:t>
      </w:r>
      <w:r w:rsidR="007F7483" w:rsidRPr="00DA0F32">
        <w:rPr>
          <w:shd w:val="clear" w:color="auto" w:fill="FFFFFF"/>
        </w:rPr>
        <w:t xml:space="preserve"> mieszka</w:t>
      </w:r>
      <w:r w:rsidR="00F816A1" w:rsidRPr="00DA0F32">
        <w:rPr>
          <w:shd w:val="clear" w:color="auto" w:fill="FFFFFF"/>
        </w:rPr>
        <w:t>ń</w:t>
      </w:r>
      <w:r w:rsidR="007F7483" w:rsidRPr="00DA0F32">
        <w:rPr>
          <w:shd w:val="clear" w:color="auto" w:fill="FFFFFF"/>
        </w:rPr>
        <w:t xml:space="preserve">, tj. o </w:t>
      </w:r>
      <w:r w:rsidR="00123367">
        <w:rPr>
          <w:shd w:val="clear" w:color="auto" w:fill="FFFFFF"/>
        </w:rPr>
        <w:t>14</w:t>
      </w:r>
      <w:r w:rsidR="00DB1E64">
        <w:rPr>
          <w:shd w:val="clear" w:color="auto" w:fill="FFFFFF"/>
        </w:rPr>
        <w:t>,</w:t>
      </w:r>
      <w:r w:rsidR="00123367">
        <w:rPr>
          <w:shd w:val="clear" w:color="auto" w:fill="FFFFFF"/>
        </w:rPr>
        <w:t>4</w:t>
      </w:r>
      <w:r w:rsidR="007F7483" w:rsidRPr="00DA0F32">
        <w:rPr>
          <w:shd w:val="clear" w:color="auto" w:fill="FFFFFF"/>
        </w:rPr>
        <w:t xml:space="preserve">% </w:t>
      </w:r>
      <w:r w:rsidR="000C0137" w:rsidRPr="00DA0F32">
        <w:rPr>
          <w:shd w:val="clear" w:color="auto" w:fill="FFFFFF"/>
        </w:rPr>
        <w:t>więcej</w:t>
      </w:r>
      <w:r w:rsidR="007F7483" w:rsidRPr="00DA0F32">
        <w:rPr>
          <w:shd w:val="clear" w:color="auto" w:fill="FFFFFF"/>
        </w:rPr>
        <w:t xml:space="preserve"> niż </w:t>
      </w:r>
      <w:r w:rsidR="00E00001" w:rsidRPr="00DA0F32">
        <w:rPr>
          <w:shd w:val="clear" w:color="auto" w:fill="FFFFFF"/>
        </w:rPr>
        <w:t>przed rokiem</w:t>
      </w:r>
      <w:r w:rsidR="007162C8" w:rsidRPr="00DA0F32">
        <w:rPr>
          <w:shd w:val="clear" w:color="auto" w:fill="FFFFFF"/>
        </w:rPr>
        <w:t xml:space="preserve">. </w:t>
      </w:r>
      <w:r w:rsidR="007F4DFE">
        <w:rPr>
          <w:b/>
          <w:shd w:val="clear" w:color="auto" w:fill="FFFFFF"/>
        </w:rPr>
        <w:t>D</w:t>
      </w:r>
      <w:r w:rsidR="004F4FCA" w:rsidRPr="00DA0F32">
        <w:rPr>
          <w:b/>
          <w:shd w:val="clear" w:color="auto" w:fill="FFFFFF"/>
        </w:rPr>
        <w:t>eweloperzy</w:t>
      </w:r>
      <w:r w:rsidR="00086360">
        <w:rPr>
          <w:rStyle w:val="Odwoanieprzypisudolnego"/>
          <w:b/>
          <w:shd w:val="clear" w:color="auto" w:fill="FFFFFF"/>
        </w:rPr>
        <w:footnoteReference w:id="2"/>
      </w:r>
      <w:r w:rsidR="003D3C6E" w:rsidRPr="00DA0F32">
        <w:rPr>
          <w:b/>
          <w:shd w:val="clear" w:color="auto" w:fill="FFFFFF"/>
        </w:rPr>
        <w:t xml:space="preserve"> </w:t>
      </w:r>
      <w:r w:rsidR="00FA44C7" w:rsidRPr="00B14B8C">
        <w:rPr>
          <w:shd w:val="clear" w:color="auto" w:fill="FFFFFF"/>
        </w:rPr>
        <w:t>przekazali</w:t>
      </w:r>
      <w:r w:rsidR="00195C5A">
        <w:rPr>
          <w:shd w:val="clear" w:color="auto" w:fill="FFFFFF"/>
        </w:rPr>
        <w:t xml:space="preserve"> do </w:t>
      </w:r>
      <w:r w:rsidR="00FA44C7" w:rsidRPr="00B14B8C">
        <w:rPr>
          <w:shd w:val="clear" w:color="auto" w:fill="FFFFFF"/>
        </w:rPr>
        <w:t>eksploatacji</w:t>
      </w:r>
      <w:r w:rsidR="007F7483" w:rsidRPr="00B14B8C">
        <w:rPr>
          <w:shd w:val="clear" w:color="auto" w:fill="FFFFFF"/>
        </w:rPr>
        <w:t xml:space="preserve"> </w:t>
      </w:r>
      <w:r w:rsidR="00123367">
        <w:rPr>
          <w:shd w:val="clear" w:color="auto" w:fill="FFFFFF"/>
        </w:rPr>
        <w:t>58,8</w:t>
      </w:r>
      <w:r w:rsidR="00F816A1" w:rsidRPr="00DA0F32">
        <w:rPr>
          <w:shd w:val="clear" w:color="auto" w:fill="FFFFFF"/>
        </w:rPr>
        <w:t xml:space="preserve"> tys.</w:t>
      </w:r>
      <w:r w:rsidR="00857E64" w:rsidRPr="00DA0F32">
        <w:rPr>
          <w:shd w:val="clear" w:color="auto" w:fill="FFFFFF"/>
        </w:rPr>
        <w:t xml:space="preserve"> mieszkań</w:t>
      </w:r>
      <w:r w:rsidR="00434C9F" w:rsidRPr="00DA0F32">
        <w:rPr>
          <w:shd w:val="clear" w:color="auto" w:fill="FFFFFF"/>
        </w:rPr>
        <w:t xml:space="preserve"> (</w:t>
      </w:r>
      <w:r w:rsidR="00123367">
        <w:rPr>
          <w:shd w:val="clear" w:color="auto" w:fill="FFFFFF"/>
        </w:rPr>
        <w:t>22</w:t>
      </w:r>
      <w:r w:rsidR="00E8566C">
        <w:rPr>
          <w:shd w:val="clear" w:color="auto" w:fill="FFFFFF"/>
        </w:rPr>
        <w:t>,4</w:t>
      </w:r>
      <w:r w:rsidR="00434C9F" w:rsidRPr="00DA0F32">
        <w:rPr>
          <w:shd w:val="clear" w:color="auto" w:fill="FFFFFF"/>
        </w:rPr>
        <w:t>% więcej</w:t>
      </w:r>
      <w:r w:rsidR="0062658A" w:rsidRPr="00DA0F32">
        <w:rPr>
          <w:shd w:val="clear" w:color="auto" w:fill="FFFFFF"/>
        </w:rPr>
        <w:t xml:space="preserve"> niż w </w:t>
      </w:r>
      <w:r w:rsidR="007F4DFE">
        <w:rPr>
          <w:shd w:val="clear" w:color="auto" w:fill="FFFFFF"/>
        </w:rPr>
        <w:t xml:space="preserve">analogicznym </w:t>
      </w:r>
      <w:r w:rsidR="008B0F20">
        <w:rPr>
          <w:shd w:val="clear" w:color="auto" w:fill="FFFFFF"/>
        </w:rPr>
        <w:t>okresie</w:t>
      </w:r>
      <w:r w:rsidR="007F4DFE">
        <w:rPr>
          <w:shd w:val="clear" w:color="auto" w:fill="FFFFFF"/>
        </w:rPr>
        <w:t xml:space="preserve"> ubiegłego </w:t>
      </w:r>
      <w:r w:rsidR="0062658A" w:rsidRPr="00DA0F32">
        <w:rPr>
          <w:shd w:val="clear" w:color="auto" w:fill="FFFFFF"/>
        </w:rPr>
        <w:t>roku</w:t>
      </w:r>
      <w:r w:rsidR="003457E4">
        <w:rPr>
          <w:shd w:val="clear" w:color="auto" w:fill="FFFFFF"/>
        </w:rPr>
        <w:t>)</w:t>
      </w:r>
      <w:r w:rsidR="00FA44C7">
        <w:rPr>
          <w:shd w:val="clear" w:color="auto" w:fill="FFFFFF"/>
        </w:rPr>
        <w:t xml:space="preserve">, natomiast </w:t>
      </w:r>
      <w:r w:rsidR="00460DA9" w:rsidRPr="00DA0F32">
        <w:rPr>
          <w:shd w:val="clear" w:color="auto" w:fill="FFFFFF"/>
        </w:rPr>
        <w:t>i</w:t>
      </w:r>
      <w:r w:rsidR="00DD4E61">
        <w:rPr>
          <w:shd w:val="clear" w:color="auto" w:fill="FFFFFF"/>
        </w:rPr>
        <w:t xml:space="preserve">nwestorzy </w:t>
      </w:r>
      <w:r w:rsidR="007F4DFE" w:rsidRPr="007F4DFE">
        <w:rPr>
          <w:b/>
          <w:shd w:val="clear" w:color="auto" w:fill="FFFFFF"/>
        </w:rPr>
        <w:t>indywidualni</w:t>
      </w:r>
      <w:r w:rsidR="00AD3F41" w:rsidRPr="00AD3F41">
        <w:rPr>
          <w:szCs w:val="19"/>
          <w:shd w:val="clear" w:color="auto" w:fill="FFFFFF"/>
          <w:vertAlign w:val="superscript"/>
        </w:rPr>
        <w:t>b</w:t>
      </w:r>
      <w:r w:rsidR="007F4DFE" w:rsidRPr="007F4DFE">
        <w:rPr>
          <w:b/>
          <w:shd w:val="clear" w:color="auto" w:fill="FFFFFF"/>
        </w:rPr>
        <w:t xml:space="preserve"> </w:t>
      </w:r>
      <w:r w:rsidR="00A13514">
        <w:rPr>
          <w:shd w:val="clear" w:color="auto" w:fill="FFFFFF"/>
        </w:rPr>
        <w:t>–</w:t>
      </w:r>
      <w:r w:rsidR="00460DA9" w:rsidRPr="003B40D7">
        <w:rPr>
          <w:shd w:val="clear" w:color="auto" w:fill="FFFFFF"/>
        </w:rPr>
        <w:t xml:space="preserve"> </w:t>
      </w:r>
      <w:r w:rsidR="00123367">
        <w:rPr>
          <w:shd w:val="clear" w:color="auto" w:fill="FFFFFF"/>
        </w:rPr>
        <w:t>33</w:t>
      </w:r>
      <w:r w:rsidR="00E8566C">
        <w:rPr>
          <w:shd w:val="clear" w:color="auto" w:fill="FFFFFF"/>
        </w:rPr>
        <w:t>,4</w:t>
      </w:r>
      <w:r w:rsidR="00F816A1" w:rsidRPr="00DA0F32">
        <w:rPr>
          <w:shd w:val="clear" w:color="auto" w:fill="FFFFFF"/>
        </w:rPr>
        <w:t xml:space="preserve"> tys.</w:t>
      </w:r>
      <w:r w:rsidR="005206F5" w:rsidRPr="00DA0F32">
        <w:rPr>
          <w:shd w:val="clear" w:color="auto" w:fill="FFFFFF"/>
        </w:rPr>
        <w:t xml:space="preserve"> </w:t>
      </w:r>
      <w:r w:rsidR="003A18A4" w:rsidRPr="00DA0F32">
        <w:rPr>
          <w:shd w:val="clear" w:color="auto" w:fill="FFFFFF"/>
        </w:rPr>
        <w:t>mieszka</w:t>
      </w:r>
      <w:r w:rsidR="00374B96" w:rsidRPr="00DA0F32">
        <w:rPr>
          <w:shd w:val="clear" w:color="auto" w:fill="FFFFFF"/>
        </w:rPr>
        <w:t>ń</w:t>
      </w:r>
      <w:r w:rsidR="007F4DFE">
        <w:rPr>
          <w:shd w:val="clear" w:color="auto" w:fill="FFFFFF"/>
        </w:rPr>
        <w:t xml:space="preserve">, tj. o </w:t>
      </w:r>
      <w:r w:rsidR="00E8566C">
        <w:rPr>
          <w:shd w:val="clear" w:color="auto" w:fill="FFFFFF"/>
        </w:rPr>
        <w:t>2</w:t>
      </w:r>
      <w:r w:rsidR="00865E47" w:rsidRPr="00DA0F32">
        <w:rPr>
          <w:shd w:val="clear" w:color="auto" w:fill="FFFFFF"/>
        </w:rPr>
        <w:t>,</w:t>
      </w:r>
      <w:r w:rsidR="00123367">
        <w:rPr>
          <w:shd w:val="clear" w:color="auto" w:fill="FFFFFF"/>
        </w:rPr>
        <w:t>2</w:t>
      </w:r>
      <w:r w:rsidR="002D1DA5" w:rsidRPr="00DA0F32">
        <w:rPr>
          <w:shd w:val="clear" w:color="auto" w:fill="FFFFFF"/>
        </w:rPr>
        <w:t xml:space="preserve">% </w:t>
      </w:r>
      <w:r w:rsidR="005921E2">
        <w:rPr>
          <w:shd w:val="clear" w:color="auto" w:fill="FFFFFF"/>
        </w:rPr>
        <w:t>więcej</w:t>
      </w:r>
      <w:r w:rsidR="007F4DFE">
        <w:rPr>
          <w:shd w:val="clear" w:color="auto" w:fill="FFFFFF"/>
        </w:rPr>
        <w:t xml:space="preserve"> niż w</w:t>
      </w:r>
      <w:r w:rsidR="006C5216">
        <w:rPr>
          <w:shd w:val="clear" w:color="auto" w:fill="FFFFFF"/>
        </w:rPr>
        <w:t xml:space="preserve"> 2018</w:t>
      </w:r>
      <w:r w:rsidR="00737DCC">
        <w:rPr>
          <w:shd w:val="clear" w:color="auto" w:fill="FFFFFF"/>
        </w:rPr>
        <w:t xml:space="preserve"> </w:t>
      </w:r>
      <w:r w:rsidR="006C5216">
        <w:rPr>
          <w:shd w:val="clear" w:color="auto" w:fill="FFFFFF"/>
        </w:rPr>
        <w:t>r</w:t>
      </w:r>
      <w:r w:rsidR="007F3EEC">
        <w:rPr>
          <w:shd w:val="clear" w:color="auto" w:fill="FFFFFF"/>
        </w:rPr>
        <w:t>.</w:t>
      </w:r>
      <w:r w:rsidR="00FA44C7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7F7483" w:rsidRPr="00DA0F32">
        <w:rPr>
          <w:shd w:val="clear" w:color="auto" w:fill="FFFFFF"/>
        </w:rPr>
        <w:t xml:space="preserve"> </w:t>
      </w:r>
      <w:r w:rsidR="00857E64" w:rsidRPr="00DA0F32">
        <w:rPr>
          <w:shd w:val="clear" w:color="auto" w:fill="FFFFFF"/>
        </w:rPr>
        <w:t xml:space="preserve">ramach tych form budownictwa </w:t>
      </w:r>
      <w:r w:rsidR="00525CAC" w:rsidRPr="00DA0F32">
        <w:rPr>
          <w:shd w:val="clear" w:color="auto" w:fill="FFFFFF"/>
        </w:rPr>
        <w:t>wybudowano łącznie 9</w:t>
      </w:r>
      <w:r w:rsidR="0033525D">
        <w:rPr>
          <w:shd w:val="clear" w:color="auto" w:fill="FFFFFF"/>
        </w:rPr>
        <w:t>7</w:t>
      </w:r>
      <w:r w:rsidR="00525CAC" w:rsidRPr="00DA0F32">
        <w:rPr>
          <w:shd w:val="clear" w:color="auto" w:fill="FFFFFF"/>
        </w:rPr>
        <w:t>,</w:t>
      </w:r>
      <w:r w:rsidR="00724FB4">
        <w:rPr>
          <w:shd w:val="clear" w:color="auto" w:fill="FFFFFF"/>
        </w:rPr>
        <w:t>3</w:t>
      </w:r>
      <w:r w:rsidR="00525CAC" w:rsidRPr="00DA0F32">
        <w:rPr>
          <w:shd w:val="clear" w:color="auto" w:fill="FFFFFF"/>
        </w:rPr>
        <w:t>% ogółu mieszkań oddanych do użytkowania.</w:t>
      </w:r>
      <w:r w:rsidR="00F539BD" w:rsidRPr="00DA0F32">
        <w:rPr>
          <w:shd w:val="clear" w:color="auto" w:fill="FFFFFF"/>
        </w:rPr>
        <w:t xml:space="preserve"> </w:t>
      </w:r>
      <w:r w:rsidR="00A13514">
        <w:rPr>
          <w:shd w:val="clear" w:color="auto" w:fill="FFFFFF"/>
        </w:rPr>
        <w:t>Mniej</w:t>
      </w:r>
      <w:r w:rsidR="00B1192F" w:rsidRPr="00DA0F32">
        <w:rPr>
          <w:shd w:val="clear" w:color="auto" w:fill="FFFFFF"/>
        </w:rPr>
        <w:t xml:space="preserve"> mieszkań niż przed rokiem</w:t>
      </w:r>
      <w:r w:rsidR="00B1192F" w:rsidRPr="00DA0F32">
        <w:rPr>
          <w:b/>
          <w:shd w:val="clear" w:color="auto" w:fill="FFFFFF"/>
        </w:rPr>
        <w:t xml:space="preserve"> </w:t>
      </w:r>
      <w:r w:rsidR="005C764C" w:rsidRPr="00DA0F32">
        <w:rPr>
          <w:shd w:val="clear" w:color="auto" w:fill="FFFFFF"/>
        </w:rPr>
        <w:t>oddano</w:t>
      </w:r>
      <w:r w:rsidR="00134E2D" w:rsidRPr="00DA0F32">
        <w:rPr>
          <w:shd w:val="clear" w:color="auto" w:fill="FFFFFF"/>
        </w:rPr>
        <w:t xml:space="preserve"> do użytkowania </w:t>
      </w:r>
      <w:r w:rsidR="005C764C" w:rsidRPr="00DA0F32">
        <w:rPr>
          <w:shd w:val="clear" w:color="auto" w:fill="FFFFFF"/>
        </w:rPr>
        <w:t xml:space="preserve">w budownictwie </w:t>
      </w:r>
      <w:r w:rsidR="005C764C" w:rsidRPr="00DA0F32">
        <w:rPr>
          <w:b/>
          <w:shd w:val="clear" w:color="auto" w:fill="FFFFFF"/>
        </w:rPr>
        <w:t>spółdzielczym</w:t>
      </w:r>
      <w:r w:rsidR="00B1192F" w:rsidRPr="00DA0F32">
        <w:rPr>
          <w:b/>
          <w:shd w:val="clear" w:color="auto" w:fill="FFFFFF"/>
        </w:rPr>
        <w:t xml:space="preserve"> </w:t>
      </w:r>
      <w:r w:rsidR="000F156F" w:rsidRPr="00DA0F32">
        <w:rPr>
          <w:shd w:val="clear" w:color="auto" w:fill="FFFFFF"/>
        </w:rPr>
        <w:t>(</w:t>
      </w:r>
      <w:r w:rsidR="00724FB4">
        <w:rPr>
          <w:shd w:val="clear" w:color="auto" w:fill="FFFFFF"/>
        </w:rPr>
        <w:t>914</w:t>
      </w:r>
      <w:r w:rsidR="00B1192F" w:rsidRPr="00DA0F32">
        <w:rPr>
          <w:shd w:val="clear" w:color="auto" w:fill="FFFFFF"/>
        </w:rPr>
        <w:t xml:space="preserve"> wobec </w:t>
      </w:r>
      <w:r w:rsidR="00724FB4">
        <w:rPr>
          <w:shd w:val="clear" w:color="auto" w:fill="FFFFFF"/>
        </w:rPr>
        <w:t>1004</w:t>
      </w:r>
      <w:r w:rsidR="00B1192F" w:rsidRPr="00DA0F32">
        <w:rPr>
          <w:shd w:val="clear" w:color="auto" w:fill="FFFFFF"/>
        </w:rPr>
        <w:t>)</w:t>
      </w:r>
      <w:r w:rsidR="009E21D0">
        <w:rPr>
          <w:shd w:val="clear" w:color="auto" w:fill="FFFFFF"/>
        </w:rPr>
        <w:t>;</w:t>
      </w:r>
      <w:r w:rsidR="00D467D8">
        <w:rPr>
          <w:shd w:val="clear" w:color="auto" w:fill="FFFFFF"/>
        </w:rPr>
        <w:t xml:space="preserve"> </w:t>
      </w:r>
      <w:r w:rsidR="009E21D0">
        <w:rPr>
          <w:shd w:val="clear" w:color="auto" w:fill="FFFFFF"/>
        </w:rPr>
        <w:t>w</w:t>
      </w:r>
      <w:r w:rsidR="00D467D8">
        <w:rPr>
          <w:shd w:val="clear" w:color="auto" w:fill="FFFFFF"/>
        </w:rPr>
        <w:t> </w:t>
      </w:r>
      <w:r w:rsidR="00DB1E10" w:rsidRPr="00DA0F32">
        <w:rPr>
          <w:b/>
          <w:shd w:val="clear" w:color="auto" w:fill="FFFFFF"/>
        </w:rPr>
        <w:t>pozostałych formach</w:t>
      </w:r>
      <w:r w:rsidR="0033525D">
        <w:rPr>
          <w:shd w:val="clear" w:color="auto" w:fill="FFFFFF"/>
        </w:rPr>
        <w:t xml:space="preserve"> </w:t>
      </w:r>
      <w:r w:rsidR="00DD6840" w:rsidRPr="00DA0F32">
        <w:rPr>
          <w:shd w:val="clear" w:color="auto" w:fill="FFFFFF"/>
        </w:rPr>
        <w:t>(komunalne</w:t>
      </w:r>
      <w:r w:rsidR="006C5216">
        <w:rPr>
          <w:shd w:val="clear" w:color="auto" w:fill="FFFFFF"/>
        </w:rPr>
        <w:t>,</w:t>
      </w:r>
      <w:r w:rsidR="006C5216" w:rsidRPr="006C5216">
        <w:t xml:space="preserve"> </w:t>
      </w:r>
      <w:r w:rsidR="006C5216">
        <w:rPr>
          <w:shd w:val="clear" w:color="auto" w:fill="FFFFFF"/>
        </w:rPr>
        <w:t xml:space="preserve">społeczne czynszowe </w:t>
      </w:r>
      <w:r w:rsidR="00DD6840" w:rsidRPr="00DA0F32">
        <w:rPr>
          <w:shd w:val="clear" w:color="auto" w:fill="FFFFFF"/>
        </w:rPr>
        <w:t>i</w:t>
      </w:r>
      <w:r w:rsidR="00547737">
        <w:rPr>
          <w:shd w:val="clear" w:color="auto" w:fill="FFFFFF"/>
        </w:rPr>
        <w:t> </w:t>
      </w:r>
      <w:r w:rsidR="00DD6840" w:rsidRPr="00DA0F32">
        <w:rPr>
          <w:shd w:val="clear" w:color="auto" w:fill="FFFFFF"/>
        </w:rPr>
        <w:t>zakładowe</w:t>
      </w:r>
      <w:r w:rsidR="009B1EF0">
        <w:rPr>
          <w:shd w:val="clear" w:color="auto" w:fill="FFFFFF"/>
        </w:rPr>
        <w:t>) łącznie </w:t>
      </w:r>
      <w:r w:rsidR="0033525D">
        <w:rPr>
          <w:shd w:val="clear" w:color="auto" w:fill="FFFFFF"/>
        </w:rPr>
        <w:t xml:space="preserve">oddano </w:t>
      </w:r>
      <w:r w:rsidR="00724FB4">
        <w:rPr>
          <w:shd w:val="clear" w:color="auto" w:fill="FFFFFF"/>
        </w:rPr>
        <w:t>1655</w:t>
      </w:r>
      <w:r w:rsidR="00423192">
        <w:rPr>
          <w:shd w:val="clear" w:color="auto" w:fill="FFFFFF"/>
        </w:rPr>
        <w:t xml:space="preserve"> </w:t>
      </w:r>
      <w:r w:rsidR="0096178E" w:rsidRPr="00DA0F32">
        <w:rPr>
          <w:shd w:val="clear" w:color="auto" w:fill="FFFFFF"/>
        </w:rPr>
        <w:t>mieszkań</w:t>
      </w:r>
      <w:r w:rsidR="00DB1E10" w:rsidRPr="00DA0F32">
        <w:rPr>
          <w:shd w:val="clear" w:color="auto" w:fill="FFFFFF"/>
        </w:rPr>
        <w:t>,</w:t>
      </w:r>
      <w:r w:rsidR="00F61F53" w:rsidRPr="00DA0F32">
        <w:rPr>
          <w:shd w:val="clear" w:color="auto" w:fill="FFFFFF"/>
        </w:rPr>
        <w:t xml:space="preserve"> tj. o </w:t>
      </w:r>
      <w:r w:rsidR="00E8566C">
        <w:rPr>
          <w:shd w:val="clear" w:color="auto" w:fill="FFFFFF"/>
        </w:rPr>
        <w:t>5</w:t>
      </w:r>
      <w:r w:rsidR="00724FB4">
        <w:rPr>
          <w:shd w:val="clear" w:color="auto" w:fill="FFFFFF"/>
        </w:rPr>
        <w:t>0,6</w:t>
      </w:r>
      <w:r w:rsidR="000F156F" w:rsidRPr="00DA0F32">
        <w:rPr>
          <w:shd w:val="clear" w:color="auto" w:fill="FFFFFF"/>
        </w:rPr>
        <w:t>% więcej</w:t>
      </w:r>
      <w:r w:rsidR="0033525D">
        <w:rPr>
          <w:shd w:val="clear" w:color="auto" w:fill="FFFFFF"/>
        </w:rPr>
        <w:t>.</w:t>
      </w:r>
    </w:p>
    <w:p w14:paraId="1E9416A7" w14:textId="77777777" w:rsidR="004D06AC" w:rsidRPr="00DA0F32" w:rsidRDefault="004D06AC" w:rsidP="00DD4E61">
      <w:pPr>
        <w:rPr>
          <w:shd w:val="clear" w:color="auto" w:fill="FFFFFF"/>
        </w:rPr>
      </w:pPr>
      <w:r w:rsidRPr="00DA0F32">
        <w:rPr>
          <w:shd w:val="clear" w:color="auto" w:fill="FFFFFF"/>
        </w:rPr>
        <w:t xml:space="preserve">Powierzchnia użytkowa mieszkań oddanych w </w:t>
      </w:r>
      <w:r w:rsidR="00C023D9">
        <w:rPr>
          <w:shd w:val="clear" w:color="auto" w:fill="FFFFFF"/>
        </w:rPr>
        <w:t>okresie I-</w:t>
      </w:r>
      <w:r w:rsidR="00A13514">
        <w:rPr>
          <w:shd w:val="clear" w:color="auto" w:fill="FFFFFF"/>
        </w:rPr>
        <w:t>V</w:t>
      </w:r>
      <w:r w:rsidR="00165D6F">
        <w:rPr>
          <w:shd w:val="clear" w:color="auto" w:fill="FFFFFF"/>
        </w:rPr>
        <w:t>I</w:t>
      </w:r>
      <w:r w:rsidR="00A1351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2019</w:t>
      </w:r>
      <w:r w:rsidRPr="00DA0F32">
        <w:rPr>
          <w:shd w:val="clear" w:color="auto" w:fill="FFFFFF"/>
        </w:rPr>
        <w:t xml:space="preserve"> r. wyniosła </w:t>
      </w:r>
      <w:r w:rsidR="00165D6F">
        <w:rPr>
          <w:shd w:val="clear" w:color="auto" w:fill="FFFFFF"/>
        </w:rPr>
        <w:t>8,5</w:t>
      </w:r>
      <w:r w:rsidRPr="00DA0F32">
        <w:rPr>
          <w:shd w:val="clear" w:color="auto" w:fill="FFFFFF"/>
        </w:rPr>
        <w:t xml:space="preserve"> mln m</w:t>
      </w:r>
      <w:r w:rsidRPr="00DA0F32">
        <w:rPr>
          <w:shd w:val="clear" w:color="auto" w:fill="FFFFFF"/>
          <w:vertAlign w:val="superscript"/>
        </w:rPr>
        <w:t>2</w:t>
      </w:r>
      <w:r w:rsidRPr="00DA0F32">
        <w:rPr>
          <w:shd w:val="clear" w:color="auto" w:fill="FFFFFF"/>
        </w:rPr>
        <w:t xml:space="preserve">, czyli o </w:t>
      </w:r>
      <w:r w:rsidR="003476A5">
        <w:rPr>
          <w:shd w:val="clear" w:color="auto" w:fill="FFFFFF"/>
        </w:rPr>
        <w:t> </w:t>
      </w:r>
      <w:r w:rsidR="00165D6F">
        <w:rPr>
          <w:shd w:val="clear" w:color="auto" w:fill="FFFFFF"/>
        </w:rPr>
        <w:t>9</w:t>
      </w:r>
      <w:r w:rsidRPr="00DA0F32">
        <w:rPr>
          <w:shd w:val="clear" w:color="auto" w:fill="FFFFFF"/>
        </w:rPr>
        <w:t>,</w:t>
      </w:r>
      <w:r w:rsidR="00165D6F">
        <w:rPr>
          <w:shd w:val="clear" w:color="auto" w:fill="FFFFFF"/>
        </w:rPr>
        <w:t>4</w:t>
      </w:r>
      <w:r w:rsidRPr="00DA0F32">
        <w:rPr>
          <w:shd w:val="clear" w:color="auto" w:fill="FFFFFF"/>
        </w:rPr>
        <w:t xml:space="preserve">% więcej niż w analogicznym </w:t>
      </w:r>
      <w:r w:rsidR="00E02918">
        <w:rPr>
          <w:shd w:val="clear" w:color="auto" w:fill="FFFFFF"/>
        </w:rPr>
        <w:t>okresie</w:t>
      </w:r>
      <w:r w:rsidRPr="00DA0F32">
        <w:rPr>
          <w:shd w:val="clear" w:color="auto" w:fill="FFFFFF"/>
        </w:rPr>
        <w:t xml:space="preserve"> roku ubiegłego. </w:t>
      </w:r>
      <w:r w:rsidR="004E0216" w:rsidRPr="004E0216">
        <w:rPr>
          <w:shd w:val="clear" w:color="auto" w:fill="FFFFFF"/>
        </w:rPr>
        <w:t>W porównaniu do okresu</w:t>
      </w:r>
      <w:r w:rsidR="00C023D9">
        <w:rPr>
          <w:shd w:val="clear" w:color="auto" w:fill="FFFFFF"/>
        </w:rPr>
        <w:t xml:space="preserve"> </w:t>
      </w:r>
      <w:r w:rsidR="00165D6F">
        <w:rPr>
          <w:shd w:val="clear" w:color="auto" w:fill="FFFFFF"/>
        </w:rPr>
        <w:t>styczeń-czerwiec</w:t>
      </w:r>
      <w:r w:rsidR="004E0216" w:rsidRPr="004E0216">
        <w:rPr>
          <w:shd w:val="clear" w:color="auto" w:fill="FFFFFF"/>
        </w:rPr>
        <w:t xml:space="preserve"> 2018 r.</w:t>
      </w:r>
      <w:r w:rsidRPr="004E0216">
        <w:rPr>
          <w:shd w:val="clear" w:color="auto" w:fill="FFFFFF"/>
        </w:rPr>
        <w:t xml:space="preserve"> przeciętna pow</w:t>
      </w:r>
      <w:r w:rsidR="004E0216" w:rsidRPr="004E0216">
        <w:rPr>
          <w:shd w:val="clear" w:color="auto" w:fill="FFFFFF"/>
        </w:rPr>
        <w:t xml:space="preserve">ierzchnia użytkowa 1 mieszkania </w:t>
      </w:r>
      <w:r w:rsidR="00165D6F">
        <w:rPr>
          <w:shd w:val="clear" w:color="auto" w:fill="FFFFFF"/>
        </w:rPr>
        <w:t>zmniejszyła się o 4,1</w:t>
      </w:r>
      <w:r w:rsidRPr="004E0216">
        <w:rPr>
          <w:shd w:val="clear" w:color="auto" w:fill="FFFFFF"/>
        </w:rPr>
        <w:t> 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 xml:space="preserve"> - do poziomu </w:t>
      </w:r>
      <w:r w:rsidR="00165D6F">
        <w:rPr>
          <w:shd w:val="clear" w:color="auto" w:fill="FFFFFF"/>
        </w:rPr>
        <w:t>90,1</w:t>
      </w:r>
      <w:r w:rsidRPr="004E0216">
        <w:rPr>
          <w:shd w:val="clear" w:color="auto" w:fill="FFFFFF"/>
        </w:rPr>
        <w:t xml:space="preserve"> 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>.</w:t>
      </w:r>
    </w:p>
    <w:p w14:paraId="3235C721" w14:textId="77777777" w:rsidR="004D107E" w:rsidRPr="004D107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Tablica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FA56EF" w:rsidRPr="00FA5128" w14:paraId="5F3464E0" w14:textId="77777777" w:rsidTr="00FA56EF">
        <w:trPr>
          <w:trHeight w:val="57"/>
        </w:trPr>
        <w:tc>
          <w:tcPr>
            <w:tcW w:w="2049" w:type="dxa"/>
            <w:vMerge w:val="restart"/>
            <w:vAlign w:val="center"/>
          </w:tcPr>
          <w:p w14:paraId="54251B3F" w14:textId="77777777" w:rsidR="00FA56EF" w:rsidRPr="0030115B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E932D0F" w14:textId="77777777" w:rsidR="00FA56EF" w:rsidRPr="00FA5128" w:rsidRDefault="00FA56EF" w:rsidP="00FA56EF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FA56EF" w:rsidRPr="00FA5128" w14:paraId="2FF08BCE" w14:textId="77777777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80EC9B3" w14:textId="77777777"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6A5CE08B" w14:textId="77777777" w:rsidR="00FA56EF" w:rsidRPr="00FA5128" w:rsidRDefault="00E55FC5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91FDF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81F32E7" w14:textId="77777777" w:rsidR="00FA56EF" w:rsidRPr="00FA5128" w:rsidRDefault="00C023D9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591FDF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FA56EF" w:rsidRPr="00FA5128" w14:paraId="4B4BEAAF" w14:textId="77777777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A30270B" w14:textId="77777777"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456963A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8CE28FA" w14:textId="77777777" w:rsidR="00FA56EF" w:rsidRDefault="00E55FC5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91FDF">
              <w:rPr>
                <w:color w:val="000000" w:themeColor="text1"/>
                <w:sz w:val="16"/>
                <w:szCs w:val="16"/>
              </w:rPr>
              <w:t>I</w:t>
            </w:r>
          </w:p>
          <w:p w14:paraId="4806ECF7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CBD9A05" w14:textId="77777777" w:rsidR="00FA56EF" w:rsidRDefault="00C023D9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  <w:p w14:paraId="20CA86F0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4A765DB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74FB2CAA" w14:textId="77777777"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591FDF">
              <w:rPr>
                <w:color w:val="000000" w:themeColor="text1"/>
                <w:sz w:val="16"/>
                <w:szCs w:val="16"/>
              </w:rPr>
              <w:t>I</w:t>
            </w:r>
          </w:p>
          <w:p w14:paraId="62ED791B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A56EF" w:rsidRPr="00FA5128" w14:paraId="17BCE492" w14:textId="77777777" w:rsidTr="00FA56EF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A77084D" w14:textId="77777777" w:rsidR="00FA56EF" w:rsidRPr="00FA5128" w:rsidRDefault="00FA56EF" w:rsidP="00FA56E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3864BD1" w14:textId="77777777" w:rsidR="00FA56EF" w:rsidRPr="00FA5128" w:rsidRDefault="003A4F62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15 363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2173C3C" w14:textId="77777777" w:rsidR="00FA56EF" w:rsidRPr="00FA5128" w:rsidRDefault="003A4F62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124,7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06EA32F" w14:textId="77777777" w:rsidR="00FA56EF" w:rsidRPr="00FA5128" w:rsidRDefault="00425964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F7736AA" w14:textId="77777777" w:rsidR="00FA56EF" w:rsidRPr="00FA5128" w:rsidRDefault="00001866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94</w:t>
            </w:r>
            <w:r w:rsidR="00D1348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696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6B78E382" w14:textId="77777777" w:rsidR="00FA56EF" w:rsidRPr="00FA5128" w:rsidRDefault="00001866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114,4</w:t>
            </w:r>
          </w:p>
        </w:tc>
      </w:tr>
      <w:tr w:rsidR="00FA56EF" w:rsidRPr="00907546" w14:paraId="28158BF7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44996FB5" w14:textId="77777777"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4D5F5536" w14:textId="77777777" w:rsidR="00FA56EF" w:rsidRPr="00FA5128" w:rsidRDefault="003A4F6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D1348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945</w:t>
            </w:r>
          </w:p>
        </w:tc>
        <w:tc>
          <w:tcPr>
            <w:tcW w:w="1206" w:type="dxa"/>
            <w:vAlign w:val="center"/>
          </w:tcPr>
          <w:p w14:paraId="5D54C604" w14:textId="77777777" w:rsidR="00FA56EF" w:rsidRPr="00FA5128" w:rsidRDefault="003A4F6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206" w:type="dxa"/>
            <w:vAlign w:val="center"/>
          </w:tcPr>
          <w:p w14:paraId="183D79A6" w14:textId="77777777" w:rsidR="00FA56EF" w:rsidRPr="00FA5128" w:rsidRDefault="00425964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</w:t>
            </w:r>
            <w:r w:rsidR="00626112" w:rsidRPr="00626112"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06" w:type="dxa"/>
            <w:vAlign w:val="center"/>
          </w:tcPr>
          <w:p w14:paraId="097081E4" w14:textId="77777777" w:rsidR="00FA56EF" w:rsidRPr="00907546" w:rsidRDefault="00001866" w:rsidP="00FA56E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33</w:t>
            </w:r>
            <w:r w:rsidR="00D1348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362</w:t>
            </w:r>
          </w:p>
        </w:tc>
        <w:tc>
          <w:tcPr>
            <w:tcW w:w="1207" w:type="dxa"/>
            <w:vAlign w:val="center"/>
          </w:tcPr>
          <w:p w14:paraId="3C33BE3A" w14:textId="77777777" w:rsidR="00FA56EF" w:rsidRPr="00907546" w:rsidRDefault="0000186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</w:tr>
      <w:tr w:rsidR="00FA56EF" w:rsidRPr="00FA5128" w14:paraId="2BC16CE4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5DA754DA" w14:textId="77777777"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776F0C07" w14:textId="77777777" w:rsidR="00FA56EF" w:rsidRPr="00FA5128" w:rsidRDefault="003A4F6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D1348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646</w:t>
            </w:r>
          </w:p>
        </w:tc>
        <w:tc>
          <w:tcPr>
            <w:tcW w:w="1206" w:type="dxa"/>
            <w:vAlign w:val="center"/>
          </w:tcPr>
          <w:p w14:paraId="7A2D6AC4" w14:textId="77777777" w:rsidR="00FA56EF" w:rsidRPr="00FA5128" w:rsidRDefault="003A4F6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133,3</w:t>
            </w:r>
          </w:p>
        </w:tc>
        <w:tc>
          <w:tcPr>
            <w:tcW w:w="1206" w:type="dxa"/>
            <w:vAlign w:val="center"/>
          </w:tcPr>
          <w:p w14:paraId="3B65D5B8" w14:textId="77777777" w:rsidR="00FA56EF" w:rsidRPr="00FA5128" w:rsidRDefault="00425964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206" w:type="dxa"/>
            <w:vAlign w:val="center"/>
          </w:tcPr>
          <w:p w14:paraId="4CC4B8B4" w14:textId="77777777" w:rsidR="00FA56EF" w:rsidRPr="008A1C80" w:rsidRDefault="00001866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58</w:t>
            </w:r>
            <w:r w:rsidR="00D1348A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765</w:t>
            </w:r>
          </w:p>
        </w:tc>
        <w:tc>
          <w:tcPr>
            <w:tcW w:w="1207" w:type="dxa"/>
            <w:vAlign w:val="center"/>
          </w:tcPr>
          <w:p w14:paraId="31EEA875" w14:textId="77777777" w:rsidR="00FA56EF" w:rsidRPr="00FA5128" w:rsidRDefault="0000186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122,4</w:t>
            </w:r>
          </w:p>
        </w:tc>
      </w:tr>
      <w:tr w:rsidR="00FA56EF" w:rsidRPr="00FA5128" w14:paraId="60267E4E" w14:textId="77777777" w:rsidTr="00226CDB">
        <w:trPr>
          <w:trHeight w:val="409"/>
        </w:trPr>
        <w:tc>
          <w:tcPr>
            <w:tcW w:w="2049" w:type="dxa"/>
            <w:vAlign w:val="center"/>
          </w:tcPr>
          <w:p w14:paraId="367B3F3F" w14:textId="77777777" w:rsidR="00FA56EF" w:rsidRPr="00FA56EF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F4008D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  <w:r w:rsidR="00E65046">
              <w:rPr>
                <w:rStyle w:val="Odwoanieprzypisudolnego"/>
                <w:rFonts w:ascii="Fira Sans" w:hAnsi="Fira Sans"/>
                <w:color w:val="auto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14:paraId="31361440" w14:textId="77777777" w:rsidR="00FA56EF" w:rsidRPr="005241EA" w:rsidRDefault="003A4F6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1206" w:type="dxa"/>
            <w:vAlign w:val="center"/>
          </w:tcPr>
          <w:p w14:paraId="02B3B638" w14:textId="77777777" w:rsidR="00FA56EF" w:rsidRPr="004327B6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43622316" w14:textId="77777777" w:rsidR="00FA56EF" w:rsidRPr="004327B6" w:rsidRDefault="00425964" w:rsidP="00EC55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109,3</w:t>
            </w:r>
          </w:p>
        </w:tc>
        <w:tc>
          <w:tcPr>
            <w:tcW w:w="1206" w:type="dxa"/>
            <w:vAlign w:val="center"/>
          </w:tcPr>
          <w:p w14:paraId="26E8EB4C" w14:textId="77777777" w:rsidR="00FA56EF" w:rsidRPr="00553B0B" w:rsidRDefault="00001866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764</w:t>
            </w:r>
          </w:p>
        </w:tc>
        <w:tc>
          <w:tcPr>
            <w:tcW w:w="1207" w:type="dxa"/>
            <w:vAlign w:val="center"/>
          </w:tcPr>
          <w:p w14:paraId="50978718" w14:textId="77777777" w:rsidR="00FA56EF" w:rsidRPr="004266F7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FA56EF" w:rsidRPr="00FA5128" w14:paraId="3AF45C5E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3FC86754" w14:textId="77777777" w:rsidR="00FA56EF" w:rsidRPr="00C41764" w:rsidRDefault="00FA56EF" w:rsidP="00FA56E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0630D810" w14:textId="77777777" w:rsidR="00FA56EF" w:rsidRPr="00FA5128" w:rsidRDefault="003A4F6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1206" w:type="dxa"/>
            <w:vAlign w:val="center"/>
          </w:tcPr>
          <w:p w14:paraId="1ADD896C" w14:textId="77777777" w:rsidR="00FA56EF" w:rsidRPr="00FA5128" w:rsidRDefault="0067151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1206" w:type="dxa"/>
            <w:vAlign w:val="center"/>
          </w:tcPr>
          <w:p w14:paraId="3FEDC322" w14:textId="77777777" w:rsidR="00FA56EF" w:rsidRPr="00E102B7" w:rsidRDefault="005F5129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95,4</w:t>
            </w:r>
          </w:p>
        </w:tc>
        <w:tc>
          <w:tcPr>
            <w:tcW w:w="1206" w:type="dxa"/>
            <w:vAlign w:val="center"/>
          </w:tcPr>
          <w:p w14:paraId="1F63D375" w14:textId="77777777" w:rsidR="00FA56EF" w:rsidRPr="00F54181" w:rsidRDefault="00001866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914</w:t>
            </w:r>
          </w:p>
        </w:tc>
        <w:tc>
          <w:tcPr>
            <w:tcW w:w="1207" w:type="dxa"/>
            <w:vAlign w:val="center"/>
          </w:tcPr>
          <w:p w14:paraId="53B3FCC1" w14:textId="77777777" w:rsidR="00FA56EF" w:rsidRPr="00FA5128" w:rsidRDefault="0000186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91,0</w:t>
            </w:r>
          </w:p>
        </w:tc>
      </w:tr>
      <w:tr w:rsidR="00FA56EF" w:rsidRPr="00FA5128" w14:paraId="64C816BB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4B885D56" w14:textId="77777777" w:rsidR="00FA56EF" w:rsidRPr="00C41764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49718841" w14:textId="77777777" w:rsidR="00FA56EF" w:rsidRPr="00FA5128" w:rsidRDefault="00E7128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341</w:t>
            </w:r>
          </w:p>
        </w:tc>
        <w:tc>
          <w:tcPr>
            <w:tcW w:w="1206" w:type="dxa"/>
            <w:vAlign w:val="center"/>
          </w:tcPr>
          <w:p w14:paraId="2385018D" w14:textId="77777777" w:rsidR="00FA56EF" w:rsidRPr="00FA5128" w:rsidRDefault="00AD51B0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E71287">
              <w:rPr>
                <w:rFonts w:cs="Arial"/>
                <w:color w:val="000000" w:themeColor="text1"/>
                <w:sz w:val="16"/>
                <w:szCs w:val="16"/>
              </w:rPr>
              <w:t>onad 34- krotnie</w:t>
            </w:r>
          </w:p>
        </w:tc>
        <w:tc>
          <w:tcPr>
            <w:tcW w:w="1206" w:type="dxa"/>
            <w:vAlign w:val="center"/>
          </w:tcPr>
          <w:p w14:paraId="40995331" w14:textId="77777777" w:rsidR="00FA56EF" w:rsidRPr="00E102B7" w:rsidRDefault="00AD51B0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9- krotnie</w:t>
            </w:r>
          </w:p>
        </w:tc>
        <w:tc>
          <w:tcPr>
            <w:tcW w:w="1206" w:type="dxa"/>
            <w:vAlign w:val="center"/>
          </w:tcPr>
          <w:p w14:paraId="551957E4" w14:textId="77777777" w:rsidR="00FA56EF" w:rsidRPr="00E87F78" w:rsidRDefault="00001866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778</w:t>
            </w:r>
          </w:p>
        </w:tc>
        <w:tc>
          <w:tcPr>
            <w:tcW w:w="1207" w:type="dxa"/>
            <w:vAlign w:val="center"/>
          </w:tcPr>
          <w:p w14:paraId="484D9E8B" w14:textId="77777777" w:rsidR="00FA56EF" w:rsidRPr="00FA5128" w:rsidRDefault="0000186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158,5</w:t>
            </w:r>
          </w:p>
        </w:tc>
      </w:tr>
      <w:tr w:rsidR="00FA56EF" w:rsidRPr="00FA5128" w14:paraId="3636EE5F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6B1CF4C6" w14:textId="77777777"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50E73EE6" w14:textId="77777777" w:rsidR="00FA56EF" w:rsidRPr="00A030E6" w:rsidRDefault="00E7128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296</w:t>
            </w:r>
          </w:p>
        </w:tc>
        <w:tc>
          <w:tcPr>
            <w:tcW w:w="1206" w:type="dxa"/>
            <w:vAlign w:val="center"/>
          </w:tcPr>
          <w:p w14:paraId="5264D7D8" w14:textId="77777777" w:rsidR="00FA56EF" w:rsidRPr="006E0C18" w:rsidRDefault="00213DF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198,7</w:t>
            </w:r>
          </w:p>
        </w:tc>
        <w:tc>
          <w:tcPr>
            <w:tcW w:w="1206" w:type="dxa"/>
            <w:vAlign w:val="center"/>
          </w:tcPr>
          <w:p w14:paraId="01B94E97" w14:textId="77777777" w:rsidR="00FA56EF" w:rsidRPr="00296F96" w:rsidRDefault="00E65538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3- krotnie</w:t>
            </w:r>
          </w:p>
        </w:tc>
        <w:tc>
          <w:tcPr>
            <w:tcW w:w="1206" w:type="dxa"/>
            <w:vAlign w:val="center"/>
          </w:tcPr>
          <w:p w14:paraId="3D08B785" w14:textId="77777777" w:rsidR="00FA56EF" w:rsidRPr="00E87F78" w:rsidRDefault="00001866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750</w:t>
            </w:r>
          </w:p>
        </w:tc>
        <w:tc>
          <w:tcPr>
            <w:tcW w:w="1207" w:type="dxa"/>
            <w:vAlign w:val="center"/>
          </w:tcPr>
          <w:p w14:paraId="127539CB" w14:textId="77777777" w:rsidR="00FA56EF" w:rsidRPr="009F4F41" w:rsidRDefault="0000186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140,7</w:t>
            </w:r>
          </w:p>
        </w:tc>
      </w:tr>
      <w:tr w:rsidR="00FA56EF" w:rsidRPr="00FA5128" w14:paraId="571079DA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7463933E" w14:textId="77777777"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2B149E79" w14:textId="77777777" w:rsidR="00FA56EF" w:rsidRPr="00A030E6" w:rsidRDefault="00213DF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06" w:type="dxa"/>
            <w:vAlign w:val="center"/>
          </w:tcPr>
          <w:p w14:paraId="51103FA1" w14:textId="77777777" w:rsidR="00FA56EF" w:rsidRPr="006E0C18" w:rsidRDefault="00213DF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16- </w:t>
            </w:r>
            <w:r w:rsidR="00F86535">
              <w:rPr>
                <w:rFonts w:cs="Arial"/>
                <w:color w:val="000000" w:themeColor="text1"/>
                <w:sz w:val="16"/>
                <w:szCs w:val="16"/>
              </w:rPr>
              <w:t>krotnie</w:t>
            </w:r>
          </w:p>
        </w:tc>
        <w:tc>
          <w:tcPr>
            <w:tcW w:w="1206" w:type="dxa"/>
            <w:vAlign w:val="center"/>
          </w:tcPr>
          <w:p w14:paraId="7765DBC0" w14:textId="77777777" w:rsidR="00FA56EF" w:rsidRPr="00296F96" w:rsidRDefault="00CB0CAC" w:rsidP="003D0B5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118,5</w:t>
            </w:r>
            <w:r w:rsidR="003D0B5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9AC53E8" w14:textId="77777777" w:rsidR="00FA56EF" w:rsidRPr="00E87F78" w:rsidRDefault="00001866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1207" w:type="dxa"/>
            <w:vAlign w:val="center"/>
          </w:tcPr>
          <w:p w14:paraId="031BA834" w14:textId="77777777" w:rsidR="00FA56EF" w:rsidRPr="009F4F41" w:rsidRDefault="0000186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169,3</w:t>
            </w:r>
          </w:p>
        </w:tc>
      </w:tr>
    </w:tbl>
    <w:p w14:paraId="2E1F8B6C" w14:textId="77777777" w:rsidR="00AC2B69" w:rsidRDefault="004D107E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lastRenderedPageBreak/>
        <w:t xml:space="preserve"> </w:t>
      </w:r>
    </w:p>
    <w:p w14:paraId="0B3475F2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769D71DE" w14:textId="77777777" w:rsidR="00833D4E" w:rsidRPr="00A54EC5" w:rsidRDefault="00C17251" w:rsidP="00A52737">
      <w:pPr>
        <w:spacing w:before="0" w:after="0"/>
        <w:rPr>
          <w:b/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752564C6">
                <wp:simplePos x="0" y="0"/>
                <wp:positionH relativeFrom="page">
                  <wp:posOffset>5762625</wp:posOffset>
                </wp:positionH>
                <wp:positionV relativeFrom="paragraph">
                  <wp:posOffset>4445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11C4" w14:textId="77777777" w:rsidR="007F1316" w:rsidRPr="002F1617" w:rsidRDefault="007F1316" w:rsidP="00A0335F">
                            <w:pPr>
                              <w:pStyle w:val="tekstzboku"/>
                              <w:spacing w:before="0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>z projektem budowlanym</w:t>
                            </w:r>
                            <w:r w:rsidR="00E93560" w:rsidRPr="0007222B">
                              <w:t>,</w:t>
                            </w:r>
                            <w:r w:rsidR="00D95100" w:rsidRPr="00DA0F32">
                              <w:t xml:space="preserve"> </w:t>
                            </w:r>
                            <w:r w:rsidR="001425F1" w:rsidRPr="002F1617">
                              <w:t>zmniejszyła się</w:t>
                            </w:r>
                            <w:r w:rsidR="00CE2C3A" w:rsidRPr="002F1617">
                              <w:t xml:space="preserve"> w </w:t>
                            </w:r>
                            <w:r w:rsidR="003E7C6E" w:rsidRPr="002F1617">
                              <w:t>okresie I-</w:t>
                            </w:r>
                            <w:r w:rsidR="00B17330" w:rsidRPr="002F1617">
                              <w:t>V</w:t>
                            </w:r>
                            <w:r w:rsidR="00115520" w:rsidRPr="002F1617">
                              <w:t>I</w:t>
                            </w:r>
                            <w:r w:rsidR="00CE2C3A" w:rsidRPr="002F1617">
                              <w:t xml:space="preserve"> 2019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>.</w:t>
                            </w:r>
                            <w:r w:rsidR="00115520" w:rsidRPr="002F1617">
                              <w:t xml:space="preserve"> o 2,5</w:t>
                            </w:r>
                            <w:r w:rsidR="00B43D8E" w:rsidRPr="002F1617">
                              <w:t>% 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2" type="#_x0000_t202" style="position:absolute;margin-left:453.75pt;margin-top:.3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" filled="f" stroked="f" strokeweight=".5pt">
                <v:textbox>
                  <w:txbxContent>
                    <w:p w14:paraId="6FF511C4" w14:textId="77777777" w:rsidR="007F1316" w:rsidRPr="002F1617" w:rsidRDefault="007F1316" w:rsidP="00A0335F">
                      <w:pPr>
                        <w:pStyle w:val="tekstzboku"/>
                        <w:spacing w:before="0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>z projektem budowlanym</w:t>
                      </w:r>
                      <w:r w:rsidR="00E93560" w:rsidRPr="0007222B">
                        <w:t>,</w:t>
                      </w:r>
                      <w:r w:rsidR="00D95100" w:rsidRPr="00DA0F32">
                        <w:t xml:space="preserve"> </w:t>
                      </w:r>
                      <w:r w:rsidR="001425F1" w:rsidRPr="002F1617">
                        <w:t>zmniejszyła się</w:t>
                      </w:r>
                      <w:r w:rsidR="00CE2C3A" w:rsidRPr="002F1617">
                        <w:t xml:space="preserve"> w </w:t>
                      </w:r>
                      <w:r w:rsidR="003E7C6E" w:rsidRPr="002F1617">
                        <w:t>okresie I-</w:t>
                      </w:r>
                      <w:r w:rsidR="00B17330" w:rsidRPr="002F1617">
                        <w:t>V</w:t>
                      </w:r>
                      <w:r w:rsidR="00115520" w:rsidRPr="002F1617">
                        <w:t>I</w:t>
                      </w:r>
                      <w:r w:rsidR="00CE2C3A" w:rsidRPr="002F1617">
                        <w:t xml:space="preserve"> 2019</w:t>
                      </w:r>
                      <w:r w:rsidR="008C1F33" w:rsidRPr="002F1617">
                        <w:t xml:space="preserve"> r</w:t>
                      </w:r>
                      <w:r w:rsidR="002F1617">
                        <w:t>.</w:t>
                      </w:r>
                      <w:r w:rsidR="00115520" w:rsidRPr="002F1617">
                        <w:t xml:space="preserve"> o 2,5</w:t>
                      </w:r>
                      <w:r w:rsidR="00B43D8E" w:rsidRPr="002F1617"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DA0F32">
        <w:rPr>
          <w:shd w:val="clear" w:color="auto" w:fill="FFFFFF"/>
        </w:rPr>
        <w:t xml:space="preserve">W </w:t>
      </w:r>
      <w:r w:rsidR="001425F1">
        <w:rPr>
          <w:shd w:val="clear" w:color="auto" w:fill="FFFFFF"/>
        </w:rPr>
        <w:t>pierwszym półroczu</w:t>
      </w:r>
      <w:r w:rsidR="00423192">
        <w:rPr>
          <w:shd w:val="clear" w:color="auto" w:fill="FFFFFF"/>
        </w:rPr>
        <w:t xml:space="preserve"> 2019</w:t>
      </w:r>
      <w:r w:rsidR="00AD3D25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r. wydano pozwolenia lub dokonano zgłoszenia</w:t>
      </w:r>
      <w:r w:rsidR="00F35845">
        <w:rPr>
          <w:shd w:val="clear" w:color="auto" w:fill="FFFFFF"/>
        </w:rPr>
        <w:t xml:space="preserve"> budowy</w:t>
      </w:r>
      <w:r w:rsidR="00A0335F" w:rsidRPr="00DA0F32">
        <w:rPr>
          <w:shd w:val="clear" w:color="auto" w:fill="FFFFFF"/>
        </w:rPr>
        <w:t xml:space="preserve"> </w:t>
      </w:r>
      <w:r w:rsidR="0047387B">
        <w:rPr>
          <w:shd w:val="clear" w:color="auto" w:fill="FFFFFF"/>
        </w:rPr>
        <w:t>128,7</w:t>
      </w:r>
      <w:r w:rsidR="00A0335F" w:rsidRPr="00DA0F32">
        <w:rPr>
          <w:shd w:val="clear" w:color="auto" w:fill="FFFFFF"/>
        </w:rPr>
        <w:t xml:space="preserve"> </w:t>
      </w:r>
      <w:r w:rsidR="00507D35" w:rsidRPr="00DA0F32">
        <w:rPr>
          <w:shd w:val="clear" w:color="auto" w:fill="FFFFFF"/>
        </w:rPr>
        <w:t xml:space="preserve">tys. </w:t>
      </w:r>
      <w:r w:rsidR="00350F22">
        <w:rPr>
          <w:shd w:val="clear" w:color="auto" w:fill="FFFFFF"/>
        </w:rPr>
        <w:t xml:space="preserve">mieszkań, tj. o </w:t>
      </w:r>
      <w:r w:rsidR="0047387B">
        <w:rPr>
          <w:shd w:val="clear" w:color="auto" w:fill="FFFFFF"/>
        </w:rPr>
        <w:t>2,5</w:t>
      </w:r>
      <w:r w:rsidR="00A0335F" w:rsidRPr="00DA0F32">
        <w:rPr>
          <w:shd w:val="clear" w:color="auto" w:fill="FFFFFF"/>
        </w:rPr>
        <w:t xml:space="preserve">% </w:t>
      </w:r>
      <w:r w:rsidR="00423192">
        <w:rPr>
          <w:shd w:val="clear" w:color="auto" w:fill="FFFFFF"/>
        </w:rPr>
        <w:t>mniej</w:t>
      </w:r>
      <w:r w:rsidR="00BC207E" w:rsidRPr="00DA0F32">
        <w:rPr>
          <w:shd w:val="clear" w:color="auto" w:fill="FFFFFF"/>
        </w:rPr>
        <w:t xml:space="preserve"> niż w analogicznym </w:t>
      </w:r>
      <w:r w:rsidR="006E76CB">
        <w:rPr>
          <w:shd w:val="clear" w:color="auto" w:fill="FFFFFF"/>
        </w:rPr>
        <w:t>okresie</w:t>
      </w:r>
      <w:r w:rsidR="00BC207E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AD3F41">
        <w:rPr>
          <w:shd w:val="clear" w:color="auto" w:fill="FFFFFF"/>
        </w:rPr>
        <w:t xml:space="preserve"> </w:t>
      </w:r>
      <w:r w:rsidR="007162C8" w:rsidRPr="00DA0F32">
        <w:rPr>
          <w:shd w:val="clear" w:color="auto" w:fill="FFFFFF"/>
        </w:rPr>
        <w:t xml:space="preserve">roku. </w:t>
      </w:r>
      <w:r w:rsidR="00A0335F" w:rsidRPr="00DA0F32">
        <w:rPr>
          <w:shd w:val="clear" w:color="auto" w:fill="FFFFFF"/>
        </w:rPr>
        <w:t>Pozwolenia na bud</w:t>
      </w:r>
      <w:r w:rsidR="006F4DB5" w:rsidRPr="00DA0F32">
        <w:rPr>
          <w:shd w:val="clear" w:color="auto" w:fill="FFFFFF"/>
        </w:rPr>
        <w:t>owę</w:t>
      </w:r>
      <w:r w:rsidR="00EB562E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największej liczby mieszkań otrzymali </w:t>
      </w:r>
      <w:r w:rsidR="00035886" w:rsidRPr="00035886">
        <w:rPr>
          <w:b/>
          <w:shd w:val="clear" w:color="auto" w:fill="FFFFFF"/>
        </w:rPr>
        <w:t>deweloperzy</w:t>
      </w:r>
      <w:r w:rsidR="00434C10" w:rsidRPr="00035886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47387B">
        <w:rPr>
          <w:shd w:val="clear" w:color="auto" w:fill="FFFFFF"/>
        </w:rPr>
        <w:t>77</w:t>
      </w:r>
      <w:r w:rsidR="00423192">
        <w:rPr>
          <w:shd w:val="clear" w:color="auto" w:fill="FFFFFF"/>
        </w:rPr>
        <w:t>,</w:t>
      </w:r>
      <w:r w:rsidR="00626112">
        <w:rPr>
          <w:shd w:val="clear" w:color="auto" w:fill="FFFFFF"/>
        </w:rPr>
        <w:t>7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) </w:t>
      </w:r>
      <w:r w:rsidR="00A0335F" w:rsidRPr="00DA0F32">
        <w:rPr>
          <w:shd w:val="clear" w:color="auto" w:fill="FFFFFF"/>
        </w:rPr>
        <w:t xml:space="preserve">oraz </w:t>
      </w:r>
      <w:r w:rsidR="00A0335F" w:rsidRPr="004B7867">
        <w:rPr>
          <w:shd w:val="clear" w:color="auto" w:fill="FFFFFF"/>
        </w:rPr>
        <w:t>inwestorzy</w:t>
      </w:r>
      <w:r w:rsidR="00A0335F" w:rsidRPr="00DA0F32">
        <w:rPr>
          <w:b/>
          <w:shd w:val="clear" w:color="auto" w:fill="FFFFFF"/>
        </w:rPr>
        <w:t xml:space="preserve"> indywidualn</w:t>
      </w:r>
      <w:r w:rsidR="00434C10" w:rsidRPr="00DA0F32">
        <w:rPr>
          <w:b/>
          <w:shd w:val="clear" w:color="auto" w:fill="FFFFFF"/>
        </w:rPr>
        <w:t>i</w:t>
      </w:r>
      <w:r w:rsidR="003531A5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47387B">
        <w:rPr>
          <w:shd w:val="clear" w:color="auto" w:fill="FFFFFF"/>
        </w:rPr>
        <w:t>48,7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>)</w:t>
      </w:r>
      <w:r w:rsidR="0034661C">
        <w:rPr>
          <w:shd w:val="clear" w:color="auto" w:fill="FFFFFF"/>
        </w:rPr>
        <w:t xml:space="preserve">, tj. odpowiednio o </w:t>
      </w:r>
      <w:r w:rsidR="0047387B">
        <w:rPr>
          <w:shd w:val="clear" w:color="auto" w:fill="FFFFFF"/>
        </w:rPr>
        <w:t>5,5</w:t>
      </w:r>
      <w:r w:rsidR="003531A5" w:rsidRPr="003531A5">
        <w:rPr>
          <w:shd w:val="clear" w:color="auto" w:fill="FFFFFF"/>
        </w:rPr>
        <w:t>%</w:t>
      </w:r>
      <w:r w:rsidR="00B43D8E">
        <w:rPr>
          <w:shd w:val="clear" w:color="auto" w:fill="FFFFFF"/>
        </w:rPr>
        <w:t xml:space="preserve"> mniej</w:t>
      </w:r>
      <w:r w:rsidR="003531A5" w:rsidRPr="003531A5">
        <w:rPr>
          <w:shd w:val="clear" w:color="auto" w:fill="FFFFFF"/>
        </w:rPr>
        <w:t xml:space="preserve"> </w:t>
      </w:r>
      <w:r w:rsidR="0047387B">
        <w:rPr>
          <w:shd w:val="clear" w:color="auto" w:fill="FFFFFF"/>
        </w:rPr>
        <w:t>i 4,6</w:t>
      </w:r>
      <w:r w:rsidR="003531A5" w:rsidRPr="003531A5">
        <w:rPr>
          <w:shd w:val="clear" w:color="auto" w:fill="FFFFFF"/>
        </w:rPr>
        <w:t xml:space="preserve">% </w:t>
      </w:r>
      <w:r w:rsidR="00B43D8E">
        <w:rPr>
          <w:shd w:val="clear" w:color="auto" w:fill="FFFFFF"/>
        </w:rPr>
        <w:t>więcej</w:t>
      </w:r>
      <w:r w:rsidR="003531A5">
        <w:rPr>
          <w:shd w:val="clear" w:color="auto" w:fill="FFFFFF"/>
        </w:rPr>
        <w:t xml:space="preserve"> niż w </w:t>
      </w:r>
      <w:r w:rsidR="00B43D8E">
        <w:rPr>
          <w:shd w:val="clear" w:color="auto" w:fill="FFFFFF"/>
        </w:rPr>
        <w:t>analogicznym okresie</w:t>
      </w:r>
      <w:r w:rsidR="00F04030">
        <w:rPr>
          <w:shd w:val="clear" w:color="auto" w:fill="FFFFFF"/>
        </w:rPr>
        <w:t xml:space="preserve"> 2018</w:t>
      </w:r>
      <w:r w:rsidR="00047CF8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r</w:t>
      </w:r>
      <w:r w:rsidR="00A0335F" w:rsidRPr="00DA0F32">
        <w:rPr>
          <w:shd w:val="clear" w:color="auto" w:fill="FFFFFF"/>
        </w:rPr>
        <w:t>.</w:t>
      </w:r>
      <w:r w:rsidR="00A0335F" w:rsidRPr="00DA0F32">
        <w:rPr>
          <w:b/>
          <w:shd w:val="clear" w:color="auto" w:fill="FFFFFF"/>
        </w:rPr>
        <w:t xml:space="preserve"> </w:t>
      </w:r>
      <w:r w:rsidR="00BF5111">
        <w:rPr>
          <w:shd w:val="clear" w:color="auto" w:fill="FFFFFF"/>
        </w:rPr>
        <w:t>Łącznie w </w:t>
      </w:r>
      <w:r w:rsidR="0094417D" w:rsidRPr="00DA0F32">
        <w:rPr>
          <w:shd w:val="clear" w:color="auto" w:fill="FFFFFF"/>
        </w:rPr>
        <w:t xml:space="preserve">ramach tych </w:t>
      </w:r>
      <w:r w:rsidR="005C764C" w:rsidRPr="00DA0F32">
        <w:rPr>
          <w:shd w:val="clear" w:color="auto" w:fill="FFFFFF"/>
        </w:rPr>
        <w:t xml:space="preserve">form budownictwa </w:t>
      </w:r>
      <w:r w:rsidR="009F0AF2" w:rsidRPr="00DA0F32">
        <w:rPr>
          <w:shd w:val="clear" w:color="auto" w:fill="FFFFFF"/>
        </w:rPr>
        <w:t>otrzymano pozwolenia lub dokonano</w:t>
      </w:r>
      <w:r w:rsidR="005C764C" w:rsidRPr="00DA0F32">
        <w:rPr>
          <w:shd w:val="clear" w:color="auto" w:fill="FFFFFF"/>
        </w:rPr>
        <w:t xml:space="preserve"> </w:t>
      </w:r>
      <w:r w:rsidR="00277F85" w:rsidRPr="00DA0F32">
        <w:rPr>
          <w:shd w:val="clear" w:color="auto" w:fill="FFFFFF"/>
        </w:rPr>
        <w:t>zgłoszenia</w:t>
      </w:r>
      <w:r w:rsidR="005C764C" w:rsidRPr="00DA0F32">
        <w:rPr>
          <w:shd w:val="clear" w:color="auto" w:fill="FFFFFF"/>
        </w:rPr>
        <w:t xml:space="preserve"> budowy </w:t>
      </w:r>
      <w:r w:rsidR="00A52737">
        <w:rPr>
          <w:shd w:val="clear" w:color="auto" w:fill="FFFFFF"/>
        </w:rPr>
        <w:t>z projektem budowlanym 98,2</w:t>
      </w:r>
      <w:r w:rsidR="005C764C" w:rsidRPr="00DA0F32">
        <w:rPr>
          <w:shd w:val="clear" w:color="auto" w:fill="FFFFFF"/>
        </w:rPr>
        <w:t>% ogółu mieszkań</w:t>
      </w:r>
      <w:r w:rsidR="001753B5" w:rsidRPr="00DA0F32">
        <w:rPr>
          <w:shd w:val="clear" w:color="auto" w:fill="FFFFFF"/>
        </w:rPr>
        <w:t>.</w:t>
      </w:r>
      <w:r w:rsidR="001753B5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>Mniej</w:t>
      </w:r>
      <w:r w:rsidR="001753B5" w:rsidRPr="007D1F83">
        <w:rPr>
          <w:shd w:val="clear" w:color="auto" w:fill="FFFFFF"/>
        </w:rPr>
        <w:t xml:space="preserve"> </w:t>
      </w:r>
      <w:r w:rsidR="001753B5" w:rsidRPr="00DA0F32">
        <w:rPr>
          <w:shd w:val="clear" w:color="auto" w:fill="FFFFFF"/>
        </w:rPr>
        <w:t xml:space="preserve">niż w </w:t>
      </w:r>
      <w:r w:rsidR="00B43D8E">
        <w:rPr>
          <w:shd w:val="clear" w:color="auto" w:fill="FFFFFF"/>
        </w:rPr>
        <w:t xml:space="preserve">okresie </w:t>
      </w:r>
      <w:r w:rsidR="00A52737">
        <w:rPr>
          <w:shd w:val="clear" w:color="auto" w:fill="FFFFFF"/>
        </w:rPr>
        <w:t>sześciu</w:t>
      </w:r>
      <w:r w:rsidR="00B43D8E">
        <w:rPr>
          <w:shd w:val="clear" w:color="auto" w:fill="FFFFFF"/>
        </w:rPr>
        <w:t xml:space="preserve"> miesięcy</w:t>
      </w:r>
      <w:r w:rsidR="0033641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CE2C3A">
        <w:rPr>
          <w:shd w:val="clear" w:color="auto" w:fill="FFFFFF"/>
        </w:rPr>
        <w:t xml:space="preserve"> roku </w:t>
      </w:r>
      <w:r w:rsidR="001753B5" w:rsidRPr="00DA0F32">
        <w:rPr>
          <w:shd w:val="clear" w:color="auto" w:fill="FFFFFF"/>
        </w:rPr>
        <w:t>odnotowano mieszkań</w:t>
      </w:r>
      <w:r w:rsidR="001753B5" w:rsidRPr="0007222B">
        <w:rPr>
          <w:shd w:val="clear" w:color="auto" w:fill="FFFFFF"/>
        </w:rPr>
        <w:t>, na których budowę wydano pozw</w:t>
      </w:r>
      <w:r w:rsidR="00756B32" w:rsidRPr="0007222B">
        <w:rPr>
          <w:shd w:val="clear" w:color="auto" w:fill="FFFFFF"/>
        </w:rPr>
        <w:t xml:space="preserve">olenia lub dokonano zgłoszenia </w:t>
      </w:r>
      <w:r w:rsidR="001753B5" w:rsidRPr="0007222B">
        <w:rPr>
          <w:shd w:val="clear" w:color="auto" w:fill="FFFFFF"/>
        </w:rPr>
        <w:t xml:space="preserve">z projektem budowlanym </w:t>
      </w:r>
      <w:r w:rsidR="001753B5" w:rsidRPr="00DA0F32">
        <w:rPr>
          <w:shd w:val="clear" w:color="auto" w:fill="FFFFFF"/>
        </w:rPr>
        <w:t>w budownictwie</w:t>
      </w:r>
      <w:r w:rsidR="001753B5" w:rsidRPr="00DA0F32">
        <w:rPr>
          <w:b/>
          <w:shd w:val="clear" w:color="auto" w:fill="FFFFFF"/>
        </w:rPr>
        <w:t xml:space="preserve"> spółdzielczym </w:t>
      </w:r>
      <w:r w:rsidR="001753B5" w:rsidRPr="00DA0F32">
        <w:rPr>
          <w:shd w:val="clear" w:color="auto" w:fill="FFFFFF"/>
        </w:rPr>
        <w:t>(</w:t>
      </w:r>
      <w:r w:rsidR="00A52737">
        <w:rPr>
          <w:shd w:val="clear" w:color="auto" w:fill="FFFFFF"/>
        </w:rPr>
        <w:t>867</w:t>
      </w:r>
      <w:r w:rsidR="001753B5" w:rsidRPr="007D1F83">
        <w:rPr>
          <w:shd w:val="clear" w:color="auto" w:fill="FFFFFF"/>
        </w:rPr>
        <w:t xml:space="preserve"> mieszkań </w:t>
      </w:r>
      <w:r w:rsidR="00A0335F" w:rsidRPr="007D1F83">
        <w:rPr>
          <w:shd w:val="clear" w:color="auto" w:fill="FFFFFF"/>
        </w:rPr>
        <w:t xml:space="preserve">wobec </w:t>
      </w:r>
      <w:r w:rsidR="00A52737">
        <w:rPr>
          <w:shd w:val="clear" w:color="auto" w:fill="FFFFFF"/>
        </w:rPr>
        <w:t>1026</w:t>
      </w:r>
      <w:r w:rsidR="001753B5" w:rsidRPr="00DA0F32">
        <w:rPr>
          <w:shd w:val="clear" w:color="auto" w:fill="FFFFFF"/>
        </w:rPr>
        <w:t>)</w:t>
      </w:r>
      <w:r w:rsidR="00A0335F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 xml:space="preserve">oraz </w:t>
      </w:r>
      <w:r w:rsidR="001753B5" w:rsidRPr="00B14E90">
        <w:rPr>
          <w:shd w:val="clear" w:color="auto" w:fill="FFFFFF"/>
        </w:rPr>
        <w:t>w</w:t>
      </w:r>
      <w:r w:rsidR="001753B5" w:rsidRPr="00DA0F32">
        <w:rPr>
          <w:b/>
          <w:shd w:val="clear" w:color="auto" w:fill="FFFFFF"/>
        </w:rPr>
        <w:t xml:space="preserve"> </w:t>
      </w:r>
      <w:r w:rsidR="00A0335F" w:rsidRPr="00DA0F32">
        <w:rPr>
          <w:b/>
          <w:shd w:val="clear" w:color="auto" w:fill="FFFFFF"/>
        </w:rPr>
        <w:t>p</w:t>
      </w:r>
      <w:r w:rsidR="001753B5" w:rsidRPr="00DA0F32">
        <w:rPr>
          <w:b/>
          <w:shd w:val="clear" w:color="auto" w:fill="FFFFFF"/>
        </w:rPr>
        <w:t xml:space="preserve">ozostałych formach </w:t>
      </w:r>
      <w:r w:rsidR="001753B5" w:rsidRPr="00DA0F32">
        <w:rPr>
          <w:shd w:val="clear" w:color="auto" w:fill="FFFFFF"/>
        </w:rPr>
        <w:t>budownictwa</w:t>
      </w:r>
      <w:r w:rsidR="001425F1">
        <w:rPr>
          <w:shd w:val="clear" w:color="auto" w:fill="FFFFFF"/>
        </w:rPr>
        <w:t xml:space="preserve"> </w:t>
      </w:r>
      <w:r w:rsidR="00A52737">
        <w:rPr>
          <w:shd w:val="clear" w:color="auto" w:fill="FFFFFF"/>
        </w:rPr>
        <w:t>(1438 wobec 2149).</w:t>
      </w:r>
    </w:p>
    <w:p w14:paraId="11265141" w14:textId="667883E2" w:rsidR="00EE66D9" w:rsidRPr="004D107E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3D8E" w:rsidRPr="00FA5128" w14:paraId="1E710D21" w14:textId="77777777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14:paraId="0607EAFB" w14:textId="77777777" w:rsidR="00B43D8E" w:rsidRPr="0030115B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8CE53C8" w14:textId="77777777" w:rsidR="00B43D8E" w:rsidRPr="00FA5128" w:rsidRDefault="00B43D8E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3D8E" w:rsidRPr="00FA5128" w14:paraId="123AD344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2116CFF" w14:textId="77777777"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18F73D1" w14:textId="77777777" w:rsidR="00B43D8E" w:rsidRPr="00FA5128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612F7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75AD219" w14:textId="77777777" w:rsidR="00B43D8E" w:rsidRPr="00FA5128" w:rsidRDefault="00A82472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0612F7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43D8E" w:rsidRPr="00FA5128" w14:paraId="7E06F3A0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5C7846F" w14:textId="77777777"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2308107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9D28FD6" w14:textId="77777777" w:rsidR="00B43D8E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612F7">
              <w:rPr>
                <w:color w:val="000000" w:themeColor="text1"/>
                <w:sz w:val="16"/>
                <w:szCs w:val="16"/>
              </w:rPr>
              <w:t>I</w:t>
            </w:r>
          </w:p>
          <w:p w14:paraId="3DE4B141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970D10D" w14:textId="77777777" w:rsidR="00B43D8E" w:rsidRDefault="00A82472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  <w:p w14:paraId="4810894F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D706E45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1D432D5A" w14:textId="77777777"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0612F7">
              <w:rPr>
                <w:color w:val="000000" w:themeColor="text1"/>
                <w:sz w:val="16"/>
                <w:szCs w:val="16"/>
              </w:rPr>
              <w:t>I</w:t>
            </w:r>
          </w:p>
          <w:p w14:paraId="352F98D5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3D8E" w:rsidRPr="00FA5128" w14:paraId="58CAF5CE" w14:textId="77777777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BBD2F91" w14:textId="77777777" w:rsidR="00B43D8E" w:rsidRPr="00FA5128" w:rsidRDefault="00B43D8E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3D6C3FD" w14:textId="77777777" w:rsidR="00B43D8E" w:rsidRPr="00FA5128" w:rsidRDefault="005943D2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</w:t>
            </w:r>
            <w:r w:rsidR="009C494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701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129938E" w14:textId="77777777" w:rsidR="00B43D8E" w:rsidRPr="00FA5128" w:rsidRDefault="005943D2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96,0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30E95D6" w14:textId="77777777" w:rsidR="00B43D8E" w:rsidRPr="00FA5128" w:rsidRDefault="005943D2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80,5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1971845" w14:textId="77777777" w:rsidR="00B43D8E" w:rsidRPr="00FA5128" w:rsidRDefault="006A0A6A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128</w:t>
            </w:r>
            <w:r w:rsidR="009C494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705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5C8AEDA0" w14:textId="77777777" w:rsidR="00B43D8E" w:rsidRPr="00FA5128" w:rsidRDefault="006A0A6A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97,5</w:t>
            </w:r>
          </w:p>
        </w:tc>
      </w:tr>
      <w:tr w:rsidR="00B43D8E" w:rsidRPr="00907546" w14:paraId="6C1062F6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D44C223" w14:textId="77777777"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1D8C4E8" w14:textId="77777777" w:rsidR="00B43D8E" w:rsidRPr="00FA5128" w:rsidRDefault="005943D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C494F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533</w:t>
            </w:r>
          </w:p>
        </w:tc>
        <w:tc>
          <w:tcPr>
            <w:tcW w:w="1206" w:type="dxa"/>
            <w:vAlign w:val="center"/>
          </w:tcPr>
          <w:p w14:paraId="0406CC6E" w14:textId="77777777" w:rsidR="00B43D8E" w:rsidRPr="00FA5128" w:rsidRDefault="005943D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95,4</w:t>
            </w:r>
          </w:p>
        </w:tc>
        <w:tc>
          <w:tcPr>
            <w:tcW w:w="1206" w:type="dxa"/>
            <w:vAlign w:val="center"/>
          </w:tcPr>
          <w:p w14:paraId="13DD4AC4" w14:textId="77777777" w:rsidR="00B43D8E" w:rsidRPr="00FA5128" w:rsidRDefault="005943D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89,4</w:t>
            </w:r>
          </w:p>
        </w:tc>
        <w:tc>
          <w:tcPr>
            <w:tcW w:w="1206" w:type="dxa"/>
            <w:vAlign w:val="center"/>
          </w:tcPr>
          <w:p w14:paraId="2B89FA86" w14:textId="77777777" w:rsidR="00B43D8E" w:rsidRPr="00907546" w:rsidRDefault="006A0A6A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48</w:t>
            </w:r>
            <w:r w:rsidR="009C494F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668</w:t>
            </w:r>
          </w:p>
        </w:tc>
        <w:tc>
          <w:tcPr>
            <w:tcW w:w="1207" w:type="dxa"/>
            <w:vAlign w:val="center"/>
          </w:tcPr>
          <w:p w14:paraId="675CBECB" w14:textId="77777777" w:rsidR="00B43D8E" w:rsidRPr="00907546" w:rsidRDefault="006A0A6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</w:tr>
      <w:tr w:rsidR="00B43D8E" w:rsidRPr="00FA5128" w14:paraId="221990F0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4BB162D0" w14:textId="77777777"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F28B1AE" w14:textId="77777777" w:rsidR="00B43D8E" w:rsidRPr="00FA5128" w:rsidRDefault="005943D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</w:t>
            </w:r>
            <w:r w:rsidR="009C494F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977</w:t>
            </w:r>
          </w:p>
        </w:tc>
        <w:tc>
          <w:tcPr>
            <w:tcW w:w="1206" w:type="dxa"/>
            <w:vAlign w:val="center"/>
          </w:tcPr>
          <w:p w14:paraId="0735648A" w14:textId="77777777" w:rsidR="00B43D8E" w:rsidRPr="00FA5128" w:rsidRDefault="00B126F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1206" w:type="dxa"/>
            <w:vAlign w:val="center"/>
          </w:tcPr>
          <w:p w14:paraId="265EAD38" w14:textId="77777777" w:rsidR="00B43D8E" w:rsidRPr="00FA5128" w:rsidRDefault="00B126F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77,5</w:t>
            </w:r>
          </w:p>
        </w:tc>
        <w:tc>
          <w:tcPr>
            <w:tcW w:w="1206" w:type="dxa"/>
            <w:vAlign w:val="center"/>
          </w:tcPr>
          <w:p w14:paraId="192801D5" w14:textId="77777777" w:rsidR="00B43D8E" w:rsidRPr="008A1C80" w:rsidRDefault="006A0A6A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77</w:t>
            </w:r>
            <w:r w:rsidR="009C494F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732</w:t>
            </w:r>
          </w:p>
        </w:tc>
        <w:tc>
          <w:tcPr>
            <w:tcW w:w="1207" w:type="dxa"/>
            <w:vAlign w:val="center"/>
          </w:tcPr>
          <w:p w14:paraId="2EDAFC9B" w14:textId="77777777" w:rsidR="00B43D8E" w:rsidRPr="00FA5128" w:rsidRDefault="006A0A6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94,5</w:t>
            </w:r>
          </w:p>
        </w:tc>
      </w:tr>
      <w:tr w:rsidR="00B43D8E" w:rsidRPr="00FA5128" w14:paraId="3207EB22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49DA1DBB" w14:textId="77777777" w:rsidR="00B43D8E" w:rsidRPr="00C41764" w:rsidRDefault="00B43D8E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FB360E8" w14:textId="77777777" w:rsidR="00B43D8E" w:rsidRPr="00FA5128" w:rsidRDefault="00B126F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06" w:type="dxa"/>
            <w:vAlign w:val="center"/>
          </w:tcPr>
          <w:p w14:paraId="2F99732F" w14:textId="77777777" w:rsidR="00B43D8E" w:rsidRPr="00FA5128" w:rsidRDefault="00B126F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26,5</w:t>
            </w:r>
          </w:p>
        </w:tc>
        <w:tc>
          <w:tcPr>
            <w:tcW w:w="1206" w:type="dxa"/>
            <w:vAlign w:val="center"/>
          </w:tcPr>
          <w:p w14:paraId="2CE48FD1" w14:textId="77777777" w:rsidR="00B43D8E" w:rsidRPr="00E102B7" w:rsidRDefault="00B126F2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40,5</w:t>
            </w:r>
          </w:p>
        </w:tc>
        <w:tc>
          <w:tcPr>
            <w:tcW w:w="1206" w:type="dxa"/>
            <w:vAlign w:val="center"/>
          </w:tcPr>
          <w:p w14:paraId="576E122D" w14:textId="77777777" w:rsidR="00B43D8E" w:rsidRPr="00C230EE" w:rsidRDefault="006A0A6A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1207" w:type="dxa"/>
            <w:vAlign w:val="center"/>
          </w:tcPr>
          <w:p w14:paraId="34BC2C9A" w14:textId="77777777" w:rsidR="00B43D8E" w:rsidRPr="00FA5128" w:rsidRDefault="006A0A6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84,5</w:t>
            </w:r>
          </w:p>
        </w:tc>
      </w:tr>
      <w:tr w:rsidR="00B43D8E" w:rsidRPr="00FA5128" w14:paraId="48F661E1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4D4535C" w14:textId="77777777" w:rsidR="00B43D8E" w:rsidRPr="00C41764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08EF2BA" w14:textId="77777777" w:rsidR="00B43D8E" w:rsidRPr="00FA5128" w:rsidRDefault="007E713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06" w:type="dxa"/>
            <w:vAlign w:val="center"/>
          </w:tcPr>
          <w:p w14:paraId="57027840" w14:textId="77777777" w:rsidR="00B43D8E" w:rsidRPr="00FA5128" w:rsidRDefault="007E713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24,2</w:t>
            </w:r>
          </w:p>
        </w:tc>
        <w:tc>
          <w:tcPr>
            <w:tcW w:w="1206" w:type="dxa"/>
            <w:vAlign w:val="center"/>
          </w:tcPr>
          <w:p w14:paraId="14CC0F50" w14:textId="77777777" w:rsidR="00B43D8E" w:rsidRPr="00E102B7" w:rsidRDefault="007E713F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1206" w:type="dxa"/>
            <w:vAlign w:val="center"/>
          </w:tcPr>
          <w:p w14:paraId="73741E4A" w14:textId="77777777" w:rsidR="00B43D8E" w:rsidRPr="00E87F78" w:rsidRDefault="006A0A6A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1207" w:type="dxa"/>
            <w:vAlign w:val="center"/>
          </w:tcPr>
          <w:p w14:paraId="48BAFFDB" w14:textId="77777777" w:rsidR="00B43D8E" w:rsidRPr="00FA5128" w:rsidRDefault="006A0A6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125,5</w:t>
            </w:r>
          </w:p>
        </w:tc>
      </w:tr>
      <w:tr w:rsidR="00B43D8E" w:rsidRPr="009F4F41" w14:paraId="0B881FAD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2F15CF1A" w14:textId="77777777"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2B6F488" w14:textId="77777777" w:rsidR="00B43D8E" w:rsidRPr="00A030E6" w:rsidRDefault="007E713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206" w:type="dxa"/>
            <w:vAlign w:val="center"/>
          </w:tcPr>
          <w:p w14:paraId="6FCFE84F" w14:textId="77777777" w:rsidR="00B43D8E" w:rsidRPr="006E0C18" w:rsidRDefault="007E713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140,7</w:t>
            </w:r>
          </w:p>
        </w:tc>
        <w:tc>
          <w:tcPr>
            <w:tcW w:w="1206" w:type="dxa"/>
            <w:vAlign w:val="center"/>
          </w:tcPr>
          <w:p w14:paraId="161015EA" w14:textId="77777777" w:rsidR="00B43D8E" w:rsidRPr="00296F96" w:rsidRDefault="007E713F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3- krotnie</w:t>
            </w:r>
          </w:p>
        </w:tc>
        <w:tc>
          <w:tcPr>
            <w:tcW w:w="1206" w:type="dxa"/>
            <w:vAlign w:val="center"/>
          </w:tcPr>
          <w:p w14:paraId="02256530" w14:textId="77777777" w:rsidR="00B43D8E" w:rsidRPr="00E87F78" w:rsidRDefault="006A0A6A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390</w:t>
            </w:r>
          </w:p>
        </w:tc>
        <w:tc>
          <w:tcPr>
            <w:tcW w:w="1207" w:type="dxa"/>
            <w:vAlign w:val="center"/>
          </w:tcPr>
          <w:p w14:paraId="6FA7983C" w14:textId="77777777" w:rsidR="00B43D8E" w:rsidRPr="009F4F41" w:rsidRDefault="006A0A6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26,8</w:t>
            </w:r>
          </w:p>
        </w:tc>
      </w:tr>
      <w:tr w:rsidR="00B43D8E" w:rsidRPr="009F4F41" w14:paraId="07A5E6D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0033ED38" w14:textId="77777777"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632027C0" w14:textId="77777777" w:rsidR="00B43D8E" w:rsidRPr="00A030E6" w:rsidRDefault="00DE3D51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63A1E99C" w14:textId="77777777" w:rsidR="00B43D8E" w:rsidRPr="006D4BD3" w:rsidRDefault="007A5CB7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A5CB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558BED5F" w14:textId="77777777" w:rsidR="00B43D8E" w:rsidRPr="006D4BD3" w:rsidRDefault="00DE3D51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741E3E55" w14:textId="77777777" w:rsidR="00B43D8E" w:rsidRPr="00E87F78" w:rsidRDefault="007D6D55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D6D55">
              <w:rPr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1207" w:type="dxa"/>
            <w:vAlign w:val="center"/>
          </w:tcPr>
          <w:p w14:paraId="474A4780" w14:textId="77777777" w:rsidR="00B43D8E" w:rsidRPr="009F4F41" w:rsidRDefault="006A0A6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31</w:t>
            </w:r>
            <w:r w:rsidR="006B14C5">
              <w:rPr>
                <w:rFonts w:cs="Arial"/>
                <w:sz w:val="16"/>
                <w:szCs w:val="16"/>
              </w:rPr>
              <w:t>-krotnie</w:t>
            </w:r>
          </w:p>
        </w:tc>
      </w:tr>
    </w:tbl>
    <w:p w14:paraId="0294E0A8" w14:textId="77777777" w:rsidR="00833D4E" w:rsidRPr="00DA0F32" w:rsidRDefault="00833D4E" w:rsidP="00F113BA">
      <w:pPr>
        <w:rPr>
          <w:strike/>
          <w:shd w:val="clear" w:color="auto" w:fill="FFFFFF"/>
        </w:rPr>
      </w:pPr>
    </w:p>
    <w:p w14:paraId="247B42C2" w14:textId="77777777" w:rsidR="00833D4E" w:rsidRDefault="00833D4E" w:rsidP="00336412">
      <w:pPr>
        <w:spacing w:before="240"/>
        <w:rPr>
          <w:noProof/>
          <w:lang w:eastAsia="pl-PL"/>
        </w:rPr>
      </w:pPr>
    </w:p>
    <w:p w14:paraId="27BCC906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1078ACAC" w14:textId="08352667" w:rsidR="004B628B" w:rsidRDefault="004D06AC" w:rsidP="00C92A18">
      <w:pPr>
        <w:spacing w:before="240"/>
        <w:rPr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3697FBA3" wp14:editId="7F9D71DB">
                <wp:simplePos x="0" y="0"/>
                <wp:positionH relativeFrom="column">
                  <wp:posOffset>5250815</wp:posOffset>
                </wp:positionH>
                <wp:positionV relativeFrom="paragraph">
                  <wp:posOffset>82550</wp:posOffset>
                </wp:positionV>
                <wp:extent cx="1717675" cy="785495"/>
                <wp:effectExtent l="0" t="0" r="0" b="0"/>
                <wp:wrapTight wrapText="bothSides">
                  <wp:wrapPolygon edited="0">
                    <wp:start x="719" y="0"/>
                    <wp:lineTo x="719" y="20954"/>
                    <wp:lineTo x="20841" y="20954"/>
                    <wp:lineTo x="20841" y="0"/>
                    <wp:lineTo x="719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785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50EAB" w14:textId="77777777" w:rsidR="00EB562E" w:rsidRPr="005C16BE" w:rsidRDefault="00EB562E" w:rsidP="00EB562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DA0F32">
                              <w:t>Liczba mieszkań, których budowę rozpoczęto</w:t>
                            </w:r>
                            <w:r w:rsidRPr="00DA0F32">
                              <w:rPr>
                                <w:bCs w:val="0"/>
                              </w:rPr>
                              <w:t xml:space="preserve"> </w:t>
                            </w:r>
                            <w:r w:rsidR="00E02918">
                              <w:rPr>
                                <w:bCs w:val="0"/>
                              </w:rPr>
                              <w:t>wzrosła</w:t>
                            </w:r>
                            <w:r w:rsidR="00336412">
                              <w:rPr>
                                <w:bCs w:val="0"/>
                              </w:rPr>
                              <w:t xml:space="preserve"> w </w:t>
                            </w:r>
                            <w:r w:rsidR="00E02918">
                              <w:rPr>
                                <w:bCs w:val="0"/>
                              </w:rPr>
                              <w:t>okresi</w:t>
                            </w:r>
                            <w:r w:rsidR="00D84B34">
                              <w:rPr>
                                <w:bCs w:val="0"/>
                              </w:rPr>
                              <w:t>e</w:t>
                            </w:r>
                            <w:r w:rsidR="00B45CB8">
                              <w:rPr>
                                <w:bCs w:val="0"/>
                              </w:rPr>
                              <w:t xml:space="preserve"> sześciu miesięcy 2019 r</w:t>
                            </w:r>
                            <w:r w:rsidR="002F1617">
                              <w:rPr>
                                <w:bCs w:val="0"/>
                              </w:rPr>
                              <w:t xml:space="preserve">. </w:t>
                            </w:r>
                            <w:r w:rsidR="00B45CB8">
                              <w:rPr>
                                <w:bCs w:val="0"/>
                              </w:rPr>
                              <w:t>o 1</w:t>
                            </w:r>
                            <w:r w:rsidR="007E76BE">
                              <w:rPr>
                                <w:bCs w:val="0"/>
                              </w:rPr>
                              <w:t>,5</w:t>
                            </w:r>
                            <w:r w:rsidR="00D766FB">
                              <w:rPr>
                                <w:bCs w:val="0"/>
                              </w:rPr>
                              <w:t>% r/r</w:t>
                            </w:r>
                            <w:r w:rsidR="00525FB7" w:rsidRPr="00DA0F32">
                              <w:rPr>
                                <w:bCs w:val="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7FBA3" id="_x0000_s1033" type="#_x0000_t202" style="position:absolute;margin-left:413.45pt;margin-top:6.5pt;width:135.25pt;height:61.8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" filled="f" stroked="f">
                <v:textbox>
                  <w:txbxContent>
                    <w:p w14:paraId="43D50EAB" w14:textId="77777777" w:rsidR="00EB562E" w:rsidRPr="005C16BE" w:rsidRDefault="00EB562E" w:rsidP="00EB562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DA0F32">
                        <w:t>Liczba mieszkań, których budowę rozpoczęto</w:t>
                      </w:r>
                      <w:r w:rsidRPr="00DA0F32">
                        <w:rPr>
                          <w:bCs w:val="0"/>
                        </w:rPr>
                        <w:t xml:space="preserve"> </w:t>
                      </w:r>
                      <w:r w:rsidR="00E02918">
                        <w:rPr>
                          <w:bCs w:val="0"/>
                        </w:rPr>
                        <w:t>wzrosła</w:t>
                      </w:r>
                      <w:r w:rsidR="00336412">
                        <w:rPr>
                          <w:bCs w:val="0"/>
                        </w:rPr>
                        <w:t xml:space="preserve"> w </w:t>
                      </w:r>
                      <w:r w:rsidR="00E02918">
                        <w:rPr>
                          <w:bCs w:val="0"/>
                        </w:rPr>
                        <w:t>okresi</w:t>
                      </w:r>
                      <w:r w:rsidR="00D84B34">
                        <w:rPr>
                          <w:bCs w:val="0"/>
                        </w:rPr>
                        <w:t>e</w:t>
                      </w:r>
                      <w:r w:rsidR="00B45CB8">
                        <w:rPr>
                          <w:bCs w:val="0"/>
                        </w:rPr>
                        <w:t xml:space="preserve"> sześciu miesięcy 2019 r</w:t>
                      </w:r>
                      <w:r w:rsidR="002F1617">
                        <w:rPr>
                          <w:bCs w:val="0"/>
                        </w:rPr>
                        <w:t xml:space="preserve">. </w:t>
                      </w:r>
                      <w:r w:rsidR="00B45CB8">
                        <w:rPr>
                          <w:bCs w:val="0"/>
                        </w:rPr>
                        <w:t>o 1</w:t>
                      </w:r>
                      <w:r w:rsidR="007E76BE">
                        <w:rPr>
                          <w:bCs w:val="0"/>
                        </w:rPr>
                        <w:t>,5</w:t>
                      </w:r>
                      <w:r w:rsidR="00D766FB">
                        <w:rPr>
                          <w:bCs w:val="0"/>
                        </w:rPr>
                        <w:t>% r/r</w:t>
                      </w:r>
                      <w:r w:rsidR="00525FB7" w:rsidRPr="00DA0F32">
                        <w:rPr>
                          <w:bCs w:val="0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105D">
        <w:rPr>
          <w:noProof/>
          <w:lang w:eastAsia="pl-PL"/>
        </w:rPr>
        <w:t xml:space="preserve">W </w:t>
      </w:r>
      <w:r w:rsidR="009821A0">
        <w:rPr>
          <w:noProof/>
          <w:lang w:eastAsia="pl-PL"/>
        </w:rPr>
        <w:t xml:space="preserve">okresie </w:t>
      </w:r>
      <w:r w:rsidR="00164CF6">
        <w:rPr>
          <w:noProof/>
          <w:lang w:eastAsia="pl-PL"/>
        </w:rPr>
        <w:t>styczeń-</w:t>
      </w:r>
      <w:r w:rsidR="00427640">
        <w:rPr>
          <w:noProof/>
          <w:lang w:eastAsia="pl-PL"/>
        </w:rPr>
        <w:t>czerwiec</w:t>
      </w:r>
      <w:r w:rsidR="00B7105D">
        <w:rPr>
          <w:noProof/>
          <w:lang w:eastAsia="pl-PL"/>
        </w:rPr>
        <w:t xml:space="preserve"> 2019</w:t>
      </w:r>
      <w:r w:rsidR="00434C10" w:rsidRPr="00DA0F32">
        <w:rPr>
          <w:noProof/>
          <w:lang w:eastAsia="pl-PL"/>
        </w:rPr>
        <w:t xml:space="preserve"> r. rozpoczęto budowę</w:t>
      </w:r>
      <w:r w:rsidR="00427640">
        <w:rPr>
          <w:noProof/>
          <w:lang w:eastAsia="pl-PL"/>
        </w:rPr>
        <w:t xml:space="preserve"> 115</w:t>
      </w:r>
      <w:r w:rsidR="00D84B34">
        <w:rPr>
          <w:shd w:val="clear" w:color="auto" w:fill="FFFFFF"/>
        </w:rPr>
        <w:t>,</w:t>
      </w:r>
      <w:r w:rsidR="003E7C6E">
        <w:rPr>
          <w:shd w:val="clear" w:color="auto" w:fill="FFFFFF"/>
        </w:rPr>
        <w:t>4</w:t>
      </w:r>
      <w:r w:rsidR="00237327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 mieszkań</w:t>
      </w:r>
      <w:r w:rsidR="007162C8" w:rsidRPr="00DA0F32">
        <w:rPr>
          <w:shd w:val="clear" w:color="auto" w:fill="FFFFFF"/>
        </w:rPr>
        <w:t xml:space="preserve">, tj. o </w:t>
      </w:r>
      <w:r w:rsidR="009218D1">
        <w:rPr>
          <w:shd w:val="clear" w:color="auto" w:fill="FFFFFF"/>
        </w:rPr>
        <w:t>1</w:t>
      </w:r>
      <w:r w:rsidR="003C0165" w:rsidRPr="00DA0F32">
        <w:rPr>
          <w:shd w:val="clear" w:color="auto" w:fill="FFFFFF"/>
        </w:rPr>
        <w:t>,</w:t>
      </w:r>
      <w:r w:rsidR="003E7C6E">
        <w:rPr>
          <w:shd w:val="clear" w:color="auto" w:fill="FFFFFF"/>
        </w:rPr>
        <w:t>5</w:t>
      </w:r>
      <w:r w:rsidR="00195C5A">
        <w:rPr>
          <w:shd w:val="clear" w:color="auto" w:fill="FFFFFF"/>
        </w:rPr>
        <w:t>%</w:t>
      </w:r>
      <w:r w:rsidR="007162C8" w:rsidRPr="00DA0F32">
        <w:rPr>
          <w:shd w:val="clear" w:color="auto" w:fill="FFFFFF"/>
        </w:rPr>
        <w:t xml:space="preserve"> </w:t>
      </w:r>
      <w:r w:rsidR="009821A0">
        <w:rPr>
          <w:shd w:val="clear" w:color="auto" w:fill="FFFFFF"/>
        </w:rPr>
        <w:t>więcej</w:t>
      </w:r>
      <w:r w:rsidR="00B678B9">
        <w:rPr>
          <w:shd w:val="clear" w:color="auto" w:fill="FFFFFF"/>
        </w:rPr>
        <w:t xml:space="preserve"> niż w </w:t>
      </w:r>
      <w:r w:rsidR="002A3E41" w:rsidRPr="00DA0F32">
        <w:rPr>
          <w:shd w:val="clear" w:color="auto" w:fill="FFFFFF"/>
        </w:rPr>
        <w:t>analo</w:t>
      </w:r>
      <w:r w:rsidR="00434C10" w:rsidRPr="00DA0F32">
        <w:rPr>
          <w:shd w:val="clear" w:color="auto" w:fill="FFFFFF"/>
        </w:rPr>
        <w:t xml:space="preserve">gicznym </w:t>
      </w:r>
      <w:r w:rsidR="009821A0">
        <w:rPr>
          <w:shd w:val="clear" w:color="auto" w:fill="FFFFFF"/>
        </w:rPr>
        <w:t>okresie</w:t>
      </w:r>
      <w:r w:rsidR="00434C10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434C10" w:rsidRPr="00DA0F32">
        <w:rPr>
          <w:shd w:val="clear" w:color="auto" w:fill="FFFFFF"/>
        </w:rPr>
        <w:t xml:space="preserve"> roku. </w:t>
      </w:r>
      <w:r w:rsidR="00434C10" w:rsidRPr="00DA0F32">
        <w:rPr>
          <w:b/>
          <w:shd w:val="clear" w:color="auto" w:fill="FFFFFF"/>
        </w:rPr>
        <w:t>D</w:t>
      </w:r>
      <w:r w:rsidR="00EB562E" w:rsidRPr="00DA0F32">
        <w:rPr>
          <w:b/>
          <w:shd w:val="clear" w:color="auto" w:fill="FFFFFF"/>
        </w:rPr>
        <w:t>eweloperzy</w:t>
      </w:r>
      <w:r w:rsidR="00EB562E" w:rsidRPr="00DA0F32">
        <w:rPr>
          <w:shd w:val="clear" w:color="auto" w:fill="FFFFFF"/>
        </w:rPr>
        <w:t xml:space="preserve"> rozpoczęli budowę </w:t>
      </w:r>
      <w:r w:rsidR="009218D1">
        <w:rPr>
          <w:shd w:val="clear" w:color="auto" w:fill="FFFFFF"/>
        </w:rPr>
        <w:t>66,6</w:t>
      </w:r>
      <w:r w:rsidR="00237327" w:rsidRPr="00DA0F32">
        <w:rPr>
          <w:shd w:val="clear" w:color="auto" w:fill="FFFFFF"/>
        </w:rPr>
        <w:t xml:space="preserve"> tys.</w:t>
      </w:r>
      <w:r w:rsidR="008F4B57" w:rsidRPr="00DA0F32">
        <w:rPr>
          <w:shd w:val="clear" w:color="auto" w:fill="FFFFFF"/>
        </w:rPr>
        <w:t xml:space="preserve"> mieszkań,</w:t>
      </w:r>
      <w:r w:rsidR="002F1617">
        <w:rPr>
          <w:shd w:val="clear" w:color="auto" w:fill="FFFFFF"/>
        </w:rPr>
        <w:t xml:space="preserve"> a </w:t>
      </w:r>
      <w:r w:rsidR="00EB562E" w:rsidRPr="004B7867">
        <w:rPr>
          <w:shd w:val="clear" w:color="auto" w:fill="FFFFFF"/>
        </w:rPr>
        <w:t>inwestorzy</w:t>
      </w:r>
      <w:r w:rsidR="00EB562E" w:rsidRPr="00DA0F32">
        <w:rPr>
          <w:b/>
          <w:shd w:val="clear" w:color="auto" w:fill="FFFFFF"/>
        </w:rPr>
        <w:t xml:space="preserve"> indywidualni </w:t>
      </w:r>
      <w:r w:rsidR="009218D1">
        <w:rPr>
          <w:shd w:val="clear" w:color="auto" w:fill="FFFFFF"/>
        </w:rPr>
        <w:t>46,1</w:t>
      </w:r>
      <w:r w:rsidR="00237327" w:rsidRPr="00DA0F32">
        <w:rPr>
          <w:shd w:val="clear" w:color="auto" w:fill="FFFFFF"/>
        </w:rPr>
        <w:t xml:space="preserve"> tys.</w:t>
      </w:r>
      <w:r w:rsidR="00682331" w:rsidRPr="00DA0F32">
        <w:rPr>
          <w:shd w:val="clear" w:color="auto" w:fill="FFFFFF"/>
        </w:rPr>
        <w:t>, czyli</w:t>
      </w:r>
      <w:r w:rsidR="00B36B4D" w:rsidRPr="00DA0F32">
        <w:rPr>
          <w:shd w:val="clear" w:color="auto" w:fill="FFFFFF"/>
        </w:rPr>
        <w:t xml:space="preserve"> </w:t>
      </w:r>
      <w:r w:rsidR="00682331" w:rsidRPr="00DA0F32">
        <w:rPr>
          <w:shd w:val="clear" w:color="auto" w:fill="FFFFFF"/>
        </w:rPr>
        <w:t>ł</w:t>
      </w:r>
      <w:r w:rsidR="008F4B57" w:rsidRPr="00DA0F32">
        <w:rPr>
          <w:shd w:val="clear" w:color="auto" w:fill="FFFFFF"/>
        </w:rPr>
        <w:t>ącznie 97</w:t>
      </w:r>
      <w:r w:rsidR="009218D1">
        <w:rPr>
          <w:shd w:val="clear" w:color="auto" w:fill="FFFFFF"/>
        </w:rPr>
        <w:t>,6</w:t>
      </w:r>
      <w:r w:rsidR="00B36B4D" w:rsidRPr="00DA0F32">
        <w:rPr>
          <w:shd w:val="clear" w:color="auto" w:fill="FFFFFF"/>
        </w:rPr>
        <w:t xml:space="preserve">% </w:t>
      </w:r>
      <w:r w:rsidR="00DD4E61">
        <w:rPr>
          <w:shd w:val="clear" w:color="auto" w:fill="FFFFFF"/>
        </w:rPr>
        <w:t>og</w:t>
      </w:r>
      <w:r w:rsidR="009821A0">
        <w:rPr>
          <w:shd w:val="clear" w:color="auto" w:fill="FFFFFF"/>
        </w:rPr>
        <w:t>ólnej liczby mieszkań.</w:t>
      </w:r>
      <w:r w:rsidR="00E02918">
        <w:rPr>
          <w:shd w:val="clear" w:color="auto" w:fill="FFFFFF"/>
        </w:rPr>
        <w:t xml:space="preserve"> Z</w:t>
      </w:r>
      <w:r w:rsidR="00F04030">
        <w:rPr>
          <w:shd w:val="clear" w:color="auto" w:fill="FFFFFF"/>
        </w:rPr>
        <w:t>arówno w</w:t>
      </w:r>
      <w:r w:rsidR="002F1617">
        <w:rPr>
          <w:shd w:val="clear" w:color="auto" w:fill="FFFFFF"/>
        </w:rPr>
        <w:t> </w:t>
      </w:r>
      <w:r w:rsidR="00F04030">
        <w:rPr>
          <w:shd w:val="clear" w:color="auto" w:fill="FFFFFF"/>
        </w:rPr>
        <w:t>budownictwie przeznaczonym na sprzedaż lub wynajem</w:t>
      </w:r>
      <w:r w:rsidR="009665D3" w:rsidRPr="004E0216">
        <w:rPr>
          <w:shd w:val="clear" w:color="auto" w:fill="FFFFFF"/>
        </w:rPr>
        <w:t>,</w:t>
      </w:r>
      <w:r w:rsidR="00DD4E61" w:rsidRPr="004E0216">
        <w:rPr>
          <w:shd w:val="clear" w:color="auto" w:fill="FFFFFF"/>
        </w:rPr>
        <w:t xml:space="preserve"> </w:t>
      </w:r>
      <w:r w:rsidR="00DD4E61">
        <w:rPr>
          <w:shd w:val="clear" w:color="auto" w:fill="FFFFFF"/>
        </w:rPr>
        <w:t xml:space="preserve">jak </w:t>
      </w:r>
      <w:r w:rsidR="00833D4E">
        <w:rPr>
          <w:shd w:val="clear" w:color="auto" w:fill="FFFFFF"/>
        </w:rPr>
        <w:t>i w budownictwie indywidualny</w:t>
      </w:r>
      <w:r w:rsidR="00247C71">
        <w:rPr>
          <w:shd w:val="clear" w:color="auto" w:fill="FFFFFF"/>
        </w:rPr>
        <w:t>m</w:t>
      </w:r>
      <w:r w:rsidR="00F04030">
        <w:rPr>
          <w:shd w:val="clear" w:color="auto" w:fill="FFFFFF"/>
        </w:rPr>
        <w:t xml:space="preserve"> </w:t>
      </w:r>
      <w:r w:rsidR="00F04030" w:rsidRPr="00B14B8C">
        <w:rPr>
          <w:shd w:val="clear" w:color="auto" w:fill="FFFFFF"/>
        </w:rPr>
        <w:t xml:space="preserve">odnotowano </w:t>
      </w:r>
      <w:r w:rsidR="00E02918">
        <w:rPr>
          <w:shd w:val="clear" w:color="auto" w:fill="FFFFFF"/>
        </w:rPr>
        <w:t>wzrosty</w:t>
      </w:r>
      <w:r w:rsidR="00F04030">
        <w:rPr>
          <w:shd w:val="clear" w:color="auto" w:fill="FFFFFF"/>
        </w:rPr>
        <w:t xml:space="preserve"> odpowiednio</w:t>
      </w:r>
      <w:r w:rsidR="00347DB2">
        <w:rPr>
          <w:shd w:val="clear" w:color="auto" w:fill="FFFFFF"/>
        </w:rPr>
        <w:t xml:space="preserve"> o</w:t>
      </w:r>
      <w:r w:rsidR="00F04030">
        <w:rPr>
          <w:shd w:val="clear" w:color="auto" w:fill="FFFFFF"/>
        </w:rPr>
        <w:t xml:space="preserve"> </w:t>
      </w:r>
      <w:r w:rsidR="009218D1">
        <w:rPr>
          <w:shd w:val="clear" w:color="auto" w:fill="FFFFFF"/>
        </w:rPr>
        <w:t>0,3</w:t>
      </w:r>
      <w:r w:rsidR="00F4008D" w:rsidRPr="00F4008D">
        <w:rPr>
          <w:shd w:val="clear" w:color="auto" w:fill="FFFFFF"/>
        </w:rPr>
        <w:t>%</w:t>
      </w:r>
      <w:r w:rsidR="00F4008D" w:rsidRPr="0061791A">
        <w:rPr>
          <w:shd w:val="clear" w:color="auto" w:fill="FFFFFF"/>
        </w:rPr>
        <w:t xml:space="preserve"> </w:t>
      </w:r>
      <w:r w:rsidR="009218D1">
        <w:rPr>
          <w:shd w:val="clear" w:color="auto" w:fill="FFFFFF"/>
        </w:rPr>
        <w:t>i 3,0</w:t>
      </w:r>
      <w:r w:rsidR="00247C71">
        <w:rPr>
          <w:shd w:val="clear" w:color="auto" w:fill="FFFFFF"/>
        </w:rPr>
        <w:t>%</w:t>
      </w:r>
      <w:r w:rsidR="00F04030">
        <w:rPr>
          <w:shd w:val="clear" w:color="auto" w:fill="FFFFFF"/>
        </w:rPr>
        <w:t xml:space="preserve"> </w:t>
      </w:r>
      <w:r w:rsidR="00247C71">
        <w:rPr>
          <w:shd w:val="clear" w:color="auto" w:fill="FFFFFF"/>
        </w:rPr>
        <w:t xml:space="preserve">w odniesieniu do 2018 r. </w:t>
      </w:r>
      <w:r w:rsidR="009218D1">
        <w:rPr>
          <w:shd w:val="clear" w:color="auto" w:fill="FFFFFF"/>
        </w:rPr>
        <w:t>Mniej</w:t>
      </w:r>
      <w:r w:rsidR="00510D8A" w:rsidRPr="00DA0F32">
        <w:rPr>
          <w:shd w:val="clear" w:color="auto" w:fill="FFFFFF"/>
        </w:rPr>
        <w:t xml:space="preserve"> </w:t>
      </w:r>
      <w:r w:rsidR="009F0AF2" w:rsidRPr="00DA0F32">
        <w:rPr>
          <w:shd w:val="clear" w:color="auto" w:fill="FFFFFF"/>
        </w:rPr>
        <w:t>mieszkań, których budowę rozpoczęto</w:t>
      </w:r>
      <w:r w:rsidR="0061791A" w:rsidRPr="00C94C3C">
        <w:rPr>
          <w:shd w:val="clear" w:color="auto" w:fill="FFFFFF"/>
        </w:rPr>
        <w:t>,</w:t>
      </w:r>
      <w:r w:rsidR="00E02918">
        <w:rPr>
          <w:shd w:val="clear" w:color="auto" w:fill="FFFFFF"/>
        </w:rPr>
        <w:t xml:space="preserve"> </w:t>
      </w:r>
      <w:r w:rsidR="003133B6" w:rsidRPr="004E0216">
        <w:rPr>
          <w:shd w:val="clear" w:color="auto" w:fill="FFFFFF"/>
        </w:rPr>
        <w:t>zaobserwowano</w:t>
      </w:r>
      <w:r w:rsidR="00E02918">
        <w:rPr>
          <w:shd w:val="clear" w:color="auto" w:fill="FFFFFF"/>
        </w:rPr>
        <w:t xml:space="preserve"> </w:t>
      </w:r>
      <w:r w:rsidR="00CF11EB" w:rsidRPr="00DA0F32">
        <w:rPr>
          <w:shd w:val="clear" w:color="auto" w:fill="FFFFFF"/>
        </w:rPr>
        <w:t xml:space="preserve">w </w:t>
      </w:r>
      <w:r w:rsidR="00682331" w:rsidRPr="00DA0F32">
        <w:rPr>
          <w:shd w:val="clear" w:color="auto" w:fill="FFFFFF"/>
        </w:rPr>
        <w:t>budownictwie</w:t>
      </w:r>
      <w:r w:rsidR="00682331" w:rsidRPr="00DA0F32">
        <w:rPr>
          <w:b/>
          <w:shd w:val="clear" w:color="auto" w:fill="FFFFFF"/>
        </w:rPr>
        <w:t xml:space="preserve"> </w:t>
      </w:r>
      <w:r w:rsidR="00510D8A" w:rsidRPr="00DA0F32">
        <w:rPr>
          <w:b/>
          <w:shd w:val="clear" w:color="auto" w:fill="FFFFFF"/>
        </w:rPr>
        <w:t>spółdzielczym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9218D1">
        <w:rPr>
          <w:shd w:val="clear" w:color="auto" w:fill="FFFFFF"/>
        </w:rPr>
        <w:t>1109</w:t>
      </w:r>
      <w:r w:rsidR="00336412">
        <w:rPr>
          <w:shd w:val="clear" w:color="auto" w:fill="FFFFFF"/>
        </w:rPr>
        <w:t xml:space="preserve"> </w:t>
      </w:r>
      <w:r w:rsidR="009218D1">
        <w:rPr>
          <w:shd w:val="clear" w:color="auto" w:fill="FFFFFF"/>
        </w:rPr>
        <w:t>mieszkań</w:t>
      </w:r>
      <w:r w:rsidR="00510D8A" w:rsidRPr="00DA0F32">
        <w:rPr>
          <w:shd w:val="clear" w:color="auto" w:fill="FFFFFF"/>
        </w:rPr>
        <w:t xml:space="preserve"> </w:t>
      </w:r>
      <w:r w:rsidR="00EB562E" w:rsidRPr="00DA0F32">
        <w:rPr>
          <w:shd w:val="clear" w:color="auto" w:fill="FFFFFF"/>
        </w:rPr>
        <w:t xml:space="preserve">wobec </w:t>
      </w:r>
      <w:r w:rsidR="009218D1">
        <w:rPr>
          <w:shd w:val="clear" w:color="auto" w:fill="FFFFFF"/>
        </w:rPr>
        <w:t>1225</w:t>
      </w:r>
      <w:r w:rsidR="00E02918">
        <w:rPr>
          <w:shd w:val="clear" w:color="auto" w:fill="FFFFFF"/>
        </w:rPr>
        <w:t>)</w:t>
      </w:r>
      <w:r w:rsidR="009218D1">
        <w:rPr>
          <w:shd w:val="clear" w:color="auto" w:fill="FFFFFF"/>
        </w:rPr>
        <w:t xml:space="preserve">, </w:t>
      </w:r>
      <w:r w:rsidR="00254FBD">
        <w:rPr>
          <w:shd w:val="clear" w:color="auto" w:fill="FFFFFF"/>
        </w:rPr>
        <w:t>natomiast więcej</w:t>
      </w:r>
      <w:r w:rsidR="00E02918">
        <w:rPr>
          <w:shd w:val="clear" w:color="auto" w:fill="FFFFFF"/>
        </w:rPr>
        <w:t xml:space="preserve"> w</w:t>
      </w:r>
      <w:r w:rsidR="00EB562E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>po</w:t>
      </w:r>
      <w:r w:rsidR="00510D8A" w:rsidRPr="00DA0F32">
        <w:rPr>
          <w:b/>
          <w:shd w:val="clear" w:color="auto" w:fill="FFFFFF"/>
        </w:rPr>
        <w:t xml:space="preserve">zostałych formach </w:t>
      </w:r>
      <w:r w:rsidR="00510D8A" w:rsidRPr="00DA0F32">
        <w:rPr>
          <w:shd w:val="clear" w:color="auto" w:fill="FFFFFF"/>
        </w:rPr>
        <w:t>budownictwa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254FBD">
        <w:rPr>
          <w:shd w:val="clear" w:color="auto" w:fill="FFFFFF"/>
        </w:rPr>
        <w:t>1611</w:t>
      </w:r>
      <w:r w:rsidR="00EB562E" w:rsidRPr="00DA0F32">
        <w:rPr>
          <w:shd w:val="clear" w:color="auto" w:fill="FFFFFF"/>
        </w:rPr>
        <w:t xml:space="preserve"> </w:t>
      </w:r>
      <w:r w:rsidR="00EF7576" w:rsidRPr="00DA0F32">
        <w:rPr>
          <w:shd w:val="clear" w:color="auto" w:fill="FFFFFF"/>
        </w:rPr>
        <w:t>wobec</w:t>
      </w:r>
      <w:r w:rsidR="00EB562E" w:rsidRPr="00DA0F32">
        <w:rPr>
          <w:shd w:val="clear" w:color="auto" w:fill="FFFFFF"/>
        </w:rPr>
        <w:t xml:space="preserve"> </w:t>
      </w:r>
      <w:r w:rsidR="00254FBD">
        <w:rPr>
          <w:shd w:val="clear" w:color="auto" w:fill="FFFFFF"/>
        </w:rPr>
        <w:t>1327</w:t>
      </w:r>
      <w:r w:rsidR="00336412">
        <w:rPr>
          <w:shd w:val="clear" w:color="auto" w:fill="FFFFFF"/>
        </w:rPr>
        <w:t>).</w:t>
      </w:r>
    </w:p>
    <w:p w14:paraId="0084EC86" w14:textId="77777777" w:rsidR="004B628B" w:rsidRDefault="004B628B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06728057" w14:textId="77777777" w:rsidR="004B628B" w:rsidRPr="00C92A18" w:rsidRDefault="004B628B" w:rsidP="004B628B">
      <w:pPr>
        <w:spacing w:before="0"/>
        <w:rPr>
          <w:shd w:val="clear" w:color="auto" w:fill="FFFFFF"/>
        </w:rPr>
      </w:pPr>
    </w:p>
    <w:p w14:paraId="71B22ACC" w14:textId="77777777" w:rsidR="004D06A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p w14:paraId="5B20CB5A" w14:textId="77777777" w:rsidR="00035886" w:rsidRDefault="00035886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E66D9" w:rsidRPr="00FA5128" w14:paraId="71C1AD02" w14:textId="77777777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14:paraId="14262439" w14:textId="77777777" w:rsidR="00EE66D9" w:rsidRPr="0030115B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16486119" w14:textId="77777777" w:rsidR="00EE66D9" w:rsidRPr="00FA5128" w:rsidRDefault="00EE66D9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EE66D9" w:rsidRPr="00FA5128" w14:paraId="2D1A90E6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E171705" w14:textId="77777777"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6DAE6DE" w14:textId="77777777" w:rsidR="00EE66D9" w:rsidRPr="00FA5128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D204D8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56D7BA7F" w14:textId="77777777" w:rsidR="00EE66D9" w:rsidRPr="00FA5128" w:rsidRDefault="00A457A4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D204D8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E66D9" w:rsidRPr="00FA5128" w14:paraId="611DB9D0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359D92" w14:textId="77777777"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6EAD7F5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A6BBDD4" w14:textId="77777777" w:rsidR="00EE66D9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D204D8">
              <w:rPr>
                <w:color w:val="000000" w:themeColor="text1"/>
                <w:sz w:val="16"/>
                <w:szCs w:val="16"/>
              </w:rPr>
              <w:t>I</w:t>
            </w:r>
          </w:p>
          <w:p w14:paraId="025E302E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26B1718" w14:textId="77777777" w:rsidR="00EE66D9" w:rsidRDefault="00A457A4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  <w:p w14:paraId="1161F161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75D1CE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43FEB52F" w14:textId="77777777"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D204D8">
              <w:rPr>
                <w:color w:val="000000" w:themeColor="text1"/>
                <w:sz w:val="16"/>
                <w:szCs w:val="16"/>
              </w:rPr>
              <w:t>I</w:t>
            </w:r>
          </w:p>
          <w:p w14:paraId="1D79B4E7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E66D9" w:rsidRPr="00FA5128" w14:paraId="0503E7F0" w14:textId="77777777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C6E4DBC" w14:textId="77777777" w:rsidR="00EE66D9" w:rsidRPr="00FA5128" w:rsidRDefault="00EE66D9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EA8F1B9" w14:textId="77777777" w:rsidR="00EE66D9" w:rsidRPr="00FA5128" w:rsidRDefault="00D342B1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</w:t>
            </w:r>
            <w:r w:rsidR="00921C3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956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24E2A89" w14:textId="77777777" w:rsidR="00EE66D9" w:rsidRPr="00FA5128" w:rsidRDefault="00D342B1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85,3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BC2ABED" w14:textId="77777777" w:rsidR="00EE66D9" w:rsidRPr="00FA5128" w:rsidRDefault="00D342B1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92,0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64A7B24" w14:textId="77777777" w:rsidR="00EE66D9" w:rsidRPr="00FA5128" w:rsidRDefault="00CF0110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115</w:t>
            </w:r>
            <w:r w:rsidR="00921C3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6262D7F6" w14:textId="77777777" w:rsidR="00EE66D9" w:rsidRPr="00FA5128" w:rsidRDefault="005F5FD8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101,5</w:t>
            </w:r>
          </w:p>
        </w:tc>
      </w:tr>
      <w:tr w:rsidR="00EE66D9" w:rsidRPr="00907546" w14:paraId="04E4D8B5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01E5A76D" w14:textId="77777777"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6254ADC7" w14:textId="77777777" w:rsidR="00EE66D9" w:rsidRPr="00FA5128" w:rsidRDefault="00D342B1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21C3F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781</w:t>
            </w:r>
          </w:p>
        </w:tc>
        <w:tc>
          <w:tcPr>
            <w:tcW w:w="1206" w:type="dxa"/>
            <w:vAlign w:val="center"/>
          </w:tcPr>
          <w:p w14:paraId="659B9970" w14:textId="77777777" w:rsidR="00EE66D9" w:rsidRPr="00FA5128" w:rsidRDefault="00D342B1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91,1</w:t>
            </w:r>
          </w:p>
        </w:tc>
        <w:tc>
          <w:tcPr>
            <w:tcW w:w="1206" w:type="dxa"/>
            <w:vAlign w:val="center"/>
          </w:tcPr>
          <w:p w14:paraId="1D5A4EFB" w14:textId="77777777" w:rsidR="00EE66D9" w:rsidRPr="00FA5128" w:rsidRDefault="00D342B1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86,2</w:t>
            </w:r>
          </w:p>
        </w:tc>
        <w:tc>
          <w:tcPr>
            <w:tcW w:w="1206" w:type="dxa"/>
            <w:vAlign w:val="center"/>
          </w:tcPr>
          <w:p w14:paraId="2C94BF3D" w14:textId="77777777" w:rsidR="00EE66D9" w:rsidRPr="00907546" w:rsidRDefault="00CF0110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46</w:t>
            </w:r>
            <w:r w:rsidR="00921C3F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1207" w:type="dxa"/>
            <w:vAlign w:val="center"/>
          </w:tcPr>
          <w:p w14:paraId="617948A5" w14:textId="77777777" w:rsidR="00EE66D9" w:rsidRPr="00907546" w:rsidRDefault="005F5FD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</w:tr>
      <w:tr w:rsidR="00EE66D9" w:rsidRPr="00FA5128" w14:paraId="70490934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5A5A4768" w14:textId="77777777"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4724EB3" w14:textId="77777777" w:rsidR="00EE66D9" w:rsidRPr="00FA5128" w:rsidRDefault="00D342B1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21C3F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534</w:t>
            </w:r>
          </w:p>
        </w:tc>
        <w:tc>
          <w:tcPr>
            <w:tcW w:w="1206" w:type="dxa"/>
            <w:vAlign w:val="center"/>
          </w:tcPr>
          <w:p w14:paraId="404214C6" w14:textId="77777777" w:rsidR="00E467CC" w:rsidRPr="00FA5128" w:rsidRDefault="00D342B1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81,5</w:t>
            </w:r>
          </w:p>
        </w:tc>
        <w:tc>
          <w:tcPr>
            <w:tcW w:w="1206" w:type="dxa"/>
            <w:vAlign w:val="center"/>
          </w:tcPr>
          <w:p w14:paraId="4223D169" w14:textId="77777777" w:rsidR="00EE66D9" w:rsidRPr="00FA5128" w:rsidRDefault="00D342B1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94,3</w:t>
            </w:r>
          </w:p>
        </w:tc>
        <w:tc>
          <w:tcPr>
            <w:tcW w:w="1206" w:type="dxa"/>
            <w:vAlign w:val="center"/>
          </w:tcPr>
          <w:p w14:paraId="73258F0B" w14:textId="77777777" w:rsidR="00EE66D9" w:rsidRPr="008A1C80" w:rsidRDefault="00BD400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66</w:t>
            </w:r>
            <w:r w:rsidR="00921C3F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569</w:t>
            </w:r>
          </w:p>
        </w:tc>
        <w:tc>
          <w:tcPr>
            <w:tcW w:w="1207" w:type="dxa"/>
            <w:vAlign w:val="center"/>
          </w:tcPr>
          <w:p w14:paraId="02ED9A67" w14:textId="77777777" w:rsidR="00EE66D9" w:rsidRPr="00FA5128" w:rsidRDefault="005F5FD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</w:tr>
      <w:tr w:rsidR="00EE66D9" w:rsidRPr="004266F7" w14:paraId="1A5CAE60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3CF2FB0A" w14:textId="77777777" w:rsidR="00EE66D9" w:rsidRPr="00FA56EF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14:paraId="509595CF" w14:textId="77777777" w:rsidR="00EE66D9" w:rsidRPr="005241EA" w:rsidRDefault="00D342B1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206" w:type="dxa"/>
            <w:vAlign w:val="center"/>
          </w:tcPr>
          <w:p w14:paraId="15A1049D" w14:textId="77777777" w:rsidR="00EE66D9" w:rsidRPr="004327B6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5D3AA96A" w14:textId="77777777" w:rsidR="00EE66D9" w:rsidRPr="004327B6" w:rsidRDefault="00D342B1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70,2</w:t>
            </w:r>
          </w:p>
        </w:tc>
        <w:tc>
          <w:tcPr>
            <w:tcW w:w="1206" w:type="dxa"/>
            <w:vAlign w:val="center"/>
          </w:tcPr>
          <w:p w14:paraId="2E82320F" w14:textId="77777777" w:rsidR="00EE66D9" w:rsidRPr="00553B0B" w:rsidRDefault="00BD400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418</w:t>
            </w:r>
          </w:p>
        </w:tc>
        <w:tc>
          <w:tcPr>
            <w:tcW w:w="1207" w:type="dxa"/>
            <w:vAlign w:val="center"/>
          </w:tcPr>
          <w:p w14:paraId="53C7282A" w14:textId="77777777" w:rsidR="00EE66D9" w:rsidRPr="004266F7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EE66D9" w:rsidRPr="00FA5128" w14:paraId="33C141E3" w14:textId="77777777" w:rsidTr="00865B30">
        <w:trPr>
          <w:trHeight w:val="370"/>
        </w:trPr>
        <w:tc>
          <w:tcPr>
            <w:tcW w:w="2049" w:type="dxa"/>
            <w:vAlign w:val="center"/>
          </w:tcPr>
          <w:p w14:paraId="709A478D" w14:textId="77777777" w:rsidR="00EE66D9" w:rsidRPr="00C41764" w:rsidRDefault="00EE66D9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69B7F2A4" w14:textId="77777777" w:rsidR="00EE66D9" w:rsidRPr="00FA5128" w:rsidRDefault="00D342B1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206" w:type="dxa"/>
            <w:vAlign w:val="center"/>
          </w:tcPr>
          <w:p w14:paraId="50E478AF" w14:textId="77777777" w:rsidR="00EE66D9" w:rsidRPr="00FA5128" w:rsidRDefault="00D342B1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28,9</w:t>
            </w:r>
          </w:p>
        </w:tc>
        <w:tc>
          <w:tcPr>
            <w:tcW w:w="1206" w:type="dxa"/>
            <w:vAlign w:val="center"/>
          </w:tcPr>
          <w:p w14:paraId="67F6BC1F" w14:textId="77777777" w:rsidR="00EE66D9" w:rsidRPr="00E102B7" w:rsidRDefault="00D342B1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42,7</w:t>
            </w:r>
          </w:p>
        </w:tc>
        <w:tc>
          <w:tcPr>
            <w:tcW w:w="1206" w:type="dxa"/>
            <w:vAlign w:val="center"/>
          </w:tcPr>
          <w:p w14:paraId="7F9BD656" w14:textId="77777777" w:rsidR="00EE66D9" w:rsidRPr="00C230EE" w:rsidRDefault="00BD400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</w:t>
            </w:r>
            <w:r w:rsidR="00921C3F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207" w:type="dxa"/>
            <w:vAlign w:val="center"/>
          </w:tcPr>
          <w:p w14:paraId="187AA2B9" w14:textId="77777777" w:rsidR="00EE66D9" w:rsidRPr="00FA5128" w:rsidRDefault="009131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90,5</w:t>
            </w:r>
          </w:p>
        </w:tc>
      </w:tr>
      <w:tr w:rsidR="00EE66D9" w:rsidRPr="00FA5128" w14:paraId="4676299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18098187" w14:textId="77777777" w:rsidR="00EE66D9" w:rsidRPr="00C41764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FBAC646" w14:textId="77777777" w:rsidR="00EE66D9" w:rsidRPr="00FA5128" w:rsidRDefault="00077B8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514</w:t>
            </w:r>
          </w:p>
        </w:tc>
        <w:tc>
          <w:tcPr>
            <w:tcW w:w="1206" w:type="dxa"/>
            <w:vAlign w:val="center"/>
          </w:tcPr>
          <w:p w14:paraId="7B55480A" w14:textId="77777777" w:rsidR="00EE66D9" w:rsidRPr="00FA5128" w:rsidRDefault="00077B8C" w:rsidP="00A54EC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8- krotnie</w:t>
            </w:r>
          </w:p>
        </w:tc>
        <w:tc>
          <w:tcPr>
            <w:tcW w:w="1206" w:type="dxa"/>
            <w:vAlign w:val="center"/>
          </w:tcPr>
          <w:p w14:paraId="11B994F5" w14:textId="77777777" w:rsidR="00EE66D9" w:rsidRPr="00E102B7" w:rsidRDefault="00640585" w:rsidP="00AB62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4- krotnie</w:t>
            </w:r>
          </w:p>
        </w:tc>
        <w:tc>
          <w:tcPr>
            <w:tcW w:w="1206" w:type="dxa"/>
            <w:vAlign w:val="center"/>
          </w:tcPr>
          <w:p w14:paraId="17942F15" w14:textId="77777777" w:rsidR="00EE66D9" w:rsidRPr="00E87F78" w:rsidRDefault="00BD4009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918</w:t>
            </w:r>
          </w:p>
        </w:tc>
        <w:tc>
          <w:tcPr>
            <w:tcW w:w="1207" w:type="dxa"/>
            <w:vAlign w:val="center"/>
          </w:tcPr>
          <w:p w14:paraId="2ADEF553" w14:textId="77777777" w:rsidR="00EE66D9" w:rsidRPr="00FA5128" w:rsidRDefault="009131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220,7</w:t>
            </w:r>
          </w:p>
        </w:tc>
      </w:tr>
      <w:tr w:rsidR="00EE66D9" w:rsidRPr="009F4F41" w14:paraId="0A79728B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3E25BDA0" w14:textId="77777777"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8E87911" w14:textId="77777777" w:rsidR="00EE66D9" w:rsidRPr="00A030E6" w:rsidRDefault="004E054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206" w:type="dxa"/>
            <w:vAlign w:val="center"/>
          </w:tcPr>
          <w:p w14:paraId="19796821" w14:textId="77777777" w:rsidR="00EE66D9" w:rsidRPr="006E0C18" w:rsidRDefault="004E054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14,8</w:t>
            </w:r>
          </w:p>
        </w:tc>
        <w:tc>
          <w:tcPr>
            <w:tcW w:w="1206" w:type="dxa"/>
            <w:vAlign w:val="center"/>
          </w:tcPr>
          <w:p w14:paraId="619C837E" w14:textId="77777777" w:rsidR="00EE66D9" w:rsidRPr="00296F96" w:rsidRDefault="00990E39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40,9</w:t>
            </w:r>
          </w:p>
        </w:tc>
        <w:tc>
          <w:tcPr>
            <w:tcW w:w="1206" w:type="dxa"/>
            <w:vAlign w:val="center"/>
          </w:tcPr>
          <w:p w14:paraId="4C6D59E1" w14:textId="77777777" w:rsidR="00EE66D9" w:rsidRPr="00E87F78" w:rsidRDefault="00BD4009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693</w:t>
            </w:r>
          </w:p>
        </w:tc>
        <w:tc>
          <w:tcPr>
            <w:tcW w:w="1207" w:type="dxa"/>
            <w:vAlign w:val="center"/>
          </w:tcPr>
          <w:p w14:paraId="1A1DF62A" w14:textId="77777777" w:rsidR="00EE66D9" w:rsidRPr="009F4F41" w:rsidRDefault="009131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91,5</w:t>
            </w:r>
          </w:p>
        </w:tc>
      </w:tr>
      <w:tr w:rsidR="00EE66D9" w:rsidRPr="009F4F41" w14:paraId="76545D7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02BE455" w14:textId="77777777"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5EE386AA" w14:textId="77777777" w:rsidR="00EE66D9" w:rsidRPr="00A030E6" w:rsidRDefault="00A8065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9B21647" w14:textId="77777777" w:rsidR="00EE66D9" w:rsidRPr="006E0C18" w:rsidRDefault="00AB62E4" w:rsidP="00AB62E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="00EE66D9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200D7890" w14:textId="77777777" w:rsidR="00EE66D9" w:rsidRPr="00296F96" w:rsidRDefault="00865B30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65B3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3FD6ECD3" w14:textId="77777777" w:rsidR="00EE66D9" w:rsidRPr="00E87F78" w:rsidRDefault="00AB62E4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14:paraId="3348438E" w14:textId="77777777" w:rsidR="00EE66D9" w:rsidRPr="009F4F41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</w:tbl>
    <w:p w14:paraId="1D91EDD4" w14:textId="77777777" w:rsidR="004D06AC" w:rsidRDefault="004D06AC" w:rsidP="004B628B">
      <w:pPr>
        <w:keepNext/>
        <w:spacing w:before="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025DAAF9" w14:textId="77777777" w:rsidR="004D06AC" w:rsidRDefault="004D06AC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5E74B479" w14:textId="77777777" w:rsidR="00047CF8" w:rsidRPr="005921E2" w:rsidRDefault="00047CF8" w:rsidP="00AC2B69">
      <w:pPr>
        <w:keepNext/>
        <w:spacing w:before="240" w:line="240" w:lineRule="auto"/>
        <w:outlineLvl w:val="0"/>
        <w:rPr>
          <w:shd w:val="clear" w:color="auto" w:fill="FFFFFF"/>
        </w:rPr>
      </w:pPr>
      <w:r>
        <w:rPr>
          <w:shd w:val="clear" w:color="auto" w:fill="FFFFFF"/>
        </w:rPr>
        <w:t xml:space="preserve">Szacuje się, że </w:t>
      </w:r>
      <w:r w:rsidR="00BB53B6">
        <w:rPr>
          <w:shd w:val="clear" w:color="auto" w:fill="FFFFFF"/>
        </w:rPr>
        <w:t xml:space="preserve">na koniec </w:t>
      </w:r>
      <w:r w:rsidR="00AD0ADA">
        <w:rPr>
          <w:shd w:val="clear" w:color="auto" w:fill="FFFFFF"/>
        </w:rPr>
        <w:t>czerwca</w:t>
      </w:r>
      <w:r>
        <w:rPr>
          <w:shd w:val="clear" w:color="auto" w:fill="FFFFFF"/>
        </w:rPr>
        <w:t xml:space="preserve"> 201</w:t>
      </w:r>
      <w:r w:rsidR="00AB62E4">
        <w:rPr>
          <w:shd w:val="clear" w:color="auto" w:fill="FFFFFF"/>
        </w:rPr>
        <w:t xml:space="preserve">9 r. w </w:t>
      </w:r>
      <w:r w:rsidR="00101571">
        <w:rPr>
          <w:shd w:val="clear" w:color="auto" w:fill="FFFFFF"/>
        </w:rPr>
        <w:t xml:space="preserve">budowie pozostawało </w:t>
      </w:r>
      <w:r w:rsidR="0096150B">
        <w:rPr>
          <w:shd w:val="clear" w:color="auto" w:fill="FFFFFF"/>
        </w:rPr>
        <w:t>816,4</w:t>
      </w:r>
      <w:r w:rsidR="005921E2">
        <w:rPr>
          <w:shd w:val="clear" w:color="auto" w:fill="FFFFFF"/>
        </w:rPr>
        <w:t xml:space="preserve"> tys. mieszkań, </w:t>
      </w:r>
      <w:r w:rsidR="005921E2">
        <w:rPr>
          <w:shd w:val="clear" w:color="auto" w:fill="FFFFFF"/>
        </w:rPr>
        <w:br/>
        <w:t xml:space="preserve">tj. </w:t>
      </w:r>
      <w:r w:rsidR="0096150B">
        <w:rPr>
          <w:shd w:val="clear" w:color="auto" w:fill="FFFFFF"/>
        </w:rPr>
        <w:t>o 3,4</w:t>
      </w:r>
      <w:r>
        <w:rPr>
          <w:shd w:val="clear" w:color="auto" w:fill="FFFFFF"/>
        </w:rPr>
        <w:t xml:space="preserve">% więcej niż w analogicznym </w:t>
      </w:r>
      <w:r w:rsidR="00AB62E4">
        <w:rPr>
          <w:shd w:val="clear" w:color="auto" w:fill="FFFFFF"/>
        </w:rPr>
        <w:t>okresie</w:t>
      </w:r>
      <w:r>
        <w:rPr>
          <w:shd w:val="clear" w:color="auto" w:fill="FFFFFF"/>
        </w:rPr>
        <w:t xml:space="preserve"> ub. roku.</w:t>
      </w:r>
    </w:p>
    <w:p w14:paraId="3E3C71A2" w14:textId="77777777" w:rsidR="00047CF8" w:rsidRDefault="00047CF8" w:rsidP="00047CF8">
      <w:pPr>
        <w:rPr>
          <w:sz w:val="18"/>
        </w:rPr>
      </w:pPr>
    </w:p>
    <w:p w14:paraId="2FE01F02" w14:textId="77777777" w:rsidR="00047CF8" w:rsidRPr="00035886" w:rsidRDefault="003457E4" w:rsidP="00F113BA">
      <w:pPr>
        <w:rPr>
          <w:b/>
          <w:sz w:val="18"/>
          <w:szCs w:val="18"/>
        </w:rPr>
      </w:pPr>
      <w:r>
        <w:rPr>
          <w:b/>
          <w:sz w:val="18"/>
          <w:szCs w:val="18"/>
        </w:rPr>
        <w:t>Wykres</w:t>
      </w:r>
      <w:r w:rsidR="00047CF8" w:rsidRPr="00C92A18">
        <w:rPr>
          <w:b/>
          <w:sz w:val="18"/>
          <w:szCs w:val="18"/>
        </w:rPr>
        <w:t xml:space="preserve"> 1. Ruch budowlany w obszarze budownictwa mieszkaniowego</w:t>
      </w:r>
      <w:r w:rsidR="00047CF8">
        <w:rPr>
          <w:b/>
          <w:sz w:val="18"/>
          <w:szCs w:val="18"/>
        </w:rPr>
        <w:t xml:space="preserve"> w Polsce</w:t>
      </w:r>
    </w:p>
    <w:p w14:paraId="44124A52" w14:textId="77777777" w:rsidR="00047CF8" w:rsidRDefault="00951EDB" w:rsidP="00F113BA">
      <w:pPr>
        <w:rPr>
          <w:sz w:val="16"/>
          <w:szCs w:val="16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5696" behindDoc="0" locked="0" layoutInCell="1" allowOverlap="1" wp14:anchorId="5625D000" wp14:editId="4D8D5424">
            <wp:simplePos x="0" y="0"/>
            <wp:positionH relativeFrom="margin">
              <wp:align>right</wp:align>
            </wp:positionH>
            <wp:positionV relativeFrom="paragraph">
              <wp:posOffset>240030</wp:posOffset>
            </wp:positionV>
            <wp:extent cx="5267325" cy="2962275"/>
            <wp:effectExtent l="0" t="0" r="0" b="0"/>
            <wp:wrapNone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A0748" w14:textId="77777777" w:rsidR="00047CF8" w:rsidRDefault="00257031" w:rsidP="00F113BA">
      <w:pPr>
        <w:rPr>
          <w:sz w:val="16"/>
          <w:szCs w:val="16"/>
          <w:shd w:val="clear" w:color="auto" w:fill="FFFFFF"/>
        </w:rPr>
      </w:pPr>
      <w:r w:rsidRPr="00C31687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2C7F093F">
                <wp:simplePos x="0" y="0"/>
                <wp:positionH relativeFrom="page">
                  <wp:posOffset>5704840</wp:posOffset>
                </wp:positionH>
                <wp:positionV relativeFrom="paragraph">
                  <wp:posOffset>97707</wp:posOffset>
                </wp:positionV>
                <wp:extent cx="1779905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4B9E5" w14:textId="77777777" w:rsidR="00E30043" w:rsidRDefault="00F25C7B" w:rsidP="00E30043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 czerwcu</w:t>
                            </w:r>
                            <w:r w:rsidR="009E21D0">
                              <w:rPr>
                                <w:bCs w:val="0"/>
                              </w:rPr>
                              <w:t>,</w:t>
                            </w:r>
                            <w:r w:rsidR="001B4968">
                              <w:rPr>
                                <w:bCs w:val="0"/>
                              </w:rPr>
                              <w:t xml:space="preserve"> w porównaniu </w:t>
                            </w:r>
                            <w:r w:rsidR="001B4968">
                              <w:rPr>
                                <w:bCs w:val="0"/>
                              </w:rPr>
                              <w:br/>
                            </w:r>
                            <w:r>
                              <w:rPr>
                                <w:bCs w:val="0"/>
                              </w:rPr>
                              <w:t>do maja 2019 r.</w:t>
                            </w:r>
                            <w:r w:rsidR="009E21D0">
                              <w:rPr>
                                <w:bCs w:val="0"/>
                              </w:rPr>
                              <w:t>,</w:t>
                            </w:r>
                            <w:r w:rsidR="001B4968" w:rsidRPr="001B4968">
                              <w:rPr>
                                <w:bCs w:val="0"/>
                              </w:rPr>
                              <w:t xml:space="preserve"> </w:t>
                            </w:r>
                            <w:r w:rsidR="00A270F5" w:rsidRPr="001D37BB">
                              <w:rPr>
                                <w:bCs w:val="0"/>
                              </w:rPr>
                              <w:t xml:space="preserve">liczba </w:t>
                            </w:r>
                            <w:r w:rsidR="00A270F5">
                              <w:rPr>
                                <w:bCs w:val="0"/>
                              </w:rPr>
                              <w:t>mieszkań</w:t>
                            </w:r>
                            <w:r w:rsidR="00AB237D">
                              <w:rPr>
                                <w:bCs w:val="0"/>
                              </w:rPr>
                              <w:t xml:space="preserve"> oddanych do użytkowania pozostała na podobnym poziomie,</w:t>
                            </w:r>
                            <w:r w:rsidR="00A270F5">
                              <w:rPr>
                                <w:bCs w:val="0"/>
                              </w:rPr>
                              <w:t xml:space="preserve"> </w:t>
                            </w:r>
                            <w:r w:rsidR="00AB237D">
                              <w:rPr>
                                <w:bCs w:val="0"/>
                              </w:rPr>
                              <w:t xml:space="preserve">spadła natomiast </w:t>
                            </w:r>
                            <w:r w:rsidR="00C84055">
                              <w:rPr>
                                <w:bCs w:val="0"/>
                              </w:rPr>
                              <w:t>liczba mieszkań</w:t>
                            </w:r>
                            <w:r w:rsidR="00AB237D">
                              <w:rPr>
                                <w:bCs w:val="0"/>
                              </w:rPr>
                              <w:t xml:space="preserve">, </w:t>
                            </w:r>
                          </w:p>
                          <w:p w14:paraId="4F0C4222" w14:textId="41E1BD39" w:rsidR="00C31687" w:rsidRPr="001D37BB" w:rsidRDefault="00AB237D" w:rsidP="00E30043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1D37BB">
                              <w:rPr>
                                <w:bCs w:val="0"/>
                              </w:rPr>
                              <w:t>na których budowę wydano pozwolenia lub dokonano zg</w:t>
                            </w:r>
                            <w:r>
                              <w:rPr>
                                <w:bCs w:val="0"/>
                              </w:rPr>
                              <w:t>łoszenia z projektem budowlanym (o 19,5</w:t>
                            </w:r>
                            <w:r w:rsidR="001030FA">
                              <w:rPr>
                                <w:bCs w:val="0"/>
                              </w:rPr>
                              <w:t>%)</w:t>
                            </w:r>
                            <w:r w:rsidR="00101571">
                              <w:rPr>
                                <w:bCs w:val="0"/>
                              </w:rPr>
                              <w:t xml:space="preserve"> oraz</w:t>
                            </w:r>
                            <w:r w:rsidR="001030FA" w:rsidRPr="001D37BB">
                              <w:rPr>
                                <w:bCs w:val="0"/>
                              </w:rPr>
                              <w:t xml:space="preserve"> </w:t>
                            </w:r>
                            <w:r w:rsidR="00033D0D">
                              <w:rPr>
                                <w:bCs w:val="0"/>
                              </w:rPr>
                              <w:t xml:space="preserve">liczba </w:t>
                            </w:r>
                            <w:r w:rsidR="009879F0">
                              <w:rPr>
                                <w:bCs w:val="0"/>
                              </w:rPr>
                              <w:t xml:space="preserve">mieszkań, których budowę rozpoczęto </w:t>
                            </w:r>
                            <w:r w:rsidR="001030FA">
                              <w:rPr>
                                <w:bCs w:val="0"/>
                              </w:rPr>
                              <w:t xml:space="preserve">(o </w:t>
                            </w:r>
                            <w:r>
                              <w:rPr>
                                <w:bCs w:val="0"/>
                              </w:rPr>
                              <w:t>8,0</w:t>
                            </w:r>
                            <w:r w:rsidR="00604C78">
                              <w:rPr>
                                <w:bCs w:val="0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59AE43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449.2pt;margin-top:7.7pt;width:140.15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" filled="f" stroked="f">
                <v:textbox style="mso-fit-shape-to-text:t">
                  <w:txbxContent>
                    <w:p w14:paraId="2E74B9E5" w14:textId="77777777" w:rsidR="00E30043" w:rsidRDefault="00F25C7B" w:rsidP="00E30043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 czerwcu</w:t>
                      </w:r>
                      <w:r w:rsidR="009E21D0">
                        <w:rPr>
                          <w:bCs w:val="0"/>
                        </w:rPr>
                        <w:t>,</w:t>
                      </w:r>
                      <w:r w:rsidR="001B4968">
                        <w:rPr>
                          <w:bCs w:val="0"/>
                        </w:rPr>
                        <w:t xml:space="preserve"> w porównaniu </w:t>
                      </w:r>
                      <w:r w:rsidR="001B4968">
                        <w:rPr>
                          <w:bCs w:val="0"/>
                        </w:rPr>
                        <w:br/>
                      </w:r>
                      <w:r>
                        <w:rPr>
                          <w:bCs w:val="0"/>
                        </w:rPr>
                        <w:t>do maja 2019 r.</w:t>
                      </w:r>
                      <w:r w:rsidR="009E21D0">
                        <w:rPr>
                          <w:bCs w:val="0"/>
                        </w:rPr>
                        <w:t>,</w:t>
                      </w:r>
                      <w:r w:rsidR="001B4968" w:rsidRPr="001B4968">
                        <w:rPr>
                          <w:bCs w:val="0"/>
                        </w:rPr>
                        <w:t xml:space="preserve"> </w:t>
                      </w:r>
                      <w:r w:rsidR="00A270F5" w:rsidRPr="001D37BB">
                        <w:rPr>
                          <w:bCs w:val="0"/>
                        </w:rPr>
                        <w:t xml:space="preserve">liczba </w:t>
                      </w:r>
                      <w:r w:rsidR="00A270F5">
                        <w:rPr>
                          <w:bCs w:val="0"/>
                        </w:rPr>
                        <w:t>mieszkań</w:t>
                      </w:r>
                      <w:r w:rsidR="00AB237D">
                        <w:rPr>
                          <w:bCs w:val="0"/>
                        </w:rPr>
                        <w:t xml:space="preserve"> oddanych do użytkowania pozostała na podobnym poziomie,</w:t>
                      </w:r>
                      <w:r w:rsidR="00A270F5">
                        <w:rPr>
                          <w:bCs w:val="0"/>
                        </w:rPr>
                        <w:t xml:space="preserve"> </w:t>
                      </w:r>
                      <w:r w:rsidR="00AB237D">
                        <w:rPr>
                          <w:bCs w:val="0"/>
                        </w:rPr>
                        <w:t xml:space="preserve">spadła natomiast </w:t>
                      </w:r>
                      <w:r w:rsidR="00C84055">
                        <w:rPr>
                          <w:bCs w:val="0"/>
                        </w:rPr>
                        <w:t>liczba mieszkań</w:t>
                      </w:r>
                      <w:r w:rsidR="00AB237D">
                        <w:rPr>
                          <w:bCs w:val="0"/>
                        </w:rPr>
                        <w:t xml:space="preserve">, </w:t>
                      </w:r>
                    </w:p>
                    <w:p w14:paraId="4F0C4222" w14:textId="41E1BD39" w:rsidR="00C31687" w:rsidRPr="001D37BB" w:rsidRDefault="00AB237D" w:rsidP="00E30043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1D37BB">
                        <w:rPr>
                          <w:bCs w:val="0"/>
                        </w:rPr>
                        <w:t>na których budowę wydano pozwolenia lub dokonano zg</w:t>
                      </w:r>
                      <w:r>
                        <w:rPr>
                          <w:bCs w:val="0"/>
                        </w:rPr>
                        <w:t>łoszenia z projektem budowlanym (o 19,5</w:t>
                      </w:r>
                      <w:r w:rsidR="001030FA">
                        <w:rPr>
                          <w:bCs w:val="0"/>
                        </w:rPr>
                        <w:t>%)</w:t>
                      </w:r>
                      <w:r w:rsidR="00101571">
                        <w:rPr>
                          <w:bCs w:val="0"/>
                        </w:rPr>
                        <w:t xml:space="preserve"> oraz</w:t>
                      </w:r>
                      <w:r w:rsidR="001030FA" w:rsidRPr="001D37BB">
                        <w:rPr>
                          <w:bCs w:val="0"/>
                        </w:rPr>
                        <w:t xml:space="preserve"> </w:t>
                      </w:r>
                      <w:r w:rsidR="00033D0D">
                        <w:rPr>
                          <w:bCs w:val="0"/>
                        </w:rPr>
                        <w:t xml:space="preserve">liczba </w:t>
                      </w:r>
                      <w:r w:rsidR="009879F0">
                        <w:rPr>
                          <w:bCs w:val="0"/>
                        </w:rPr>
                        <w:t xml:space="preserve">mieszkań, których budowę rozpoczęto </w:t>
                      </w:r>
                      <w:r w:rsidR="001030FA">
                        <w:rPr>
                          <w:bCs w:val="0"/>
                        </w:rPr>
                        <w:t xml:space="preserve">(o </w:t>
                      </w:r>
                      <w:r>
                        <w:rPr>
                          <w:bCs w:val="0"/>
                        </w:rPr>
                        <w:t>8,0</w:t>
                      </w:r>
                      <w:r w:rsidR="00604C78">
                        <w:rPr>
                          <w:bCs w:val="0"/>
                        </w:rPr>
                        <w:t>%)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7B60050" w14:textId="77777777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7C36EEE0" w14:textId="77777777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62770434" w14:textId="77777777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0AE93069" w14:textId="77777777" w:rsidR="00E56DD9" w:rsidRDefault="00E56DD9" w:rsidP="00F113BA">
      <w:pPr>
        <w:rPr>
          <w:szCs w:val="19"/>
          <w:shd w:val="clear" w:color="auto" w:fill="FFFFFF"/>
        </w:rPr>
      </w:pPr>
    </w:p>
    <w:p w14:paraId="2EF2E6BD" w14:textId="77777777" w:rsidR="00E56DD9" w:rsidRDefault="00E56DD9" w:rsidP="00F113BA">
      <w:pPr>
        <w:rPr>
          <w:szCs w:val="19"/>
          <w:shd w:val="clear" w:color="auto" w:fill="FFFFFF"/>
        </w:rPr>
      </w:pPr>
    </w:p>
    <w:p w14:paraId="378ABC26" w14:textId="77777777" w:rsidR="00E56DD9" w:rsidRDefault="00E56DD9" w:rsidP="00F113BA">
      <w:pPr>
        <w:rPr>
          <w:szCs w:val="19"/>
          <w:shd w:val="clear" w:color="auto" w:fill="FFFFFF"/>
        </w:rPr>
      </w:pPr>
    </w:p>
    <w:p w14:paraId="6060CF53" w14:textId="77777777" w:rsidR="00E56DD9" w:rsidRDefault="00E56DD9" w:rsidP="00F113BA">
      <w:pPr>
        <w:rPr>
          <w:szCs w:val="19"/>
          <w:shd w:val="clear" w:color="auto" w:fill="FFFFFF"/>
        </w:rPr>
      </w:pPr>
    </w:p>
    <w:p w14:paraId="7CFE94F7" w14:textId="77777777" w:rsidR="00E56DD9" w:rsidRDefault="00E56DD9" w:rsidP="00F113BA">
      <w:pPr>
        <w:rPr>
          <w:szCs w:val="19"/>
          <w:shd w:val="clear" w:color="auto" w:fill="FFFFFF"/>
        </w:rPr>
      </w:pPr>
    </w:p>
    <w:p w14:paraId="4DA5C48F" w14:textId="77777777" w:rsidR="00E56DD9" w:rsidRDefault="00E56DD9" w:rsidP="00F113BA">
      <w:pPr>
        <w:rPr>
          <w:szCs w:val="19"/>
          <w:shd w:val="clear" w:color="auto" w:fill="FFFFFF"/>
        </w:rPr>
      </w:pPr>
    </w:p>
    <w:p w14:paraId="6B729377" w14:textId="77777777" w:rsidR="00E56DD9" w:rsidRDefault="00E56DD9" w:rsidP="00F113BA">
      <w:pPr>
        <w:rPr>
          <w:szCs w:val="19"/>
          <w:shd w:val="clear" w:color="auto" w:fill="FFFFFF"/>
        </w:rPr>
      </w:pPr>
    </w:p>
    <w:p w14:paraId="25901D31" w14:textId="77777777" w:rsidR="00E56DD9" w:rsidRDefault="00E56DD9" w:rsidP="00F113BA">
      <w:pPr>
        <w:rPr>
          <w:szCs w:val="19"/>
          <w:shd w:val="clear" w:color="auto" w:fill="FFFFFF"/>
        </w:rPr>
      </w:pPr>
    </w:p>
    <w:p w14:paraId="24BC9614" w14:textId="77777777" w:rsidR="00E56DD9" w:rsidRDefault="00E56DD9" w:rsidP="00F113BA">
      <w:pPr>
        <w:rPr>
          <w:szCs w:val="19"/>
          <w:shd w:val="clear" w:color="auto" w:fill="FFFFFF"/>
        </w:rPr>
      </w:pPr>
    </w:p>
    <w:p w14:paraId="71D6365C" w14:textId="77777777" w:rsidR="00E56DD9" w:rsidRDefault="00E56DD9" w:rsidP="00F113BA">
      <w:pPr>
        <w:rPr>
          <w:szCs w:val="19"/>
          <w:shd w:val="clear" w:color="auto" w:fill="FFFFFF"/>
        </w:rPr>
      </w:pPr>
    </w:p>
    <w:p w14:paraId="41F050FF" w14:textId="77777777" w:rsidR="006720A1" w:rsidRDefault="006720A1" w:rsidP="00F113BA">
      <w:pPr>
        <w:rPr>
          <w:szCs w:val="19"/>
          <w:shd w:val="clear" w:color="auto" w:fill="FFFFFF"/>
        </w:rPr>
      </w:pPr>
    </w:p>
    <w:p w14:paraId="3B601DEE" w14:textId="77777777" w:rsidR="006720A1" w:rsidRDefault="006720A1" w:rsidP="00F113BA">
      <w:pPr>
        <w:rPr>
          <w:szCs w:val="19"/>
          <w:shd w:val="clear" w:color="auto" w:fill="FFFFFF"/>
        </w:rPr>
      </w:pPr>
    </w:p>
    <w:p w14:paraId="7168FE63" w14:textId="77777777" w:rsidR="00CF55D1" w:rsidRDefault="00CF55D1" w:rsidP="00F113BA">
      <w:pPr>
        <w:rPr>
          <w:szCs w:val="19"/>
          <w:shd w:val="clear" w:color="auto" w:fill="FFFFFF"/>
        </w:rPr>
      </w:pPr>
    </w:p>
    <w:p w14:paraId="63F40E61" w14:textId="77777777" w:rsidR="00CF55D1" w:rsidRDefault="00CF55D1" w:rsidP="00F113BA">
      <w:pPr>
        <w:rPr>
          <w:szCs w:val="19"/>
          <w:shd w:val="clear" w:color="auto" w:fill="FFFFFF"/>
        </w:rPr>
      </w:pPr>
    </w:p>
    <w:p w14:paraId="21C62DA0" w14:textId="77777777" w:rsidR="00355AF4" w:rsidRDefault="00355AF4" w:rsidP="0041374E">
      <w:pPr>
        <w:rPr>
          <w:szCs w:val="19"/>
          <w:shd w:val="clear" w:color="auto" w:fill="FFFFFF"/>
        </w:rPr>
      </w:pPr>
    </w:p>
    <w:p w14:paraId="4AD12505" w14:textId="77777777" w:rsidR="00951EDB" w:rsidRDefault="00951EDB" w:rsidP="0041374E">
      <w:pPr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092859D" wp14:editId="301C95B4">
            <wp:extent cx="5122545" cy="210883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861F1C" w14:textId="33756159" w:rsidR="0041374E" w:rsidRDefault="008C5D81" w:rsidP="0041374E">
      <w:pPr>
        <w:rPr>
          <w:szCs w:val="19"/>
          <w:shd w:val="clear" w:color="auto" w:fill="FFFFFF"/>
        </w:rPr>
      </w:pPr>
      <w:r w:rsidRPr="005921E2">
        <w:rPr>
          <w:szCs w:val="19"/>
          <w:shd w:val="clear" w:color="auto" w:fill="FFFFFF"/>
        </w:rPr>
        <w:t>Najwięcej mieszkań</w:t>
      </w:r>
      <w:r w:rsidR="00BB53B6" w:rsidRPr="005921E2">
        <w:rPr>
          <w:szCs w:val="19"/>
          <w:shd w:val="clear" w:color="auto" w:fill="FFFFFF"/>
        </w:rPr>
        <w:t>,</w:t>
      </w:r>
      <w:r w:rsidRPr="005921E2">
        <w:rPr>
          <w:szCs w:val="19"/>
          <w:shd w:val="clear" w:color="auto" w:fill="FFFFFF"/>
        </w:rPr>
        <w:t xml:space="preserve"> na których budowę wydano pozwolenia lub dokonano zgłoszenia </w:t>
      </w:r>
      <w:r w:rsidR="003457E4" w:rsidRPr="005921E2">
        <w:rPr>
          <w:szCs w:val="19"/>
          <w:shd w:val="clear" w:color="auto" w:fill="FFFFFF"/>
        </w:rPr>
        <w:br/>
      </w:r>
      <w:r w:rsidRPr="005921E2">
        <w:rPr>
          <w:szCs w:val="19"/>
          <w:shd w:val="clear" w:color="auto" w:fill="FFFFFF"/>
        </w:rPr>
        <w:t xml:space="preserve">z projektem budowlanym oraz których budowę rozpoczęto </w:t>
      </w:r>
      <w:r w:rsidR="00BB53B6" w:rsidRPr="005921E2">
        <w:rPr>
          <w:szCs w:val="19"/>
          <w:shd w:val="clear" w:color="auto" w:fill="FFFFFF"/>
        </w:rPr>
        <w:t xml:space="preserve">w </w:t>
      </w:r>
      <w:r w:rsidR="005921E2" w:rsidRPr="005921E2">
        <w:rPr>
          <w:szCs w:val="19"/>
          <w:shd w:val="clear" w:color="auto" w:fill="FFFFFF"/>
        </w:rPr>
        <w:t>okresie styczeń-</w:t>
      </w:r>
      <w:r w:rsidR="00177A36">
        <w:rPr>
          <w:szCs w:val="19"/>
          <w:shd w:val="clear" w:color="auto" w:fill="FFFFFF"/>
        </w:rPr>
        <w:t>czerwiec</w:t>
      </w:r>
      <w:r w:rsidR="005921E2" w:rsidRPr="005921E2">
        <w:rPr>
          <w:szCs w:val="19"/>
          <w:shd w:val="clear" w:color="auto" w:fill="FFFFFF"/>
        </w:rPr>
        <w:t xml:space="preserve"> </w:t>
      </w:r>
      <w:r w:rsidR="00BB53B6" w:rsidRPr="005921E2">
        <w:rPr>
          <w:szCs w:val="19"/>
          <w:shd w:val="clear" w:color="auto" w:fill="FFFFFF"/>
        </w:rPr>
        <w:t>2019 r</w:t>
      </w:r>
      <w:r w:rsidR="00BB53B6" w:rsidRPr="008F1C42">
        <w:rPr>
          <w:szCs w:val="19"/>
          <w:shd w:val="clear" w:color="auto" w:fill="FFFFFF"/>
        </w:rPr>
        <w:t>.</w:t>
      </w:r>
      <w:r w:rsidR="0061791A" w:rsidRPr="008F1C42">
        <w:rPr>
          <w:szCs w:val="19"/>
          <w:shd w:val="clear" w:color="auto" w:fill="FFFFFF"/>
        </w:rPr>
        <w:t>,</w:t>
      </w:r>
      <w:r w:rsidR="00BB53B6" w:rsidRPr="008F1C42">
        <w:rPr>
          <w:szCs w:val="19"/>
          <w:shd w:val="clear" w:color="auto" w:fill="FFFFFF"/>
        </w:rPr>
        <w:t xml:space="preserve"> </w:t>
      </w:r>
      <w:r w:rsidRPr="005921E2">
        <w:rPr>
          <w:szCs w:val="19"/>
          <w:shd w:val="clear" w:color="auto" w:fill="FFFFFF"/>
        </w:rPr>
        <w:t>odnotowano w wojewód</w:t>
      </w:r>
      <w:r w:rsidR="001030FA" w:rsidRPr="005921E2">
        <w:rPr>
          <w:szCs w:val="19"/>
          <w:shd w:val="clear" w:color="auto" w:fill="FFFFFF"/>
        </w:rPr>
        <w:t>ztwie mazowieckim (</w:t>
      </w:r>
      <w:r w:rsidR="00177A36">
        <w:rPr>
          <w:szCs w:val="19"/>
          <w:shd w:val="clear" w:color="auto" w:fill="FFFFFF"/>
        </w:rPr>
        <w:t>odpowiednio 22,4</w:t>
      </w:r>
      <w:r w:rsidR="001030FA" w:rsidRPr="005921E2">
        <w:rPr>
          <w:szCs w:val="19"/>
          <w:shd w:val="clear" w:color="auto" w:fill="FFFFFF"/>
        </w:rPr>
        <w:t xml:space="preserve"> tys.</w:t>
      </w:r>
      <w:r w:rsidR="00177A36">
        <w:rPr>
          <w:szCs w:val="19"/>
          <w:shd w:val="clear" w:color="auto" w:fill="FFFFFF"/>
        </w:rPr>
        <w:t xml:space="preserve"> i 19,6</w:t>
      </w:r>
      <w:r w:rsidR="00033D0D" w:rsidRPr="005921E2">
        <w:rPr>
          <w:szCs w:val="19"/>
          <w:shd w:val="clear" w:color="auto" w:fill="FFFFFF"/>
        </w:rPr>
        <w:t xml:space="preserve"> tys.</w:t>
      </w:r>
      <w:r w:rsidR="00164CF6" w:rsidRPr="005921E2">
        <w:rPr>
          <w:szCs w:val="19"/>
          <w:shd w:val="clear" w:color="auto" w:fill="FFFFFF"/>
        </w:rPr>
        <w:t xml:space="preserve">) oraz dolnośląskim </w:t>
      </w:r>
      <w:r w:rsidR="001030FA" w:rsidRPr="005921E2">
        <w:rPr>
          <w:szCs w:val="19"/>
          <w:shd w:val="clear" w:color="auto" w:fill="FFFFFF"/>
        </w:rPr>
        <w:t>(</w:t>
      </w:r>
      <w:r w:rsidR="00FA44C7" w:rsidRPr="005921E2">
        <w:rPr>
          <w:szCs w:val="19"/>
          <w:shd w:val="clear" w:color="auto" w:fill="FFFFFF"/>
        </w:rPr>
        <w:t xml:space="preserve">odpowiednio </w:t>
      </w:r>
      <w:r w:rsidR="00177A36">
        <w:rPr>
          <w:szCs w:val="19"/>
          <w:shd w:val="clear" w:color="auto" w:fill="FFFFFF"/>
        </w:rPr>
        <w:t>15,1</w:t>
      </w:r>
      <w:r w:rsidRPr="005921E2">
        <w:rPr>
          <w:szCs w:val="19"/>
          <w:shd w:val="clear" w:color="auto" w:fill="FFFFFF"/>
        </w:rPr>
        <w:t xml:space="preserve"> tys. </w:t>
      </w:r>
      <w:r w:rsidR="00177A36">
        <w:rPr>
          <w:szCs w:val="19"/>
          <w:shd w:val="clear" w:color="auto" w:fill="FFFFFF"/>
        </w:rPr>
        <w:t>i 13</w:t>
      </w:r>
      <w:r w:rsidR="001030FA" w:rsidRPr="005921E2">
        <w:rPr>
          <w:szCs w:val="19"/>
          <w:shd w:val="clear" w:color="auto" w:fill="FFFFFF"/>
        </w:rPr>
        <w:t>,</w:t>
      </w:r>
      <w:r w:rsidR="00177A36">
        <w:rPr>
          <w:szCs w:val="19"/>
          <w:shd w:val="clear" w:color="auto" w:fill="FFFFFF"/>
        </w:rPr>
        <w:t>3</w:t>
      </w:r>
      <w:r w:rsidRPr="005921E2">
        <w:rPr>
          <w:szCs w:val="19"/>
          <w:shd w:val="clear" w:color="auto" w:fill="FFFFFF"/>
        </w:rPr>
        <w:t xml:space="preserve"> tys.). </w:t>
      </w:r>
      <w:r w:rsidR="0041374E" w:rsidRPr="005921E2">
        <w:rPr>
          <w:szCs w:val="19"/>
          <w:shd w:val="clear" w:color="auto" w:fill="FFFFFF"/>
        </w:rPr>
        <w:t xml:space="preserve">Największą liczbą mieszkań oddanych do użytkowania charakteryzowało się województwo mazowieckie </w:t>
      </w:r>
      <w:r w:rsidR="00A0647C">
        <w:rPr>
          <w:szCs w:val="19"/>
          <w:shd w:val="clear" w:color="auto" w:fill="FFFFFF"/>
        </w:rPr>
        <w:t>(19,6</w:t>
      </w:r>
      <w:r w:rsidR="0041374E" w:rsidRPr="005921E2">
        <w:rPr>
          <w:szCs w:val="19"/>
          <w:shd w:val="clear" w:color="auto" w:fill="FFFFFF"/>
        </w:rPr>
        <w:t xml:space="preserve"> t</w:t>
      </w:r>
      <w:r w:rsidR="00F35A58" w:rsidRPr="005921E2">
        <w:rPr>
          <w:szCs w:val="19"/>
          <w:shd w:val="clear" w:color="auto" w:fill="FFFFFF"/>
        </w:rPr>
        <w:t xml:space="preserve">ys. mieszkań) </w:t>
      </w:r>
      <w:r w:rsidR="005921E2">
        <w:rPr>
          <w:szCs w:val="19"/>
          <w:shd w:val="clear" w:color="auto" w:fill="FFFFFF"/>
        </w:rPr>
        <w:br/>
      </w:r>
      <w:r w:rsidR="00033D0D" w:rsidRPr="005921E2">
        <w:rPr>
          <w:szCs w:val="19"/>
          <w:shd w:val="clear" w:color="auto" w:fill="FFFFFF"/>
        </w:rPr>
        <w:t xml:space="preserve">i </w:t>
      </w:r>
      <w:r w:rsidR="0041374E" w:rsidRPr="005921E2">
        <w:rPr>
          <w:szCs w:val="19"/>
          <w:shd w:val="clear" w:color="auto" w:fill="FFFFFF"/>
        </w:rPr>
        <w:t>małopolskie (</w:t>
      </w:r>
      <w:r w:rsidR="00A0647C">
        <w:rPr>
          <w:szCs w:val="19"/>
          <w:shd w:val="clear" w:color="auto" w:fill="FFFFFF"/>
        </w:rPr>
        <w:t>11,2</w:t>
      </w:r>
      <w:r w:rsidR="0041374E" w:rsidRPr="005921E2">
        <w:rPr>
          <w:szCs w:val="19"/>
          <w:shd w:val="clear" w:color="auto" w:fill="FFFFFF"/>
        </w:rPr>
        <w:t xml:space="preserve"> tys.).</w:t>
      </w:r>
    </w:p>
    <w:p w14:paraId="38645D66" w14:textId="77777777" w:rsidR="00A54EC5" w:rsidRDefault="00A54EC5" w:rsidP="00252C19">
      <w:pPr>
        <w:spacing w:line="240" w:lineRule="auto"/>
        <w:rPr>
          <w:sz w:val="16"/>
          <w:szCs w:val="16"/>
          <w:shd w:val="clear" w:color="auto" w:fill="FFFFFF"/>
        </w:rPr>
      </w:pPr>
    </w:p>
    <w:p w14:paraId="61F8383C" w14:textId="37AC2054" w:rsidR="00E56DD9" w:rsidRPr="00127F26" w:rsidRDefault="003457E4" w:rsidP="00066081">
      <w:pPr>
        <w:spacing w:line="240" w:lineRule="auto"/>
        <w:ind w:left="851" w:hanging="851"/>
        <w:rPr>
          <w:b/>
          <w:sz w:val="18"/>
          <w:szCs w:val="18"/>
        </w:rPr>
      </w:pPr>
      <w:r w:rsidRPr="00127F26">
        <w:rPr>
          <w:b/>
          <w:sz w:val="18"/>
          <w:szCs w:val="18"/>
        </w:rPr>
        <w:t>Wykres</w:t>
      </w:r>
      <w:r w:rsidR="006978FA" w:rsidRPr="00127F26">
        <w:rPr>
          <w:b/>
          <w:sz w:val="18"/>
          <w:szCs w:val="18"/>
        </w:rPr>
        <w:t xml:space="preserve"> 2. </w:t>
      </w:r>
      <w:r w:rsidR="00047CF8" w:rsidRPr="00127F26">
        <w:rPr>
          <w:b/>
          <w:sz w:val="18"/>
          <w:szCs w:val="18"/>
        </w:rPr>
        <w:t xml:space="preserve">Ruch budowlany w obszarze budownictwa mieszkaniowego </w:t>
      </w:r>
      <w:r w:rsidR="006978FA" w:rsidRPr="00127F26">
        <w:rPr>
          <w:b/>
          <w:sz w:val="18"/>
          <w:szCs w:val="18"/>
        </w:rPr>
        <w:t>według województw</w:t>
      </w:r>
      <w:r w:rsidR="00066081">
        <w:rPr>
          <w:b/>
          <w:sz w:val="18"/>
          <w:szCs w:val="18"/>
        </w:rPr>
        <w:t xml:space="preserve"> (</w:t>
      </w:r>
      <w:r w:rsidR="00047CF8" w:rsidRPr="00127F26">
        <w:rPr>
          <w:b/>
          <w:sz w:val="18"/>
          <w:szCs w:val="18"/>
        </w:rPr>
        <w:t>styczeń</w:t>
      </w:r>
      <w:r w:rsidR="00C37A03" w:rsidRPr="00127F26">
        <w:rPr>
          <w:b/>
          <w:sz w:val="18"/>
          <w:szCs w:val="18"/>
        </w:rPr>
        <w:t>-</w:t>
      </w:r>
      <w:r w:rsidR="00B94252" w:rsidRPr="00127F26">
        <w:rPr>
          <w:b/>
          <w:sz w:val="18"/>
          <w:szCs w:val="18"/>
        </w:rPr>
        <w:t>czerwiec</w:t>
      </w:r>
      <w:r w:rsidR="00C37A03" w:rsidRPr="00127F26">
        <w:rPr>
          <w:b/>
          <w:sz w:val="18"/>
          <w:szCs w:val="18"/>
        </w:rPr>
        <w:t xml:space="preserve"> </w:t>
      </w:r>
      <w:r w:rsidR="00047CF8" w:rsidRPr="00127F26">
        <w:rPr>
          <w:b/>
          <w:sz w:val="18"/>
          <w:szCs w:val="18"/>
        </w:rPr>
        <w:t>2019 r.)</w:t>
      </w:r>
      <w:r w:rsidR="00E56DD9" w:rsidRPr="00127F26">
        <w:rPr>
          <w:b/>
          <w:sz w:val="18"/>
          <w:szCs w:val="18"/>
        </w:rPr>
        <w:t xml:space="preserve"> </w:t>
      </w:r>
    </w:p>
    <w:p w14:paraId="0A9245AB" w14:textId="77777777" w:rsidR="00E56DD9" w:rsidRDefault="00257031" w:rsidP="00047CF8">
      <w:pPr>
        <w:jc w:val="center"/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804672" behindDoc="0" locked="0" layoutInCell="1" allowOverlap="1" wp14:anchorId="53A7E0AC" wp14:editId="07E0C0F2">
            <wp:simplePos x="0" y="0"/>
            <wp:positionH relativeFrom="margin">
              <wp:align>right</wp:align>
            </wp:positionH>
            <wp:positionV relativeFrom="paragraph">
              <wp:posOffset>156733</wp:posOffset>
            </wp:positionV>
            <wp:extent cx="5122545" cy="4399878"/>
            <wp:effectExtent l="0" t="0" r="0" b="0"/>
            <wp:wrapNone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76BD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E41E6B5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713C9D65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3D6F1E68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AEE5937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4E1803A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A01049D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441AE92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7706400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0DB9291F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36B4AE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626369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3085C06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02BF3BFC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7D6CD1F0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2BEE88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00EAD1F8" w14:textId="77777777" w:rsidR="006720A1" w:rsidRDefault="006720A1" w:rsidP="00047CF8">
      <w:pPr>
        <w:jc w:val="center"/>
        <w:rPr>
          <w:b/>
          <w:sz w:val="18"/>
          <w:szCs w:val="18"/>
        </w:rPr>
      </w:pPr>
    </w:p>
    <w:p w14:paraId="4B85CB8B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66DE7307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7EEFCF8C" w14:textId="77777777" w:rsidR="00694AF0" w:rsidRPr="00033D0D" w:rsidRDefault="00694AF0" w:rsidP="0046503D">
      <w:pPr>
        <w:rPr>
          <w:lang w:eastAsia="pl-PL"/>
        </w:rPr>
      </w:pPr>
    </w:p>
    <w:p w14:paraId="50FA1F4D" w14:textId="77777777" w:rsidR="00785B50" w:rsidRPr="00033D0D" w:rsidRDefault="00785B50" w:rsidP="0046503D">
      <w:pPr>
        <w:rPr>
          <w:lang w:eastAsia="pl-PL"/>
        </w:rPr>
        <w:sectPr w:rsidR="00785B50" w:rsidRPr="00033D0D" w:rsidSect="00853635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21268C" w:rsidRPr="00645B54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58715D11" w:rsidR="0021268C" w:rsidRPr="00AD2D79" w:rsidRDefault="0021268C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AD2D79">
              <w:rPr>
                <w:rFonts w:cs="Arial"/>
                <w:b/>
                <w:sz w:val="20"/>
              </w:rPr>
              <w:t>U</w:t>
            </w:r>
            <w:r w:rsidR="00B10E57">
              <w:rPr>
                <w:rFonts w:cs="Arial"/>
                <w:b/>
                <w:sz w:val="20"/>
              </w:rPr>
              <w:t xml:space="preserve">rząd </w:t>
            </w:r>
            <w:r w:rsidRPr="00AD2D79">
              <w:rPr>
                <w:rFonts w:cs="Arial"/>
                <w:b/>
                <w:sz w:val="20"/>
              </w:rPr>
              <w:t>S</w:t>
            </w:r>
            <w:r w:rsidR="00B10E57">
              <w:rPr>
                <w:rFonts w:cs="Arial"/>
                <w:b/>
                <w:sz w:val="20"/>
              </w:rPr>
              <w:t>tatystyczny w Lublinie</w:t>
            </w:r>
          </w:p>
          <w:p w14:paraId="1BEF3E8D" w14:textId="77777777" w:rsidR="0021268C" w:rsidRPr="00AD2D79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443F6BDB" w14:textId="77777777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2301</w:t>
            </w:r>
          </w:p>
          <w:p w14:paraId="50199915" w14:textId="77777777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B10E57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9" w:history="1">
              <w:r w:rsidRPr="00B10E57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7C1D53E8" w:rsidR="0021268C" w:rsidRPr="008F3638" w:rsidRDefault="00645B54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  <w:bookmarkStart w:id="0" w:name="_GoBack"/>
            <w:bookmarkEnd w:id="0"/>
          </w:p>
          <w:p w14:paraId="3B4C0756" w14:textId="77777777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6EC245C2" w14:textId="77777777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77777777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1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73B684F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5236210" cy="4535170"/>
                <wp:effectExtent l="0" t="0" r="2159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2CFBDE02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="00FB06D3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 w 2017 roku</w:t>
                              </w:r>
                            </w:hyperlink>
                          </w:p>
                          <w:p w14:paraId="67BABBD6" w14:textId="79B06878" w:rsidR="00707935" w:rsidRDefault="00742AD8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C29C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 w pierwszym kwartale 2019 r.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742AD8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742AD8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Default="00742AD8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D2518C" w:rsidRDefault="00D650EB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77777777" w:rsidR="004862B6" w:rsidRPr="00D2518C" w:rsidRDefault="00742AD8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14:paraId="753D614D" w14:textId="77777777" w:rsidR="004862B6" w:rsidRPr="00D2518C" w:rsidRDefault="00742AD8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742AD8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AB3A9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2.15pt;margin-top:26.6pt;width:412.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2CFBDE02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3" w:history="1">
                        <w:r w:rsidR="00FB06D3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 w 2017 roku</w:t>
                        </w:r>
                      </w:hyperlink>
                    </w:p>
                    <w:p w14:paraId="67BABBD6" w14:textId="79B06878" w:rsidR="00707935" w:rsidRDefault="00C11343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4C29C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 w pierwszym kwartale 2019 r.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C11343" w:rsidP="00AB6D25">
                      <w:pPr>
                        <w:rPr>
                          <w:color w:val="001D77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C11343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Default="00C11343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D2518C" w:rsidRDefault="00D650EB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77777777" w:rsidR="004862B6" w:rsidRPr="00D2518C" w:rsidRDefault="00C11343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Mieszkania, na których budowę wydano pozwolenia</w:t>
                        </w:r>
                      </w:hyperlink>
                    </w:p>
                    <w:p w14:paraId="753D614D" w14:textId="77777777" w:rsidR="004862B6" w:rsidRPr="00D2518C" w:rsidRDefault="00C11343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C11343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2ACB57C1" w14:textId="77777777" w:rsidR="0021268C" w:rsidRPr="0021268C" w:rsidRDefault="0021268C" w:rsidP="0046503D">
      <w:pPr>
        <w:rPr>
          <w:sz w:val="18"/>
          <w:lang w:val="en-US"/>
        </w:rPr>
      </w:pP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4CE1" w14:textId="77777777" w:rsidR="00742AD8" w:rsidRDefault="00742AD8" w:rsidP="000662E2">
      <w:pPr>
        <w:spacing w:after="0" w:line="240" w:lineRule="auto"/>
      </w:pPr>
      <w:r>
        <w:separator/>
      </w:r>
    </w:p>
  </w:endnote>
  <w:endnote w:type="continuationSeparator" w:id="0">
    <w:p w14:paraId="51E72278" w14:textId="77777777" w:rsidR="00742AD8" w:rsidRDefault="00742AD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0905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B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157304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B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D4C9A" w14:textId="77777777" w:rsidR="00742AD8" w:rsidRDefault="00742AD8" w:rsidP="000662E2">
      <w:pPr>
        <w:spacing w:after="0" w:line="240" w:lineRule="auto"/>
      </w:pPr>
      <w:r>
        <w:separator/>
      </w:r>
    </w:p>
  </w:footnote>
  <w:footnote w:type="continuationSeparator" w:id="0">
    <w:p w14:paraId="7DAEBBF4" w14:textId="77777777" w:rsidR="00742AD8" w:rsidRDefault="00742AD8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Default="006F5529">
      <w:pPr>
        <w:pStyle w:val="Tekstprzypisudolnego"/>
      </w:pPr>
      <w:r w:rsidRPr="00B678B9">
        <w:rPr>
          <w:rStyle w:val="Odwoanieprzypisudolnego"/>
        </w:rPr>
        <w:footnoteRef/>
      </w:r>
      <w:r>
        <w:t xml:space="preserve"> </w:t>
      </w:r>
      <w:r w:rsidRPr="006F5529">
        <w:rPr>
          <w:rFonts w:eastAsia="Calibri" w:cs="Times New Roman"/>
          <w:sz w:val="14"/>
          <w:szCs w:val="14"/>
        </w:rPr>
        <w:t xml:space="preserve">Dane </w:t>
      </w:r>
      <w:r w:rsidRPr="00B14B8C">
        <w:rPr>
          <w:rFonts w:eastAsia="Calibri" w:cs="Times New Roman"/>
          <w:sz w:val="14"/>
          <w:szCs w:val="14"/>
        </w:rPr>
        <w:t xml:space="preserve">meldunkowe </w:t>
      </w:r>
      <w:r w:rsidRPr="006F5529">
        <w:rPr>
          <w:rFonts w:eastAsia="Calibri" w:cs="Times New Roman"/>
          <w:sz w:val="14"/>
          <w:szCs w:val="14"/>
        </w:rPr>
        <w:t>– mogą ulec zmianie po opracowaniu sprawozdań kwartalnych</w:t>
      </w:r>
      <w:r w:rsidR="003476A5">
        <w:rPr>
          <w:rFonts w:eastAsia="Calibri" w:cs="Times New Roman"/>
          <w:sz w:val="14"/>
          <w:szCs w:val="14"/>
        </w:rPr>
        <w:t>.</w:t>
      </w:r>
    </w:p>
  </w:footnote>
  <w:footnote w:id="2">
    <w:p w14:paraId="5BAD0CF1" w14:textId="77777777" w:rsidR="00F4008D" w:rsidRPr="009E374D" w:rsidRDefault="00086360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9E374D">
        <w:rPr>
          <w:sz w:val="14"/>
          <w:szCs w:val="14"/>
        </w:rPr>
        <w:t xml:space="preserve">Ilekroć </w:t>
      </w:r>
      <w:r w:rsidR="00047CF8" w:rsidRPr="00047CF8">
        <w:rPr>
          <w:sz w:val="14"/>
          <w:szCs w:val="14"/>
        </w:rPr>
        <w:t xml:space="preserve">w notatce </w:t>
      </w:r>
      <w:r w:rsidRPr="009E374D">
        <w:rPr>
          <w:sz w:val="14"/>
          <w:szCs w:val="14"/>
        </w:rPr>
        <w:t xml:space="preserve">jest </w:t>
      </w:r>
      <w:r w:rsidR="00047CF8">
        <w:rPr>
          <w:sz w:val="14"/>
          <w:szCs w:val="14"/>
        </w:rPr>
        <w:t xml:space="preserve">mowa o deweloperach, oznacza to </w:t>
      </w:r>
      <w:r w:rsidRPr="009E374D">
        <w:rPr>
          <w:sz w:val="14"/>
          <w:szCs w:val="14"/>
        </w:rPr>
        <w:t>budownictwo przeznaczo</w:t>
      </w:r>
      <w:r w:rsidR="00047CF8">
        <w:rPr>
          <w:sz w:val="14"/>
          <w:szCs w:val="14"/>
        </w:rPr>
        <w:t xml:space="preserve">ne na sprzedaż lub wynajem, </w:t>
      </w:r>
      <w:r w:rsidR="0097447F" w:rsidRPr="009E374D">
        <w:rPr>
          <w:sz w:val="14"/>
          <w:szCs w:val="14"/>
        </w:rPr>
        <w:t>realizowane przez różnych inwestorów z zamiarem osiągnięcia zysku</w:t>
      </w:r>
      <w:r w:rsidR="00047CF8">
        <w:rPr>
          <w:sz w:val="14"/>
          <w:szCs w:val="14"/>
        </w:rPr>
        <w:t xml:space="preserve">, natomiast informacje o </w:t>
      </w:r>
      <w:r w:rsidR="009E374D" w:rsidRPr="009E374D">
        <w:rPr>
          <w:sz w:val="14"/>
          <w:szCs w:val="14"/>
        </w:rPr>
        <w:t>inwestorach i</w:t>
      </w:r>
      <w:r w:rsidR="00047CF8">
        <w:rPr>
          <w:sz w:val="14"/>
          <w:szCs w:val="14"/>
        </w:rPr>
        <w:t xml:space="preserve">ndywidualnych dotyczą </w:t>
      </w:r>
      <w:r w:rsidR="003457E4">
        <w:rPr>
          <w:sz w:val="14"/>
          <w:szCs w:val="14"/>
        </w:rPr>
        <w:t>budownictwa</w:t>
      </w:r>
      <w:r w:rsidR="009E374D" w:rsidRPr="009E374D">
        <w:rPr>
          <w:sz w:val="14"/>
          <w:szCs w:val="14"/>
        </w:rPr>
        <w:t xml:space="preserve"> realizowane</w:t>
      </w:r>
      <w:r w:rsidR="00047CF8">
        <w:rPr>
          <w:sz w:val="14"/>
          <w:szCs w:val="14"/>
        </w:rPr>
        <w:t>go</w:t>
      </w:r>
      <w:r w:rsidR="009E374D" w:rsidRPr="009E374D">
        <w:rPr>
          <w:sz w:val="14"/>
          <w:szCs w:val="14"/>
        </w:rPr>
        <w:t xml:space="preserve"> na użytek </w:t>
      </w:r>
      <w:r w:rsidR="008D5D1D" w:rsidRPr="008D5D1D">
        <w:rPr>
          <w:sz w:val="14"/>
          <w:szCs w:val="14"/>
        </w:rPr>
        <w:t xml:space="preserve">własny </w:t>
      </w:r>
      <w:r w:rsidR="009E374D" w:rsidRPr="009E374D">
        <w:rPr>
          <w:sz w:val="14"/>
          <w:szCs w:val="14"/>
        </w:rPr>
        <w:t>inwestora</w:t>
      </w:r>
      <w:r w:rsidR="003476A5">
        <w:rPr>
          <w:sz w:val="14"/>
          <w:szCs w:val="14"/>
        </w:rPr>
        <w:t>.</w:t>
      </w:r>
    </w:p>
  </w:footnote>
  <w:footnote w:id="3">
    <w:p w14:paraId="18D65F28" w14:textId="77777777" w:rsidR="00E65046" w:rsidRDefault="00E650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4B8C">
        <w:rPr>
          <w:sz w:val="14"/>
          <w:szCs w:val="14"/>
        </w:rPr>
        <w:t>Realizowane przez różnych inwestorów z zamiarem krótkoterminowego lub długoterminowego wynajmu mieszkań, w tym na podstawie umów najmu instytucjonalnego z dojściem do własności</w:t>
      </w:r>
      <w:r w:rsidR="003476A5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D2860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5222AFE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7777777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77777777" w:rsidR="00112A4D" w:rsidRPr="00C97596" w:rsidRDefault="00B073F4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23.07</w:t>
                          </w:r>
                          <w:r w:rsidR="00112A4D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112A4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77777777" w:rsidR="00112A4D" w:rsidRPr="00C97596" w:rsidRDefault="00B073F4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23.07</w:t>
                    </w:r>
                    <w:r w:rsidR="00112A4D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112A4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7" name="Obraz 3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417EDEE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8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6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BF9"/>
    <w:rsid w:val="000108B8"/>
    <w:rsid w:val="00011182"/>
    <w:rsid w:val="000111EC"/>
    <w:rsid w:val="00013599"/>
    <w:rsid w:val="000152F5"/>
    <w:rsid w:val="000169EB"/>
    <w:rsid w:val="00016E48"/>
    <w:rsid w:val="00021CD6"/>
    <w:rsid w:val="00024626"/>
    <w:rsid w:val="00027227"/>
    <w:rsid w:val="0003236F"/>
    <w:rsid w:val="00033D0D"/>
    <w:rsid w:val="00035886"/>
    <w:rsid w:val="0003752A"/>
    <w:rsid w:val="000375C3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6AD0"/>
    <w:rsid w:val="00057CA1"/>
    <w:rsid w:val="000612F7"/>
    <w:rsid w:val="00061DAF"/>
    <w:rsid w:val="000657FC"/>
    <w:rsid w:val="00066081"/>
    <w:rsid w:val="000662E2"/>
    <w:rsid w:val="00066883"/>
    <w:rsid w:val="00066B05"/>
    <w:rsid w:val="0007222B"/>
    <w:rsid w:val="00073259"/>
    <w:rsid w:val="00073311"/>
    <w:rsid w:val="00074DD8"/>
    <w:rsid w:val="000761AC"/>
    <w:rsid w:val="00076D95"/>
    <w:rsid w:val="00077B8C"/>
    <w:rsid w:val="000806F7"/>
    <w:rsid w:val="000809C8"/>
    <w:rsid w:val="00084531"/>
    <w:rsid w:val="00086360"/>
    <w:rsid w:val="00086B7D"/>
    <w:rsid w:val="000870D1"/>
    <w:rsid w:val="00090DAE"/>
    <w:rsid w:val="00091304"/>
    <w:rsid w:val="000925FF"/>
    <w:rsid w:val="00094C33"/>
    <w:rsid w:val="000A09E4"/>
    <w:rsid w:val="000A1172"/>
    <w:rsid w:val="000A39FD"/>
    <w:rsid w:val="000A3ACF"/>
    <w:rsid w:val="000A4C12"/>
    <w:rsid w:val="000A4E2A"/>
    <w:rsid w:val="000B0727"/>
    <w:rsid w:val="000B318F"/>
    <w:rsid w:val="000B4DA2"/>
    <w:rsid w:val="000B4E03"/>
    <w:rsid w:val="000B4F0D"/>
    <w:rsid w:val="000C0137"/>
    <w:rsid w:val="000C09C3"/>
    <w:rsid w:val="000C135D"/>
    <w:rsid w:val="000C4E6B"/>
    <w:rsid w:val="000D1427"/>
    <w:rsid w:val="000D1D43"/>
    <w:rsid w:val="000D20FE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1011C3"/>
    <w:rsid w:val="00101571"/>
    <w:rsid w:val="001030FA"/>
    <w:rsid w:val="0010569E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20701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4E2D"/>
    <w:rsid w:val="001409E1"/>
    <w:rsid w:val="001423B6"/>
    <w:rsid w:val="001425F1"/>
    <w:rsid w:val="001448A7"/>
    <w:rsid w:val="00146621"/>
    <w:rsid w:val="001467DB"/>
    <w:rsid w:val="00152273"/>
    <w:rsid w:val="00162325"/>
    <w:rsid w:val="00163C91"/>
    <w:rsid w:val="00164CF6"/>
    <w:rsid w:val="00165D6F"/>
    <w:rsid w:val="00175380"/>
    <w:rsid w:val="001753B5"/>
    <w:rsid w:val="00175AE8"/>
    <w:rsid w:val="0017779B"/>
    <w:rsid w:val="00177A36"/>
    <w:rsid w:val="00177DD6"/>
    <w:rsid w:val="001823A4"/>
    <w:rsid w:val="001850EA"/>
    <w:rsid w:val="001852BE"/>
    <w:rsid w:val="00186B6B"/>
    <w:rsid w:val="0019166D"/>
    <w:rsid w:val="00193519"/>
    <w:rsid w:val="00194103"/>
    <w:rsid w:val="001945FA"/>
    <w:rsid w:val="001951DA"/>
    <w:rsid w:val="001952F2"/>
    <w:rsid w:val="00195767"/>
    <w:rsid w:val="00195C5A"/>
    <w:rsid w:val="00196493"/>
    <w:rsid w:val="001A4380"/>
    <w:rsid w:val="001A6EC1"/>
    <w:rsid w:val="001B1CE5"/>
    <w:rsid w:val="001B48A8"/>
    <w:rsid w:val="001B4968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E02B7"/>
    <w:rsid w:val="001E307A"/>
    <w:rsid w:val="001E475A"/>
    <w:rsid w:val="001E482E"/>
    <w:rsid w:val="001E7919"/>
    <w:rsid w:val="001F23B3"/>
    <w:rsid w:val="001F31BD"/>
    <w:rsid w:val="001F3686"/>
    <w:rsid w:val="001F5E14"/>
    <w:rsid w:val="001F649C"/>
    <w:rsid w:val="00202E71"/>
    <w:rsid w:val="0021268C"/>
    <w:rsid w:val="00213DF1"/>
    <w:rsid w:val="00216F21"/>
    <w:rsid w:val="002173E8"/>
    <w:rsid w:val="00217D5E"/>
    <w:rsid w:val="002217A8"/>
    <w:rsid w:val="0022605C"/>
    <w:rsid w:val="00226CDB"/>
    <w:rsid w:val="00226D83"/>
    <w:rsid w:val="00231001"/>
    <w:rsid w:val="0023461B"/>
    <w:rsid w:val="00237327"/>
    <w:rsid w:val="002452B8"/>
    <w:rsid w:val="00247C71"/>
    <w:rsid w:val="00252C19"/>
    <w:rsid w:val="00254FBD"/>
    <w:rsid w:val="002566A2"/>
    <w:rsid w:val="00257031"/>
    <w:rsid w:val="002574F9"/>
    <w:rsid w:val="00260AC7"/>
    <w:rsid w:val="002615C6"/>
    <w:rsid w:val="00264835"/>
    <w:rsid w:val="0026524A"/>
    <w:rsid w:val="00270874"/>
    <w:rsid w:val="002722B3"/>
    <w:rsid w:val="00276811"/>
    <w:rsid w:val="00277F85"/>
    <w:rsid w:val="00282699"/>
    <w:rsid w:val="00291BB9"/>
    <w:rsid w:val="00292177"/>
    <w:rsid w:val="00292388"/>
    <w:rsid w:val="002926DF"/>
    <w:rsid w:val="00296697"/>
    <w:rsid w:val="00296F96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6B12"/>
    <w:rsid w:val="002B6B7B"/>
    <w:rsid w:val="002C424B"/>
    <w:rsid w:val="002D0AC4"/>
    <w:rsid w:val="002D1DA5"/>
    <w:rsid w:val="002D2ECD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77C8"/>
    <w:rsid w:val="0030115B"/>
    <w:rsid w:val="00304F22"/>
    <w:rsid w:val="00306485"/>
    <w:rsid w:val="003067CB"/>
    <w:rsid w:val="00306C7C"/>
    <w:rsid w:val="003133B6"/>
    <w:rsid w:val="00315805"/>
    <w:rsid w:val="00320924"/>
    <w:rsid w:val="00322EDD"/>
    <w:rsid w:val="003231A1"/>
    <w:rsid w:val="00324C9B"/>
    <w:rsid w:val="00332263"/>
    <w:rsid w:val="00332320"/>
    <w:rsid w:val="0033525D"/>
    <w:rsid w:val="00336412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613E6"/>
    <w:rsid w:val="00361EDA"/>
    <w:rsid w:val="003621DC"/>
    <w:rsid w:val="00362216"/>
    <w:rsid w:val="003623FA"/>
    <w:rsid w:val="003627FC"/>
    <w:rsid w:val="003651C8"/>
    <w:rsid w:val="00365F22"/>
    <w:rsid w:val="00366879"/>
    <w:rsid w:val="00367237"/>
    <w:rsid w:val="0037077F"/>
    <w:rsid w:val="00371757"/>
    <w:rsid w:val="00371C7E"/>
    <w:rsid w:val="00373882"/>
    <w:rsid w:val="00373C02"/>
    <w:rsid w:val="00374B96"/>
    <w:rsid w:val="00375215"/>
    <w:rsid w:val="0037526E"/>
    <w:rsid w:val="003802E8"/>
    <w:rsid w:val="00380DD8"/>
    <w:rsid w:val="00383B0F"/>
    <w:rsid w:val="003843DB"/>
    <w:rsid w:val="003854ED"/>
    <w:rsid w:val="00385767"/>
    <w:rsid w:val="00386D02"/>
    <w:rsid w:val="003902D5"/>
    <w:rsid w:val="0039173C"/>
    <w:rsid w:val="003931C0"/>
    <w:rsid w:val="0039373A"/>
    <w:rsid w:val="00393761"/>
    <w:rsid w:val="003947E0"/>
    <w:rsid w:val="00395881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C8D"/>
    <w:rsid w:val="003D0B5F"/>
    <w:rsid w:val="003D0F50"/>
    <w:rsid w:val="003D3C6E"/>
    <w:rsid w:val="003D4F95"/>
    <w:rsid w:val="003D5F42"/>
    <w:rsid w:val="003D60A9"/>
    <w:rsid w:val="003E2C2A"/>
    <w:rsid w:val="003E6F61"/>
    <w:rsid w:val="003E7C6E"/>
    <w:rsid w:val="003E7DE1"/>
    <w:rsid w:val="003F13A9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BD0"/>
    <w:rsid w:val="00436E98"/>
    <w:rsid w:val="00437395"/>
    <w:rsid w:val="00440E30"/>
    <w:rsid w:val="00443BB1"/>
    <w:rsid w:val="00443D0E"/>
    <w:rsid w:val="00444B75"/>
    <w:rsid w:val="00445047"/>
    <w:rsid w:val="00445E43"/>
    <w:rsid w:val="004466B1"/>
    <w:rsid w:val="00450E62"/>
    <w:rsid w:val="00454004"/>
    <w:rsid w:val="00460DA9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E69"/>
    <w:rsid w:val="00477DD8"/>
    <w:rsid w:val="00484901"/>
    <w:rsid w:val="00484E17"/>
    <w:rsid w:val="004862B6"/>
    <w:rsid w:val="00486543"/>
    <w:rsid w:val="00493B1C"/>
    <w:rsid w:val="004949CA"/>
    <w:rsid w:val="0049621B"/>
    <w:rsid w:val="00497CE2"/>
    <w:rsid w:val="004A284F"/>
    <w:rsid w:val="004A3BC8"/>
    <w:rsid w:val="004A4641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D40"/>
    <w:rsid w:val="004D06AC"/>
    <w:rsid w:val="004D107E"/>
    <w:rsid w:val="004D1586"/>
    <w:rsid w:val="004D4D5A"/>
    <w:rsid w:val="004D5EE7"/>
    <w:rsid w:val="004D665D"/>
    <w:rsid w:val="004D6D43"/>
    <w:rsid w:val="004E0216"/>
    <w:rsid w:val="004E0542"/>
    <w:rsid w:val="004E1A89"/>
    <w:rsid w:val="004E221F"/>
    <w:rsid w:val="004F0C3C"/>
    <w:rsid w:val="004F2A2C"/>
    <w:rsid w:val="004F4FCA"/>
    <w:rsid w:val="004F5A9B"/>
    <w:rsid w:val="004F63FC"/>
    <w:rsid w:val="004F6903"/>
    <w:rsid w:val="00505A92"/>
    <w:rsid w:val="00507AB5"/>
    <w:rsid w:val="00507D35"/>
    <w:rsid w:val="00510D8A"/>
    <w:rsid w:val="005203F1"/>
    <w:rsid w:val="005206F5"/>
    <w:rsid w:val="00520DD1"/>
    <w:rsid w:val="00521BC3"/>
    <w:rsid w:val="005241EA"/>
    <w:rsid w:val="0052510F"/>
    <w:rsid w:val="00525CAC"/>
    <w:rsid w:val="00525FB7"/>
    <w:rsid w:val="00527E6B"/>
    <w:rsid w:val="00533632"/>
    <w:rsid w:val="00533FC2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61AEB"/>
    <w:rsid w:val="00566275"/>
    <w:rsid w:val="00576096"/>
    <w:rsid w:val="005762A7"/>
    <w:rsid w:val="005776E0"/>
    <w:rsid w:val="00577BDE"/>
    <w:rsid w:val="00581324"/>
    <w:rsid w:val="00582ED4"/>
    <w:rsid w:val="00585630"/>
    <w:rsid w:val="00590BB1"/>
    <w:rsid w:val="005916D7"/>
    <w:rsid w:val="00591FDF"/>
    <w:rsid w:val="005921E2"/>
    <w:rsid w:val="00593FB5"/>
    <w:rsid w:val="005943D2"/>
    <w:rsid w:val="00595F5A"/>
    <w:rsid w:val="00597DE4"/>
    <w:rsid w:val="005A30AB"/>
    <w:rsid w:val="005A37DA"/>
    <w:rsid w:val="005A698C"/>
    <w:rsid w:val="005B75B9"/>
    <w:rsid w:val="005C0216"/>
    <w:rsid w:val="005C114C"/>
    <w:rsid w:val="005C16BE"/>
    <w:rsid w:val="005C4A86"/>
    <w:rsid w:val="005C4E91"/>
    <w:rsid w:val="005C5A51"/>
    <w:rsid w:val="005C763D"/>
    <w:rsid w:val="005C764C"/>
    <w:rsid w:val="005C7EE7"/>
    <w:rsid w:val="005D01B4"/>
    <w:rsid w:val="005D2FB0"/>
    <w:rsid w:val="005D6F87"/>
    <w:rsid w:val="005E0799"/>
    <w:rsid w:val="005E48B2"/>
    <w:rsid w:val="005E4E00"/>
    <w:rsid w:val="005F302D"/>
    <w:rsid w:val="005F5129"/>
    <w:rsid w:val="005F5A80"/>
    <w:rsid w:val="005F5FD8"/>
    <w:rsid w:val="00603187"/>
    <w:rsid w:val="006044FF"/>
    <w:rsid w:val="00604C78"/>
    <w:rsid w:val="006051FC"/>
    <w:rsid w:val="00607CC5"/>
    <w:rsid w:val="006102AA"/>
    <w:rsid w:val="00610D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B54"/>
    <w:rsid w:val="00646D6F"/>
    <w:rsid w:val="00664589"/>
    <w:rsid w:val="006673CA"/>
    <w:rsid w:val="00667D6F"/>
    <w:rsid w:val="00671511"/>
    <w:rsid w:val="006720A1"/>
    <w:rsid w:val="00673657"/>
    <w:rsid w:val="00673BE0"/>
    <w:rsid w:val="00673C26"/>
    <w:rsid w:val="00674508"/>
    <w:rsid w:val="00674ABE"/>
    <w:rsid w:val="00677F45"/>
    <w:rsid w:val="0068038E"/>
    <w:rsid w:val="006812AF"/>
    <w:rsid w:val="0068184F"/>
    <w:rsid w:val="00682331"/>
    <w:rsid w:val="0068327D"/>
    <w:rsid w:val="00685F86"/>
    <w:rsid w:val="00690C38"/>
    <w:rsid w:val="00694AF0"/>
    <w:rsid w:val="006978FA"/>
    <w:rsid w:val="006A0A6A"/>
    <w:rsid w:val="006A1938"/>
    <w:rsid w:val="006A37E8"/>
    <w:rsid w:val="006A6B61"/>
    <w:rsid w:val="006A6DB6"/>
    <w:rsid w:val="006B0E9E"/>
    <w:rsid w:val="006B14C5"/>
    <w:rsid w:val="006B25A7"/>
    <w:rsid w:val="006B3ACC"/>
    <w:rsid w:val="006B5AE4"/>
    <w:rsid w:val="006B6187"/>
    <w:rsid w:val="006C4AF3"/>
    <w:rsid w:val="006C4BEC"/>
    <w:rsid w:val="006C5216"/>
    <w:rsid w:val="006C6D12"/>
    <w:rsid w:val="006D07A2"/>
    <w:rsid w:val="006D1926"/>
    <w:rsid w:val="006D4054"/>
    <w:rsid w:val="006D4BD3"/>
    <w:rsid w:val="006D5ACE"/>
    <w:rsid w:val="006E02EC"/>
    <w:rsid w:val="006E0C18"/>
    <w:rsid w:val="006E2C25"/>
    <w:rsid w:val="006E43C9"/>
    <w:rsid w:val="006E4CDB"/>
    <w:rsid w:val="006E4D66"/>
    <w:rsid w:val="006E5888"/>
    <w:rsid w:val="006E6053"/>
    <w:rsid w:val="006E76CB"/>
    <w:rsid w:val="006F059C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FB4"/>
    <w:rsid w:val="007317DF"/>
    <w:rsid w:val="00734924"/>
    <w:rsid w:val="0073569A"/>
    <w:rsid w:val="00737DCC"/>
    <w:rsid w:val="00741554"/>
    <w:rsid w:val="00742AD8"/>
    <w:rsid w:val="00746187"/>
    <w:rsid w:val="00753265"/>
    <w:rsid w:val="00753DA3"/>
    <w:rsid w:val="0075636C"/>
    <w:rsid w:val="00756B32"/>
    <w:rsid w:val="0076234C"/>
    <w:rsid w:val="0076254F"/>
    <w:rsid w:val="00763711"/>
    <w:rsid w:val="0076475E"/>
    <w:rsid w:val="00766E80"/>
    <w:rsid w:val="007702BD"/>
    <w:rsid w:val="00770725"/>
    <w:rsid w:val="00773B09"/>
    <w:rsid w:val="00777957"/>
    <w:rsid w:val="007801F5"/>
    <w:rsid w:val="00780316"/>
    <w:rsid w:val="00783473"/>
    <w:rsid w:val="00783CA4"/>
    <w:rsid w:val="007842FB"/>
    <w:rsid w:val="00785B50"/>
    <w:rsid w:val="00786124"/>
    <w:rsid w:val="00786B8A"/>
    <w:rsid w:val="00790113"/>
    <w:rsid w:val="00792040"/>
    <w:rsid w:val="00793D18"/>
    <w:rsid w:val="0079498A"/>
    <w:rsid w:val="0079514B"/>
    <w:rsid w:val="00797294"/>
    <w:rsid w:val="007A1014"/>
    <w:rsid w:val="007A2DC1"/>
    <w:rsid w:val="007A41A9"/>
    <w:rsid w:val="007A5CB7"/>
    <w:rsid w:val="007B0E35"/>
    <w:rsid w:val="007B2673"/>
    <w:rsid w:val="007B3DB7"/>
    <w:rsid w:val="007B4F73"/>
    <w:rsid w:val="007B78D0"/>
    <w:rsid w:val="007C2970"/>
    <w:rsid w:val="007C2C9F"/>
    <w:rsid w:val="007C3D00"/>
    <w:rsid w:val="007C4EF9"/>
    <w:rsid w:val="007C792E"/>
    <w:rsid w:val="007D1F83"/>
    <w:rsid w:val="007D209F"/>
    <w:rsid w:val="007D3319"/>
    <w:rsid w:val="007D335D"/>
    <w:rsid w:val="007D5031"/>
    <w:rsid w:val="007D573B"/>
    <w:rsid w:val="007D6D55"/>
    <w:rsid w:val="007E0C88"/>
    <w:rsid w:val="007E24ED"/>
    <w:rsid w:val="007E319D"/>
    <w:rsid w:val="007E3314"/>
    <w:rsid w:val="007E4B03"/>
    <w:rsid w:val="007E58A2"/>
    <w:rsid w:val="007E713F"/>
    <w:rsid w:val="007E76BE"/>
    <w:rsid w:val="007E7CE3"/>
    <w:rsid w:val="007F1316"/>
    <w:rsid w:val="007F324B"/>
    <w:rsid w:val="007F3EEC"/>
    <w:rsid w:val="007F4DFE"/>
    <w:rsid w:val="007F6B07"/>
    <w:rsid w:val="007F7483"/>
    <w:rsid w:val="00802022"/>
    <w:rsid w:val="00802E60"/>
    <w:rsid w:val="00803EAA"/>
    <w:rsid w:val="0080553C"/>
    <w:rsid w:val="00805B46"/>
    <w:rsid w:val="00810E8D"/>
    <w:rsid w:val="00811ECD"/>
    <w:rsid w:val="00820A18"/>
    <w:rsid w:val="00825DC2"/>
    <w:rsid w:val="008263B6"/>
    <w:rsid w:val="00830DEC"/>
    <w:rsid w:val="00833D4E"/>
    <w:rsid w:val="00834AD3"/>
    <w:rsid w:val="00835D3C"/>
    <w:rsid w:val="00836533"/>
    <w:rsid w:val="0083677A"/>
    <w:rsid w:val="00837C34"/>
    <w:rsid w:val="00843795"/>
    <w:rsid w:val="008438BA"/>
    <w:rsid w:val="0084465E"/>
    <w:rsid w:val="00846E9E"/>
    <w:rsid w:val="00847F0F"/>
    <w:rsid w:val="008500B1"/>
    <w:rsid w:val="008522FC"/>
    <w:rsid w:val="00852448"/>
    <w:rsid w:val="0085344B"/>
    <w:rsid w:val="00853635"/>
    <w:rsid w:val="0085567B"/>
    <w:rsid w:val="00857E64"/>
    <w:rsid w:val="00860C28"/>
    <w:rsid w:val="00860F7B"/>
    <w:rsid w:val="00863E09"/>
    <w:rsid w:val="008646DA"/>
    <w:rsid w:val="00865B30"/>
    <w:rsid w:val="00865E47"/>
    <w:rsid w:val="00866416"/>
    <w:rsid w:val="008739BA"/>
    <w:rsid w:val="00874676"/>
    <w:rsid w:val="0088258A"/>
    <w:rsid w:val="00882FBF"/>
    <w:rsid w:val="00885575"/>
    <w:rsid w:val="00886332"/>
    <w:rsid w:val="00886D2F"/>
    <w:rsid w:val="00887F70"/>
    <w:rsid w:val="008948E4"/>
    <w:rsid w:val="008A1C80"/>
    <w:rsid w:val="008A26D9"/>
    <w:rsid w:val="008A3DAD"/>
    <w:rsid w:val="008A58C2"/>
    <w:rsid w:val="008B0F20"/>
    <w:rsid w:val="008B1B16"/>
    <w:rsid w:val="008B3CA0"/>
    <w:rsid w:val="008B6A9A"/>
    <w:rsid w:val="008C0007"/>
    <w:rsid w:val="008C0C29"/>
    <w:rsid w:val="008C1F33"/>
    <w:rsid w:val="008C37DB"/>
    <w:rsid w:val="008C3AB7"/>
    <w:rsid w:val="008C4E2B"/>
    <w:rsid w:val="008C5D81"/>
    <w:rsid w:val="008D2074"/>
    <w:rsid w:val="008D21F2"/>
    <w:rsid w:val="008D3F85"/>
    <w:rsid w:val="008D561B"/>
    <w:rsid w:val="008D5D1D"/>
    <w:rsid w:val="008D6413"/>
    <w:rsid w:val="008E0933"/>
    <w:rsid w:val="008E6F47"/>
    <w:rsid w:val="008F04DA"/>
    <w:rsid w:val="008F1C42"/>
    <w:rsid w:val="008F2D53"/>
    <w:rsid w:val="008F3638"/>
    <w:rsid w:val="008F4B57"/>
    <w:rsid w:val="008F5556"/>
    <w:rsid w:val="008F6F31"/>
    <w:rsid w:val="008F74DF"/>
    <w:rsid w:val="00903106"/>
    <w:rsid w:val="00904133"/>
    <w:rsid w:val="00905375"/>
    <w:rsid w:val="00905A67"/>
    <w:rsid w:val="00906857"/>
    <w:rsid w:val="00907546"/>
    <w:rsid w:val="009076B2"/>
    <w:rsid w:val="009127BA"/>
    <w:rsid w:val="0091310A"/>
    <w:rsid w:val="00913766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4417D"/>
    <w:rsid w:val="00944262"/>
    <w:rsid w:val="00946A4C"/>
    <w:rsid w:val="009510F1"/>
    <w:rsid w:val="00951EDB"/>
    <w:rsid w:val="009530DB"/>
    <w:rsid w:val="00953676"/>
    <w:rsid w:val="00956313"/>
    <w:rsid w:val="0095687B"/>
    <w:rsid w:val="009609A1"/>
    <w:rsid w:val="00960A1C"/>
    <w:rsid w:val="00960A9C"/>
    <w:rsid w:val="00960BE4"/>
    <w:rsid w:val="0096150B"/>
    <w:rsid w:val="0096178E"/>
    <w:rsid w:val="00964DC1"/>
    <w:rsid w:val="00965255"/>
    <w:rsid w:val="009665D3"/>
    <w:rsid w:val="0096740A"/>
    <w:rsid w:val="009705EE"/>
    <w:rsid w:val="00972147"/>
    <w:rsid w:val="00972898"/>
    <w:rsid w:val="00972B83"/>
    <w:rsid w:val="0097447F"/>
    <w:rsid w:val="00977927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6309"/>
    <w:rsid w:val="00997A21"/>
    <w:rsid w:val="009A0B91"/>
    <w:rsid w:val="009A2FF0"/>
    <w:rsid w:val="009A4459"/>
    <w:rsid w:val="009A6B72"/>
    <w:rsid w:val="009A6D10"/>
    <w:rsid w:val="009A6EA0"/>
    <w:rsid w:val="009A7910"/>
    <w:rsid w:val="009B0217"/>
    <w:rsid w:val="009B0C25"/>
    <w:rsid w:val="009B1EF0"/>
    <w:rsid w:val="009B382F"/>
    <w:rsid w:val="009B7341"/>
    <w:rsid w:val="009B7D46"/>
    <w:rsid w:val="009C0CCF"/>
    <w:rsid w:val="009C1335"/>
    <w:rsid w:val="009C1AB2"/>
    <w:rsid w:val="009C494F"/>
    <w:rsid w:val="009C7028"/>
    <w:rsid w:val="009C7251"/>
    <w:rsid w:val="009C7FE3"/>
    <w:rsid w:val="009D258B"/>
    <w:rsid w:val="009D264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30E6"/>
    <w:rsid w:val="00A0335F"/>
    <w:rsid w:val="00A0647C"/>
    <w:rsid w:val="00A121DF"/>
    <w:rsid w:val="00A13514"/>
    <w:rsid w:val="00A139F5"/>
    <w:rsid w:val="00A14250"/>
    <w:rsid w:val="00A14EA4"/>
    <w:rsid w:val="00A17F09"/>
    <w:rsid w:val="00A20421"/>
    <w:rsid w:val="00A21E4A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436D"/>
    <w:rsid w:val="00A66409"/>
    <w:rsid w:val="00A73AE7"/>
    <w:rsid w:val="00A73D9B"/>
    <w:rsid w:val="00A8065E"/>
    <w:rsid w:val="00A810F9"/>
    <w:rsid w:val="00A82472"/>
    <w:rsid w:val="00A846D6"/>
    <w:rsid w:val="00A86502"/>
    <w:rsid w:val="00A86ECC"/>
    <w:rsid w:val="00A86FCC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D25"/>
    <w:rsid w:val="00AD3F41"/>
    <w:rsid w:val="00AD4A4E"/>
    <w:rsid w:val="00AD51B0"/>
    <w:rsid w:val="00AD5C65"/>
    <w:rsid w:val="00AD7503"/>
    <w:rsid w:val="00AE19DE"/>
    <w:rsid w:val="00AE2D4B"/>
    <w:rsid w:val="00AE3FB3"/>
    <w:rsid w:val="00AE4F99"/>
    <w:rsid w:val="00AE53E5"/>
    <w:rsid w:val="00AE6D6D"/>
    <w:rsid w:val="00AF19C9"/>
    <w:rsid w:val="00AF7709"/>
    <w:rsid w:val="00B068A7"/>
    <w:rsid w:val="00B06BE5"/>
    <w:rsid w:val="00B073F4"/>
    <w:rsid w:val="00B10342"/>
    <w:rsid w:val="00B10E57"/>
    <w:rsid w:val="00B11740"/>
    <w:rsid w:val="00B1192F"/>
    <w:rsid w:val="00B121A3"/>
    <w:rsid w:val="00B126F2"/>
    <w:rsid w:val="00B12D3C"/>
    <w:rsid w:val="00B14952"/>
    <w:rsid w:val="00B14B8C"/>
    <w:rsid w:val="00B14E90"/>
    <w:rsid w:val="00B17330"/>
    <w:rsid w:val="00B1769B"/>
    <w:rsid w:val="00B21BA7"/>
    <w:rsid w:val="00B21C01"/>
    <w:rsid w:val="00B30795"/>
    <w:rsid w:val="00B31E5A"/>
    <w:rsid w:val="00B36B4D"/>
    <w:rsid w:val="00B36D31"/>
    <w:rsid w:val="00B407D3"/>
    <w:rsid w:val="00B42455"/>
    <w:rsid w:val="00B4328D"/>
    <w:rsid w:val="00B43D8E"/>
    <w:rsid w:val="00B45CB8"/>
    <w:rsid w:val="00B46521"/>
    <w:rsid w:val="00B465A7"/>
    <w:rsid w:val="00B4788F"/>
    <w:rsid w:val="00B5588D"/>
    <w:rsid w:val="00B55974"/>
    <w:rsid w:val="00B55F47"/>
    <w:rsid w:val="00B5620D"/>
    <w:rsid w:val="00B57004"/>
    <w:rsid w:val="00B641EB"/>
    <w:rsid w:val="00B64C22"/>
    <w:rsid w:val="00B653AB"/>
    <w:rsid w:val="00B65F9E"/>
    <w:rsid w:val="00B668FA"/>
    <w:rsid w:val="00B66B19"/>
    <w:rsid w:val="00B66F42"/>
    <w:rsid w:val="00B678B9"/>
    <w:rsid w:val="00B70D87"/>
    <w:rsid w:val="00B7105D"/>
    <w:rsid w:val="00B74F7B"/>
    <w:rsid w:val="00B76621"/>
    <w:rsid w:val="00B86655"/>
    <w:rsid w:val="00B914E9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F01CB"/>
    <w:rsid w:val="00BF5111"/>
    <w:rsid w:val="00C023D9"/>
    <w:rsid w:val="00C030DE"/>
    <w:rsid w:val="00C05167"/>
    <w:rsid w:val="00C11343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1687"/>
    <w:rsid w:val="00C33D4C"/>
    <w:rsid w:val="00C35DEE"/>
    <w:rsid w:val="00C3702F"/>
    <w:rsid w:val="00C37A03"/>
    <w:rsid w:val="00C41642"/>
    <w:rsid w:val="00C41764"/>
    <w:rsid w:val="00C45997"/>
    <w:rsid w:val="00C46C43"/>
    <w:rsid w:val="00C47820"/>
    <w:rsid w:val="00C52C74"/>
    <w:rsid w:val="00C5434F"/>
    <w:rsid w:val="00C64A37"/>
    <w:rsid w:val="00C6552F"/>
    <w:rsid w:val="00C7158E"/>
    <w:rsid w:val="00C7250B"/>
    <w:rsid w:val="00C7346B"/>
    <w:rsid w:val="00C77C0E"/>
    <w:rsid w:val="00C8094E"/>
    <w:rsid w:val="00C84055"/>
    <w:rsid w:val="00C84740"/>
    <w:rsid w:val="00C84D08"/>
    <w:rsid w:val="00C861F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F80"/>
    <w:rsid w:val="00CB6E0A"/>
    <w:rsid w:val="00CC008F"/>
    <w:rsid w:val="00CC0A96"/>
    <w:rsid w:val="00CC0EAB"/>
    <w:rsid w:val="00CC18F2"/>
    <w:rsid w:val="00CC1C7C"/>
    <w:rsid w:val="00CC70D5"/>
    <w:rsid w:val="00CC739E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E03AA"/>
    <w:rsid w:val="00CE13CA"/>
    <w:rsid w:val="00CE2C3A"/>
    <w:rsid w:val="00CF0110"/>
    <w:rsid w:val="00CF0172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30D5C"/>
    <w:rsid w:val="00D30EF4"/>
    <w:rsid w:val="00D342B1"/>
    <w:rsid w:val="00D36DA1"/>
    <w:rsid w:val="00D36DF7"/>
    <w:rsid w:val="00D40A89"/>
    <w:rsid w:val="00D420C8"/>
    <w:rsid w:val="00D45A80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EF7"/>
    <w:rsid w:val="00D766FB"/>
    <w:rsid w:val="00D8211E"/>
    <w:rsid w:val="00D8397C"/>
    <w:rsid w:val="00D83BC5"/>
    <w:rsid w:val="00D83D00"/>
    <w:rsid w:val="00D84B34"/>
    <w:rsid w:val="00D8674B"/>
    <w:rsid w:val="00D90EBE"/>
    <w:rsid w:val="00D934F6"/>
    <w:rsid w:val="00D94EED"/>
    <w:rsid w:val="00D95100"/>
    <w:rsid w:val="00D96026"/>
    <w:rsid w:val="00DA0F32"/>
    <w:rsid w:val="00DA20FA"/>
    <w:rsid w:val="00DA2966"/>
    <w:rsid w:val="00DA7C1C"/>
    <w:rsid w:val="00DB147A"/>
    <w:rsid w:val="00DB1B7A"/>
    <w:rsid w:val="00DB1E10"/>
    <w:rsid w:val="00DB1E64"/>
    <w:rsid w:val="00DB562E"/>
    <w:rsid w:val="00DB7C11"/>
    <w:rsid w:val="00DC047D"/>
    <w:rsid w:val="00DC0CDE"/>
    <w:rsid w:val="00DC4295"/>
    <w:rsid w:val="00DC6708"/>
    <w:rsid w:val="00DD1B39"/>
    <w:rsid w:val="00DD1D64"/>
    <w:rsid w:val="00DD20E2"/>
    <w:rsid w:val="00DD21A2"/>
    <w:rsid w:val="00DD4E61"/>
    <w:rsid w:val="00DD5A66"/>
    <w:rsid w:val="00DD6840"/>
    <w:rsid w:val="00DE3D51"/>
    <w:rsid w:val="00DE4BE2"/>
    <w:rsid w:val="00DE6865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2918"/>
    <w:rsid w:val="00E04052"/>
    <w:rsid w:val="00E045BD"/>
    <w:rsid w:val="00E04805"/>
    <w:rsid w:val="00E05DB4"/>
    <w:rsid w:val="00E0607F"/>
    <w:rsid w:val="00E102B7"/>
    <w:rsid w:val="00E15A67"/>
    <w:rsid w:val="00E17B77"/>
    <w:rsid w:val="00E23337"/>
    <w:rsid w:val="00E2366B"/>
    <w:rsid w:val="00E24F07"/>
    <w:rsid w:val="00E259EA"/>
    <w:rsid w:val="00E270BA"/>
    <w:rsid w:val="00E30043"/>
    <w:rsid w:val="00E32061"/>
    <w:rsid w:val="00E322C8"/>
    <w:rsid w:val="00E34610"/>
    <w:rsid w:val="00E36CE3"/>
    <w:rsid w:val="00E3705B"/>
    <w:rsid w:val="00E42FF9"/>
    <w:rsid w:val="00E43C74"/>
    <w:rsid w:val="00E44F82"/>
    <w:rsid w:val="00E457ED"/>
    <w:rsid w:val="00E467CC"/>
    <w:rsid w:val="00E4714C"/>
    <w:rsid w:val="00E50B69"/>
    <w:rsid w:val="00E51AEB"/>
    <w:rsid w:val="00E522A7"/>
    <w:rsid w:val="00E523AD"/>
    <w:rsid w:val="00E52859"/>
    <w:rsid w:val="00E54452"/>
    <w:rsid w:val="00E55FC5"/>
    <w:rsid w:val="00E56DD9"/>
    <w:rsid w:val="00E641D0"/>
    <w:rsid w:val="00E65046"/>
    <w:rsid w:val="00E65538"/>
    <w:rsid w:val="00E664C5"/>
    <w:rsid w:val="00E66665"/>
    <w:rsid w:val="00E671A2"/>
    <w:rsid w:val="00E67A9D"/>
    <w:rsid w:val="00E71287"/>
    <w:rsid w:val="00E7580A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C55DB"/>
    <w:rsid w:val="00ED04D0"/>
    <w:rsid w:val="00ED55C0"/>
    <w:rsid w:val="00ED682B"/>
    <w:rsid w:val="00ED7983"/>
    <w:rsid w:val="00EE373E"/>
    <w:rsid w:val="00EE3CA1"/>
    <w:rsid w:val="00EE41D5"/>
    <w:rsid w:val="00EE66D9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6543"/>
    <w:rsid w:val="00F17D27"/>
    <w:rsid w:val="00F22273"/>
    <w:rsid w:val="00F22740"/>
    <w:rsid w:val="00F233E3"/>
    <w:rsid w:val="00F23968"/>
    <w:rsid w:val="00F24D58"/>
    <w:rsid w:val="00F25C7B"/>
    <w:rsid w:val="00F26991"/>
    <w:rsid w:val="00F27C8F"/>
    <w:rsid w:val="00F32749"/>
    <w:rsid w:val="00F35845"/>
    <w:rsid w:val="00F35A58"/>
    <w:rsid w:val="00F37172"/>
    <w:rsid w:val="00F373E1"/>
    <w:rsid w:val="00F374DC"/>
    <w:rsid w:val="00F4008D"/>
    <w:rsid w:val="00F40B84"/>
    <w:rsid w:val="00F40FE1"/>
    <w:rsid w:val="00F41144"/>
    <w:rsid w:val="00F42F31"/>
    <w:rsid w:val="00F4477E"/>
    <w:rsid w:val="00F46B76"/>
    <w:rsid w:val="00F51A96"/>
    <w:rsid w:val="00F539BD"/>
    <w:rsid w:val="00F54181"/>
    <w:rsid w:val="00F608D1"/>
    <w:rsid w:val="00F6158E"/>
    <w:rsid w:val="00F61F53"/>
    <w:rsid w:val="00F64468"/>
    <w:rsid w:val="00F64AC1"/>
    <w:rsid w:val="00F66D82"/>
    <w:rsid w:val="00F67C2A"/>
    <w:rsid w:val="00F67D8F"/>
    <w:rsid w:val="00F708DF"/>
    <w:rsid w:val="00F802BE"/>
    <w:rsid w:val="00F816A1"/>
    <w:rsid w:val="00F82C75"/>
    <w:rsid w:val="00F834C5"/>
    <w:rsid w:val="00F84FEA"/>
    <w:rsid w:val="00F8582C"/>
    <w:rsid w:val="00F86024"/>
    <w:rsid w:val="00F8611A"/>
    <w:rsid w:val="00F86535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BE7"/>
    <w:rsid w:val="00FB42D4"/>
    <w:rsid w:val="00FB58A3"/>
    <w:rsid w:val="00FB5906"/>
    <w:rsid w:val="00FB762F"/>
    <w:rsid w:val="00FC0BA6"/>
    <w:rsid w:val="00FC2AED"/>
    <w:rsid w:val="00FC625D"/>
    <w:rsid w:val="00FC67EF"/>
    <w:rsid w:val="00FC6AC9"/>
    <w:rsid w:val="00FD5C59"/>
    <w:rsid w:val="00FD5EA7"/>
    <w:rsid w:val="00FD5F18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stat.gov.pl/obszary-tematyczne/przemysl-budownictwo-srodki-trwale/budownictwo/publikacja,13.html" TargetMode="External"/><Relationship Id="rId39" Type="http://schemas.openxmlformats.org/officeDocument/2006/relationships/hyperlink" Target="http://stat.gov.pl/metainformacje/slownik-pojec/pojecia-stosowane-w-statystyce-publicznej/945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obszary-tematyczne/przemysl-budownictwo-srodki-trwale/budownictwo/publikacja,13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201,pojecie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201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Budownictwo_dashboards/Raporty_predefiniowane/RAP_DBD_BUD_9.aspx" TargetMode="External"/><Relationship Id="rId36" Type="http://schemas.openxmlformats.org/officeDocument/2006/relationships/hyperlink" Target="http://swaid.stat.gov.pl/Budownictwo_dashboards/Raporty_predefiniowane/RAP_DBD_BUD_9.aspx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stat.gov.pl/metainformacje/slownik-pojec/pojecia-stosowane-w-statystyce-publicznej/94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Budownictwo_dashboards/Raporty_predefiniowane/RAP_DBD_BUD_7.aspx" TargetMode="External"/><Relationship Id="rId30" Type="http://schemas.openxmlformats.org/officeDocument/2006/relationships/hyperlink" Target="http://stat.gov.pl/metainformacje/slownik-pojec/pojecia-stosowane-w-statystyce-publicznej/3763,pojecie.html" TargetMode="External"/><Relationship Id="rId35" Type="http://schemas.openxmlformats.org/officeDocument/2006/relationships/hyperlink" Target="http://swaid.stat.gov.pl/Budownictwo_dashboards/Raporty_predefiniowane/RAP_DBD_BUD_7.aspx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tat.gov.pl/obszary-tematyczne/przemysl-budownictwo-srodki-trwale/budownictwo/publikacja,3.html" TargetMode="External"/><Relationship Id="rId33" Type="http://schemas.openxmlformats.org/officeDocument/2006/relationships/hyperlink" Target="http://stat.gov.pl/obszary-tematyczne/przemysl-budownictwo-srodki-trwale/budownictwo/publikacja,3.html" TargetMode="External"/><Relationship Id="rId38" Type="http://schemas.openxmlformats.org/officeDocument/2006/relationships/hyperlink" Target="http://stat.gov.pl/metainformacje/slownik-pojec/pojecia-stosowane-w-statystyce-publicznej/376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5.9489750276392299E-2"/>
          <c:w val="0.90308157370994302"/>
          <c:h val="0.67473614029757534"/>
        </c:manualLayout>
      </c:layout>
      <c:lineChart>
        <c:grouping val="standard"/>
        <c:varyColors val="0"/>
        <c:ser>
          <c:idx val="0"/>
          <c:order val="0"/>
          <c:tx>
            <c:strRef>
              <c:f>'[Wykres w programie Microsoft Word]Arkusz1'!$A$1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Word]Arkusz1'!$B$4:$AQ$4</c:f>
              <c:numCache>
                <c:formatCode>General</c:formatCode>
                <c:ptCount val="42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16540</c:v>
                </c:pt>
                <c:pt idx="40">
                  <c:v>15368</c:v>
                </c:pt>
                <c:pt idx="41">
                  <c:v>15363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'[Wykres w programie Microsoft Word]Arkusz1'!$A$16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008542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Word]Arkusz1'!$B$16:$AQ$16</c:f>
              <c:numCache>
                <c:formatCode>General</c:formatCode>
                <c:ptCount val="42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21701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'[Wykres w programie Microsoft Word]Arkusz1'!$A$7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6677AD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Word]Arkusz1'!$B$10:$AQ$10</c:f>
              <c:numCache>
                <c:formatCode>General</c:formatCode>
                <c:ptCount val="42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9644112"/>
        <c:axId val="389650096"/>
      </c:lineChart>
      <c:catAx>
        <c:axId val="38964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8965009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38965009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89644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622004527914968E-4"/>
          <c:y val="0.82181060164907038"/>
          <c:w val="0.96400392988851091"/>
          <c:h val="0.157437104927800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strRef>
              <c:f>'[Wykres w programie Microsoft Word]Arkusz1'!$A$1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Word]Arkusz1'!$B$4:$AQ$4</c:f>
              <c:numCache>
                <c:formatCode>General</c:formatCode>
                <c:ptCount val="42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16540</c:v>
                </c:pt>
                <c:pt idx="40">
                  <c:v>15368</c:v>
                </c:pt>
                <c:pt idx="41">
                  <c:v>15363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'[Wykres w programie Microsoft Word]Arkusz1'!$A$16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Word]Arkusz1'!$B$16:$AQ$16</c:f>
              <c:numCache>
                <c:formatCode>General</c:formatCode>
                <c:ptCount val="42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21701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'[Wykres w programie Microsoft Word]Arkusz1'!$A$7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Word]Arkusz1'!$B$10:$AQ$10</c:f>
              <c:numCache>
                <c:formatCode>General</c:formatCode>
                <c:ptCount val="42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9645200"/>
        <c:axId val="389647376"/>
      </c:lineChart>
      <c:catAx>
        <c:axId val="389645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8964737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38964737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89645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920619145907732"/>
          <c:y val="6.9450083119317094E-2"/>
          <c:w val="0.77899989165541739"/>
          <c:h val="0.69601432607017799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1981</c:v>
                </c:pt>
                <c:pt idx="1">
                  <c:v>2000</c:v>
                </c:pt>
                <c:pt idx="2">
                  <c:v>3156</c:v>
                </c:pt>
                <c:pt idx="3">
                  <c:v>4733</c:v>
                </c:pt>
                <c:pt idx="4">
                  <c:v>2958</c:v>
                </c:pt>
                <c:pt idx="5">
                  <c:v>4334</c:v>
                </c:pt>
                <c:pt idx="6">
                  <c:v>5363</c:v>
                </c:pt>
                <c:pt idx="7">
                  <c:v>4960</c:v>
                </c:pt>
                <c:pt idx="8">
                  <c:v>4302</c:v>
                </c:pt>
                <c:pt idx="9">
                  <c:v>7019</c:v>
                </c:pt>
                <c:pt idx="10">
                  <c:v>8996</c:v>
                </c:pt>
                <c:pt idx="11">
                  <c:v>10295</c:v>
                </c:pt>
                <c:pt idx="12">
                  <c:v>13337</c:v>
                </c:pt>
                <c:pt idx="13">
                  <c:v>12617</c:v>
                </c:pt>
                <c:pt idx="14">
                  <c:v>9781</c:v>
                </c:pt>
                <c:pt idx="15">
                  <c:v>19560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2125</c:v>
                </c:pt>
                <c:pt idx="1">
                  <c:v>2080</c:v>
                </c:pt>
                <c:pt idx="2">
                  <c:v>3481</c:v>
                </c:pt>
                <c:pt idx="3">
                  <c:v>4504</c:v>
                </c:pt>
                <c:pt idx="4">
                  <c:v>3821</c:v>
                </c:pt>
                <c:pt idx="5">
                  <c:v>4797</c:v>
                </c:pt>
                <c:pt idx="6">
                  <c:v>5109</c:v>
                </c:pt>
                <c:pt idx="7">
                  <c:v>6321</c:v>
                </c:pt>
                <c:pt idx="8">
                  <c:v>5546</c:v>
                </c:pt>
                <c:pt idx="9">
                  <c:v>6029</c:v>
                </c:pt>
                <c:pt idx="10">
                  <c:v>10141</c:v>
                </c:pt>
                <c:pt idx="11">
                  <c:v>12768</c:v>
                </c:pt>
                <c:pt idx="12">
                  <c:v>15071</c:v>
                </c:pt>
                <c:pt idx="13">
                  <c:v>14232</c:v>
                </c:pt>
                <c:pt idx="14">
                  <c:v>10270</c:v>
                </c:pt>
                <c:pt idx="15">
                  <c:v>22410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1145</c:v>
                </c:pt>
                <c:pt idx="1">
                  <c:v>1698</c:v>
                </c:pt>
                <c:pt idx="2">
                  <c:v>1913</c:v>
                </c:pt>
                <c:pt idx="3">
                  <c:v>2437</c:v>
                </c:pt>
                <c:pt idx="4">
                  <c:v>2452</c:v>
                </c:pt>
                <c:pt idx="5">
                  <c:v>3635</c:v>
                </c:pt>
                <c:pt idx="6">
                  <c:v>3845</c:v>
                </c:pt>
                <c:pt idx="7">
                  <c:v>4123</c:v>
                </c:pt>
                <c:pt idx="8">
                  <c:v>4227</c:v>
                </c:pt>
                <c:pt idx="9">
                  <c:v>4777</c:v>
                </c:pt>
                <c:pt idx="10">
                  <c:v>6277</c:v>
                </c:pt>
                <c:pt idx="11">
                  <c:v>8044</c:v>
                </c:pt>
                <c:pt idx="12">
                  <c:v>9174</c:v>
                </c:pt>
                <c:pt idx="13">
                  <c:v>10104</c:v>
                </c:pt>
                <c:pt idx="14">
                  <c:v>11207</c:v>
                </c:pt>
                <c:pt idx="15">
                  <c:v>19638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89645744"/>
        <c:axId val="389647920"/>
      </c:barChart>
      <c:catAx>
        <c:axId val="3896457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389647920"/>
        <c:crosses val="autoZero"/>
        <c:auto val="1"/>
        <c:lblAlgn val="ctr"/>
        <c:lblOffset val="100"/>
        <c:noMultiLvlLbl val="0"/>
      </c:catAx>
      <c:valAx>
        <c:axId val="389647920"/>
        <c:scaling>
          <c:orientation val="minMax"/>
          <c:max val="2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89645744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15918161773103"/>
          <c:y val="0.81611069148550919"/>
          <c:w val="0.83688211129506873"/>
          <c:h val="0.107819006746558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4AD2D-FB3B-470A-A905-9222A938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2018 roku</dc:title>
  <dc:subject>Budownictwo mieszkaniowe w okresie styczeń-czerwiec 2018 roku</dc:subject>
  <dc:creator>GUS</dc:creator>
  <cp:keywords>mieszkania oddane do użytkowania; mieszkania w budowie; mieszkania rozpoczęte; pozwolenie na budowę; powierzchnia użytkowa</cp:keywords>
  <dc:description>Budownictwo mieszkaniowe w okresie styczeń-czerwiec 2018 roku</dc:description>
  <cp:lastPrinted>2019-04-18T08:38:00Z</cp:lastPrinted>
  <dcterms:created xsi:type="dcterms:W3CDTF">2019-07-22T08:44:00Z</dcterms:created>
  <dcterms:modified xsi:type="dcterms:W3CDTF">2019-07-22T11:17:00Z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