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129" w:rsidRPr="00091E91" w:rsidRDefault="00690129" w:rsidP="00690129">
      <w:pPr>
        <w:pStyle w:val="Nagwek2"/>
        <w:spacing w:before="120" w:line="240" w:lineRule="auto"/>
        <w:rPr>
          <w:rFonts w:ascii="Fira Sans Extra Condensed SemiB" w:hAnsi="Fira Sans Extra Condensed SemiB" w:cs="Arial"/>
          <w:color w:val="auto"/>
          <w:sz w:val="40"/>
          <w:szCs w:val="40"/>
        </w:rPr>
      </w:pP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Obroty towarowe handlu zagranicznego ogółem </w:t>
      </w:r>
      <w:r w:rsidR="00091E91">
        <w:rPr>
          <w:rFonts w:ascii="Fira Sans Extra Condensed SemiB" w:hAnsi="Fira Sans Extra Condensed SemiB" w:cs="Arial"/>
          <w:color w:val="auto"/>
          <w:sz w:val="40"/>
          <w:szCs w:val="40"/>
        </w:rPr>
        <w:br/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>i według krajów w 201</w:t>
      </w:r>
      <w:r w:rsidR="008A0197">
        <w:rPr>
          <w:rFonts w:ascii="Fira Sans Extra Condensed SemiB" w:hAnsi="Fira Sans Extra Condensed SemiB" w:cs="Arial"/>
          <w:color w:val="auto"/>
          <w:sz w:val="40"/>
          <w:szCs w:val="40"/>
        </w:rPr>
        <w:t>8</w:t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 </w:t>
      </w:r>
    </w:p>
    <w:p w:rsidR="00393761" w:rsidRPr="00001C5B" w:rsidRDefault="00393761" w:rsidP="00074DD8">
      <w:pPr>
        <w:pStyle w:val="tytuinformacji"/>
        <w:rPr>
          <w:sz w:val="32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5F87F1F5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FAC" w:rsidRPr="009A5C86" w:rsidRDefault="00890FAC" w:rsidP="00277A82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  <w:r w:rsidRPr="008D517E">
                              <w:t xml:space="preserve">Wskaźnik dynamiki </w:t>
                            </w:r>
                            <w:r>
                              <w:t>importu</w:t>
                            </w:r>
                            <w:r w:rsidRPr="008D517E">
                              <w:t xml:space="preserve"> </w:t>
                            </w:r>
                            <w:r>
                              <w:t>(</w:t>
                            </w:r>
                            <w:r w:rsidRPr="008D517E">
                              <w:t>w PLN</w:t>
                            </w:r>
                            <w:r>
                              <w:t>) wyniósł 110,3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1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:rsidR="00890FAC" w:rsidRPr="009A5C86" w:rsidRDefault="00890FAC" w:rsidP="00277A82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  <w:r w:rsidRPr="008D517E">
                        <w:t xml:space="preserve">Wskaźnik dynamiki </w:t>
                      </w:r>
                      <w:r>
                        <w:t>importu</w:t>
                      </w:r>
                      <w:r w:rsidRPr="008D517E">
                        <w:t xml:space="preserve"> </w:t>
                      </w:r>
                      <w:r>
                        <w:t>(</w:t>
                      </w:r>
                      <w:r w:rsidRPr="008D517E">
                        <w:t>w PLN</w:t>
                      </w:r>
                      <w:r>
                        <w:t>) wyniósł 110,3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916D7" w:rsidRPr="008D517E" w:rsidRDefault="00003437" w:rsidP="00633014">
      <w:pPr>
        <w:pStyle w:val="LID"/>
        <w:rPr>
          <w:rFonts w:cs="Arial"/>
          <w:bCs/>
          <w:color w:val="000000"/>
        </w:rPr>
      </w:pPr>
      <w:r w:rsidRPr="00690129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87F1F6" wp14:editId="5F87F1F7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2382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382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FAC" w:rsidRPr="00B66B19" w:rsidRDefault="00EF03D4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1D77"/>
                                <w:sz w:val="22"/>
                              </w:rPr>
                              <w:pict w14:anchorId="5F87F230">
                                <v:shape id="Obraz 33" o:spid="_x0000_i1025" type="#_x0000_t75" style="width:27.1pt;height:25.25pt;visibility:visible" o:bullet="t">
                                  <v:imagedata r:id="rId11" o:title=""/>
                                </v:shape>
                              </w:pict>
                            </w:r>
                            <w:r w:rsidR="00890FAC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890FA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107,8</w:t>
                            </w:r>
                          </w:p>
                          <w:p w:rsidR="00890FAC" w:rsidRPr="008D517E" w:rsidRDefault="00890FAC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8D517E">
                              <w:t xml:space="preserve">Wskaźnik dynamiki eksportu w PLN (analogiczny okres ub. </w:t>
                            </w:r>
                            <w:r>
                              <w:t>r. = 100)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6" id="_x0000_s1027" type="#_x0000_t202" style="position:absolute;margin-left:0;margin-top:6.55pt;width:2in;height:97.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" fillcolor="#001d77" stroked="f">
                <v:textbox>
                  <w:txbxContent>
                    <w:p w:rsidR="00890FAC" w:rsidRPr="00B66B19" w:rsidRDefault="00890FAC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color w:val="001D77"/>
                          <w:sz w:val="22"/>
                        </w:rPr>
                        <w:pict w14:anchorId="5F87F230">
                          <v:shape id="Obraz 33" o:spid="_x0000_i1025" type="#_x0000_t75" style="width:26.85pt;height:25.25pt;visibility:visible" o:bullet="t">
                            <v:imagedata r:id="rId12" o:title=""/>
                          </v:shape>
                        </w:pict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107,8</w:t>
                      </w:r>
                    </w:p>
                    <w:p w:rsidR="00890FAC" w:rsidRPr="008D517E" w:rsidRDefault="00890FAC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8D517E">
                        <w:t xml:space="preserve">Wskaźnik dynamiki eksportu w PLN (analogiczny okres ub. </w:t>
                      </w:r>
                      <w:r>
                        <w:t>r. = 100)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A5C86">
        <w:t>Obroty towarowe handlu zagranicznego</w:t>
      </w:r>
      <w:r w:rsidR="009A5C86">
        <w:rPr>
          <w:rFonts w:cs="Arial"/>
        </w:rPr>
        <w:t xml:space="preserve"> </w:t>
      </w:r>
      <w:r w:rsidR="00454FD8">
        <w:rPr>
          <w:rFonts w:cs="Arial"/>
        </w:rPr>
        <w:t>w</w:t>
      </w:r>
      <w:r w:rsidR="009A5C86">
        <w:rPr>
          <w:rFonts w:cs="Arial"/>
        </w:rPr>
        <w:t xml:space="preserve"> </w:t>
      </w:r>
      <w:r w:rsidR="00992926">
        <w:rPr>
          <w:rFonts w:cs="Arial"/>
        </w:rPr>
        <w:t>201</w:t>
      </w:r>
      <w:r w:rsidR="008A0197">
        <w:rPr>
          <w:rFonts w:cs="Arial"/>
        </w:rPr>
        <w:t>8</w:t>
      </w:r>
      <w:r w:rsidR="00992926">
        <w:rPr>
          <w:rFonts w:cs="Arial"/>
        </w:rPr>
        <w:t xml:space="preserve"> roku</w:t>
      </w:r>
      <w:r w:rsidR="00690129" w:rsidRPr="00690129">
        <w:rPr>
          <w:rFonts w:cs="Arial"/>
        </w:rPr>
        <w:t xml:space="preserve"> </w:t>
      </w:r>
      <w:r w:rsidR="009A5C86">
        <w:rPr>
          <w:rFonts w:cs="Arial"/>
        </w:rPr>
        <w:t xml:space="preserve">według danych </w:t>
      </w:r>
      <w:r w:rsidR="00454FD8">
        <w:rPr>
          <w:rFonts w:cs="Arial"/>
        </w:rPr>
        <w:t>ostatecznych</w:t>
      </w:r>
      <w:r w:rsidR="009A5C86">
        <w:rPr>
          <w:rFonts w:cs="Arial"/>
        </w:rPr>
        <w:t xml:space="preserve"> </w:t>
      </w:r>
      <w:r w:rsidR="00992926">
        <w:rPr>
          <w:rFonts w:cs="Arial"/>
        </w:rPr>
        <w:t>wyniosły</w:t>
      </w:r>
      <w:r w:rsidR="00992926" w:rsidRPr="00690129">
        <w:rPr>
          <w:rFonts w:cs="Arial"/>
        </w:rPr>
        <w:t xml:space="preserve"> </w:t>
      </w:r>
      <w:r w:rsidR="00690129" w:rsidRPr="00690129">
        <w:rPr>
          <w:rFonts w:cs="Arial"/>
        </w:rPr>
        <w:t xml:space="preserve">w cenach bieżących </w:t>
      </w:r>
      <w:r w:rsidR="008A0197">
        <w:rPr>
          <w:rFonts w:cs="Arial"/>
          <w:bCs/>
          <w:color w:val="000000"/>
        </w:rPr>
        <w:t>9</w:t>
      </w:r>
      <w:r w:rsidR="008D517E">
        <w:rPr>
          <w:rFonts w:cs="Arial"/>
          <w:bCs/>
          <w:color w:val="000000"/>
        </w:rPr>
        <w:t>51,3</w:t>
      </w:r>
      <w:r w:rsidR="00690129" w:rsidRPr="00690129">
        <w:rPr>
          <w:rFonts w:cs="Arial"/>
          <w:bCs/>
          <w:color w:val="000000"/>
        </w:rPr>
        <w:t> </w:t>
      </w:r>
      <w:r w:rsidR="00690129" w:rsidRPr="00690129">
        <w:rPr>
          <w:rFonts w:cs="Arial"/>
        </w:rPr>
        <w:t>ml</w:t>
      </w:r>
      <w:r w:rsidR="00F70DA2">
        <w:rPr>
          <w:rFonts w:cs="Arial"/>
        </w:rPr>
        <w:t>d</w:t>
      </w:r>
      <w:r w:rsidR="00690129" w:rsidRPr="00690129">
        <w:rPr>
          <w:rFonts w:cs="Arial"/>
        </w:rPr>
        <w:t> zł</w:t>
      </w:r>
      <w:r w:rsidR="00992926" w:rsidRPr="00992926">
        <w:rPr>
          <w:rFonts w:cs="Arial"/>
        </w:rPr>
        <w:t xml:space="preserve"> </w:t>
      </w:r>
      <w:r w:rsidR="00992926">
        <w:rPr>
          <w:rFonts w:cs="Arial"/>
        </w:rPr>
        <w:t xml:space="preserve">w  eksporcie oraz </w:t>
      </w:r>
      <w:r w:rsidR="00690129" w:rsidRPr="00690129">
        <w:rPr>
          <w:rFonts w:cs="Arial"/>
        </w:rPr>
        <w:t> </w:t>
      </w:r>
      <w:r w:rsidR="008A0197">
        <w:rPr>
          <w:rFonts w:cs="Arial"/>
          <w:bCs/>
          <w:color w:val="000000"/>
        </w:rPr>
        <w:t>9</w:t>
      </w:r>
      <w:r w:rsidR="008D517E">
        <w:rPr>
          <w:rFonts w:cs="Arial"/>
          <w:bCs/>
          <w:color w:val="000000"/>
        </w:rPr>
        <w:t>70</w:t>
      </w:r>
      <w:r w:rsidR="008A0197">
        <w:rPr>
          <w:rFonts w:cs="Arial"/>
          <w:bCs/>
          <w:color w:val="000000"/>
        </w:rPr>
        <w:t>,8</w:t>
      </w:r>
      <w:r w:rsidR="00690129" w:rsidRPr="00690129">
        <w:rPr>
          <w:rFonts w:cs="Arial"/>
          <w:bCs/>
          <w:color w:val="000000"/>
        </w:rPr>
        <w:t xml:space="preserve"> </w:t>
      </w:r>
      <w:r w:rsidR="00F70DA2">
        <w:rPr>
          <w:rFonts w:cs="Arial"/>
        </w:rPr>
        <w:t>mld</w:t>
      </w:r>
      <w:r w:rsidR="00690129" w:rsidRPr="00690129">
        <w:rPr>
          <w:rFonts w:cs="Arial"/>
        </w:rPr>
        <w:t xml:space="preserve"> zł</w:t>
      </w:r>
      <w:r w:rsidR="00992926" w:rsidRPr="00992926">
        <w:rPr>
          <w:rFonts w:cs="Arial"/>
        </w:rPr>
        <w:t xml:space="preserve"> </w:t>
      </w:r>
      <w:r w:rsidR="00992926">
        <w:rPr>
          <w:rFonts w:cs="Arial"/>
        </w:rPr>
        <w:t>w</w:t>
      </w:r>
      <w:r w:rsidR="00992926" w:rsidRPr="00690129">
        <w:rPr>
          <w:rFonts w:cs="Arial"/>
        </w:rPr>
        <w:t> impor</w:t>
      </w:r>
      <w:r w:rsidR="00992926">
        <w:rPr>
          <w:rFonts w:cs="Arial"/>
        </w:rPr>
        <w:t>cie</w:t>
      </w:r>
      <w:r w:rsidR="00690129" w:rsidRPr="00690129">
        <w:rPr>
          <w:rFonts w:cs="Arial"/>
        </w:rPr>
        <w:t xml:space="preserve">. </w:t>
      </w:r>
      <w:r w:rsidR="00E444C6">
        <w:rPr>
          <w:rFonts w:cs="Arial"/>
          <w:spacing w:val="-3"/>
        </w:rPr>
        <w:t>Ujemne</w:t>
      </w:r>
      <w:r w:rsidR="00690129" w:rsidRPr="00690129">
        <w:rPr>
          <w:rFonts w:cs="Arial"/>
          <w:spacing w:val="-3"/>
        </w:rPr>
        <w:t xml:space="preserve"> saldo ukształtowało się na poziomie </w:t>
      </w:r>
      <w:r w:rsidR="008D517E">
        <w:rPr>
          <w:rFonts w:cs="Arial"/>
          <w:bCs/>
          <w:color w:val="000000"/>
        </w:rPr>
        <w:t>19,5</w:t>
      </w:r>
      <w:r w:rsidR="004523A8">
        <w:rPr>
          <w:rFonts w:cs="Arial"/>
          <w:bCs/>
          <w:color w:val="000000"/>
        </w:rPr>
        <w:t xml:space="preserve"> </w:t>
      </w:r>
      <w:r w:rsidR="00690129" w:rsidRPr="00690129">
        <w:rPr>
          <w:rFonts w:cs="Arial"/>
          <w:spacing w:val="-3"/>
        </w:rPr>
        <w:t>ml</w:t>
      </w:r>
      <w:r w:rsidR="00F70DA2">
        <w:rPr>
          <w:rFonts w:cs="Arial"/>
          <w:spacing w:val="-3"/>
        </w:rPr>
        <w:t>d</w:t>
      </w:r>
      <w:r w:rsidR="00690129" w:rsidRPr="00690129">
        <w:rPr>
          <w:rFonts w:cs="Arial"/>
          <w:spacing w:val="-3"/>
        </w:rPr>
        <w:t xml:space="preserve"> zł, </w:t>
      </w:r>
      <w:r w:rsidR="00992926">
        <w:rPr>
          <w:rFonts w:cs="Arial"/>
          <w:spacing w:val="-3"/>
        </w:rPr>
        <w:t>podczas gdy</w:t>
      </w:r>
      <w:r w:rsidR="008D517E">
        <w:rPr>
          <w:rFonts w:cs="Arial"/>
          <w:spacing w:val="-3"/>
        </w:rPr>
        <w:t xml:space="preserve"> </w:t>
      </w:r>
      <w:r w:rsidR="009A5C86" w:rsidRPr="00F70DA2">
        <w:t>w</w:t>
      </w:r>
      <w:r w:rsidR="00F70DA2">
        <w:t xml:space="preserve"> </w:t>
      </w:r>
      <w:r w:rsidR="00E444C6">
        <w:t>2017</w:t>
      </w:r>
      <w:r w:rsidR="00F70DA2">
        <w:rPr>
          <w:rFonts w:cs="Arial"/>
          <w:spacing w:val="-3"/>
        </w:rPr>
        <w:t> </w:t>
      </w:r>
      <w:r w:rsidR="009A5C86">
        <w:rPr>
          <w:rFonts w:cs="Arial"/>
          <w:spacing w:val="-3"/>
        </w:rPr>
        <w:t>r.</w:t>
      </w:r>
      <w:r w:rsidR="00E444C6">
        <w:rPr>
          <w:rFonts w:cs="Arial"/>
          <w:spacing w:val="-3"/>
        </w:rPr>
        <w:t xml:space="preserve"> było dodatnie i</w:t>
      </w:r>
      <w:r w:rsidR="00690129" w:rsidRPr="00690129">
        <w:rPr>
          <w:rFonts w:cs="Arial"/>
          <w:spacing w:val="-3"/>
        </w:rPr>
        <w:t xml:space="preserve"> wyniosło</w:t>
      </w:r>
      <w:r w:rsidR="00E444C6">
        <w:rPr>
          <w:rFonts w:cs="Arial"/>
          <w:spacing w:val="-3"/>
        </w:rPr>
        <w:t xml:space="preserve"> 2,5</w:t>
      </w:r>
      <w:r w:rsidR="00690129" w:rsidRPr="00690129">
        <w:rPr>
          <w:rFonts w:cs="Arial"/>
          <w:spacing w:val="-3"/>
        </w:rPr>
        <w:t xml:space="preserve"> ml</w:t>
      </w:r>
      <w:r w:rsidR="00F70DA2">
        <w:rPr>
          <w:rFonts w:cs="Arial"/>
          <w:spacing w:val="-3"/>
        </w:rPr>
        <w:t>d</w:t>
      </w:r>
      <w:r w:rsidR="00690129" w:rsidRPr="00690129">
        <w:rPr>
          <w:rFonts w:cs="Arial"/>
          <w:spacing w:val="-3"/>
        </w:rPr>
        <w:t xml:space="preserve"> zł</w:t>
      </w:r>
      <w:r w:rsidR="00690129" w:rsidRPr="009A5C86">
        <w:rPr>
          <w:rFonts w:cs="Arial"/>
          <w:spacing w:val="-3"/>
        </w:rPr>
        <w:t>.</w:t>
      </w:r>
      <w:r w:rsidR="004B64A7">
        <w:rPr>
          <w:rFonts w:cs="Arial"/>
          <w:spacing w:val="-3"/>
        </w:rPr>
        <w:t xml:space="preserve"> </w:t>
      </w:r>
      <w:r w:rsidR="004B64A7" w:rsidRPr="009A5C86">
        <w:rPr>
          <w:rFonts w:cs="Arial"/>
        </w:rPr>
        <w:t xml:space="preserve">W porównaniu </w:t>
      </w:r>
      <w:r w:rsidR="004B64A7" w:rsidRPr="00F70DA2">
        <w:t>z</w:t>
      </w:r>
      <w:r w:rsidR="00F70DA2">
        <w:t xml:space="preserve"> </w:t>
      </w:r>
      <w:r w:rsidR="00E444C6">
        <w:rPr>
          <w:rFonts w:cs="Arial"/>
          <w:spacing w:val="-3"/>
        </w:rPr>
        <w:t>2017</w:t>
      </w:r>
      <w:r w:rsidR="004B64A7" w:rsidRPr="009A5C86">
        <w:rPr>
          <w:rFonts w:cs="Arial"/>
          <w:spacing w:val="-3"/>
        </w:rPr>
        <w:t xml:space="preserve"> rok</w:t>
      </w:r>
      <w:r w:rsidR="00992926">
        <w:rPr>
          <w:rFonts w:cs="Arial"/>
          <w:spacing w:val="-3"/>
        </w:rPr>
        <w:t>iem</w:t>
      </w:r>
      <w:r w:rsidR="004B64A7" w:rsidRPr="009A5C86">
        <w:rPr>
          <w:rFonts w:cs="Arial"/>
        </w:rPr>
        <w:t xml:space="preserve"> eksport wzrósł </w:t>
      </w:r>
      <w:r w:rsidR="004B64A7" w:rsidRPr="00F70DA2">
        <w:t>o</w:t>
      </w:r>
      <w:r w:rsidR="00F70DA2">
        <w:t xml:space="preserve"> </w:t>
      </w:r>
      <w:r w:rsidR="008D517E">
        <w:t>7,8</w:t>
      </w:r>
      <w:r w:rsidR="004B64A7" w:rsidRPr="009A5C86">
        <w:rPr>
          <w:rFonts w:cs="Arial"/>
        </w:rPr>
        <w:t>%, a import o </w:t>
      </w:r>
      <w:r w:rsidR="008D517E">
        <w:rPr>
          <w:rFonts w:cs="Arial"/>
        </w:rPr>
        <w:t>10</w:t>
      </w:r>
      <w:r w:rsidR="004B64A7" w:rsidRPr="009A5C86">
        <w:rPr>
          <w:rFonts w:cs="Arial"/>
        </w:rPr>
        <w:t>,</w:t>
      </w:r>
      <w:r w:rsidR="00E444C6">
        <w:rPr>
          <w:rFonts w:cs="Arial"/>
        </w:rPr>
        <w:t>3</w:t>
      </w:r>
      <w:r w:rsidR="004B64A7" w:rsidRPr="009A5C86">
        <w:rPr>
          <w:rFonts w:cs="Arial"/>
        </w:rPr>
        <w:t>%</w:t>
      </w:r>
      <w:r w:rsidR="004B64A7">
        <w:rPr>
          <w:rFonts w:cs="Arial"/>
        </w:rPr>
        <w:t>.</w:t>
      </w:r>
    </w:p>
    <w:p w:rsidR="00003437" w:rsidRPr="00690129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:rsidR="00C22105" w:rsidRPr="00277A82" w:rsidRDefault="009227A6" w:rsidP="00074DD8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87F1F8" wp14:editId="5F87F1F9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FAC" w:rsidRPr="00D616D2" w:rsidRDefault="00890FAC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8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:rsidR="00890FAC" w:rsidRPr="00D616D2" w:rsidRDefault="00890FAC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77A82" w:rsidRPr="00277A82">
        <w:t xml:space="preserve">Obroty towarowe handlu zagranicznego wyrażone w dolarach USA </w:t>
      </w:r>
      <w:r w:rsidR="00277A82">
        <w:t>i</w:t>
      </w:r>
      <w:r w:rsidR="00277A82" w:rsidRPr="00277A82">
        <w:t xml:space="preserve"> w </w:t>
      </w:r>
      <w:r w:rsidR="00277A82">
        <w:t>euro</w:t>
      </w:r>
      <w:r w:rsidR="00277A82" w:rsidRPr="00277A82">
        <w:t xml:space="preserve"> </w:t>
      </w:r>
    </w:p>
    <w:p w:rsidR="0084092E" w:rsidRPr="0084092E" w:rsidRDefault="00277A82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</w:rPr>
      </w:pPr>
      <w:r w:rsidRPr="0084092E">
        <w:rPr>
          <w:rFonts w:cs="Arial"/>
          <w:spacing w:val="-3"/>
          <w:szCs w:val="19"/>
        </w:rPr>
        <w:t xml:space="preserve">Eksport wyrażony w dolarach USA wyniósł </w:t>
      </w:r>
      <w:r w:rsidR="00E444C6">
        <w:rPr>
          <w:rFonts w:cs="Arial"/>
          <w:bCs/>
          <w:color w:val="000000"/>
          <w:szCs w:val="19"/>
        </w:rPr>
        <w:t>26</w:t>
      </w:r>
      <w:r w:rsidR="00201087">
        <w:rPr>
          <w:rFonts w:cs="Arial"/>
          <w:bCs/>
          <w:color w:val="000000"/>
          <w:szCs w:val="19"/>
        </w:rPr>
        <w:t>4</w:t>
      </w:r>
      <w:r w:rsidR="006401A1">
        <w:rPr>
          <w:rFonts w:cs="Arial"/>
          <w:bCs/>
          <w:color w:val="000000"/>
          <w:szCs w:val="19"/>
        </w:rPr>
        <w:t>,</w:t>
      </w:r>
      <w:r w:rsidR="00E444C6">
        <w:rPr>
          <w:rFonts w:cs="Arial"/>
          <w:bCs/>
          <w:color w:val="000000"/>
          <w:szCs w:val="19"/>
        </w:rPr>
        <w:t>8</w:t>
      </w:r>
      <w:r w:rsidR="00F70DA2">
        <w:rPr>
          <w:rFonts w:cs="Arial"/>
          <w:bCs/>
          <w:color w:val="000000"/>
          <w:szCs w:val="19"/>
        </w:rPr>
        <w:t xml:space="preserve"> </w:t>
      </w:r>
      <w:r w:rsidRPr="0084092E">
        <w:rPr>
          <w:rFonts w:cs="Arial"/>
          <w:spacing w:val="-3"/>
          <w:szCs w:val="19"/>
        </w:rPr>
        <w:t>ml</w:t>
      </w:r>
      <w:r w:rsidR="00F70DA2">
        <w:rPr>
          <w:rFonts w:cs="Arial"/>
          <w:spacing w:val="-3"/>
          <w:szCs w:val="19"/>
        </w:rPr>
        <w:t>d</w:t>
      </w:r>
      <w:r w:rsidRPr="0084092E">
        <w:rPr>
          <w:rFonts w:cs="Arial"/>
          <w:spacing w:val="-3"/>
          <w:szCs w:val="19"/>
        </w:rPr>
        <w:t xml:space="preserve"> USD, a import </w:t>
      </w:r>
      <w:r w:rsidR="006401A1">
        <w:rPr>
          <w:rFonts w:cs="Arial"/>
          <w:bCs/>
          <w:color w:val="000000"/>
          <w:szCs w:val="19"/>
        </w:rPr>
        <w:t>27</w:t>
      </w:r>
      <w:r w:rsidR="007D43A2">
        <w:rPr>
          <w:rFonts w:cs="Arial"/>
          <w:bCs/>
          <w:color w:val="000000"/>
          <w:szCs w:val="19"/>
        </w:rPr>
        <w:t>0</w:t>
      </w:r>
      <w:r w:rsidR="006401A1">
        <w:rPr>
          <w:rFonts w:cs="Arial"/>
          <w:bCs/>
          <w:color w:val="000000"/>
          <w:szCs w:val="19"/>
        </w:rPr>
        <w:t>,</w:t>
      </w:r>
      <w:r w:rsidR="007D43A2">
        <w:rPr>
          <w:rFonts w:cs="Arial"/>
          <w:bCs/>
          <w:color w:val="000000"/>
          <w:szCs w:val="19"/>
        </w:rPr>
        <w:t>2</w:t>
      </w:r>
      <w:r w:rsidRPr="0084092E">
        <w:rPr>
          <w:rFonts w:cs="Arial"/>
          <w:spacing w:val="-3"/>
          <w:szCs w:val="19"/>
        </w:rPr>
        <w:t xml:space="preserve"> ml</w:t>
      </w:r>
      <w:r w:rsidR="00F70DA2">
        <w:rPr>
          <w:rFonts w:cs="Arial"/>
          <w:spacing w:val="-3"/>
          <w:szCs w:val="19"/>
        </w:rPr>
        <w:t>d</w:t>
      </w:r>
      <w:r w:rsidRPr="0084092E">
        <w:rPr>
          <w:rFonts w:cs="Arial"/>
          <w:spacing w:val="-3"/>
          <w:szCs w:val="19"/>
        </w:rPr>
        <w:t xml:space="preserve"> USD (wzrost odpowiednio o </w:t>
      </w:r>
      <w:r w:rsidR="007D43A2">
        <w:rPr>
          <w:rFonts w:cs="Arial"/>
          <w:spacing w:val="-3"/>
          <w:szCs w:val="19"/>
        </w:rPr>
        <w:t>14,3</w:t>
      </w:r>
      <w:r w:rsidRPr="0084092E">
        <w:rPr>
          <w:rFonts w:cs="Arial"/>
          <w:spacing w:val="-3"/>
          <w:szCs w:val="19"/>
        </w:rPr>
        <w:t>% i o </w:t>
      </w:r>
      <w:r w:rsidR="00E444C6">
        <w:rPr>
          <w:rFonts w:cs="Arial"/>
          <w:spacing w:val="-3"/>
          <w:szCs w:val="19"/>
        </w:rPr>
        <w:t>1</w:t>
      </w:r>
      <w:r w:rsidR="007D43A2">
        <w:rPr>
          <w:rFonts w:cs="Arial"/>
          <w:spacing w:val="-3"/>
          <w:szCs w:val="19"/>
        </w:rPr>
        <w:t>6</w:t>
      </w:r>
      <w:r w:rsidR="00E444C6">
        <w:rPr>
          <w:rFonts w:cs="Arial"/>
          <w:spacing w:val="-3"/>
          <w:szCs w:val="19"/>
        </w:rPr>
        <w:t>,9</w:t>
      </w:r>
      <w:r w:rsidRPr="0084092E">
        <w:rPr>
          <w:rFonts w:cs="Arial"/>
          <w:spacing w:val="-3"/>
          <w:szCs w:val="19"/>
        </w:rPr>
        <w:t xml:space="preserve">%). </w:t>
      </w:r>
      <w:r w:rsidR="00E02BC5">
        <w:rPr>
          <w:rFonts w:cs="Arial"/>
          <w:spacing w:val="-3"/>
          <w:szCs w:val="19"/>
        </w:rPr>
        <w:t>Ujemne</w:t>
      </w:r>
      <w:r w:rsidRPr="0084092E">
        <w:rPr>
          <w:rFonts w:cs="Arial"/>
          <w:spacing w:val="-3"/>
          <w:szCs w:val="19"/>
        </w:rPr>
        <w:t xml:space="preserve"> saldo ukształtowało się </w:t>
      </w:r>
      <w:r w:rsidR="00992926">
        <w:rPr>
          <w:rFonts w:cs="Arial"/>
          <w:spacing w:val="-3"/>
          <w:szCs w:val="19"/>
        </w:rPr>
        <w:t>na poziomie</w:t>
      </w:r>
      <w:r w:rsidRPr="0084092E">
        <w:rPr>
          <w:rFonts w:cs="Arial"/>
          <w:spacing w:val="-3"/>
          <w:szCs w:val="19"/>
        </w:rPr>
        <w:t xml:space="preserve">                          </w:t>
      </w:r>
      <w:r w:rsidR="007D43A2">
        <w:rPr>
          <w:rFonts w:cs="Arial"/>
          <w:bCs/>
          <w:color w:val="000000"/>
          <w:szCs w:val="19"/>
        </w:rPr>
        <w:t>5,4</w:t>
      </w:r>
      <w:r w:rsidRPr="0084092E">
        <w:rPr>
          <w:rFonts w:cs="Arial"/>
          <w:bCs/>
          <w:color w:val="000000"/>
          <w:szCs w:val="19"/>
        </w:rPr>
        <w:t xml:space="preserve"> </w:t>
      </w:r>
      <w:r w:rsidR="00F70DA2">
        <w:rPr>
          <w:rFonts w:cs="Arial"/>
          <w:spacing w:val="-3"/>
          <w:szCs w:val="19"/>
        </w:rPr>
        <w:t>mld</w:t>
      </w:r>
      <w:r w:rsidRPr="0084092E">
        <w:rPr>
          <w:rFonts w:cs="Arial"/>
          <w:spacing w:val="-3"/>
          <w:szCs w:val="19"/>
        </w:rPr>
        <w:t> USD (w analogicznym okresie 201</w:t>
      </w:r>
      <w:r w:rsidR="00E444C6">
        <w:rPr>
          <w:rFonts w:cs="Arial"/>
          <w:spacing w:val="-3"/>
          <w:szCs w:val="19"/>
        </w:rPr>
        <w:t>7</w:t>
      </w:r>
      <w:r w:rsidRPr="0084092E">
        <w:rPr>
          <w:rFonts w:cs="Arial"/>
          <w:spacing w:val="-3"/>
          <w:szCs w:val="19"/>
        </w:rPr>
        <w:t xml:space="preserve"> roku </w:t>
      </w:r>
      <w:r w:rsidR="00E02BC5">
        <w:rPr>
          <w:rFonts w:cs="Arial"/>
          <w:spacing w:val="-3"/>
          <w:szCs w:val="19"/>
        </w:rPr>
        <w:t xml:space="preserve">było dodatnie i wyniosło </w:t>
      </w:r>
      <w:r w:rsidR="00E444C6">
        <w:rPr>
          <w:rFonts w:cs="Arial"/>
          <w:spacing w:val="-3"/>
          <w:szCs w:val="19"/>
        </w:rPr>
        <w:t>0,6</w:t>
      </w:r>
      <w:r w:rsidR="00F70DA2">
        <w:rPr>
          <w:rFonts w:cs="Arial"/>
          <w:spacing w:val="-3"/>
          <w:szCs w:val="19"/>
        </w:rPr>
        <w:t xml:space="preserve"> mld</w:t>
      </w:r>
      <w:r w:rsidRPr="0084092E">
        <w:rPr>
          <w:rFonts w:cs="Arial"/>
          <w:spacing w:val="-3"/>
          <w:szCs w:val="19"/>
        </w:rPr>
        <w:t xml:space="preserve"> USD).</w:t>
      </w:r>
      <w:r w:rsidR="0084092E" w:rsidRPr="0084092E">
        <w:rPr>
          <w:rFonts w:cs="Arial"/>
          <w:spacing w:val="-3"/>
          <w:szCs w:val="19"/>
        </w:rPr>
        <w:t xml:space="preserve"> </w:t>
      </w:r>
    </w:p>
    <w:p w:rsidR="00277A82" w:rsidRDefault="00277A82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</w:rPr>
      </w:pPr>
      <w:r w:rsidRPr="0084092E">
        <w:rPr>
          <w:rFonts w:cs="Arial"/>
          <w:szCs w:val="19"/>
        </w:rPr>
        <w:t>Eksport wyrażony w euro wyniósł</w:t>
      </w:r>
      <w:r w:rsidRPr="00277A82">
        <w:rPr>
          <w:rFonts w:cs="Arial"/>
          <w:szCs w:val="19"/>
        </w:rPr>
        <w:t xml:space="preserve"> </w:t>
      </w:r>
      <w:r w:rsidR="00E444C6">
        <w:rPr>
          <w:rFonts w:cs="Arial"/>
          <w:bCs/>
          <w:color w:val="000000"/>
          <w:szCs w:val="19"/>
        </w:rPr>
        <w:t>22</w:t>
      </w:r>
      <w:r w:rsidR="007D43A2">
        <w:rPr>
          <w:rFonts w:cs="Arial"/>
          <w:bCs/>
          <w:color w:val="000000"/>
          <w:szCs w:val="19"/>
        </w:rPr>
        <w:t>3</w:t>
      </w:r>
      <w:r w:rsidR="00E444C6">
        <w:rPr>
          <w:rFonts w:cs="Arial"/>
          <w:bCs/>
          <w:color w:val="000000"/>
          <w:szCs w:val="19"/>
        </w:rPr>
        <w:t>,</w:t>
      </w:r>
      <w:r w:rsidR="007D43A2">
        <w:rPr>
          <w:rFonts w:cs="Arial"/>
          <w:bCs/>
          <w:color w:val="000000"/>
          <w:szCs w:val="19"/>
        </w:rPr>
        <w:t>6</w:t>
      </w:r>
      <w:r w:rsidRPr="00277A82">
        <w:rPr>
          <w:rFonts w:cs="Arial"/>
          <w:bCs/>
          <w:color w:val="000000"/>
          <w:szCs w:val="19"/>
        </w:rPr>
        <w:t xml:space="preserve"> </w:t>
      </w:r>
      <w:r w:rsidRPr="00277A82">
        <w:rPr>
          <w:rFonts w:cs="Arial"/>
          <w:szCs w:val="19"/>
        </w:rPr>
        <w:t>ml</w:t>
      </w:r>
      <w:r w:rsidR="00A844E6">
        <w:rPr>
          <w:rFonts w:cs="Arial"/>
          <w:szCs w:val="19"/>
        </w:rPr>
        <w:t>d</w:t>
      </w:r>
      <w:r w:rsidRPr="00277A82">
        <w:rPr>
          <w:rFonts w:cs="Arial"/>
          <w:szCs w:val="19"/>
        </w:rPr>
        <w:t xml:space="preserve"> EUR, a import </w:t>
      </w:r>
      <w:r w:rsidR="00E02BC5">
        <w:rPr>
          <w:rFonts w:cs="Arial"/>
          <w:bCs/>
          <w:color w:val="000000"/>
          <w:szCs w:val="19"/>
        </w:rPr>
        <w:t>22</w:t>
      </w:r>
      <w:r w:rsidR="007D43A2">
        <w:rPr>
          <w:rFonts w:cs="Arial"/>
          <w:bCs/>
          <w:color w:val="000000"/>
          <w:szCs w:val="19"/>
        </w:rPr>
        <w:t>8</w:t>
      </w:r>
      <w:r w:rsidR="00E02BC5">
        <w:rPr>
          <w:rFonts w:cs="Arial"/>
          <w:bCs/>
          <w:color w:val="000000"/>
          <w:szCs w:val="19"/>
        </w:rPr>
        <w:t>,</w:t>
      </w:r>
      <w:r w:rsidR="007D43A2">
        <w:rPr>
          <w:rFonts w:cs="Arial"/>
          <w:bCs/>
          <w:color w:val="000000"/>
          <w:szCs w:val="19"/>
        </w:rPr>
        <w:t>2</w:t>
      </w:r>
      <w:r w:rsidRPr="00277A82">
        <w:rPr>
          <w:rFonts w:cs="Arial"/>
          <w:bCs/>
          <w:color w:val="000000"/>
          <w:szCs w:val="19"/>
        </w:rPr>
        <w:t xml:space="preserve"> </w:t>
      </w:r>
      <w:r w:rsidRPr="00277A82">
        <w:rPr>
          <w:rFonts w:cs="Arial"/>
          <w:szCs w:val="19"/>
        </w:rPr>
        <w:t>ml</w:t>
      </w:r>
      <w:r w:rsidR="00A844E6">
        <w:rPr>
          <w:rFonts w:cs="Arial"/>
          <w:szCs w:val="19"/>
        </w:rPr>
        <w:t>d</w:t>
      </w:r>
      <w:r w:rsidRPr="00277A82">
        <w:rPr>
          <w:rFonts w:cs="Arial"/>
          <w:szCs w:val="19"/>
        </w:rPr>
        <w:t xml:space="preserve"> EUR                     (wzrost w eksporcie o </w:t>
      </w:r>
      <w:r w:rsidR="007D43A2">
        <w:rPr>
          <w:rFonts w:cs="Arial"/>
          <w:szCs w:val="19"/>
        </w:rPr>
        <w:t>8,2</w:t>
      </w:r>
      <w:r w:rsidRPr="00277A82">
        <w:rPr>
          <w:rFonts w:cs="Arial"/>
          <w:szCs w:val="19"/>
        </w:rPr>
        <w:t xml:space="preserve">%, a w imporcie o </w:t>
      </w:r>
      <w:r w:rsidR="007D43A2">
        <w:rPr>
          <w:rFonts w:cs="Arial"/>
          <w:szCs w:val="19"/>
        </w:rPr>
        <w:t>10</w:t>
      </w:r>
      <w:r w:rsidR="00E02BC5">
        <w:rPr>
          <w:rFonts w:cs="Arial"/>
          <w:szCs w:val="19"/>
        </w:rPr>
        <w:t>,7</w:t>
      </w:r>
      <w:r w:rsidRPr="00277A82">
        <w:rPr>
          <w:rFonts w:cs="Arial"/>
          <w:szCs w:val="19"/>
        </w:rPr>
        <w:t xml:space="preserve">%). </w:t>
      </w:r>
      <w:r w:rsidR="00E02BC5">
        <w:rPr>
          <w:rFonts w:cs="Arial"/>
          <w:szCs w:val="19"/>
        </w:rPr>
        <w:t>Ujemne</w:t>
      </w:r>
      <w:r w:rsidRPr="00277A82">
        <w:rPr>
          <w:rFonts w:cs="Arial"/>
          <w:szCs w:val="19"/>
        </w:rPr>
        <w:t xml:space="preserve"> saldo wyniosło </w:t>
      </w:r>
      <w:r w:rsidR="007D43A2">
        <w:rPr>
          <w:rFonts w:cs="Arial"/>
          <w:bCs/>
          <w:color w:val="000000"/>
          <w:szCs w:val="19"/>
        </w:rPr>
        <w:t>4,6</w:t>
      </w:r>
      <w:r w:rsidRPr="00277A82">
        <w:rPr>
          <w:rFonts w:cs="Arial"/>
          <w:bCs/>
          <w:color w:val="000000"/>
          <w:szCs w:val="19"/>
        </w:rPr>
        <w:t xml:space="preserve"> </w:t>
      </w:r>
      <w:r w:rsidRPr="00277A82">
        <w:rPr>
          <w:rFonts w:cs="Arial"/>
          <w:szCs w:val="19"/>
        </w:rPr>
        <w:t>ml</w:t>
      </w:r>
      <w:r w:rsidR="00A844E6">
        <w:rPr>
          <w:rFonts w:cs="Arial"/>
          <w:szCs w:val="19"/>
        </w:rPr>
        <w:t>d</w:t>
      </w:r>
      <w:r w:rsidRPr="00277A82">
        <w:rPr>
          <w:rFonts w:cs="Arial"/>
          <w:szCs w:val="19"/>
        </w:rPr>
        <w:t xml:space="preserve"> EUR     wobec </w:t>
      </w:r>
      <w:r w:rsidR="00E02BC5">
        <w:rPr>
          <w:rFonts w:cs="Arial"/>
          <w:szCs w:val="19"/>
        </w:rPr>
        <w:t xml:space="preserve">dodatniego salda </w:t>
      </w:r>
      <w:r w:rsidR="00E02BC5" w:rsidRPr="003C6B82">
        <w:rPr>
          <w:rFonts w:cs="Arial"/>
        </w:rPr>
        <w:t>–</w:t>
      </w:r>
      <w:r w:rsidR="00E02BC5">
        <w:rPr>
          <w:rFonts w:cs="Arial"/>
          <w:szCs w:val="19"/>
        </w:rPr>
        <w:t xml:space="preserve"> 0,5 </w:t>
      </w:r>
      <w:r w:rsidRPr="00277A82">
        <w:rPr>
          <w:rFonts w:cs="Arial"/>
          <w:szCs w:val="19"/>
        </w:rPr>
        <w:t>ml</w:t>
      </w:r>
      <w:r w:rsidR="00A844E6">
        <w:rPr>
          <w:rFonts w:cs="Arial"/>
          <w:szCs w:val="19"/>
        </w:rPr>
        <w:t>d</w:t>
      </w:r>
      <w:r w:rsidRPr="00277A82">
        <w:rPr>
          <w:rFonts w:cs="Arial"/>
          <w:szCs w:val="19"/>
        </w:rPr>
        <w:t xml:space="preserve"> EUR</w:t>
      </w:r>
      <w:r w:rsidR="00E02BC5">
        <w:rPr>
          <w:rFonts w:cs="Arial"/>
          <w:szCs w:val="19"/>
        </w:rPr>
        <w:t>,</w:t>
      </w:r>
      <w:r w:rsidRPr="00277A82">
        <w:rPr>
          <w:rFonts w:cs="Arial"/>
          <w:szCs w:val="19"/>
        </w:rPr>
        <w:t xml:space="preserve"> w analogicznym okresie 201</w:t>
      </w:r>
      <w:r w:rsidR="00E02BC5">
        <w:rPr>
          <w:rFonts w:cs="Arial"/>
          <w:szCs w:val="19"/>
        </w:rPr>
        <w:t>7</w:t>
      </w:r>
      <w:r w:rsidRPr="00277A82">
        <w:rPr>
          <w:rFonts w:cs="Arial"/>
          <w:szCs w:val="19"/>
        </w:rPr>
        <w:t xml:space="preserve"> roku.</w:t>
      </w:r>
    </w:p>
    <w:p w:rsidR="00F54C70" w:rsidRDefault="00F54C70" w:rsidP="00074DD8">
      <w:pPr>
        <w:pStyle w:val="tytuwykresu"/>
      </w:pPr>
    </w:p>
    <w:p w:rsidR="00116087" w:rsidRPr="00017EBA" w:rsidRDefault="00FB5906" w:rsidP="00074DD8">
      <w:pPr>
        <w:pStyle w:val="tytuwykresu"/>
      </w:pPr>
      <w:r w:rsidRPr="00017EBA">
        <w:t xml:space="preserve">Wykres </w:t>
      </w:r>
      <w:r w:rsidR="00074DD8" w:rsidRPr="00017EBA">
        <w:t>1</w:t>
      </w:r>
      <w:r w:rsidR="00585385">
        <w:t>.</w:t>
      </w:r>
      <w:r w:rsidR="00074DD8" w:rsidRPr="00017EBA">
        <w:rPr>
          <w:shd w:val="clear" w:color="auto" w:fill="FFFFFF"/>
        </w:rPr>
        <w:t xml:space="preserve"> </w:t>
      </w:r>
      <w:r w:rsidR="00017EBA" w:rsidRPr="00017EBA">
        <w:rPr>
          <w:shd w:val="clear" w:color="auto" w:fill="FFFFFF"/>
        </w:rPr>
        <w:t>Obroty z</w:t>
      </w:r>
      <w:r w:rsidR="00017EBA">
        <w:rPr>
          <w:shd w:val="clear" w:color="auto" w:fill="FFFFFF"/>
        </w:rPr>
        <w:t xml:space="preserve">a </w:t>
      </w:r>
      <w:r w:rsidR="00585385">
        <w:rPr>
          <w:shd w:val="clear" w:color="auto" w:fill="FFFFFF"/>
        </w:rPr>
        <w:t xml:space="preserve">trzy ostatnie miesiące </w:t>
      </w:r>
      <w:r w:rsidR="00D45E90">
        <w:rPr>
          <w:shd w:val="clear" w:color="auto" w:fill="FFFFFF"/>
        </w:rPr>
        <w:t xml:space="preserve">2018 r. </w:t>
      </w:r>
      <w:r w:rsidR="00585385">
        <w:rPr>
          <w:shd w:val="clear" w:color="auto" w:fill="FFFFFF"/>
        </w:rPr>
        <w:t>w ml</w:t>
      </w:r>
      <w:r w:rsidR="009D1900">
        <w:rPr>
          <w:shd w:val="clear" w:color="auto" w:fill="FFFFFF"/>
        </w:rPr>
        <w:t>d</w:t>
      </w:r>
      <w:r w:rsidR="00585385">
        <w:rPr>
          <w:shd w:val="clear" w:color="auto" w:fill="FFFFFF"/>
        </w:rPr>
        <w:t xml:space="preserve"> zł</w:t>
      </w:r>
    </w:p>
    <w:p w:rsidR="00F54C70" w:rsidRDefault="00F54C70" w:rsidP="00F54C70">
      <w:pPr>
        <w:rPr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60640" behindDoc="0" locked="0" layoutInCell="1" allowOverlap="1">
            <wp:simplePos x="0" y="0"/>
            <wp:positionH relativeFrom="column">
              <wp:posOffset>-40943</wp:posOffset>
            </wp:positionH>
            <wp:positionV relativeFrom="paragraph">
              <wp:posOffset>91933</wp:posOffset>
            </wp:positionV>
            <wp:extent cx="5122545" cy="2347415"/>
            <wp:effectExtent l="0" t="0" r="1905" b="1524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V relativeFrom="margin">
              <wp14:pctHeight>0</wp14:pctHeight>
            </wp14:sizeRelV>
          </wp:anchor>
        </w:drawing>
      </w:r>
    </w:p>
    <w:p w:rsidR="00F54C70" w:rsidRDefault="00F54C70" w:rsidP="00F54C70">
      <w:pPr>
        <w:rPr>
          <w:lang w:eastAsia="pl-PL"/>
        </w:rPr>
      </w:pPr>
    </w:p>
    <w:p w:rsidR="00F54C70" w:rsidRDefault="00F54C70" w:rsidP="00F54C70">
      <w:pPr>
        <w:rPr>
          <w:lang w:eastAsia="pl-PL"/>
        </w:rPr>
      </w:pPr>
    </w:p>
    <w:p w:rsidR="00F54C70" w:rsidRDefault="00F54C70" w:rsidP="00F54C70">
      <w:pPr>
        <w:rPr>
          <w:lang w:eastAsia="pl-PL"/>
        </w:rPr>
      </w:pPr>
    </w:p>
    <w:p w:rsidR="00F54C70" w:rsidRDefault="00F54C70" w:rsidP="00F54C70">
      <w:pPr>
        <w:rPr>
          <w:lang w:eastAsia="pl-PL"/>
        </w:rPr>
      </w:pPr>
    </w:p>
    <w:p w:rsidR="00F54C70" w:rsidRDefault="00F54C70" w:rsidP="00F54C70">
      <w:pPr>
        <w:rPr>
          <w:lang w:eastAsia="pl-PL"/>
        </w:rPr>
      </w:pPr>
    </w:p>
    <w:p w:rsidR="00F54C70" w:rsidRDefault="00F54C70" w:rsidP="00F54C70">
      <w:pPr>
        <w:rPr>
          <w:lang w:eastAsia="pl-PL"/>
        </w:rPr>
      </w:pPr>
    </w:p>
    <w:p w:rsidR="00F54C70" w:rsidRDefault="00F54C70" w:rsidP="00F54C70">
      <w:pPr>
        <w:rPr>
          <w:lang w:eastAsia="pl-PL"/>
        </w:rPr>
      </w:pPr>
    </w:p>
    <w:p w:rsidR="00F54C70" w:rsidRDefault="00F54C70" w:rsidP="00F54C70">
      <w:pPr>
        <w:rPr>
          <w:lang w:eastAsia="pl-PL"/>
        </w:rPr>
      </w:pPr>
    </w:p>
    <w:p w:rsidR="00F54C70" w:rsidRDefault="00F54C70" w:rsidP="00F54C70">
      <w:pPr>
        <w:rPr>
          <w:lang w:eastAsia="pl-PL"/>
        </w:rPr>
      </w:pPr>
    </w:p>
    <w:p w:rsidR="00F54C70" w:rsidRDefault="00F54C70" w:rsidP="00F54C70">
      <w:pPr>
        <w:rPr>
          <w:lang w:eastAsia="pl-PL"/>
        </w:rPr>
      </w:pPr>
    </w:p>
    <w:p w:rsidR="00F54C70" w:rsidRPr="00F54C70" w:rsidRDefault="00F54C70" w:rsidP="00F54C70">
      <w:pPr>
        <w:rPr>
          <w:lang w:eastAsia="pl-PL"/>
        </w:rPr>
      </w:pPr>
    </w:p>
    <w:p w:rsidR="00017EBA" w:rsidRDefault="00E74BAD" w:rsidP="00F802BE">
      <w:pPr>
        <w:pStyle w:val="Nagwek1"/>
        <w:rPr>
          <w:color w:val="auto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75859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365760</wp:posOffset>
            </wp:positionV>
            <wp:extent cx="5031740" cy="1043940"/>
            <wp:effectExtent l="0" t="0" r="16510" b="3810"/>
            <wp:wrapThrough wrapText="bothSides">
              <wp:wrapPolygon edited="0">
                <wp:start x="0" y="0"/>
                <wp:lineTo x="0" y="21285"/>
                <wp:lineTo x="21589" y="21285"/>
                <wp:lineTo x="21589" y="0"/>
                <wp:lineTo x="0" y="0"/>
              </wp:wrapPolygon>
            </wp:wrapThrough>
            <wp:docPr id="31" name="Wykres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7EBA" w:rsidRPr="00F70DA2">
        <w:rPr>
          <w:color w:val="auto"/>
          <w:sz w:val="18"/>
          <w:szCs w:val="18"/>
        </w:rPr>
        <w:t xml:space="preserve">Wykres </w:t>
      </w:r>
      <w:r w:rsidR="00F70DA2" w:rsidRPr="00F70DA2">
        <w:rPr>
          <w:color w:val="auto"/>
          <w:sz w:val="18"/>
          <w:szCs w:val="18"/>
        </w:rPr>
        <w:t>2</w:t>
      </w:r>
      <w:r w:rsidR="00585385">
        <w:rPr>
          <w:color w:val="auto"/>
          <w:sz w:val="18"/>
          <w:szCs w:val="18"/>
        </w:rPr>
        <w:t>.</w:t>
      </w:r>
      <w:r w:rsidR="00017EBA" w:rsidRPr="00F70DA2">
        <w:rPr>
          <w:color w:val="auto"/>
          <w:sz w:val="18"/>
          <w:szCs w:val="18"/>
          <w:shd w:val="clear" w:color="auto" w:fill="FFFFFF"/>
        </w:rPr>
        <w:t xml:space="preserve"> Wskaźniki wartości </w:t>
      </w:r>
      <w:r w:rsidR="00020CD4">
        <w:rPr>
          <w:color w:val="auto"/>
          <w:sz w:val="18"/>
          <w:szCs w:val="18"/>
          <w:shd w:val="clear" w:color="auto" w:fill="FFFFFF"/>
        </w:rPr>
        <w:t xml:space="preserve">eksportu </w:t>
      </w:r>
      <w:r w:rsidR="00017EBA" w:rsidRPr="00F70DA2">
        <w:rPr>
          <w:color w:val="auto"/>
          <w:sz w:val="18"/>
          <w:szCs w:val="18"/>
          <w:shd w:val="clear" w:color="auto" w:fill="FFFFFF"/>
        </w:rPr>
        <w:t>w złotych - rok poprzedni = 100</w:t>
      </w:r>
    </w:p>
    <w:p w:rsidR="00476D65" w:rsidRDefault="00476D65" w:rsidP="00017EBA">
      <w:pPr>
        <w:rPr>
          <w:lang w:eastAsia="pl-PL"/>
        </w:rPr>
      </w:pPr>
    </w:p>
    <w:p w:rsidR="00E53C35" w:rsidRDefault="004A29AD" w:rsidP="00F802BE">
      <w:pPr>
        <w:pStyle w:val="Nagwek1"/>
      </w:pPr>
      <w:r w:rsidRPr="00F70DA2">
        <w:rPr>
          <w:color w:val="auto"/>
          <w:sz w:val="18"/>
          <w:szCs w:val="18"/>
        </w:rPr>
        <w:lastRenderedPageBreak/>
        <w:t xml:space="preserve">Wykres </w:t>
      </w:r>
      <w:r>
        <w:rPr>
          <w:color w:val="auto"/>
          <w:sz w:val="18"/>
          <w:szCs w:val="18"/>
        </w:rPr>
        <w:t>3</w:t>
      </w:r>
      <w:r w:rsidR="00371FC0">
        <w:rPr>
          <w:color w:val="auto"/>
          <w:sz w:val="18"/>
          <w:szCs w:val="18"/>
        </w:rPr>
        <w:t>.</w:t>
      </w:r>
      <w:r w:rsidRPr="00F70DA2">
        <w:rPr>
          <w:color w:val="auto"/>
          <w:sz w:val="18"/>
          <w:szCs w:val="18"/>
          <w:shd w:val="clear" w:color="auto" w:fill="FFFFFF"/>
        </w:rPr>
        <w:t xml:space="preserve"> Wskaźniki wartości </w:t>
      </w:r>
      <w:r w:rsidR="00020CD4">
        <w:rPr>
          <w:color w:val="auto"/>
          <w:sz w:val="18"/>
          <w:szCs w:val="18"/>
          <w:shd w:val="clear" w:color="auto" w:fill="FFFFFF"/>
        </w:rPr>
        <w:t xml:space="preserve">importu </w:t>
      </w:r>
      <w:r w:rsidRPr="00F70DA2">
        <w:rPr>
          <w:color w:val="auto"/>
          <w:sz w:val="18"/>
          <w:szCs w:val="18"/>
          <w:shd w:val="clear" w:color="auto" w:fill="FFFFFF"/>
        </w:rPr>
        <w:t>w złotych - rok poprzedni = 100</w:t>
      </w:r>
    </w:p>
    <w:p w:rsidR="00E53C35" w:rsidRDefault="00946902" w:rsidP="00F802BE">
      <w:pPr>
        <w:pStyle w:val="Nagwek1"/>
      </w:pPr>
      <w:r>
        <w:rPr>
          <w:noProof/>
        </w:rPr>
        <w:drawing>
          <wp:inline distT="0" distB="0" distL="0" distR="0" wp14:anchorId="7C0F7FF4" wp14:editId="3A71165F">
            <wp:extent cx="5122545" cy="947651"/>
            <wp:effectExtent l="0" t="0" r="1905" b="5080"/>
            <wp:docPr id="25" name="Wykres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F802BE" w:rsidRPr="003C6B82" w:rsidRDefault="00F802BE" w:rsidP="00F802BE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5F87F1FC" wp14:editId="5F87F1FD">
                <wp:simplePos x="0" y="0"/>
                <wp:positionH relativeFrom="column">
                  <wp:posOffset>5219700</wp:posOffset>
                </wp:positionH>
                <wp:positionV relativeFrom="paragraph">
                  <wp:posOffset>157785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FAC" w:rsidRDefault="00890FAC" w:rsidP="00F802BE">
                            <w:pPr>
                              <w:pStyle w:val="tekstzboku"/>
                            </w:pPr>
                            <w:r w:rsidRPr="008720A0">
                              <w:t>Na wysoki udział krajów rozwiniętych w obrotach towarowych ma</w:t>
                            </w:r>
                            <w:r>
                              <w:t>ją</w:t>
                            </w:r>
                            <w:r w:rsidRPr="008720A0">
                              <w:t xml:space="preserve"> </w:t>
                            </w:r>
                            <w:r>
                              <w:t xml:space="preserve">wpływ duże obroty z </w:t>
                            </w:r>
                            <w:r w:rsidRPr="008720A0">
                              <w:t>UE</w:t>
                            </w:r>
                            <w:r>
                              <w:t xml:space="preserve"> </w:t>
                            </w:r>
                          </w:p>
                          <w:p w:rsidR="00890FAC" w:rsidRDefault="00890FAC" w:rsidP="00F802BE">
                            <w:pPr>
                              <w:pStyle w:val="tekstzboku"/>
                            </w:pPr>
                          </w:p>
                          <w:p w:rsidR="00890FAC" w:rsidRDefault="00890FAC" w:rsidP="00F802BE">
                            <w:pPr>
                              <w:pStyle w:val="tekstzboku"/>
                            </w:pPr>
                          </w:p>
                          <w:p w:rsidR="00890FAC" w:rsidRDefault="00890FAC" w:rsidP="00F802BE">
                            <w:pPr>
                              <w:pStyle w:val="tekstzboku"/>
                            </w:pPr>
                          </w:p>
                          <w:p w:rsidR="00890FAC" w:rsidRDefault="00890FAC" w:rsidP="00F802BE">
                            <w:pPr>
                              <w:pStyle w:val="tekstzboku"/>
                            </w:pPr>
                          </w:p>
                          <w:p w:rsidR="00890FAC" w:rsidRDefault="00890FAC" w:rsidP="00F802BE">
                            <w:pPr>
                              <w:pStyle w:val="tekstzboku"/>
                            </w:pPr>
                          </w:p>
                          <w:p w:rsidR="00890FAC" w:rsidRDefault="00890FAC" w:rsidP="00F802BE">
                            <w:pPr>
                              <w:pStyle w:val="tekstzboku"/>
                            </w:pPr>
                          </w:p>
                          <w:p w:rsidR="00890FAC" w:rsidRDefault="00890FAC" w:rsidP="00F802BE">
                            <w:pPr>
                              <w:pStyle w:val="tekstzboku"/>
                            </w:pPr>
                          </w:p>
                          <w:p w:rsidR="00890FAC" w:rsidRDefault="00890FAC" w:rsidP="00F802BE">
                            <w:pPr>
                              <w:pStyle w:val="tekstzboku"/>
                            </w:pPr>
                          </w:p>
                          <w:p w:rsidR="00890FAC" w:rsidRDefault="00890FAC" w:rsidP="00F802BE">
                            <w:pPr>
                              <w:pStyle w:val="tekstzboku"/>
                            </w:pPr>
                          </w:p>
                          <w:p w:rsidR="00890FAC" w:rsidRDefault="00890FAC" w:rsidP="00F802BE">
                            <w:pPr>
                              <w:pStyle w:val="tekstzboku"/>
                            </w:pPr>
                          </w:p>
                          <w:p w:rsidR="00890FAC" w:rsidRDefault="00890FAC" w:rsidP="00F802BE">
                            <w:pPr>
                              <w:pStyle w:val="tekstzboku"/>
                            </w:pPr>
                          </w:p>
                          <w:p w:rsidR="00890FAC" w:rsidRDefault="00890FAC" w:rsidP="00F802BE">
                            <w:pPr>
                              <w:pStyle w:val="tekstzboku"/>
                            </w:pPr>
                          </w:p>
                          <w:p w:rsidR="00890FAC" w:rsidRDefault="00890FAC" w:rsidP="00F802BE">
                            <w:pPr>
                              <w:pStyle w:val="tekstzboku"/>
                            </w:pPr>
                          </w:p>
                          <w:p w:rsidR="00890FAC" w:rsidRDefault="00890FAC" w:rsidP="00F802BE">
                            <w:pPr>
                              <w:pStyle w:val="tekstzboku"/>
                            </w:pPr>
                          </w:p>
                          <w:p w:rsidR="00890FAC" w:rsidRDefault="00890FAC" w:rsidP="00F802BE">
                            <w:pPr>
                              <w:pStyle w:val="tekstzboku"/>
                            </w:pPr>
                          </w:p>
                          <w:p w:rsidR="00890FAC" w:rsidRDefault="00890FAC" w:rsidP="00F802BE">
                            <w:pPr>
                              <w:pStyle w:val="tekstzboku"/>
                            </w:pPr>
                          </w:p>
                          <w:p w:rsidR="00890FAC" w:rsidRDefault="00890FAC" w:rsidP="00F802BE">
                            <w:pPr>
                              <w:pStyle w:val="tekstzboku"/>
                            </w:pPr>
                          </w:p>
                          <w:p w:rsidR="00890FAC" w:rsidRDefault="00890FAC" w:rsidP="00F802BE">
                            <w:pPr>
                              <w:pStyle w:val="tekstzboku"/>
                            </w:pPr>
                          </w:p>
                          <w:p w:rsidR="00890FAC" w:rsidRDefault="00890FAC" w:rsidP="00F802BE">
                            <w:pPr>
                              <w:pStyle w:val="tekstzboku"/>
                            </w:pPr>
                          </w:p>
                          <w:p w:rsidR="00890FAC" w:rsidRDefault="00890FAC" w:rsidP="00F802BE">
                            <w:pPr>
                              <w:pStyle w:val="tekstzboku"/>
                            </w:pPr>
                          </w:p>
                          <w:p w:rsidR="00890FAC" w:rsidRDefault="00890FAC" w:rsidP="00F802BE">
                            <w:pPr>
                              <w:pStyle w:val="tekstzboku"/>
                            </w:pPr>
                          </w:p>
                          <w:p w:rsidR="00890FAC" w:rsidRDefault="00890FAC" w:rsidP="00F802BE">
                            <w:pPr>
                              <w:pStyle w:val="tekstzboku"/>
                            </w:pPr>
                          </w:p>
                          <w:p w:rsidR="00890FAC" w:rsidRDefault="00890FAC" w:rsidP="00F802BE">
                            <w:pPr>
                              <w:pStyle w:val="tekstzboku"/>
                            </w:pPr>
                          </w:p>
                          <w:p w:rsidR="00890FAC" w:rsidRDefault="00890FAC" w:rsidP="00F802BE">
                            <w:pPr>
                              <w:pStyle w:val="tekstzboku"/>
                            </w:pPr>
                          </w:p>
                          <w:p w:rsidR="00890FAC" w:rsidRDefault="00890FAC" w:rsidP="00F802BE">
                            <w:pPr>
                              <w:pStyle w:val="tekstzboku"/>
                            </w:pPr>
                          </w:p>
                          <w:p w:rsidR="00890FAC" w:rsidRDefault="00890FAC" w:rsidP="00F802BE">
                            <w:pPr>
                              <w:pStyle w:val="tekstzboku"/>
                            </w:pPr>
                          </w:p>
                          <w:p w:rsidR="00890FAC" w:rsidRDefault="00890FAC" w:rsidP="00F802BE">
                            <w:pPr>
                              <w:pStyle w:val="tekstzboku"/>
                            </w:pPr>
                          </w:p>
                          <w:p w:rsidR="00890FAC" w:rsidRPr="00074DD8" w:rsidRDefault="00890FAC" w:rsidP="00F802BE">
                            <w:pPr>
                              <w:pStyle w:val="tekstzboku"/>
                            </w:pPr>
                          </w:p>
                          <w:p w:rsidR="00890FAC" w:rsidRPr="00D616D2" w:rsidRDefault="00890FAC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C" id="Pole tekstowe 16" o:spid="_x0000_s1029" type="#_x0000_t202" style="position:absolute;margin-left:411pt;margin-top:12.4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Ce70/q3wAAAAsBAAAPAAAAAAAAAAAAAAAAAGwEAABkcnMvZG93bnJldi54bWxQSwUGAAAAAAQA&#10;BADzAAAAeAUAAAAA&#10;" filled="f" stroked="f">
                <v:textbox>
                  <w:txbxContent>
                    <w:p w:rsidR="00890FAC" w:rsidRDefault="00890FAC" w:rsidP="00F802BE">
                      <w:pPr>
                        <w:pStyle w:val="tekstzboku"/>
                      </w:pPr>
                      <w:r w:rsidRPr="008720A0">
                        <w:t>Na wysoki udział krajów rozwiniętych w obrotach towarowych ma</w:t>
                      </w:r>
                      <w:r>
                        <w:t>ją</w:t>
                      </w:r>
                      <w:r w:rsidRPr="008720A0">
                        <w:t xml:space="preserve"> </w:t>
                      </w:r>
                      <w:r>
                        <w:t xml:space="preserve">wpływ duże obroty z </w:t>
                      </w:r>
                      <w:r w:rsidRPr="008720A0">
                        <w:t>UE</w:t>
                      </w:r>
                      <w:r>
                        <w:t xml:space="preserve"> </w:t>
                      </w:r>
                    </w:p>
                    <w:p w:rsidR="00890FAC" w:rsidRDefault="00890FAC" w:rsidP="00F802BE">
                      <w:pPr>
                        <w:pStyle w:val="tekstzboku"/>
                      </w:pPr>
                    </w:p>
                    <w:p w:rsidR="00890FAC" w:rsidRDefault="00890FAC" w:rsidP="00F802BE">
                      <w:pPr>
                        <w:pStyle w:val="tekstzboku"/>
                      </w:pPr>
                    </w:p>
                    <w:p w:rsidR="00890FAC" w:rsidRDefault="00890FAC" w:rsidP="00F802BE">
                      <w:pPr>
                        <w:pStyle w:val="tekstzboku"/>
                      </w:pPr>
                    </w:p>
                    <w:p w:rsidR="00890FAC" w:rsidRDefault="00890FAC" w:rsidP="00F802BE">
                      <w:pPr>
                        <w:pStyle w:val="tekstzboku"/>
                      </w:pPr>
                    </w:p>
                    <w:p w:rsidR="00890FAC" w:rsidRDefault="00890FAC" w:rsidP="00F802BE">
                      <w:pPr>
                        <w:pStyle w:val="tekstzboku"/>
                      </w:pPr>
                    </w:p>
                    <w:p w:rsidR="00890FAC" w:rsidRDefault="00890FAC" w:rsidP="00F802BE">
                      <w:pPr>
                        <w:pStyle w:val="tekstzboku"/>
                      </w:pPr>
                    </w:p>
                    <w:p w:rsidR="00890FAC" w:rsidRDefault="00890FAC" w:rsidP="00F802BE">
                      <w:pPr>
                        <w:pStyle w:val="tekstzboku"/>
                      </w:pPr>
                    </w:p>
                    <w:p w:rsidR="00890FAC" w:rsidRDefault="00890FAC" w:rsidP="00F802BE">
                      <w:pPr>
                        <w:pStyle w:val="tekstzboku"/>
                      </w:pPr>
                    </w:p>
                    <w:p w:rsidR="00890FAC" w:rsidRDefault="00890FAC" w:rsidP="00F802BE">
                      <w:pPr>
                        <w:pStyle w:val="tekstzboku"/>
                      </w:pPr>
                    </w:p>
                    <w:p w:rsidR="00890FAC" w:rsidRDefault="00890FAC" w:rsidP="00F802BE">
                      <w:pPr>
                        <w:pStyle w:val="tekstzboku"/>
                      </w:pPr>
                    </w:p>
                    <w:p w:rsidR="00890FAC" w:rsidRDefault="00890FAC" w:rsidP="00F802BE">
                      <w:pPr>
                        <w:pStyle w:val="tekstzboku"/>
                      </w:pPr>
                    </w:p>
                    <w:p w:rsidR="00890FAC" w:rsidRDefault="00890FAC" w:rsidP="00F802BE">
                      <w:pPr>
                        <w:pStyle w:val="tekstzboku"/>
                      </w:pPr>
                    </w:p>
                    <w:p w:rsidR="00890FAC" w:rsidRDefault="00890FAC" w:rsidP="00F802BE">
                      <w:pPr>
                        <w:pStyle w:val="tekstzboku"/>
                      </w:pPr>
                    </w:p>
                    <w:p w:rsidR="00890FAC" w:rsidRDefault="00890FAC" w:rsidP="00F802BE">
                      <w:pPr>
                        <w:pStyle w:val="tekstzboku"/>
                      </w:pPr>
                    </w:p>
                    <w:p w:rsidR="00890FAC" w:rsidRDefault="00890FAC" w:rsidP="00F802BE">
                      <w:pPr>
                        <w:pStyle w:val="tekstzboku"/>
                      </w:pPr>
                    </w:p>
                    <w:p w:rsidR="00890FAC" w:rsidRDefault="00890FAC" w:rsidP="00F802BE">
                      <w:pPr>
                        <w:pStyle w:val="tekstzboku"/>
                      </w:pPr>
                    </w:p>
                    <w:p w:rsidR="00890FAC" w:rsidRDefault="00890FAC" w:rsidP="00F802BE">
                      <w:pPr>
                        <w:pStyle w:val="tekstzboku"/>
                      </w:pPr>
                    </w:p>
                    <w:p w:rsidR="00890FAC" w:rsidRDefault="00890FAC" w:rsidP="00F802BE">
                      <w:pPr>
                        <w:pStyle w:val="tekstzboku"/>
                      </w:pPr>
                    </w:p>
                    <w:p w:rsidR="00890FAC" w:rsidRDefault="00890FAC" w:rsidP="00F802BE">
                      <w:pPr>
                        <w:pStyle w:val="tekstzboku"/>
                      </w:pPr>
                    </w:p>
                    <w:p w:rsidR="00890FAC" w:rsidRDefault="00890FAC" w:rsidP="00F802BE">
                      <w:pPr>
                        <w:pStyle w:val="tekstzboku"/>
                      </w:pPr>
                    </w:p>
                    <w:p w:rsidR="00890FAC" w:rsidRDefault="00890FAC" w:rsidP="00F802BE">
                      <w:pPr>
                        <w:pStyle w:val="tekstzboku"/>
                      </w:pPr>
                    </w:p>
                    <w:p w:rsidR="00890FAC" w:rsidRDefault="00890FAC" w:rsidP="00F802BE">
                      <w:pPr>
                        <w:pStyle w:val="tekstzboku"/>
                      </w:pPr>
                    </w:p>
                    <w:p w:rsidR="00890FAC" w:rsidRDefault="00890FAC" w:rsidP="00F802BE">
                      <w:pPr>
                        <w:pStyle w:val="tekstzboku"/>
                      </w:pPr>
                    </w:p>
                    <w:p w:rsidR="00890FAC" w:rsidRDefault="00890FAC" w:rsidP="00F802BE">
                      <w:pPr>
                        <w:pStyle w:val="tekstzboku"/>
                      </w:pPr>
                    </w:p>
                    <w:p w:rsidR="00890FAC" w:rsidRDefault="00890FAC" w:rsidP="00F802BE">
                      <w:pPr>
                        <w:pStyle w:val="tekstzboku"/>
                      </w:pPr>
                    </w:p>
                    <w:p w:rsidR="00890FAC" w:rsidRDefault="00890FAC" w:rsidP="00F802BE">
                      <w:pPr>
                        <w:pStyle w:val="tekstzboku"/>
                      </w:pPr>
                    </w:p>
                    <w:p w:rsidR="00890FAC" w:rsidRDefault="00890FAC" w:rsidP="00F802BE">
                      <w:pPr>
                        <w:pStyle w:val="tekstzboku"/>
                      </w:pPr>
                    </w:p>
                    <w:p w:rsidR="00890FAC" w:rsidRPr="00074DD8" w:rsidRDefault="00890FAC" w:rsidP="00F802BE">
                      <w:pPr>
                        <w:pStyle w:val="tekstzboku"/>
                      </w:pPr>
                    </w:p>
                    <w:p w:rsidR="00890FAC" w:rsidRPr="00D616D2" w:rsidRDefault="00890FAC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81F44" w:rsidRPr="003C6B82">
        <w:t>Obroty t</w:t>
      </w:r>
      <w:r w:rsidR="00932408" w:rsidRPr="003C6B82">
        <w:t xml:space="preserve">owarowe </w:t>
      </w:r>
      <w:r w:rsidR="003C6B82" w:rsidRPr="003C6B82">
        <w:t xml:space="preserve">ogółem i </w:t>
      </w:r>
      <w:r w:rsidR="00932408" w:rsidRPr="003C6B82">
        <w:t>według</w:t>
      </w:r>
      <w:r w:rsidR="003C6B82" w:rsidRPr="003C6B82">
        <w:t xml:space="preserve"> grup krajów</w:t>
      </w:r>
    </w:p>
    <w:p w:rsidR="00F802BE" w:rsidRDefault="003C6B82" w:rsidP="00F802BE">
      <w:pPr>
        <w:rPr>
          <w:shd w:val="clear" w:color="auto" w:fill="FFFFFF"/>
        </w:rPr>
      </w:pPr>
      <w:r>
        <w:rPr>
          <w:rFonts w:cs="Arial"/>
          <w:spacing w:val="-3"/>
        </w:rPr>
        <w:t>Największy u</w:t>
      </w:r>
      <w:r w:rsidRPr="003C6B82">
        <w:rPr>
          <w:rFonts w:cs="Arial"/>
          <w:spacing w:val="-3"/>
        </w:rPr>
        <w:t xml:space="preserve">dział </w:t>
      </w:r>
      <w:r w:rsidR="00992926" w:rsidRPr="003C6B82">
        <w:rPr>
          <w:rFonts w:cs="Arial"/>
          <w:spacing w:val="-3"/>
        </w:rPr>
        <w:t>w eksporcie ogółem</w:t>
      </w:r>
      <w:r w:rsidR="00992926">
        <w:rPr>
          <w:rFonts w:cs="Arial"/>
          <w:spacing w:val="-3"/>
        </w:rPr>
        <w:t xml:space="preserve"> </w:t>
      </w:r>
      <w:r>
        <w:rPr>
          <w:rFonts w:cs="Arial"/>
          <w:spacing w:val="-3"/>
        </w:rPr>
        <w:t xml:space="preserve">Polska ma z </w:t>
      </w:r>
      <w:r w:rsidRPr="003C6B82">
        <w:rPr>
          <w:rFonts w:cs="Arial"/>
          <w:spacing w:val="-3"/>
        </w:rPr>
        <w:t>kraj</w:t>
      </w:r>
      <w:r>
        <w:rPr>
          <w:rFonts w:cs="Arial"/>
          <w:spacing w:val="-3"/>
        </w:rPr>
        <w:t>ami</w:t>
      </w:r>
      <w:r w:rsidRPr="003C6B82">
        <w:rPr>
          <w:rFonts w:cs="Arial"/>
          <w:spacing w:val="-3"/>
        </w:rPr>
        <w:t xml:space="preserve"> rozwinięty</w:t>
      </w:r>
      <w:r>
        <w:rPr>
          <w:rFonts w:cs="Arial"/>
          <w:spacing w:val="-3"/>
        </w:rPr>
        <w:t>mi</w:t>
      </w:r>
      <w:r w:rsidR="00992926">
        <w:rPr>
          <w:rFonts w:cs="Arial"/>
          <w:spacing w:val="-3"/>
        </w:rPr>
        <w:t xml:space="preserve"> </w:t>
      </w:r>
      <w:r w:rsidR="00992926" w:rsidRPr="003C6B82">
        <w:rPr>
          <w:rFonts w:cs="Arial"/>
        </w:rPr>
        <w:t>–</w:t>
      </w:r>
      <w:r w:rsidR="00992926">
        <w:rPr>
          <w:rFonts w:cs="Arial"/>
          <w:spacing w:val="-3"/>
        </w:rPr>
        <w:t xml:space="preserve"> </w:t>
      </w:r>
      <w:r w:rsidR="005A602B">
        <w:rPr>
          <w:rFonts w:cs="Arial"/>
          <w:spacing w:val="-3"/>
        </w:rPr>
        <w:t>87,</w:t>
      </w:r>
      <w:r w:rsidR="00F00CA5">
        <w:rPr>
          <w:rFonts w:cs="Arial"/>
          <w:spacing w:val="-3"/>
        </w:rPr>
        <w:t>1</w:t>
      </w:r>
      <w:r w:rsidRPr="003C6B82">
        <w:rPr>
          <w:rFonts w:cs="Arial"/>
          <w:spacing w:val="-3"/>
        </w:rPr>
        <w:t>%</w:t>
      </w:r>
      <w:r w:rsidR="00992926">
        <w:rPr>
          <w:rFonts w:cs="Arial"/>
          <w:spacing w:val="-3"/>
        </w:rPr>
        <w:t xml:space="preserve"> </w:t>
      </w:r>
      <w:r w:rsidRPr="003C6B82">
        <w:rPr>
          <w:rFonts w:cs="Arial"/>
          <w:spacing w:val="-3"/>
        </w:rPr>
        <w:t>(w tym UE</w:t>
      </w:r>
      <w:r w:rsidR="00992926">
        <w:rPr>
          <w:rFonts w:cs="Arial"/>
          <w:spacing w:val="-3"/>
        </w:rPr>
        <w:t> </w:t>
      </w:r>
      <w:r w:rsidR="005A602B">
        <w:rPr>
          <w:rFonts w:cs="Arial"/>
          <w:spacing w:val="-3"/>
        </w:rPr>
        <w:t>80,</w:t>
      </w:r>
      <w:r w:rsidR="00F00CA5">
        <w:rPr>
          <w:rFonts w:cs="Arial"/>
          <w:spacing w:val="-3"/>
        </w:rPr>
        <w:t>6</w:t>
      </w:r>
      <w:r w:rsidRPr="003C6B82">
        <w:rPr>
          <w:rFonts w:cs="Arial"/>
          <w:spacing w:val="-3"/>
        </w:rPr>
        <w:t xml:space="preserve">%), a w imporcie </w:t>
      </w:r>
      <w:r w:rsidRPr="003C6B82">
        <w:rPr>
          <w:rFonts w:cs="Arial"/>
        </w:rPr>
        <w:t xml:space="preserve">– </w:t>
      </w:r>
      <w:r w:rsidR="005A602B">
        <w:rPr>
          <w:rFonts w:cs="Arial"/>
          <w:spacing w:val="-3"/>
        </w:rPr>
        <w:t>65,</w:t>
      </w:r>
      <w:r w:rsidR="00F00CA5">
        <w:rPr>
          <w:rFonts w:cs="Arial"/>
          <w:spacing w:val="-3"/>
        </w:rPr>
        <w:t>9</w:t>
      </w:r>
      <w:r w:rsidR="007D6BC4">
        <w:rPr>
          <w:rFonts w:cs="Arial"/>
          <w:spacing w:val="-3"/>
        </w:rPr>
        <w:t xml:space="preserve">% (w tym UE </w:t>
      </w:r>
      <w:r w:rsidR="005A602B">
        <w:rPr>
          <w:rFonts w:cs="Arial"/>
          <w:spacing w:val="-3"/>
        </w:rPr>
        <w:t>58,</w:t>
      </w:r>
      <w:r w:rsidR="00F00CA5">
        <w:rPr>
          <w:rFonts w:cs="Arial"/>
          <w:spacing w:val="-3"/>
        </w:rPr>
        <w:t>8</w:t>
      </w:r>
      <w:r w:rsidRPr="003C6B82">
        <w:rPr>
          <w:rFonts w:cs="Arial"/>
          <w:spacing w:val="-3"/>
        </w:rPr>
        <w:t>%), wobec odpowiednio 86,</w:t>
      </w:r>
      <w:r w:rsidR="005A602B">
        <w:rPr>
          <w:rFonts w:cs="Arial"/>
          <w:spacing w:val="-3"/>
        </w:rPr>
        <w:t>6</w:t>
      </w:r>
      <w:r w:rsidRPr="003C6B82">
        <w:rPr>
          <w:rFonts w:cs="Arial"/>
          <w:spacing w:val="-3"/>
        </w:rPr>
        <w:t xml:space="preserve">% (w tym UE </w:t>
      </w:r>
      <w:r w:rsidR="005A602B">
        <w:rPr>
          <w:rFonts w:cs="Arial"/>
          <w:spacing w:val="-3"/>
        </w:rPr>
        <w:t>80,0</w:t>
      </w:r>
      <w:r w:rsidRPr="003C6B82">
        <w:rPr>
          <w:rFonts w:cs="Arial"/>
          <w:spacing w:val="-3"/>
        </w:rPr>
        <w:t>%) i</w:t>
      </w:r>
      <w:r w:rsidR="00992926">
        <w:rPr>
          <w:rFonts w:cs="Arial"/>
          <w:spacing w:val="-3"/>
        </w:rPr>
        <w:t> </w:t>
      </w:r>
      <w:r w:rsidR="005A602B">
        <w:rPr>
          <w:rFonts w:cs="Arial"/>
          <w:spacing w:val="-3"/>
        </w:rPr>
        <w:t>67,7</w:t>
      </w:r>
      <w:r w:rsidRPr="003C6B82">
        <w:rPr>
          <w:rFonts w:cs="Arial"/>
          <w:spacing w:val="-3"/>
        </w:rPr>
        <w:t xml:space="preserve">% (w tym UE </w:t>
      </w:r>
      <w:r w:rsidR="005A602B">
        <w:rPr>
          <w:rFonts w:cs="Arial"/>
          <w:spacing w:val="-3"/>
        </w:rPr>
        <w:t>60,4</w:t>
      </w:r>
      <w:r w:rsidRPr="003C6B82">
        <w:rPr>
          <w:rFonts w:cs="Arial"/>
          <w:spacing w:val="-3"/>
        </w:rPr>
        <w:t>%) w analogicznym okresie 201</w:t>
      </w:r>
      <w:r w:rsidR="005A602B">
        <w:rPr>
          <w:rFonts w:cs="Arial"/>
          <w:spacing w:val="-3"/>
        </w:rPr>
        <w:t>7</w:t>
      </w:r>
      <w:r w:rsidRPr="003C6B82">
        <w:rPr>
          <w:rFonts w:cs="Arial"/>
          <w:spacing w:val="-3"/>
        </w:rPr>
        <w:t xml:space="preserve"> roku</w:t>
      </w:r>
      <w:r w:rsidR="00F802BE" w:rsidRPr="003C6B82">
        <w:rPr>
          <w:shd w:val="clear" w:color="auto" w:fill="FFFFFF"/>
        </w:rPr>
        <w:t>.</w:t>
      </w:r>
      <w:r w:rsidR="008720A0">
        <w:rPr>
          <w:shd w:val="clear" w:color="auto" w:fill="FFFFFF"/>
        </w:rPr>
        <w:t xml:space="preserve"> Natomiast </w:t>
      </w:r>
      <w:r w:rsidR="00701D51">
        <w:rPr>
          <w:shd w:val="clear" w:color="auto" w:fill="FFFFFF"/>
        </w:rPr>
        <w:t xml:space="preserve">najmniejszy udział </w:t>
      </w:r>
      <w:r w:rsidR="00D626BB">
        <w:rPr>
          <w:shd w:val="clear" w:color="auto" w:fill="FFFFFF"/>
        </w:rPr>
        <w:t>odnotowano</w:t>
      </w:r>
      <w:r w:rsidR="00701D51">
        <w:rPr>
          <w:shd w:val="clear" w:color="auto" w:fill="FFFFFF"/>
        </w:rPr>
        <w:t xml:space="preserve"> z krajami </w:t>
      </w:r>
      <w:r w:rsidR="00701D51" w:rsidRPr="008720A0">
        <w:rPr>
          <w:rFonts w:cs="Arial"/>
          <w:spacing w:val="-3"/>
        </w:rPr>
        <w:t>Europy Środkowo-Wschodniej</w:t>
      </w:r>
      <w:r w:rsidR="00EA7416">
        <w:rPr>
          <w:rFonts w:cs="Arial"/>
          <w:spacing w:val="-3"/>
        </w:rPr>
        <w:t xml:space="preserve">, który </w:t>
      </w:r>
      <w:r w:rsidR="00701D51">
        <w:rPr>
          <w:rFonts w:cs="Arial"/>
          <w:spacing w:val="-3"/>
        </w:rPr>
        <w:t>w eksporcie ogółem wyniósł 5,</w:t>
      </w:r>
      <w:r w:rsidR="005A602B">
        <w:rPr>
          <w:rFonts w:cs="Arial"/>
          <w:spacing w:val="-3"/>
        </w:rPr>
        <w:t>8</w:t>
      </w:r>
      <w:r w:rsidR="00185BAA">
        <w:rPr>
          <w:rFonts w:cs="Arial"/>
          <w:spacing w:val="-3"/>
        </w:rPr>
        <w:t>%</w:t>
      </w:r>
      <w:r w:rsidR="00701D51">
        <w:rPr>
          <w:rFonts w:cs="Arial"/>
          <w:spacing w:val="-3"/>
        </w:rPr>
        <w:t xml:space="preserve">, a w imporcie </w:t>
      </w:r>
      <w:r w:rsidR="00F00CA5">
        <w:rPr>
          <w:rFonts w:cs="Arial"/>
          <w:spacing w:val="-3"/>
        </w:rPr>
        <w:t>8,9</w:t>
      </w:r>
      <w:r w:rsidR="00185BAA">
        <w:rPr>
          <w:rFonts w:cs="Arial"/>
          <w:spacing w:val="-3"/>
        </w:rPr>
        <w:t>%</w:t>
      </w:r>
      <w:r w:rsidR="00701D51">
        <w:rPr>
          <w:rFonts w:cs="Arial"/>
          <w:spacing w:val="-3"/>
        </w:rPr>
        <w:t xml:space="preserve">, wobec odpowiednio </w:t>
      </w:r>
      <w:r w:rsidR="00185BAA">
        <w:rPr>
          <w:rFonts w:cs="Arial"/>
          <w:spacing w:val="-3"/>
        </w:rPr>
        <w:t>5,</w:t>
      </w:r>
      <w:r w:rsidR="005A602B">
        <w:rPr>
          <w:rFonts w:cs="Arial"/>
          <w:spacing w:val="-3"/>
        </w:rPr>
        <w:t>8% i 7,9</w:t>
      </w:r>
      <w:r w:rsidR="00185BAA">
        <w:rPr>
          <w:rFonts w:cs="Arial"/>
          <w:spacing w:val="-3"/>
        </w:rPr>
        <w:t>%</w:t>
      </w:r>
      <w:r w:rsidR="00701D51">
        <w:rPr>
          <w:rFonts w:cs="Arial"/>
          <w:spacing w:val="-3"/>
        </w:rPr>
        <w:t xml:space="preserve"> </w:t>
      </w:r>
      <w:r w:rsidR="00220335">
        <w:rPr>
          <w:rFonts w:cs="Arial"/>
          <w:spacing w:val="-3"/>
        </w:rPr>
        <w:t>w</w:t>
      </w:r>
      <w:r w:rsidR="00185BAA">
        <w:rPr>
          <w:rFonts w:cs="Arial"/>
          <w:spacing w:val="-3"/>
        </w:rPr>
        <w:t xml:space="preserve"> 201</w:t>
      </w:r>
      <w:r w:rsidR="005A602B">
        <w:rPr>
          <w:rFonts w:cs="Arial"/>
          <w:spacing w:val="-3"/>
        </w:rPr>
        <w:t>7</w:t>
      </w:r>
      <w:r w:rsidR="00185BAA">
        <w:rPr>
          <w:rFonts w:cs="Arial"/>
          <w:spacing w:val="-3"/>
        </w:rPr>
        <w:t xml:space="preserve"> r.</w:t>
      </w:r>
    </w:p>
    <w:p w:rsidR="00345F7C" w:rsidRDefault="008720A0" w:rsidP="002D45CF">
      <w:pPr>
        <w:rPr>
          <w:rFonts w:cs="Arial"/>
          <w:spacing w:val="-3"/>
        </w:rPr>
      </w:pPr>
      <w:r w:rsidRPr="008720A0">
        <w:rPr>
          <w:rFonts w:cs="Arial"/>
          <w:spacing w:val="-3"/>
        </w:rPr>
        <w:t xml:space="preserve">Ujemne salda odnotowano z krajami rozwijającymi się – minus </w:t>
      </w:r>
      <w:r w:rsidR="005A602B">
        <w:rPr>
          <w:rFonts w:cs="Arial"/>
          <w:color w:val="000000"/>
        </w:rPr>
        <w:t>17</w:t>
      </w:r>
      <w:r w:rsidR="00F00CA5">
        <w:rPr>
          <w:rFonts w:cs="Arial"/>
          <w:color w:val="000000"/>
        </w:rPr>
        <w:t>7,3</w:t>
      </w:r>
      <w:r w:rsidR="00F70DA2">
        <w:rPr>
          <w:rFonts w:cs="Arial"/>
          <w:color w:val="000000"/>
        </w:rPr>
        <w:t xml:space="preserve"> </w:t>
      </w:r>
      <w:r>
        <w:rPr>
          <w:rFonts w:cs="Arial"/>
          <w:spacing w:val="-3"/>
        </w:rPr>
        <w:t>ml</w:t>
      </w:r>
      <w:r w:rsidR="00F70DA2">
        <w:rPr>
          <w:rFonts w:cs="Arial"/>
          <w:spacing w:val="-3"/>
        </w:rPr>
        <w:t>d</w:t>
      </w:r>
      <w:r>
        <w:rPr>
          <w:rFonts w:cs="Arial"/>
          <w:spacing w:val="-3"/>
        </w:rPr>
        <w:t xml:space="preserve"> zł (min</w:t>
      </w:r>
      <w:r w:rsidRPr="008720A0">
        <w:rPr>
          <w:rFonts w:cs="Arial"/>
          <w:spacing w:val="-3"/>
        </w:rPr>
        <w:t>us </w:t>
      </w:r>
      <w:r w:rsidR="00852243">
        <w:rPr>
          <w:rFonts w:cs="Arial"/>
          <w:color w:val="000000"/>
        </w:rPr>
        <w:t>49,2</w:t>
      </w:r>
      <w:r w:rsidRPr="008720A0">
        <w:rPr>
          <w:rFonts w:cs="Arial"/>
          <w:color w:val="000000"/>
        </w:rPr>
        <w:t xml:space="preserve"> </w:t>
      </w:r>
      <w:r w:rsidRPr="008720A0">
        <w:rPr>
          <w:rFonts w:cs="Arial"/>
          <w:spacing w:val="-3"/>
        </w:rPr>
        <w:t>ml</w:t>
      </w:r>
      <w:r w:rsidR="00F70DA2">
        <w:rPr>
          <w:rFonts w:cs="Arial"/>
          <w:spacing w:val="-3"/>
        </w:rPr>
        <w:t>d</w:t>
      </w:r>
      <w:r w:rsidRPr="008720A0">
        <w:rPr>
          <w:rFonts w:cs="Arial"/>
          <w:spacing w:val="-3"/>
        </w:rPr>
        <w:t xml:space="preserve"> USD, minus </w:t>
      </w:r>
      <w:r w:rsidR="005A602B">
        <w:rPr>
          <w:rFonts w:cs="Arial"/>
          <w:color w:val="000000"/>
        </w:rPr>
        <w:t>41,</w:t>
      </w:r>
      <w:r w:rsidR="00852243">
        <w:rPr>
          <w:rFonts w:cs="Arial"/>
          <w:color w:val="000000"/>
        </w:rPr>
        <w:t>6</w:t>
      </w:r>
      <w:r w:rsidRPr="008720A0">
        <w:rPr>
          <w:rFonts w:cs="Arial"/>
          <w:color w:val="000000"/>
        </w:rPr>
        <w:t xml:space="preserve"> </w:t>
      </w:r>
      <w:r w:rsidRPr="008720A0">
        <w:rPr>
          <w:rFonts w:cs="Arial"/>
          <w:spacing w:val="-3"/>
        </w:rPr>
        <w:t>ml</w:t>
      </w:r>
      <w:r w:rsidR="00F70DA2">
        <w:rPr>
          <w:rFonts w:cs="Arial"/>
          <w:spacing w:val="-3"/>
        </w:rPr>
        <w:t>d</w:t>
      </w:r>
      <w:r w:rsidRPr="008720A0">
        <w:rPr>
          <w:rFonts w:cs="Arial"/>
          <w:spacing w:val="-3"/>
        </w:rPr>
        <w:t xml:space="preserve"> EUR) i z krajami Europy Środkowo-Wschodniej – minus </w:t>
      </w:r>
      <w:r w:rsidR="005A602B">
        <w:rPr>
          <w:rFonts w:cs="Arial"/>
          <w:spacing w:val="-3"/>
        </w:rPr>
        <w:t>3</w:t>
      </w:r>
      <w:r w:rsidR="00852243">
        <w:rPr>
          <w:rFonts w:cs="Arial"/>
          <w:spacing w:val="-3"/>
        </w:rPr>
        <w:t>1,1</w:t>
      </w:r>
      <w:r w:rsidRPr="008720A0">
        <w:rPr>
          <w:rFonts w:cs="Arial"/>
          <w:color w:val="000000"/>
        </w:rPr>
        <w:t xml:space="preserve"> </w:t>
      </w:r>
      <w:r w:rsidR="00F70DA2">
        <w:rPr>
          <w:rFonts w:cs="Arial"/>
          <w:spacing w:val="-3"/>
        </w:rPr>
        <w:t>mld</w:t>
      </w:r>
      <w:r w:rsidRPr="008720A0">
        <w:rPr>
          <w:rFonts w:cs="Arial"/>
          <w:spacing w:val="-3"/>
        </w:rPr>
        <w:t xml:space="preserve"> zł (minus </w:t>
      </w:r>
      <w:r w:rsidR="00852243">
        <w:rPr>
          <w:rFonts w:cs="Arial"/>
          <w:color w:val="000000"/>
        </w:rPr>
        <w:t xml:space="preserve">8,6 </w:t>
      </w:r>
      <w:r w:rsidR="00F70DA2">
        <w:rPr>
          <w:rFonts w:cs="Arial"/>
          <w:spacing w:val="-3"/>
        </w:rPr>
        <w:t>mld</w:t>
      </w:r>
      <w:r w:rsidRPr="008720A0">
        <w:rPr>
          <w:rFonts w:cs="Arial"/>
          <w:spacing w:val="-3"/>
        </w:rPr>
        <w:t xml:space="preserve"> USD, minus </w:t>
      </w:r>
      <w:r w:rsidR="00852243">
        <w:rPr>
          <w:rFonts w:cs="Arial"/>
          <w:color w:val="000000"/>
        </w:rPr>
        <w:t>7,3</w:t>
      </w:r>
      <w:r w:rsidRPr="008720A0">
        <w:rPr>
          <w:rFonts w:cs="Arial"/>
          <w:color w:val="000000"/>
        </w:rPr>
        <w:t xml:space="preserve"> </w:t>
      </w:r>
      <w:r w:rsidR="00FC0B7D">
        <w:rPr>
          <w:rFonts w:cs="Arial"/>
          <w:spacing w:val="-3"/>
        </w:rPr>
        <w:t>mld</w:t>
      </w:r>
      <w:r w:rsidRPr="008720A0">
        <w:rPr>
          <w:rFonts w:cs="Arial"/>
          <w:spacing w:val="-3"/>
        </w:rPr>
        <w:t xml:space="preserve"> EUR). Dodatnie saldo uzyskano w obrotach z  krajami rozwiniętymi </w:t>
      </w:r>
      <w:r w:rsidR="005A602B">
        <w:rPr>
          <w:rFonts w:cs="Arial"/>
          <w:color w:val="000000"/>
        </w:rPr>
        <w:t>18</w:t>
      </w:r>
      <w:r w:rsidR="00852243">
        <w:rPr>
          <w:rFonts w:cs="Arial"/>
          <w:color w:val="000000"/>
        </w:rPr>
        <w:t>8,8</w:t>
      </w:r>
      <w:r w:rsidRPr="008720A0">
        <w:rPr>
          <w:rFonts w:cs="Arial"/>
          <w:spacing w:val="-3"/>
        </w:rPr>
        <w:t xml:space="preserve"> ml</w:t>
      </w:r>
      <w:r w:rsidR="00F70DA2">
        <w:rPr>
          <w:rFonts w:cs="Arial"/>
          <w:spacing w:val="-3"/>
        </w:rPr>
        <w:t>d</w:t>
      </w:r>
      <w:r w:rsidRPr="008720A0">
        <w:rPr>
          <w:rFonts w:cs="Arial"/>
          <w:spacing w:val="-3"/>
        </w:rPr>
        <w:t xml:space="preserve"> zł (</w:t>
      </w:r>
      <w:r w:rsidR="00852243">
        <w:rPr>
          <w:rFonts w:cs="Arial"/>
          <w:color w:val="000000"/>
        </w:rPr>
        <w:t>52,5</w:t>
      </w:r>
      <w:r w:rsidRPr="008720A0">
        <w:rPr>
          <w:rFonts w:cs="Arial"/>
          <w:color w:val="000000"/>
        </w:rPr>
        <w:t xml:space="preserve"> </w:t>
      </w:r>
      <w:r w:rsidR="00F70DA2">
        <w:rPr>
          <w:rFonts w:cs="Arial"/>
          <w:spacing w:val="-3"/>
        </w:rPr>
        <w:t>mld</w:t>
      </w:r>
      <w:r w:rsidRPr="008720A0">
        <w:rPr>
          <w:rFonts w:cs="Arial"/>
          <w:spacing w:val="-3"/>
        </w:rPr>
        <w:t xml:space="preserve"> USD, </w:t>
      </w:r>
      <w:r w:rsidR="005A602B">
        <w:rPr>
          <w:rFonts w:cs="Arial"/>
          <w:color w:val="000000"/>
        </w:rPr>
        <w:t>44,</w:t>
      </w:r>
      <w:r w:rsidR="00852243">
        <w:rPr>
          <w:rFonts w:cs="Arial"/>
          <w:color w:val="000000"/>
        </w:rPr>
        <w:t>4</w:t>
      </w:r>
      <w:r w:rsidRPr="008720A0">
        <w:rPr>
          <w:rFonts w:cs="Arial"/>
          <w:spacing w:val="-3"/>
        </w:rPr>
        <w:t xml:space="preserve"> </w:t>
      </w:r>
      <w:r w:rsidR="00F70DA2">
        <w:rPr>
          <w:rFonts w:cs="Arial"/>
          <w:spacing w:val="-3"/>
        </w:rPr>
        <w:t>mld</w:t>
      </w:r>
      <w:r w:rsidRPr="008720A0">
        <w:rPr>
          <w:rFonts w:cs="Arial"/>
          <w:spacing w:val="-3"/>
        </w:rPr>
        <w:t xml:space="preserve"> EUR),</w:t>
      </w:r>
      <w:r>
        <w:rPr>
          <w:rFonts w:cs="Arial"/>
          <w:spacing w:val="-3"/>
        </w:rPr>
        <w:t xml:space="preserve"> </w:t>
      </w:r>
      <w:r w:rsidRPr="008720A0">
        <w:rPr>
          <w:rFonts w:cs="Arial"/>
          <w:spacing w:val="-3"/>
        </w:rPr>
        <w:t xml:space="preserve">w tym z krajami UE saldo osiągnęło poziom </w:t>
      </w:r>
      <w:r w:rsidR="005A602B">
        <w:rPr>
          <w:rFonts w:cs="Arial"/>
          <w:color w:val="000000"/>
        </w:rPr>
        <w:t>19</w:t>
      </w:r>
      <w:r w:rsidR="00852243">
        <w:rPr>
          <w:rFonts w:cs="Arial"/>
          <w:color w:val="000000"/>
        </w:rPr>
        <w:t>6</w:t>
      </w:r>
      <w:r w:rsidR="005A602B">
        <w:rPr>
          <w:rFonts w:cs="Arial"/>
          <w:color w:val="000000"/>
        </w:rPr>
        <w:t>,</w:t>
      </w:r>
      <w:r w:rsidR="00852243">
        <w:rPr>
          <w:rFonts w:cs="Arial"/>
          <w:color w:val="000000"/>
        </w:rPr>
        <w:t>4</w:t>
      </w:r>
      <w:r w:rsidRPr="008720A0">
        <w:rPr>
          <w:rFonts w:cs="Arial"/>
          <w:color w:val="000000"/>
        </w:rPr>
        <w:t xml:space="preserve"> </w:t>
      </w:r>
      <w:r w:rsidR="00F70DA2">
        <w:rPr>
          <w:rFonts w:cs="Arial"/>
          <w:spacing w:val="-3"/>
        </w:rPr>
        <w:t>mld</w:t>
      </w:r>
      <w:r w:rsidRPr="008720A0">
        <w:rPr>
          <w:rFonts w:cs="Arial"/>
          <w:spacing w:val="-3"/>
        </w:rPr>
        <w:t xml:space="preserve"> zł (</w:t>
      </w:r>
      <w:r w:rsidR="005A602B">
        <w:rPr>
          <w:rFonts w:cs="Arial"/>
          <w:color w:val="000000"/>
        </w:rPr>
        <w:t>54,</w:t>
      </w:r>
      <w:r w:rsidR="00852243">
        <w:rPr>
          <w:rFonts w:cs="Arial"/>
          <w:color w:val="000000"/>
        </w:rPr>
        <w:t>6</w:t>
      </w:r>
      <w:r w:rsidRPr="008720A0">
        <w:rPr>
          <w:rFonts w:cs="Arial"/>
          <w:color w:val="000000"/>
        </w:rPr>
        <w:t xml:space="preserve"> </w:t>
      </w:r>
      <w:r w:rsidRPr="008720A0">
        <w:rPr>
          <w:rFonts w:cs="Arial"/>
          <w:spacing w:val="-3"/>
        </w:rPr>
        <w:t>ml</w:t>
      </w:r>
      <w:r w:rsidR="00F70DA2">
        <w:rPr>
          <w:rFonts w:cs="Arial"/>
          <w:spacing w:val="-3"/>
        </w:rPr>
        <w:t>d</w:t>
      </w:r>
      <w:r w:rsidRPr="008720A0">
        <w:rPr>
          <w:rFonts w:cs="Arial"/>
          <w:spacing w:val="-3"/>
        </w:rPr>
        <w:t xml:space="preserve"> USD, </w:t>
      </w:r>
      <w:r w:rsidR="005A602B">
        <w:rPr>
          <w:rFonts w:cs="Arial"/>
          <w:color w:val="000000"/>
        </w:rPr>
        <w:t>4</w:t>
      </w:r>
      <w:r w:rsidR="00852243">
        <w:rPr>
          <w:rFonts w:cs="Arial"/>
          <w:color w:val="000000"/>
        </w:rPr>
        <w:t>6,2</w:t>
      </w:r>
      <w:r w:rsidRPr="008720A0">
        <w:rPr>
          <w:rFonts w:cs="Arial"/>
          <w:color w:val="000000"/>
        </w:rPr>
        <w:t> </w:t>
      </w:r>
      <w:r w:rsidRPr="008720A0">
        <w:rPr>
          <w:rFonts w:cs="Arial"/>
        </w:rPr>
        <w:t>ml</w:t>
      </w:r>
      <w:r w:rsidR="00F70DA2">
        <w:rPr>
          <w:rFonts w:cs="Arial"/>
        </w:rPr>
        <w:t>d</w:t>
      </w:r>
      <w:r w:rsidRPr="008720A0">
        <w:rPr>
          <w:rFonts w:cs="Arial"/>
        </w:rPr>
        <w:t> EUR</w:t>
      </w:r>
      <w:r w:rsidRPr="008720A0">
        <w:rPr>
          <w:rFonts w:cs="Arial"/>
          <w:spacing w:val="-3"/>
        </w:rPr>
        <w:t>).</w:t>
      </w:r>
    </w:p>
    <w:p w:rsidR="00585385" w:rsidRPr="00C30406" w:rsidRDefault="00C30406" w:rsidP="002D45CF">
      <w:pPr>
        <w:rPr>
          <w:rFonts w:cs="Arial"/>
          <w:b/>
          <w:spacing w:val="-3"/>
          <w:sz w:val="18"/>
          <w:szCs w:val="18"/>
        </w:rPr>
      </w:pPr>
      <w:r w:rsidRPr="00C30406">
        <w:rPr>
          <w:rFonts w:cs="Arial"/>
          <w:b/>
          <w:spacing w:val="-3"/>
          <w:sz w:val="18"/>
          <w:szCs w:val="18"/>
        </w:rPr>
        <w:t xml:space="preserve">Tablica 1. </w:t>
      </w:r>
      <w:r>
        <w:rPr>
          <w:rFonts w:cs="Arial"/>
          <w:b/>
          <w:spacing w:val="-3"/>
          <w:sz w:val="18"/>
          <w:szCs w:val="18"/>
        </w:rPr>
        <w:t>Obroty towarowe ogółem i według grup krajów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18"/>
        <w:gridCol w:w="717"/>
        <w:gridCol w:w="717"/>
        <w:gridCol w:w="717"/>
        <w:gridCol w:w="717"/>
        <w:gridCol w:w="666"/>
        <w:gridCol w:w="656"/>
        <w:gridCol w:w="648"/>
      </w:tblGrid>
      <w:tr w:rsidR="00E33A76" w:rsidRPr="00E33A76" w:rsidTr="00B25357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4B64A7" w:rsidRPr="00673305" w:rsidRDefault="00E33A76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252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4B64A7" w:rsidRPr="00673305" w:rsidRDefault="004B64A7" w:rsidP="005D4E1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201</w:t>
            </w:r>
            <w:r w:rsidR="005D4E1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56" w:type="dxa"/>
            <w:tcBorders>
              <w:top w:val="nil"/>
              <w:bottom w:val="single" w:sz="4" w:space="0" w:color="001D77"/>
            </w:tcBorders>
            <w:vAlign w:val="center"/>
          </w:tcPr>
          <w:p w:rsidR="004B64A7" w:rsidRPr="00673305" w:rsidRDefault="004B64A7" w:rsidP="005D4E1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201</w:t>
            </w:r>
            <w:r w:rsidR="005D4E1A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8" w:type="dxa"/>
            <w:tcBorders>
              <w:top w:val="nil"/>
              <w:bottom w:val="single" w:sz="4" w:space="0" w:color="001D77"/>
            </w:tcBorders>
            <w:vAlign w:val="center"/>
          </w:tcPr>
          <w:p w:rsidR="004B64A7" w:rsidRPr="00673305" w:rsidRDefault="004B64A7" w:rsidP="005D4E1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201</w:t>
            </w:r>
            <w:r w:rsidR="005D4E1A">
              <w:rPr>
                <w:rFonts w:cs="Arial"/>
                <w:sz w:val="16"/>
                <w:szCs w:val="16"/>
              </w:rPr>
              <w:t>8</w:t>
            </w:r>
          </w:p>
        </w:tc>
      </w:tr>
      <w:tr w:rsidR="00201087" w:rsidRPr="00E33A76" w:rsidTr="00890FAC">
        <w:trPr>
          <w:trHeight w:val="370"/>
        </w:trPr>
        <w:tc>
          <w:tcPr>
            <w:tcW w:w="2552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201087" w:rsidRPr="00673305" w:rsidRDefault="00201087" w:rsidP="00FF29C2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201087" w:rsidRPr="00673305" w:rsidRDefault="00201087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w mld </w:t>
            </w:r>
          </w:p>
          <w:p w:rsidR="00201087" w:rsidRPr="00673305" w:rsidRDefault="00690F17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201087" w:rsidRPr="00673305" w:rsidRDefault="00201087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w mld </w:t>
            </w:r>
          </w:p>
          <w:p w:rsidR="00201087" w:rsidRPr="00673305" w:rsidRDefault="00201087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201087" w:rsidRPr="00673305" w:rsidRDefault="00201087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w mld</w:t>
            </w:r>
          </w:p>
          <w:p w:rsidR="00201087" w:rsidRPr="00673305" w:rsidRDefault="00201087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00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201087" w:rsidRPr="00673305" w:rsidRDefault="00201087" w:rsidP="005D4E1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201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3305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vMerge w:val="restart"/>
            <w:tcBorders>
              <w:top w:val="single" w:sz="4" w:space="0" w:color="001D77"/>
            </w:tcBorders>
            <w:vAlign w:val="center"/>
          </w:tcPr>
          <w:p w:rsidR="00201087" w:rsidRPr="00673305" w:rsidRDefault="00201087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201087" w:rsidRPr="00E33A76" w:rsidTr="00890FAC">
        <w:trPr>
          <w:trHeight w:val="380"/>
        </w:trPr>
        <w:tc>
          <w:tcPr>
            <w:tcW w:w="255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201087" w:rsidRPr="00673305" w:rsidRDefault="0020108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201087" w:rsidRPr="00673305" w:rsidRDefault="0020108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201087" w:rsidRPr="00673305" w:rsidRDefault="0020108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201087" w:rsidRPr="00673305" w:rsidRDefault="0020108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201087" w:rsidRPr="00673305" w:rsidRDefault="00690F17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201087" w:rsidRPr="00673305" w:rsidRDefault="00201087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201087" w:rsidRPr="00673305" w:rsidRDefault="00201087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vMerge/>
            <w:tcBorders>
              <w:bottom w:val="single" w:sz="12" w:space="0" w:color="001D77"/>
            </w:tcBorders>
            <w:vAlign w:val="center"/>
          </w:tcPr>
          <w:p w:rsidR="00201087" w:rsidRPr="00673305" w:rsidRDefault="00201087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01087" w:rsidRPr="00E33A76" w:rsidTr="00B25357">
        <w:trPr>
          <w:trHeight w:val="342"/>
        </w:trPr>
        <w:tc>
          <w:tcPr>
            <w:tcW w:w="2552" w:type="dxa"/>
            <w:tcBorders>
              <w:top w:val="single" w:sz="12" w:space="0" w:color="001D77"/>
            </w:tcBorders>
            <w:vAlign w:val="center"/>
          </w:tcPr>
          <w:p w:rsidR="00201087" w:rsidRPr="00E33A76" w:rsidRDefault="00201087" w:rsidP="00201087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 xml:space="preserve">Eksport </w:t>
            </w:r>
          </w:p>
        </w:tc>
        <w:tc>
          <w:tcPr>
            <w:tcW w:w="718" w:type="dxa"/>
            <w:tcBorders>
              <w:top w:val="single" w:sz="12" w:space="0" w:color="001D77"/>
            </w:tcBorders>
            <w:vAlign w:val="bottom"/>
          </w:tcPr>
          <w:p w:rsidR="00201087" w:rsidRDefault="00201087" w:rsidP="00201087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951,3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201087" w:rsidRDefault="00201087" w:rsidP="00201087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264,8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201087" w:rsidRDefault="00201087" w:rsidP="00201087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223,6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201087" w:rsidRDefault="00201087" w:rsidP="00201087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107,8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201087" w:rsidRDefault="00201087" w:rsidP="00201087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114,3</w:t>
            </w:r>
          </w:p>
        </w:tc>
        <w:tc>
          <w:tcPr>
            <w:tcW w:w="666" w:type="dxa"/>
            <w:tcBorders>
              <w:top w:val="single" w:sz="12" w:space="0" w:color="001D77"/>
            </w:tcBorders>
            <w:vAlign w:val="bottom"/>
          </w:tcPr>
          <w:p w:rsidR="00201087" w:rsidRDefault="00201087" w:rsidP="00201087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108,2</w:t>
            </w:r>
          </w:p>
        </w:tc>
        <w:tc>
          <w:tcPr>
            <w:tcW w:w="656" w:type="dxa"/>
            <w:tcBorders>
              <w:top w:val="single" w:sz="12" w:space="0" w:color="001D77"/>
            </w:tcBorders>
            <w:vAlign w:val="center"/>
          </w:tcPr>
          <w:p w:rsidR="00201087" w:rsidRPr="00E33A76" w:rsidRDefault="00201087" w:rsidP="00201087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single" w:sz="12" w:space="0" w:color="001D77"/>
            </w:tcBorders>
            <w:vAlign w:val="center"/>
          </w:tcPr>
          <w:p w:rsidR="00201087" w:rsidRPr="00E33A76" w:rsidRDefault="00201087" w:rsidP="00201087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201087" w:rsidRPr="00E33A76" w:rsidTr="00B25357">
        <w:trPr>
          <w:trHeight w:val="352"/>
        </w:trPr>
        <w:tc>
          <w:tcPr>
            <w:tcW w:w="2552" w:type="dxa"/>
            <w:vAlign w:val="center"/>
          </w:tcPr>
          <w:p w:rsidR="00201087" w:rsidRPr="00E33A76" w:rsidRDefault="00201087" w:rsidP="0020108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18" w:type="dxa"/>
            <w:vAlign w:val="bottom"/>
          </w:tcPr>
          <w:p w:rsidR="00201087" w:rsidRDefault="00201087" w:rsidP="0020108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829,1</w:t>
            </w:r>
          </w:p>
        </w:tc>
        <w:tc>
          <w:tcPr>
            <w:tcW w:w="717" w:type="dxa"/>
            <w:vAlign w:val="bottom"/>
          </w:tcPr>
          <w:p w:rsidR="00201087" w:rsidRDefault="00201087" w:rsidP="0020108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230,8</w:t>
            </w:r>
          </w:p>
        </w:tc>
        <w:tc>
          <w:tcPr>
            <w:tcW w:w="717" w:type="dxa"/>
            <w:vAlign w:val="bottom"/>
          </w:tcPr>
          <w:p w:rsidR="00201087" w:rsidRDefault="00201087" w:rsidP="0020108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194,9</w:t>
            </w:r>
          </w:p>
        </w:tc>
        <w:tc>
          <w:tcPr>
            <w:tcW w:w="717" w:type="dxa"/>
            <w:vAlign w:val="bottom"/>
          </w:tcPr>
          <w:p w:rsidR="00201087" w:rsidRDefault="00201087" w:rsidP="0020108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108,4</w:t>
            </w:r>
          </w:p>
        </w:tc>
        <w:tc>
          <w:tcPr>
            <w:tcW w:w="717" w:type="dxa"/>
            <w:vAlign w:val="bottom"/>
          </w:tcPr>
          <w:p w:rsidR="00201087" w:rsidRDefault="00201087" w:rsidP="0020108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115,1</w:t>
            </w:r>
          </w:p>
        </w:tc>
        <w:tc>
          <w:tcPr>
            <w:tcW w:w="666" w:type="dxa"/>
            <w:vAlign w:val="bottom"/>
          </w:tcPr>
          <w:p w:rsidR="00201087" w:rsidRDefault="00201087" w:rsidP="0020108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108,9</w:t>
            </w:r>
          </w:p>
        </w:tc>
        <w:tc>
          <w:tcPr>
            <w:tcW w:w="656" w:type="dxa"/>
            <w:vAlign w:val="bottom"/>
          </w:tcPr>
          <w:p w:rsidR="00201087" w:rsidRDefault="00201087" w:rsidP="0020108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86,6</w:t>
            </w:r>
          </w:p>
        </w:tc>
        <w:tc>
          <w:tcPr>
            <w:tcW w:w="648" w:type="dxa"/>
            <w:vAlign w:val="bottom"/>
          </w:tcPr>
          <w:p w:rsidR="00201087" w:rsidRDefault="00201087" w:rsidP="0020108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87,1</w:t>
            </w:r>
          </w:p>
        </w:tc>
      </w:tr>
      <w:tr w:rsidR="00201087" w:rsidRPr="00E33A76" w:rsidTr="00B25357">
        <w:trPr>
          <w:trHeight w:val="342"/>
        </w:trPr>
        <w:tc>
          <w:tcPr>
            <w:tcW w:w="2552" w:type="dxa"/>
            <w:vAlign w:val="center"/>
          </w:tcPr>
          <w:p w:rsidR="00201087" w:rsidRPr="00E33A76" w:rsidRDefault="00201087" w:rsidP="00201087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201087" w:rsidRDefault="00201087" w:rsidP="0020108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767,0</w:t>
            </w:r>
          </w:p>
        </w:tc>
        <w:tc>
          <w:tcPr>
            <w:tcW w:w="717" w:type="dxa"/>
            <w:vAlign w:val="bottom"/>
          </w:tcPr>
          <w:p w:rsidR="00201087" w:rsidRDefault="00201087" w:rsidP="0020108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213,5</w:t>
            </w:r>
          </w:p>
        </w:tc>
        <w:tc>
          <w:tcPr>
            <w:tcW w:w="717" w:type="dxa"/>
            <w:vAlign w:val="bottom"/>
          </w:tcPr>
          <w:p w:rsidR="00201087" w:rsidRDefault="00201087" w:rsidP="0020108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180,3</w:t>
            </w:r>
          </w:p>
        </w:tc>
        <w:tc>
          <w:tcPr>
            <w:tcW w:w="717" w:type="dxa"/>
            <w:vAlign w:val="bottom"/>
          </w:tcPr>
          <w:p w:rsidR="00201087" w:rsidRDefault="00201087" w:rsidP="0020108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108,6</w:t>
            </w:r>
          </w:p>
        </w:tc>
        <w:tc>
          <w:tcPr>
            <w:tcW w:w="717" w:type="dxa"/>
            <w:vAlign w:val="bottom"/>
          </w:tcPr>
          <w:p w:rsidR="00201087" w:rsidRDefault="00201087" w:rsidP="0020108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115,2</w:t>
            </w:r>
          </w:p>
        </w:tc>
        <w:tc>
          <w:tcPr>
            <w:tcW w:w="666" w:type="dxa"/>
            <w:vAlign w:val="bottom"/>
          </w:tcPr>
          <w:p w:rsidR="00201087" w:rsidRDefault="00201087" w:rsidP="0020108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109,0</w:t>
            </w:r>
          </w:p>
        </w:tc>
        <w:tc>
          <w:tcPr>
            <w:tcW w:w="656" w:type="dxa"/>
            <w:vAlign w:val="bottom"/>
          </w:tcPr>
          <w:p w:rsidR="00201087" w:rsidRDefault="00201087" w:rsidP="0020108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648" w:type="dxa"/>
            <w:vAlign w:val="bottom"/>
          </w:tcPr>
          <w:p w:rsidR="00201087" w:rsidRDefault="00201087" w:rsidP="0020108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80,6</w:t>
            </w:r>
          </w:p>
        </w:tc>
      </w:tr>
      <w:tr w:rsidR="00201087" w:rsidRPr="00E33A76" w:rsidTr="00B25357">
        <w:trPr>
          <w:trHeight w:val="270"/>
        </w:trPr>
        <w:tc>
          <w:tcPr>
            <w:tcW w:w="2552" w:type="dxa"/>
            <w:vAlign w:val="center"/>
          </w:tcPr>
          <w:p w:rsidR="00201087" w:rsidRPr="00E33A76" w:rsidRDefault="00201087" w:rsidP="0020108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18" w:type="dxa"/>
            <w:vAlign w:val="bottom"/>
          </w:tcPr>
          <w:p w:rsidR="00201087" w:rsidRDefault="00201087" w:rsidP="0020108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550,5</w:t>
            </w:r>
          </w:p>
        </w:tc>
        <w:tc>
          <w:tcPr>
            <w:tcW w:w="717" w:type="dxa"/>
            <w:vAlign w:val="bottom"/>
          </w:tcPr>
          <w:p w:rsidR="00201087" w:rsidRDefault="00201087" w:rsidP="0020108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153,2</w:t>
            </w:r>
          </w:p>
        </w:tc>
        <w:tc>
          <w:tcPr>
            <w:tcW w:w="717" w:type="dxa"/>
            <w:vAlign w:val="bottom"/>
          </w:tcPr>
          <w:p w:rsidR="00201087" w:rsidRDefault="00201087" w:rsidP="0020108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129,4</w:t>
            </w:r>
          </w:p>
        </w:tc>
        <w:tc>
          <w:tcPr>
            <w:tcW w:w="717" w:type="dxa"/>
            <w:vAlign w:val="bottom"/>
          </w:tcPr>
          <w:p w:rsidR="00201087" w:rsidRDefault="00201087" w:rsidP="0020108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109,3</w:t>
            </w:r>
          </w:p>
        </w:tc>
        <w:tc>
          <w:tcPr>
            <w:tcW w:w="717" w:type="dxa"/>
            <w:vAlign w:val="bottom"/>
          </w:tcPr>
          <w:p w:rsidR="00201087" w:rsidRDefault="00201087" w:rsidP="0020108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116,0</w:t>
            </w:r>
          </w:p>
        </w:tc>
        <w:tc>
          <w:tcPr>
            <w:tcW w:w="666" w:type="dxa"/>
            <w:vAlign w:val="bottom"/>
          </w:tcPr>
          <w:p w:rsidR="00201087" w:rsidRDefault="00201087" w:rsidP="0020108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109,7</w:t>
            </w:r>
          </w:p>
        </w:tc>
        <w:tc>
          <w:tcPr>
            <w:tcW w:w="656" w:type="dxa"/>
            <w:vAlign w:val="bottom"/>
          </w:tcPr>
          <w:p w:rsidR="00201087" w:rsidRDefault="00201087" w:rsidP="0020108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648" w:type="dxa"/>
            <w:vAlign w:val="bottom"/>
          </w:tcPr>
          <w:p w:rsidR="00201087" w:rsidRDefault="00201087" w:rsidP="0020108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57,9</w:t>
            </w:r>
          </w:p>
        </w:tc>
      </w:tr>
      <w:tr w:rsidR="00201087" w:rsidRPr="00E33A76" w:rsidTr="00B25357">
        <w:trPr>
          <w:trHeight w:val="342"/>
        </w:trPr>
        <w:tc>
          <w:tcPr>
            <w:tcW w:w="2552" w:type="dxa"/>
            <w:vAlign w:val="center"/>
          </w:tcPr>
          <w:p w:rsidR="00201087" w:rsidRPr="00E33A76" w:rsidRDefault="00201087" w:rsidP="0020108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18" w:type="dxa"/>
            <w:vAlign w:val="bottom"/>
          </w:tcPr>
          <w:p w:rsidR="00201087" w:rsidRDefault="00201087" w:rsidP="0020108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67,2</w:t>
            </w:r>
          </w:p>
        </w:tc>
        <w:tc>
          <w:tcPr>
            <w:tcW w:w="717" w:type="dxa"/>
            <w:vAlign w:val="bottom"/>
          </w:tcPr>
          <w:p w:rsidR="00201087" w:rsidRDefault="00201087" w:rsidP="0020108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18,7</w:t>
            </w:r>
          </w:p>
        </w:tc>
        <w:tc>
          <w:tcPr>
            <w:tcW w:w="717" w:type="dxa"/>
            <w:vAlign w:val="bottom"/>
          </w:tcPr>
          <w:p w:rsidR="00201087" w:rsidRDefault="00201087" w:rsidP="0020108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15,8</w:t>
            </w:r>
          </w:p>
        </w:tc>
        <w:tc>
          <w:tcPr>
            <w:tcW w:w="717" w:type="dxa"/>
            <w:vAlign w:val="bottom"/>
          </w:tcPr>
          <w:p w:rsidR="00201087" w:rsidRDefault="00201087" w:rsidP="0020108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717" w:type="dxa"/>
            <w:vAlign w:val="bottom"/>
          </w:tcPr>
          <w:p w:rsidR="00201087" w:rsidRDefault="00201087" w:rsidP="0020108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106,5</w:t>
            </w:r>
          </w:p>
        </w:tc>
        <w:tc>
          <w:tcPr>
            <w:tcW w:w="666" w:type="dxa"/>
            <w:vAlign w:val="bottom"/>
          </w:tcPr>
          <w:p w:rsidR="00201087" w:rsidRDefault="00201087" w:rsidP="0020108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100,9</w:t>
            </w:r>
          </w:p>
        </w:tc>
        <w:tc>
          <w:tcPr>
            <w:tcW w:w="656" w:type="dxa"/>
            <w:vAlign w:val="bottom"/>
          </w:tcPr>
          <w:p w:rsidR="00201087" w:rsidRDefault="00201087" w:rsidP="0020108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648" w:type="dxa"/>
            <w:vAlign w:val="bottom"/>
          </w:tcPr>
          <w:p w:rsidR="00201087" w:rsidRDefault="00201087" w:rsidP="0020108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7,1</w:t>
            </w:r>
          </w:p>
        </w:tc>
      </w:tr>
      <w:tr w:rsidR="00201087" w:rsidRPr="00E33A76" w:rsidTr="00B25357">
        <w:trPr>
          <w:trHeight w:val="308"/>
        </w:trPr>
        <w:tc>
          <w:tcPr>
            <w:tcW w:w="2552" w:type="dxa"/>
            <w:vAlign w:val="center"/>
          </w:tcPr>
          <w:p w:rsidR="00201087" w:rsidRPr="00E33A76" w:rsidRDefault="00201087" w:rsidP="0020108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>.</w:t>
            </w:r>
            <w:r w:rsidRPr="00E33A76">
              <w:rPr>
                <w:rFonts w:cs="Arial"/>
                <w:sz w:val="16"/>
                <w:szCs w:val="16"/>
              </w:rPr>
              <w:t xml:space="preserve"> – Wsch. </w:t>
            </w:r>
          </w:p>
        </w:tc>
        <w:tc>
          <w:tcPr>
            <w:tcW w:w="718" w:type="dxa"/>
            <w:vAlign w:val="bottom"/>
          </w:tcPr>
          <w:p w:rsidR="00201087" w:rsidRDefault="00201087" w:rsidP="0020108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55,0</w:t>
            </w:r>
          </w:p>
        </w:tc>
        <w:tc>
          <w:tcPr>
            <w:tcW w:w="717" w:type="dxa"/>
            <w:vAlign w:val="bottom"/>
          </w:tcPr>
          <w:p w:rsidR="00201087" w:rsidRDefault="00201087" w:rsidP="0020108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15,3</w:t>
            </w:r>
          </w:p>
        </w:tc>
        <w:tc>
          <w:tcPr>
            <w:tcW w:w="717" w:type="dxa"/>
            <w:vAlign w:val="bottom"/>
          </w:tcPr>
          <w:p w:rsidR="00201087" w:rsidRDefault="00201087" w:rsidP="0020108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12,9</w:t>
            </w:r>
          </w:p>
        </w:tc>
        <w:tc>
          <w:tcPr>
            <w:tcW w:w="717" w:type="dxa"/>
            <w:vAlign w:val="bottom"/>
          </w:tcPr>
          <w:p w:rsidR="00201087" w:rsidRDefault="00201087" w:rsidP="0020108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107,5</w:t>
            </w:r>
          </w:p>
        </w:tc>
        <w:tc>
          <w:tcPr>
            <w:tcW w:w="717" w:type="dxa"/>
            <w:vAlign w:val="bottom"/>
          </w:tcPr>
          <w:p w:rsidR="00201087" w:rsidRDefault="00201087" w:rsidP="0020108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113,5</w:t>
            </w:r>
          </w:p>
        </w:tc>
        <w:tc>
          <w:tcPr>
            <w:tcW w:w="666" w:type="dxa"/>
            <w:vAlign w:val="bottom"/>
          </w:tcPr>
          <w:p w:rsidR="00201087" w:rsidRDefault="00201087" w:rsidP="0020108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107,7</w:t>
            </w:r>
          </w:p>
        </w:tc>
        <w:tc>
          <w:tcPr>
            <w:tcW w:w="656" w:type="dxa"/>
            <w:vAlign w:val="bottom"/>
          </w:tcPr>
          <w:p w:rsidR="00201087" w:rsidRDefault="00201087" w:rsidP="0020108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648" w:type="dxa"/>
            <w:vAlign w:val="bottom"/>
          </w:tcPr>
          <w:p w:rsidR="00201087" w:rsidRDefault="00201087" w:rsidP="0020108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5,8</w:t>
            </w:r>
          </w:p>
        </w:tc>
      </w:tr>
      <w:tr w:rsidR="00B60BED" w:rsidRPr="00E33A76" w:rsidTr="00B25357">
        <w:trPr>
          <w:trHeight w:val="342"/>
        </w:trPr>
        <w:tc>
          <w:tcPr>
            <w:tcW w:w="2552" w:type="dxa"/>
            <w:vAlign w:val="center"/>
          </w:tcPr>
          <w:p w:rsidR="00B60BED" w:rsidRPr="00A00ADB" w:rsidRDefault="00B60BED" w:rsidP="00B60BE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(wg kraju pochodzenia)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1"/>
            </w:r>
          </w:p>
        </w:tc>
        <w:tc>
          <w:tcPr>
            <w:tcW w:w="718" w:type="dxa"/>
            <w:vAlign w:val="bottom"/>
          </w:tcPr>
          <w:p w:rsidR="00B60BED" w:rsidRDefault="00B60BED" w:rsidP="00B60BED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970,8</w:t>
            </w:r>
          </w:p>
        </w:tc>
        <w:tc>
          <w:tcPr>
            <w:tcW w:w="717" w:type="dxa"/>
            <w:vAlign w:val="bottom"/>
          </w:tcPr>
          <w:p w:rsidR="00B60BED" w:rsidRDefault="00B60BED" w:rsidP="00B60BED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270,2</w:t>
            </w:r>
          </w:p>
        </w:tc>
        <w:tc>
          <w:tcPr>
            <w:tcW w:w="717" w:type="dxa"/>
            <w:vAlign w:val="bottom"/>
          </w:tcPr>
          <w:p w:rsidR="00B60BED" w:rsidRDefault="00B60BED" w:rsidP="00B60BED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228,2</w:t>
            </w:r>
          </w:p>
        </w:tc>
        <w:tc>
          <w:tcPr>
            <w:tcW w:w="717" w:type="dxa"/>
            <w:vAlign w:val="bottom"/>
          </w:tcPr>
          <w:p w:rsidR="00B60BED" w:rsidRDefault="00B60BED" w:rsidP="00B60BED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110,3</w:t>
            </w:r>
          </w:p>
        </w:tc>
        <w:tc>
          <w:tcPr>
            <w:tcW w:w="717" w:type="dxa"/>
            <w:vAlign w:val="bottom"/>
          </w:tcPr>
          <w:p w:rsidR="00B60BED" w:rsidRDefault="00B60BED" w:rsidP="00B60BED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116,9</w:t>
            </w:r>
          </w:p>
        </w:tc>
        <w:tc>
          <w:tcPr>
            <w:tcW w:w="666" w:type="dxa"/>
            <w:vAlign w:val="bottom"/>
          </w:tcPr>
          <w:p w:rsidR="00B60BED" w:rsidRDefault="00B60BED" w:rsidP="00B60BED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110,7</w:t>
            </w:r>
          </w:p>
        </w:tc>
        <w:tc>
          <w:tcPr>
            <w:tcW w:w="656" w:type="dxa"/>
            <w:vAlign w:val="bottom"/>
          </w:tcPr>
          <w:p w:rsidR="00B60BED" w:rsidRPr="00E33A76" w:rsidRDefault="00B60BED" w:rsidP="00B60BE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vAlign w:val="bottom"/>
          </w:tcPr>
          <w:p w:rsidR="00B60BED" w:rsidRPr="00E33A76" w:rsidRDefault="00B60BED" w:rsidP="00B60BE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B60BED" w:rsidRPr="00E33A76" w:rsidTr="00B25357">
        <w:trPr>
          <w:trHeight w:val="352"/>
        </w:trPr>
        <w:tc>
          <w:tcPr>
            <w:tcW w:w="2552" w:type="dxa"/>
            <w:vAlign w:val="center"/>
          </w:tcPr>
          <w:p w:rsidR="00B60BED" w:rsidRPr="00E33A76" w:rsidRDefault="00B60BED" w:rsidP="00B60BE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18" w:type="dxa"/>
            <w:vAlign w:val="bottom"/>
          </w:tcPr>
          <w:p w:rsidR="00B60BED" w:rsidRDefault="00B60BED" w:rsidP="00B60BE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640,3</w:t>
            </w:r>
          </w:p>
        </w:tc>
        <w:tc>
          <w:tcPr>
            <w:tcW w:w="717" w:type="dxa"/>
            <w:vAlign w:val="bottom"/>
          </w:tcPr>
          <w:p w:rsidR="00B60BED" w:rsidRDefault="00B60BED" w:rsidP="00B60BE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178,3</w:t>
            </w:r>
          </w:p>
        </w:tc>
        <w:tc>
          <w:tcPr>
            <w:tcW w:w="717" w:type="dxa"/>
            <w:vAlign w:val="bottom"/>
          </w:tcPr>
          <w:p w:rsidR="00B60BED" w:rsidRDefault="00B60BED" w:rsidP="00B60BE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150,5</w:t>
            </w:r>
          </w:p>
        </w:tc>
        <w:tc>
          <w:tcPr>
            <w:tcW w:w="717" w:type="dxa"/>
            <w:vAlign w:val="bottom"/>
          </w:tcPr>
          <w:p w:rsidR="00B60BED" w:rsidRDefault="00B60BED" w:rsidP="00B60BE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107,4</w:t>
            </w:r>
          </w:p>
        </w:tc>
        <w:tc>
          <w:tcPr>
            <w:tcW w:w="717" w:type="dxa"/>
            <w:vAlign w:val="bottom"/>
          </w:tcPr>
          <w:p w:rsidR="00B60BED" w:rsidRDefault="00B60BED" w:rsidP="00B60BE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114,0</w:t>
            </w:r>
          </w:p>
        </w:tc>
        <w:tc>
          <w:tcPr>
            <w:tcW w:w="666" w:type="dxa"/>
            <w:vAlign w:val="bottom"/>
          </w:tcPr>
          <w:p w:rsidR="00B60BED" w:rsidRDefault="00B60BED" w:rsidP="00B60BE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107,8</w:t>
            </w:r>
          </w:p>
        </w:tc>
        <w:tc>
          <w:tcPr>
            <w:tcW w:w="656" w:type="dxa"/>
            <w:vAlign w:val="bottom"/>
          </w:tcPr>
          <w:p w:rsidR="00B60BED" w:rsidRDefault="00B60BED" w:rsidP="00B60BE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67,7</w:t>
            </w:r>
          </w:p>
        </w:tc>
        <w:tc>
          <w:tcPr>
            <w:tcW w:w="648" w:type="dxa"/>
            <w:vAlign w:val="bottom"/>
          </w:tcPr>
          <w:p w:rsidR="00B60BED" w:rsidRDefault="00B60BED" w:rsidP="00B60BE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65,9</w:t>
            </w:r>
          </w:p>
        </w:tc>
      </w:tr>
      <w:tr w:rsidR="00B60BED" w:rsidRPr="00E33A76" w:rsidTr="00B25357">
        <w:trPr>
          <w:trHeight w:val="342"/>
        </w:trPr>
        <w:tc>
          <w:tcPr>
            <w:tcW w:w="2552" w:type="dxa"/>
            <w:vAlign w:val="center"/>
          </w:tcPr>
          <w:p w:rsidR="00B60BED" w:rsidRPr="00E33A76" w:rsidRDefault="00B60BED" w:rsidP="00B60BED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B60BED" w:rsidRDefault="00B60BED" w:rsidP="00B60BE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570,6</w:t>
            </w:r>
          </w:p>
        </w:tc>
        <w:tc>
          <w:tcPr>
            <w:tcW w:w="717" w:type="dxa"/>
            <w:vAlign w:val="bottom"/>
          </w:tcPr>
          <w:p w:rsidR="00B60BED" w:rsidRDefault="00B60BED" w:rsidP="00B60BE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158,9</w:t>
            </w:r>
          </w:p>
        </w:tc>
        <w:tc>
          <w:tcPr>
            <w:tcW w:w="717" w:type="dxa"/>
            <w:vAlign w:val="bottom"/>
          </w:tcPr>
          <w:p w:rsidR="00B60BED" w:rsidRDefault="00B60BED" w:rsidP="00B60BE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134,1</w:t>
            </w:r>
          </w:p>
        </w:tc>
        <w:tc>
          <w:tcPr>
            <w:tcW w:w="717" w:type="dxa"/>
            <w:vAlign w:val="bottom"/>
          </w:tcPr>
          <w:p w:rsidR="00B60BED" w:rsidRDefault="00B60BED" w:rsidP="00B60BE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107,4</w:t>
            </w:r>
          </w:p>
        </w:tc>
        <w:tc>
          <w:tcPr>
            <w:tcW w:w="717" w:type="dxa"/>
            <w:vAlign w:val="bottom"/>
          </w:tcPr>
          <w:p w:rsidR="00B60BED" w:rsidRDefault="00B60BED" w:rsidP="00B60BE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113,9</w:t>
            </w:r>
          </w:p>
        </w:tc>
        <w:tc>
          <w:tcPr>
            <w:tcW w:w="666" w:type="dxa"/>
            <w:vAlign w:val="bottom"/>
          </w:tcPr>
          <w:p w:rsidR="00B60BED" w:rsidRDefault="00B60BED" w:rsidP="00B60BE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107,8</w:t>
            </w:r>
          </w:p>
        </w:tc>
        <w:tc>
          <w:tcPr>
            <w:tcW w:w="656" w:type="dxa"/>
            <w:vAlign w:val="bottom"/>
          </w:tcPr>
          <w:p w:rsidR="00B60BED" w:rsidRDefault="00B60BED" w:rsidP="00B60BE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60,4</w:t>
            </w:r>
          </w:p>
        </w:tc>
        <w:tc>
          <w:tcPr>
            <w:tcW w:w="648" w:type="dxa"/>
            <w:vAlign w:val="bottom"/>
          </w:tcPr>
          <w:p w:rsidR="00B60BED" w:rsidRDefault="00B60BED" w:rsidP="00B60BE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58,8</w:t>
            </w:r>
          </w:p>
        </w:tc>
      </w:tr>
      <w:tr w:rsidR="00B60BED" w:rsidRPr="00E33A76" w:rsidTr="00B25357">
        <w:trPr>
          <w:trHeight w:val="352"/>
        </w:trPr>
        <w:tc>
          <w:tcPr>
            <w:tcW w:w="2552" w:type="dxa"/>
            <w:vAlign w:val="center"/>
          </w:tcPr>
          <w:p w:rsidR="00B60BED" w:rsidRPr="00E33A76" w:rsidRDefault="00B60BED" w:rsidP="00B60BE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18" w:type="dxa"/>
            <w:vAlign w:val="bottom"/>
          </w:tcPr>
          <w:p w:rsidR="00B60BED" w:rsidRDefault="00B60BED" w:rsidP="00B60BE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456,6</w:t>
            </w:r>
          </w:p>
        </w:tc>
        <w:tc>
          <w:tcPr>
            <w:tcW w:w="717" w:type="dxa"/>
            <w:vAlign w:val="bottom"/>
          </w:tcPr>
          <w:p w:rsidR="00B60BED" w:rsidRDefault="00B60BED" w:rsidP="00B60BE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127,2</w:t>
            </w:r>
          </w:p>
        </w:tc>
        <w:tc>
          <w:tcPr>
            <w:tcW w:w="717" w:type="dxa"/>
            <w:vAlign w:val="bottom"/>
          </w:tcPr>
          <w:p w:rsidR="00B60BED" w:rsidRDefault="00B60BED" w:rsidP="00B60BE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107,3</w:t>
            </w:r>
          </w:p>
        </w:tc>
        <w:tc>
          <w:tcPr>
            <w:tcW w:w="717" w:type="dxa"/>
            <w:vAlign w:val="bottom"/>
          </w:tcPr>
          <w:p w:rsidR="00B60BED" w:rsidRDefault="00B60BED" w:rsidP="00B60BE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107,5</w:t>
            </w:r>
          </w:p>
        </w:tc>
        <w:tc>
          <w:tcPr>
            <w:tcW w:w="717" w:type="dxa"/>
            <w:vAlign w:val="bottom"/>
          </w:tcPr>
          <w:p w:rsidR="00B60BED" w:rsidRDefault="00B60BED" w:rsidP="00B60BE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114,1</w:t>
            </w:r>
          </w:p>
        </w:tc>
        <w:tc>
          <w:tcPr>
            <w:tcW w:w="666" w:type="dxa"/>
            <w:vAlign w:val="bottom"/>
          </w:tcPr>
          <w:p w:rsidR="00B60BED" w:rsidRDefault="00B60BED" w:rsidP="00B60BE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107,9</w:t>
            </w:r>
          </w:p>
        </w:tc>
        <w:tc>
          <w:tcPr>
            <w:tcW w:w="656" w:type="dxa"/>
            <w:vAlign w:val="bottom"/>
          </w:tcPr>
          <w:p w:rsidR="00B60BED" w:rsidRDefault="00B60BED" w:rsidP="00B60BE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48,3</w:t>
            </w:r>
          </w:p>
        </w:tc>
        <w:tc>
          <w:tcPr>
            <w:tcW w:w="648" w:type="dxa"/>
            <w:vAlign w:val="bottom"/>
          </w:tcPr>
          <w:p w:rsidR="00B60BED" w:rsidRDefault="00B60BED" w:rsidP="00B60BE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47,0</w:t>
            </w:r>
          </w:p>
        </w:tc>
      </w:tr>
      <w:tr w:rsidR="00B60BED" w:rsidRPr="00E33A76" w:rsidTr="00B25357">
        <w:trPr>
          <w:trHeight w:val="342"/>
        </w:trPr>
        <w:tc>
          <w:tcPr>
            <w:tcW w:w="2552" w:type="dxa"/>
            <w:vAlign w:val="center"/>
          </w:tcPr>
          <w:p w:rsidR="00B60BED" w:rsidRPr="00E33A76" w:rsidRDefault="00B60BED" w:rsidP="00B60BE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18" w:type="dxa"/>
            <w:vAlign w:val="bottom"/>
          </w:tcPr>
          <w:p w:rsidR="00B60BED" w:rsidRDefault="00B60BED" w:rsidP="00B60BE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244,5</w:t>
            </w:r>
          </w:p>
        </w:tc>
        <w:tc>
          <w:tcPr>
            <w:tcW w:w="717" w:type="dxa"/>
            <w:vAlign w:val="bottom"/>
          </w:tcPr>
          <w:p w:rsidR="00B60BED" w:rsidRDefault="00B60BED" w:rsidP="00B60BE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67,9</w:t>
            </w:r>
          </w:p>
        </w:tc>
        <w:tc>
          <w:tcPr>
            <w:tcW w:w="717" w:type="dxa"/>
            <w:vAlign w:val="bottom"/>
          </w:tcPr>
          <w:p w:rsidR="00B60BED" w:rsidRDefault="00B60BED" w:rsidP="00B60BE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57,4</w:t>
            </w:r>
          </w:p>
        </w:tc>
        <w:tc>
          <w:tcPr>
            <w:tcW w:w="717" w:type="dxa"/>
            <w:vAlign w:val="bottom"/>
          </w:tcPr>
          <w:p w:rsidR="00B60BED" w:rsidRDefault="00B60BED" w:rsidP="00B60BE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114,0</w:t>
            </w:r>
          </w:p>
        </w:tc>
        <w:tc>
          <w:tcPr>
            <w:tcW w:w="717" w:type="dxa"/>
            <w:vAlign w:val="bottom"/>
          </w:tcPr>
          <w:p w:rsidR="00B60BED" w:rsidRDefault="00B60BED" w:rsidP="00B60BE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120,7</w:t>
            </w:r>
          </w:p>
        </w:tc>
        <w:tc>
          <w:tcPr>
            <w:tcW w:w="666" w:type="dxa"/>
            <w:vAlign w:val="bottom"/>
          </w:tcPr>
          <w:p w:rsidR="00B60BED" w:rsidRDefault="00B60BED" w:rsidP="00B60BE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114,4</w:t>
            </w:r>
          </w:p>
        </w:tc>
        <w:tc>
          <w:tcPr>
            <w:tcW w:w="656" w:type="dxa"/>
            <w:vAlign w:val="bottom"/>
          </w:tcPr>
          <w:p w:rsidR="00B60BED" w:rsidRDefault="00B60BED" w:rsidP="00B60BE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24,4</w:t>
            </w:r>
          </w:p>
        </w:tc>
        <w:tc>
          <w:tcPr>
            <w:tcW w:w="648" w:type="dxa"/>
            <w:vAlign w:val="bottom"/>
          </w:tcPr>
          <w:p w:rsidR="00B60BED" w:rsidRDefault="00B60BED" w:rsidP="00B60BE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25,2</w:t>
            </w:r>
          </w:p>
        </w:tc>
      </w:tr>
      <w:tr w:rsidR="00B60BED" w:rsidRPr="00E33A76" w:rsidTr="00B25357">
        <w:trPr>
          <w:trHeight w:val="355"/>
        </w:trPr>
        <w:tc>
          <w:tcPr>
            <w:tcW w:w="2552" w:type="dxa"/>
            <w:vAlign w:val="center"/>
          </w:tcPr>
          <w:p w:rsidR="00B60BED" w:rsidRPr="00E33A76" w:rsidRDefault="00B60BED" w:rsidP="00B60BE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>.</w:t>
            </w:r>
            <w:r w:rsidRPr="00E33A76">
              <w:rPr>
                <w:rFonts w:cs="Arial"/>
                <w:sz w:val="16"/>
                <w:szCs w:val="16"/>
              </w:rPr>
              <w:t xml:space="preserve"> – Wsch. </w:t>
            </w:r>
          </w:p>
        </w:tc>
        <w:tc>
          <w:tcPr>
            <w:tcW w:w="718" w:type="dxa"/>
            <w:vAlign w:val="bottom"/>
          </w:tcPr>
          <w:p w:rsidR="00B60BED" w:rsidRDefault="00B60BED" w:rsidP="00B60BE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86,1</w:t>
            </w:r>
          </w:p>
        </w:tc>
        <w:tc>
          <w:tcPr>
            <w:tcW w:w="717" w:type="dxa"/>
            <w:vAlign w:val="bottom"/>
          </w:tcPr>
          <w:p w:rsidR="00B60BED" w:rsidRDefault="00B60BED" w:rsidP="00B60BE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23,9</w:t>
            </w:r>
          </w:p>
        </w:tc>
        <w:tc>
          <w:tcPr>
            <w:tcW w:w="717" w:type="dxa"/>
            <w:vAlign w:val="bottom"/>
          </w:tcPr>
          <w:p w:rsidR="00B60BED" w:rsidRDefault="00B60BED" w:rsidP="00B60BE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20,2</w:t>
            </w:r>
          </w:p>
        </w:tc>
        <w:tc>
          <w:tcPr>
            <w:tcW w:w="717" w:type="dxa"/>
            <w:vAlign w:val="bottom"/>
          </w:tcPr>
          <w:p w:rsidR="00B60BED" w:rsidRDefault="00B60BED" w:rsidP="00B60BE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123,5</w:t>
            </w:r>
          </w:p>
        </w:tc>
        <w:tc>
          <w:tcPr>
            <w:tcW w:w="717" w:type="dxa"/>
            <w:vAlign w:val="bottom"/>
          </w:tcPr>
          <w:p w:rsidR="00B60BED" w:rsidRDefault="00B60BED" w:rsidP="00B60BE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130,7</w:t>
            </w:r>
          </w:p>
        </w:tc>
        <w:tc>
          <w:tcPr>
            <w:tcW w:w="666" w:type="dxa"/>
            <w:vAlign w:val="bottom"/>
          </w:tcPr>
          <w:p w:rsidR="00B60BED" w:rsidRDefault="00B60BED" w:rsidP="00B60BE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123,9</w:t>
            </w:r>
          </w:p>
        </w:tc>
        <w:tc>
          <w:tcPr>
            <w:tcW w:w="656" w:type="dxa"/>
            <w:vAlign w:val="bottom"/>
          </w:tcPr>
          <w:p w:rsidR="00B60BED" w:rsidRDefault="00B60BED" w:rsidP="00B60BE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648" w:type="dxa"/>
            <w:vAlign w:val="bottom"/>
          </w:tcPr>
          <w:p w:rsidR="00B60BED" w:rsidRDefault="00B60BED" w:rsidP="00B60BE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8,9</w:t>
            </w:r>
          </w:p>
        </w:tc>
      </w:tr>
      <w:tr w:rsidR="00B60BED" w:rsidRPr="00E33A76" w:rsidTr="00B25357">
        <w:trPr>
          <w:trHeight w:val="342"/>
        </w:trPr>
        <w:tc>
          <w:tcPr>
            <w:tcW w:w="2552" w:type="dxa"/>
            <w:vAlign w:val="center"/>
          </w:tcPr>
          <w:p w:rsidR="00B60BED" w:rsidRPr="00E33A76" w:rsidRDefault="00B60BED" w:rsidP="00B60BED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18" w:type="dxa"/>
            <w:vAlign w:val="bottom"/>
          </w:tcPr>
          <w:p w:rsidR="00B60BED" w:rsidRDefault="00B60BED" w:rsidP="00B60BED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-19,5</w:t>
            </w:r>
          </w:p>
        </w:tc>
        <w:tc>
          <w:tcPr>
            <w:tcW w:w="717" w:type="dxa"/>
            <w:vAlign w:val="bottom"/>
          </w:tcPr>
          <w:p w:rsidR="00B60BED" w:rsidRDefault="00B60BED" w:rsidP="00B60BED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-5,4</w:t>
            </w:r>
          </w:p>
        </w:tc>
        <w:tc>
          <w:tcPr>
            <w:tcW w:w="717" w:type="dxa"/>
            <w:vAlign w:val="bottom"/>
          </w:tcPr>
          <w:p w:rsidR="00B60BED" w:rsidRDefault="00B60BED" w:rsidP="00B60BED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-4,6</w:t>
            </w:r>
          </w:p>
        </w:tc>
        <w:tc>
          <w:tcPr>
            <w:tcW w:w="717" w:type="dxa"/>
            <w:vAlign w:val="bottom"/>
          </w:tcPr>
          <w:p w:rsidR="00B60BED" w:rsidRPr="00E33A76" w:rsidRDefault="00B60BED" w:rsidP="00B60BED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B60BED" w:rsidRPr="00E33A76" w:rsidRDefault="00B60BED" w:rsidP="00B60BED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bottom"/>
          </w:tcPr>
          <w:p w:rsidR="00B60BED" w:rsidRPr="00E33A76" w:rsidRDefault="00B60BED" w:rsidP="00B60BED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bottom"/>
          </w:tcPr>
          <w:p w:rsidR="00B60BED" w:rsidRPr="00E33A76" w:rsidRDefault="00B60BED" w:rsidP="00B60BED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bottom"/>
          </w:tcPr>
          <w:p w:rsidR="00B60BED" w:rsidRPr="00E33A76" w:rsidRDefault="00B60BED" w:rsidP="00B60BED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</w:tr>
      <w:tr w:rsidR="00B60BED" w:rsidRPr="00E33A76" w:rsidTr="00B25357">
        <w:trPr>
          <w:trHeight w:val="352"/>
        </w:trPr>
        <w:tc>
          <w:tcPr>
            <w:tcW w:w="2552" w:type="dxa"/>
            <w:vAlign w:val="center"/>
          </w:tcPr>
          <w:p w:rsidR="00B60BED" w:rsidRPr="00E33A76" w:rsidRDefault="00B60BED" w:rsidP="00B60BE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18" w:type="dxa"/>
            <w:vAlign w:val="bottom"/>
          </w:tcPr>
          <w:p w:rsidR="00B60BED" w:rsidRDefault="00B60BED" w:rsidP="00B60BE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188,8</w:t>
            </w:r>
          </w:p>
        </w:tc>
        <w:tc>
          <w:tcPr>
            <w:tcW w:w="717" w:type="dxa"/>
            <w:vAlign w:val="bottom"/>
          </w:tcPr>
          <w:p w:rsidR="00B60BED" w:rsidRDefault="00B60BED" w:rsidP="00B60BE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52,5</w:t>
            </w:r>
          </w:p>
        </w:tc>
        <w:tc>
          <w:tcPr>
            <w:tcW w:w="717" w:type="dxa"/>
            <w:vAlign w:val="bottom"/>
          </w:tcPr>
          <w:p w:rsidR="00B60BED" w:rsidRDefault="00B60BED" w:rsidP="00B60BE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44,4</w:t>
            </w:r>
          </w:p>
        </w:tc>
        <w:tc>
          <w:tcPr>
            <w:tcW w:w="717" w:type="dxa"/>
            <w:vAlign w:val="bottom"/>
          </w:tcPr>
          <w:p w:rsidR="00B60BED" w:rsidRPr="00E33A76" w:rsidRDefault="00B60BED" w:rsidP="00B60BE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B60BED" w:rsidRPr="00E33A76" w:rsidRDefault="00B60BED" w:rsidP="00B60BE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bottom"/>
          </w:tcPr>
          <w:p w:rsidR="00B60BED" w:rsidRPr="00E33A76" w:rsidRDefault="00B60BED" w:rsidP="00B60BE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bottom"/>
          </w:tcPr>
          <w:p w:rsidR="00B60BED" w:rsidRPr="00E33A76" w:rsidRDefault="00B60BED" w:rsidP="00B60BE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bottom"/>
          </w:tcPr>
          <w:p w:rsidR="00B60BED" w:rsidRPr="00E33A76" w:rsidRDefault="00B60BED" w:rsidP="00B60BE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</w:tr>
      <w:tr w:rsidR="00B60BED" w:rsidRPr="00E33A76" w:rsidTr="00B25357">
        <w:trPr>
          <w:trHeight w:val="342"/>
        </w:trPr>
        <w:tc>
          <w:tcPr>
            <w:tcW w:w="2552" w:type="dxa"/>
            <w:vAlign w:val="center"/>
          </w:tcPr>
          <w:p w:rsidR="00B60BED" w:rsidRPr="00E33A76" w:rsidRDefault="00B60BED" w:rsidP="00B60BED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B60BED" w:rsidRDefault="00B60BED" w:rsidP="00B60BE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196,4</w:t>
            </w:r>
          </w:p>
        </w:tc>
        <w:tc>
          <w:tcPr>
            <w:tcW w:w="717" w:type="dxa"/>
            <w:vAlign w:val="bottom"/>
          </w:tcPr>
          <w:p w:rsidR="00B60BED" w:rsidRDefault="00B60BED" w:rsidP="00B60BE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54,6</w:t>
            </w:r>
          </w:p>
        </w:tc>
        <w:tc>
          <w:tcPr>
            <w:tcW w:w="717" w:type="dxa"/>
            <w:vAlign w:val="bottom"/>
          </w:tcPr>
          <w:p w:rsidR="00B60BED" w:rsidRDefault="00B60BED" w:rsidP="00B60BE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46,2</w:t>
            </w:r>
          </w:p>
        </w:tc>
        <w:tc>
          <w:tcPr>
            <w:tcW w:w="717" w:type="dxa"/>
            <w:vAlign w:val="bottom"/>
          </w:tcPr>
          <w:p w:rsidR="00B60BED" w:rsidRPr="00E33A76" w:rsidRDefault="00B60BED" w:rsidP="00B60BE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B60BED" w:rsidRPr="00E33A76" w:rsidRDefault="00B60BED" w:rsidP="00B60BE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bottom"/>
          </w:tcPr>
          <w:p w:rsidR="00B60BED" w:rsidRPr="00E33A76" w:rsidRDefault="00B60BED" w:rsidP="00B60BE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bottom"/>
          </w:tcPr>
          <w:p w:rsidR="00B60BED" w:rsidRPr="00E33A76" w:rsidRDefault="00B60BED" w:rsidP="00B60BE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bottom"/>
          </w:tcPr>
          <w:p w:rsidR="00B60BED" w:rsidRPr="00E33A76" w:rsidRDefault="00B60BED" w:rsidP="00B60BE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</w:tr>
      <w:tr w:rsidR="00B60BED" w:rsidRPr="00E33A76" w:rsidTr="00B25357">
        <w:trPr>
          <w:trHeight w:val="352"/>
        </w:trPr>
        <w:tc>
          <w:tcPr>
            <w:tcW w:w="2552" w:type="dxa"/>
            <w:vAlign w:val="center"/>
          </w:tcPr>
          <w:p w:rsidR="00B60BED" w:rsidRPr="00E33A76" w:rsidRDefault="00B60BED" w:rsidP="00B60BE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18" w:type="dxa"/>
            <w:vAlign w:val="bottom"/>
          </w:tcPr>
          <w:p w:rsidR="00B60BED" w:rsidRDefault="00B60BED" w:rsidP="00B60BE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93,9</w:t>
            </w:r>
          </w:p>
        </w:tc>
        <w:tc>
          <w:tcPr>
            <w:tcW w:w="717" w:type="dxa"/>
            <w:vAlign w:val="bottom"/>
          </w:tcPr>
          <w:p w:rsidR="00B60BED" w:rsidRDefault="00B60BED" w:rsidP="00B60BE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26,0</w:t>
            </w:r>
          </w:p>
        </w:tc>
        <w:tc>
          <w:tcPr>
            <w:tcW w:w="717" w:type="dxa"/>
            <w:vAlign w:val="bottom"/>
          </w:tcPr>
          <w:p w:rsidR="00B60BED" w:rsidRDefault="00B60BED" w:rsidP="00B60BE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22,1</w:t>
            </w:r>
          </w:p>
        </w:tc>
        <w:tc>
          <w:tcPr>
            <w:tcW w:w="717" w:type="dxa"/>
            <w:vAlign w:val="bottom"/>
          </w:tcPr>
          <w:p w:rsidR="00B60BED" w:rsidRPr="00E33A76" w:rsidRDefault="00B60BED" w:rsidP="00B60BE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B60BED" w:rsidRPr="00E33A76" w:rsidRDefault="00B60BED" w:rsidP="00B60BE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bottom"/>
          </w:tcPr>
          <w:p w:rsidR="00B60BED" w:rsidRPr="00E33A76" w:rsidRDefault="00B60BED" w:rsidP="00B60BE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bottom"/>
          </w:tcPr>
          <w:p w:rsidR="00B60BED" w:rsidRPr="00E33A76" w:rsidRDefault="00B60BED" w:rsidP="00B60BE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bottom"/>
          </w:tcPr>
          <w:p w:rsidR="00B60BED" w:rsidRPr="00E33A76" w:rsidRDefault="00B60BED" w:rsidP="00B60BE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</w:tr>
      <w:tr w:rsidR="00B60BED" w:rsidRPr="00E33A76" w:rsidTr="00B25357">
        <w:trPr>
          <w:trHeight w:val="342"/>
        </w:trPr>
        <w:tc>
          <w:tcPr>
            <w:tcW w:w="2552" w:type="dxa"/>
            <w:vAlign w:val="center"/>
          </w:tcPr>
          <w:p w:rsidR="00B60BED" w:rsidRPr="00E33A76" w:rsidRDefault="00B60BED" w:rsidP="00B60BE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18" w:type="dxa"/>
            <w:vAlign w:val="bottom"/>
          </w:tcPr>
          <w:p w:rsidR="00B60BED" w:rsidRDefault="00B60BED" w:rsidP="00B60BE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-177,3</w:t>
            </w:r>
          </w:p>
        </w:tc>
        <w:tc>
          <w:tcPr>
            <w:tcW w:w="717" w:type="dxa"/>
            <w:vAlign w:val="bottom"/>
          </w:tcPr>
          <w:p w:rsidR="00B60BED" w:rsidRDefault="00B60BED" w:rsidP="00B60BE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-49,2</w:t>
            </w:r>
          </w:p>
        </w:tc>
        <w:tc>
          <w:tcPr>
            <w:tcW w:w="717" w:type="dxa"/>
            <w:vAlign w:val="bottom"/>
          </w:tcPr>
          <w:p w:rsidR="00B60BED" w:rsidRDefault="00B60BED" w:rsidP="00B60BE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-41,6</w:t>
            </w:r>
          </w:p>
        </w:tc>
        <w:tc>
          <w:tcPr>
            <w:tcW w:w="717" w:type="dxa"/>
            <w:vAlign w:val="bottom"/>
          </w:tcPr>
          <w:p w:rsidR="00B60BED" w:rsidRPr="00E33A76" w:rsidRDefault="00B60BED" w:rsidP="00B60BE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B60BED" w:rsidRPr="00E33A76" w:rsidRDefault="00B60BED" w:rsidP="00B60BE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bottom"/>
          </w:tcPr>
          <w:p w:rsidR="00B60BED" w:rsidRPr="00E33A76" w:rsidRDefault="00B60BED" w:rsidP="00B60BE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bottom"/>
          </w:tcPr>
          <w:p w:rsidR="00B60BED" w:rsidRPr="00E33A76" w:rsidRDefault="00B60BED" w:rsidP="00B60BE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bottom"/>
          </w:tcPr>
          <w:p w:rsidR="00B60BED" w:rsidRPr="00E33A76" w:rsidRDefault="00B60BED" w:rsidP="00B60BE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</w:tr>
      <w:tr w:rsidR="00B60BED" w:rsidRPr="00E33A76" w:rsidTr="00B25357">
        <w:trPr>
          <w:trHeight w:val="258"/>
        </w:trPr>
        <w:tc>
          <w:tcPr>
            <w:tcW w:w="2552" w:type="dxa"/>
            <w:vAlign w:val="center"/>
          </w:tcPr>
          <w:p w:rsidR="00B60BED" w:rsidRPr="00E33A76" w:rsidRDefault="00B60BED" w:rsidP="00B60BE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E33A76">
              <w:rPr>
                <w:rFonts w:cs="Arial"/>
                <w:sz w:val="16"/>
                <w:szCs w:val="16"/>
              </w:rPr>
              <w:t xml:space="preserve">– Wsch. </w:t>
            </w:r>
          </w:p>
        </w:tc>
        <w:tc>
          <w:tcPr>
            <w:tcW w:w="718" w:type="dxa"/>
            <w:vAlign w:val="bottom"/>
          </w:tcPr>
          <w:p w:rsidR="00B60BED" w:rsidRDefault="00B60BED" w:rsidP="00B60BE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-31,1</w:t>
            </w:r>
          </w:p>
        </w:tc>
        <w:tc>
          <w:tcPr>
            <w:tcW w:w="717" w:type="dxa"/>
            <w:vAlign w:val="bottom"/>
          </w:tcPr>
          <w:p w:rsidR="00B60BED" w:rsidRDefault="00B60BED" w:rsidP="00B60BE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-8,6</w:t>
            </w:r>
          </w:p>
        </w:tc>
        <w:tc>
          <w:tcPr>
            <w:tcW w:w="717" w:type="dxa"/>
            <w:vAlign w:val="bottom"/>
          </w:tcPr>
          <w:p w:rsidR="00B60BED" w:rsidRDefault="00B60BED" w:rsidP="00B60BE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-7,3</w:t>
            </w:r>
          </w:p>
        </w:tc>
        <w:tc>
          <w:tcPr>
            <w:tcW w:w="717" w:type="dxa"/>
            <w:vAlign w:val="center"/>
          </w:tcPr>
          <w:p w:rsidR="00B60BED" w:rsidRPr="00E33A76" w:rsidRDefault="00B60BED" w:rsidP="00B60BE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center"/>
          </w:tcPr>
          <w:p w:rsidR="00B60BED" w:rsidRPr="00E33A76" w:rsidRDefault="00B60BED" w:rsidP="00B60BE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center"/>
          </w:tcPr>
          <w:p w:rsidR="00B60BED" w:rsidRPr="00E33A76" w:rsidRDefault="00B60BED" w:rsidP="00B60BE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center"/>
          </w:tcPr>
          <w:p w:rsidR="00B60BED" w:rsidRPr="00E33A76" w:rsidRDefault="00B60BED" w:rsidP="00B60BE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center"/>
          </w:tcPr>
          <w:p w:rsidR="00B60BED" w:rsidRPr="00E33A76" w:rsidRDefault="00B60BED" w:rsidP="00B60BE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</w:tr>
    </w:tbl>
    <w:p w:rsidR="00345F7C" w:rsidRDefault="00345F7C" w:rsidP="00345F7C">
      <w:pPr>
        <w:pStyle w:val="Nagwek1"/>
      </w:pPr>
      <w:r w:rsidRPr="003C6B82">
        <w:lastRenderedPageBreak/>
        <w:t xml:space="preserve">Obroty towarowe według </w:t>
      </w:r>
      <w:r>
        <w:t>ważniejszych</w:t>
      </w:r>
      <w:r w:rsidRPr="003C6B82">
        <w:t xml:space="preserve"> krajów</w:t>
      </w:r>
    </w:p>
    <w:p w:rsidR="00345F7C" w:rsidRPr="00366025" w:rsidRDefault="00345F7C" w:rsidP="0036602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</w:rPr>
      </w:pPr>
      <w:r w:rsidRPr="00366025">
        <w:rPr>
          <w:rFonts w:cs="Arial"/>
        </w:rPr>
        <w:t>W 201</w:t>
      </w:r>
      <w:r w:rsidR="000C7ECE">
        <w:rPr>
          <w:rFonts w:cs="Arial"/>
        </w:rPr>
        <w:t>8</w:t>
      </w:r>
      <w:r w:rsidRPr="00366025">
        <w:rPr>
          <w:rFonts w:cs="Arial"/>
        </w:rPr>
        <w:t xml:space="preserve"> r. wśród głównych partnerów handlowych Polski </w:t>
      </w:r>
      <w:r w:rsidR="00D67CD3">
        <w:rPr>
          <w:rFonts w:cs="Arial"/>
        </w:rPr>
        <w:t>o</w:t>
      </w:r>
      <w:r w:rsidRPr="00366025">
        <w:rPr>
          <w:rFonts w:cs="Arial"/>
        </w:rPr>
        <w:t>dnotowano wzrost eksportu oraz importu do wszystkich krajów z pierwszej dziesiątki naszych partnerów</w:t>
      </w:r>
      <w:r w:rsidR="00696A9F">
        <w:rPr>
          <w:rFonts w:cs="Arial"/>
        </w:rPr>
        <w:t>.</w:t>
      </w:r>
    </w:p>
    <w:p w:rsidR="00345F7C" w:rsidRDefault="00320D7D" w:rsidP="00366025">
      <w:pPr>
        <w:rPr>
          <w:rFonts w:cs="Arial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7BF22207" wp14:editId="7D86B06F">
                <wp:simplePos x="0" y="0"/>
                <wp:positionH relativeFrom="column">
                  <wp:posOffset>5210734</wp:posOffset>
                </wp:positionH>
                <wp:positionV relativeFrom="paragraph">
                  <wp:posOffset>392176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FAC" w:rsidRDefault="00890FAC" w:rsidP="00345F7C">
                            <w:pPr>
                              <w:pStyle w:val="tekstzboku"/>
                            </w:pPr>
                            <w:r>
                              <w:t xml:space="preserve">Od wejścia Polski do UE największym naszym partnerem handlowym, w eksporcie, jak i imporcie są Niemcy </w:t>
                            </w:r>
                          </w:p>
                          <w:p w:rsidR="00890FAC" w:rsidRDefault="00890FAC" w:rsidP="00345F7C">
                            <w:pPr>
                              <w:pStyle w:val="tekstzboku"/>
                            </w:pPr>
                          </w:p>
                          <w:p w:rsidR="00890FAC" w:rsidRDefault="00890FAC" w:rsidP="00345F7C">
                            <w:pPr>
                              <w:pStyle w:val="tekstzboku"/>
                            </w:pPr>
                          </w:p>
                          <w:p w:rsidR="00890FAC" w:rsidRDefault="00890FAC" w:rsidP="00345F7C">
                            <w:pPr>
                              <w:pStyle w:val="tekstzboku"/>
                            </w:pPr>
                          </w:p>
                          <w:p w:rsidR="00890FAC" w:rsidRDefault="00890FAC" w:rsidP="00345F7C">
                            <w:pPr>
                              <w:pStyle w:val="tekstzboku"/>
                            </w:pPr>
                          </w:p>
                          <w:p w:rsidR="00890FAC" w:rsidRDefault="00890FAC" w:rsidP="00345F7C">
                            <w:pPr>
                              <w:pStyle w:val="tekstzboku"/>
                            </w:pPr>
                          </w:p>
                          <w:p w:rsidR="00890FAC" w:rsidRDefault="00890FAC" w:rsidP="00345F7C">
                            <w:pPr>
                              <w:pStyle w:val="tekstzboku"/>
                            </w:pPr>
                          </w:p>
                          <w:p w:rsidR="00890FAC" w:rsidRDefault="00890FAC" w:rsidP="00345F7C">
                            <w:pPr>
                              <w:pStyle w:val="tekstzboku"/>
                            </w:pPr>
                          </w:p>
                          <w:p w:rsidR="00890FAC" w:rsidRDefault="00890FAC" w:rsidP="00345F7C">
                            <w:pPr>
                              <w:pStyle w:val="tekstzboku"/>
                            </w:pPr>
                          </w:p>
                          <w:p w:rsidR="00890FAC" w:rsidRDefault="00890FAC" w:rsidP="00345F7C">
                            <w:pPr>
                              <w:pStyle w:val="tekstzboku"/>
                            </w:pPr>
                          </w:p>
                          <w:p w:rsidR="00890FAC" w:rsidRDefault="00890FAC" w:rsidP="00345F7C">
                            <w:pPr>
                              <w:pStyle w:val="tekstzboku"/>
                            </w:pPr>
                          </w:p>
                          <w:p w:rsidR="00890FAC" w:rsidRDefault="00890FAC" w:rsidP="00345F7C">
                            <w:pPr>
                              <w:pStyle w:val="tekstzboku"/>
                            </w:pPr>
                          </w:p>
                          <w:p w:rsidR="00890FAC" w:rsidRDefault="00890FAC" w:rsidP="00345F7C">
                            <w:pPr>
                              <w:pStyle w:val="tekstzboku"/>
                            </w:pPr>
                          </w:p>
                          <w:p w:rsidR="00890FAC" w:rsidRDefault="00890FAC" w:rsidP="00345F7C">
                            <w:pPr>
                              <w:pStyle w:val="tekstzboku"/>
                            </w:pPr>
                          </w:p>
                          <w:p w:rsidR="00890FAC" w:rsidRDefault="00890FAC" w:rsidP="00345F7C">
                            <w:pPr>
                              <w:pStyle w:val="tekstzboku"/>
                            </w:pPr>
                          </w:p>
                          <w:p w:rsidR="00890FAC" w:rsidRDefault="00890FAC" w:rsidP="00345F7C">
                            <w:pPr>
                              <w:pStyle w:val="tekstzboku"/>
                            </w:pPr>
                          </w:p>
                          <w:p w:rsidR="00890FAC" w:rsidRDefault="00890FAC" w:rsidP="00345F7C">
                            <w:pPr>
                              <w:pStyle w:val="tekstzboku"/>
                            </w:pPr>
                          </w:p>
                          <w:p w:rsidR="00890FAC" w:rsidRDefault="00890FAC" w:rsidP="00345F7C">
                            <w:pPr>
                              <w:pStyle w:val="tekstzboku"/>
                            </w:pPr>
                          </w:p>
                          <w:p w:rsidR="00890FAC" w:rsidRDefault="00890FAC" w:rsidP="00345F7C">
                            <w:pPr>
                              <w:pStyle w:val="tekstzboku"/>
                            </w:pPr>
                          </w:p>
                          <w:p w:rsidR="00890FAC" w:rsidRDefault="00890FAC" w:rsidP="00345F7C">
                            <w:pPr>
                              <w:pStyle w:val="tekstzboku"/>
                            </w:pPr>
                          </w:p>
                          <w:p w:rsidR="00890FAC" w:rsidRDefault="00890FAC" w:rsidP="00345F7C">
                            <w:pPr>
                              <w:pStyle w:val="tekstzboku"/>
                            </w:pPr>
                          </w:p>
                          <w:p w:rsidR="00890FAC" w:rsidRDefault="00890FAC" w:rsidP="00345F7C">
                            <w:pPr>
                              <w:pStyle w:val="tekstzboku"/>
                            </w:pPr>
                          </w:p>
                          <w:p w:rsidR="00890FAC" w:rsidRDefault="00890FAC" w:rsidP="00345F7C">
                            <w:pPr>
                              <w:pStyle w:val="tekstzboku"/>
                            </w:pPr>
                          </w:p>
                          <w:p w:rsidR="00890FAC" w:rsidRDefault="00890FAC" w:rsidP="00345F7C">
                            <w:pPr>
                              <w:pStyle w:val="tekstzboku"/>
                            </w:pPr>
                          </w:p>
                          <w:p w:rsidR="00890FAC" w:rsidRDefault="00890FAC" w:rsidP="00345F7C">
                            <w:pPr>
                              <w:pStyle w:val="tekstzboku"/>
                            </w:pPr>
                          </w:p>
                          <w:p w:rsidR="00890FAC" w:rsidRDefault="00890FAC" w:rsidP="00345F7C">
                            <w:pPr>
                              <w:pStyle w:val="tekstzboku"/>
                            </w:pPr>
                          </w:p>
                          <w:p w:rsidR="00890FAC" w:rsidRDefault="00890FAC" w:rsidP="00345F7C">
                            <w:pPr>
                              <w:pStyle w:val="tekstzboku"/>
                            </w:pPr>
                          </w:p>
                          <w:p w:rsidR="00890FAC" w:rsidRDefault="00890FAC" w:rsidP="00345F7C">
                            <w:pPr>
                              <w:pStyle w:val="tekstzboku"/>
                            </w:pPr>
                          </w:p>
                          <w:p w:rsidR="00890FAC" w:rsidRPr="00074DD8" w:rsidRDefault="00890FAC" w:rsidP="00345F7C">
                            <w:pPr>
                              <w:pStyle w:val="tekstzboku"/>
                            </w:pPr>
                          </w:p>
                          <w:p w:rsidR="00890FAC" w:rsidRPr="00D616D2" w:rsidRDefault="00890FAC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22207" id="Pole tekstowe 5" o:spid="_x0000_s1030" type="#_x0000_t202" style="position:absolute;margin-left:410.3pt;margin-top:30.9pt;width:135.85pt;height:65.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" filled="f" stroked="f">
                <v:textbox>
                  <w:txbxContent>
                    <w:p w:rsidR="00890FAC" w:rsidRDefault="00890FAC" w:rsidP="00345F7C">
                      <w:pPr>
                        <w:pStyle w:val="tekstzboku"/>
                      </w:pPr>
                      <w:r>
                        <w:t xml:space="preserve">Od wejścia Polski do UE największym naszym partnerem handlowym, w eksporcie, jak i imporcie są Niemcy </w:t>
                      </w:r>
                    </w:p>
                    <w:p w:rsidR="00890FAC" w:rsidRDefault="00890FAC" w:rsidP="00345F7C">
                      <w:pPr>
                        <w:pStyle w:val="tekstzboku"/>
                      </w:pPr>
                    </w:p>
                    <w:p w:rsidR="00890FAC" w:rsidRDefault="00890FAC" w:rsidP="00345F7C">
                      <w:pPr>
                        <w:pStyle w:val="tekstzboku"/>
                      </w:pPr>
                    </w:p>
                    <w:p w:rsidR="00890FAC" w:rsidRDefault="00890FAC" w:rsidP="00345F7C">
                      <w:pPr>
                        <w:pStyle w:val="tekstzboku"/>
                      </w:pPr>
                    </w:p>
                    <w:p w:rsidR="00890FAC" w:rsidRDefault="00890FAC" w:rsidP="00345F7C">
                      <w:pPr>
                        <w:pStyle w:val="tekstzboku"/>
                      </w:pPr>
                    </w:p>
                    <w:p w:rsidR="00890FAC" w:rsidRDefault="00890FAC" w:rsidP="00345F7C">
                      <w:pPr>
                        <w:pStyle w:val="tekstzboku"/>
                      </w:pPr>
                    </w:p>
                    <w:p w:rsidR="00890FAC" w:rsidRDefault="00890FAC" w:rsidP="00345F7C">
                      <w:pPr>
                        <w:pStyle w:val="tekstzboku"/>
                      </w:pPr>
                    </w:p>
                    <w:p w:rsidR="00890FAC" w:rsidRDefault="00890FAC" w:rsidP="00345F7C">
                      <w:pPr>
                        <w:pStyle w:val="tekstzboku"/>
                      </w:pPr>
                    </w:p>
                    <w:p w:rsidR="00890FAC" w:rsidRDefault="00890FAC" w:rsidP="00345F7C">
                      <w:pPr>
                        <w:pStyle w:val="tekstzboku"/>
                      </w:pPr>
                    </w:p>
                    <w:p w:rsidR="00890FAC" w:rsidRDefault="00890FAC" w:rsidP="00345F7C">
                      <w:pPr>
                        <w:pStyle w:val="tekstzboku"/>
                      </w:pPr>
                    </w:p>
                    <w:p w:rsidR="00890FAC" w:rsidRDefault="00890FAC" w:rsidP="00345F7C">
                      <w:pPr>
                        <w:pStyle w:val="tekstzboku"/>
                      </w:pPr>
                    </w:p>
                    <w:p w:rsidR="00890FAC" w:rsidRDefault="00890FAC" w:rsidP="00345F7C">
                      <w:pPr>
                        <w:pStyle w:val="tekstzboku"/>
                      </w:pPr>
                    </w:p>
                    <w:p w:rsidR="00890FAC" w:rsidRDefault="00890FAC" w:rsidP="00345F7C">
                      <w:pPr>
                        <w:pStyle w:val="tekstzboku"/>
                      </w:pPr>
                    </w:p>
                    <w:p w:rsidR="00890FAC" w:rsidRDefault="00890FAC" w:rsidP="00345F7C">
                      <w:pPr>
                        <w:pStyle w:val="tekstzboku"/>
                      </w:pPr>
                    </w:p>
                    <w:p w:rsidR="00890FAC" w:rsidRDefault="00890FAC" w:rsidP="00345F7C">
                      <w:pPr>
                        <w:pStyle w:val="tekstzboku"/>
                      </w:pPr>
                    </w:p>
                    <w:p w:rsidR="00890FAC" w:rsidRDefault="00890FAC" w:rsidP="00345F7C">
                      <w:pPr>
                        <w:pStyle w:val="tekstzboku"/>
                      </w:pPr>
                    </w:p>
                    <w:p w:rsidR="00890FAC" w:rsidRDefault="00890FAC" w:rsidP="00345F7C">
                      <w:pPr>
                        <w:pStyle w:val="tekstzboku"/>
                      </w:pPr>
                    </w:p>
                    <w:p w:rsidR="00890FAC" w:rsidRDefault="00890FAC" w:rsidP="00345F7C">
                      <w:pPr>
                        <w:pStyle w:val="tekstzboku"/>
                      </w:pPr>
                    </w:p>
                    <w:p w:rsidR="00890FAC" w:rsidRDefault="00890FAC" w:rsidP="00345F7C">
                      <w:pPr>
                        <w:pStyle w:val="tekstzboku"/>
                      </w:pPr>
                    </w:p>
                    <w:p w:rsidR="00890FAC" w:rsidRDefault="00890FAC" w:rsidP="00345F7C">
                      <w:pPr>
                        <w:pStyle w:val="tekstzboku"/>
                      </w:pPr>
                    </w:p>
                    <w:p w:rsidR="00890FAC" w:rsidRDefault="00890FAC" w:rsidP="00345F7C">
                      <w:pPr>
                        <w:pStyle w:val="tekstzboku"/>
                      </w:pPr>
                    </w:p>
                    <w:p w:rsidR="00890FAC" w:rsidRDefault="00890FAC" w:rsidP="00345F7C">
                      <w:pPr>
                        <w:pStyle w:val="tekstzboku"/>
                      </w:pPr>
                    </w:p>
                    <w:p w:rsidR="00890FAC" w:rsidRDefault="00890FAC" w:rsidP="00345F7C">
                      <w:pPr>
                        <w:pStyle w:val="tekstzboku"/>
                      </w:pPr>
                    </w:p>
                    <w:p w:rsidR="00890FAC" w:rsidRDefault="00890FAC" w:rsidP="00345F7C">
                      <w:pPr>
                        <w:pStyle w:val="tekstzboku"/>
                      </w:pPr>
                    </w:p>
                    <w:p w:rsidR="00890FAC" w:rsidRDefault="00890FAC" w:rsidP="00345F7C">
                      <w:pPr>
                        <w:pStyle w:val="tekstzboku"/>
                      </w:pPr>
                    </w:p>
                    <w:p w:rsidR="00890FAC" w:rsidRDefault="00890FAC" w:rsidP="00345F7C">
                      <w:pPr>
                        <w:pStyle w:val="tekstzboku"/>
                      </w:pPr>
                    </w:p>
                    <w:p w:rsidR="00890FAC" w:rsidRDefault="00890FAC" w:rsidP="00345F7C">
                      <w:pPr>
                        <w:pStyle w:val="tekstzboku"/>
                      </w:pPr>
                    </w:p>
                    <w:p w:rsidR="00890FAC" w:rsidRDefault="00890FAC" w:rsidP="00345F7C">
                      <w:pPr>
                        <w:pStyle w:val="tekstzboku"/>
                      </w:pPr>
                    </w:p>
                    <w:p w:rsidR="00890FAC" w:rsidRPr="00074DD8" w:rsidRDefault="00890FAC" w:rsidP="00345F7C">
                      <w:pPr>
                        <w:pStyle w:val="tekstzboku"/>
                      </w:pPr>
                    </w:p>
                    <w:p w:rsidR="00890FAC" w:rsidRPr="00D616D2" w:rsidRDefault="00890FAC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BF34B7" w:rsidRPr="00483835">
        <w:rPr>
          <w:rFonts w:cs="Arial"/>
        </w:rPr>
        <w:t xml:space="preserve">Obroty z pierwszą dziesiątką naszych partnerów handlowych stanowiły </w:t>
      </w:r>
      <w:r w:rsidR="00BF34B7">
        <w:rPr>
          <w:rFonts w:cs="Arial"/>
        </w:rPr>
        <w:t>w</w:t>
      </w:r>
      <w:r w:rsidR="00BF34B7" w:rsidRPr="00483835">
        <w:rPr>
          <w:rFonts w:cs="Arial"/>
        </w:rPr>
        <w:t xml:space="preserve"> ekspor</w:t>
      </w:r>
      <w:r w:rsidR="00BF34B7">
        <w:rPr>
          <w:rFonts w:cs="Arial"/>
        </w:rPr>
        <w:t>cie 66,</w:t>
      </w:r>
      <w:r w:rsidR="00696A9F">
        <w:rPr>
          <w:rFonts w:cs="Arial"/>
        </w:rPr>
        <w:t>7</w:t>
      </w:r>
      <w:r w:rsidR="00BF34B7">
        <w:rPr>
          <w:rFonts w:cs="Arial"/>
        </w:rPr>
        <w:t>%, wobec 66,2% w  </w:t>
      </w:r>
      <w:r w:rsidR="00BF34B7" w:rsidRPr="00483835">
        <w:rPr>
          <w:rFonts w:cs="Arial"/>
        </w:rPr>
        <w:t xml:space="preserve">analogicznym okresie </w:t>
      </w:r>
      <w:r w:rsidR="00BF34B7">
        <w:rPr>
          <w:rFonts w:cs="Arial"/>
        </w:rPr>
        <w:t>2017</w:t>
      </w:r>
      <w:r w:rsidR="00BF34B7" w:rsidRPr="00483835">
        <w:rPr>
          <w:rFonts w:cs="Arial"/>
        </w:rPr>
        <w:t xml:space="preserve"> r., a </w:t>
      </w:r>
      <w:r w:rsidR="00BF34B7">
        <w:rPr>
          <w:rFonts w:cs="Arial"/>
        </w:rPr>
        <w:t xml:space="preserve">w </w:t>
      </w:r>
      <w:r w:rsidR="00BF34B7" w:rsidRPr="00483835">
        <w:rPr>
          <w:rFonts w:cs="Arial"/>
        </w:rPr>
        <w:t>impor</w:t>
      </w:r>
      <w:r w:rsidR="00BF34B7">
        <w:rPr>
          <w:rFonts w:cs="Arial"/>
        </w:rPr>
        <w:t>cie</w:t>
      </w:r>
      <w:r w:rsidR="00BF34B7" w:rsidRPr="00483835">
        <w:rPr>
          <w:rFonts w:cs="Arial"/>
        </w:rPr>
        <w:t xml:space="preserve"> ogółem – </w:t>
      </w:r>
      <w:r w:rsidR="00BF34B7">
        <w:rPr>
          <w:rFonts w:cs="Arial"/>
        </w:rPr>
        <w:t>64,</w:t>
      </w:r>
      <w:r w:rsidR="00696A9F">
        <w:rPr>
          <w:rFonts w:cs="Arial"/>
        </w:rPr>
        <w:t>8</w:t>
      </w:r>
      <w:r w:rsidR="00BF34B7" w:rsidRPr="00483835">
        <w:rPr>
          <w:rFonts w:cs="Arial"/>
        </w:rPr>
        <w:t xml:space="preserve">% (wobec </w:t>
      </w:r>
      <w:r w:rsidR="00BF34B7">
        <w:rPr>
          <w:rFonts w:cs="Arial"/>
        </w:rPr>
        <w:t>65,7</w:t>
      </w:r>
      <w:r w:rsidR="00BF34B7" w:rsidRPr="00483835">
        <w:rPr>
          <w:rFonts w:cs="Arial"/>
        </w:rPr>
        <w:t xml:space="preserve">% w </w:t>
      </w:r>
      <w:r w:rsidR="00BF34B7" w:rsidRPr="00994707">
        <w:rPr>
          <w:rFonts w:cs="Arial"/>
        </w:rPr>
        <w:t>2017 r.).</w:t>
      </w:r>
    </w:p>
    <w:p w:rsidR="00A00ADB" w:rsidRDefault="00BF34B7" w:rsidP="00A00AD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 w:val="18"/>
          <w:szCs w:val="18"/>
        </w:rPr>
      </w:pPr>
      <w:r w:rsidRPr="00483835">
        <w:rPr>
          <w:rFonts w:cs="Arial"/>
          <w:szCs w:val="19"/>
        </w:rPr>
        <w:t xml:space="preserve">Udział Niemiec w eksporcie </w:t>
      </w:r>
      <w:r>
        <w:rPr>
          <w:rFonts w:cs="Arial"/>
          <w:szCs w:val="19"/>
        </w:rPr>
        <w:t xml:space="preserve">wzrósł </w:t>
      </w:r>
      <w:r w:rsidRPr="00483835">
        <w:rPr>
          <w:rFonts w:cs="Arial"/>
          <w:szCs w:val="19"/>
        </w:rPr>
        <w:t xml:space="preserve">w porównaniu z analogicznym okresem </w:t>
      </w:r>
      <w:r w:rsidR="003E1275">
        <w:rPr>
          <w:rFonts w:cs="Arial"/>
          <w:szCs w:val="19"/>
        </w:rPr>
        <w:t>2017</w:t>
      </w:r>
      <w:r w:rsidRPr="00483835">
        <w:rPr>
          <w:rFonts w:cs="Arial"/>
          <w:szCs w:val="19"/>
        </w:rPr>
        <w:t xml:space="preserve"> r.</w:t>
      </w:r>
      <w:r w:rsidR="003E1275">
        <w:rPr>
          <w:rFonts w:cs="Arial"/>
          <w:szCs w:val="19"/>
        </w:rPr>
        <w:t xml:space="preserve"> </w:t>
      </w:r>
      <w:r w:rsidRPr="00483835">
        <w:rPr>
          <w:szCs w:val="19"/>
        </w:rPr>
        <w:t>o 0</w:t>
      </w:r>
      <w:r w:rsidRPr="00483835">
        <w:rPr>
          <w:rFonts w:cs="Arial"/>
          <w:szCs w:val="19"/>
        </w:rPr>
        <w:t>,</w:t>
      </w:r>
      <w:r>
        <w:rPr>
          <w:rFonts w:cs="Arial"/>
          <w:szCs w:val="19"/>
        </w:rPr>
        <w:t>7</w:t>
      </w:r>
      <w:r w:rsidRPr="00483835">
        <w:rPr>
          <w:rFonts w:cs="Arial"/>
          <w:szCs w:val="19"/>
        </w:rPr>
        <w:t> p. proc. i wyniósł 2</w:t>
      </w:r>
      <w:r>
        <w:rPr>
          <w:rFonts w:cs="Arial"/>
          <w:szCs w:val="19"/>
        </w:rPr>
        <w:t>8,2</w:t>
      </w:r>
      <w:r w:rsidRPr="00483835">
        <w:rPr>
          <w:rFonts w:cs="Arial"/>
          <w:szCs w:val="19"/>
        </w:rPr>
        <w:t xml:space="preserve">%, a w imporcie </w:t>
      </w:r>
      <w:r>
        <w:rPr>
          <w:rFonts w:cs="Arial"/>
          <w:szCs w:val="19"/>
        </w:rPr>
        <w:t xml:space="preserve">obniżył się </w:t>
      </w:r>
      <w:r w:rsidRPr="00483835">
        <w:rPr>
          <w:rFonts w:cs="Arial"/>
          <w:szCs w:val="19"/>
        </w:rPr>
        <w:t>o 0,</w:t>
      </w:r>
      <w:r w:rsidR="00696A9F">
        <w:rPr>
          <w:rFonts w:cs="Arial"/>
          <w:szCs w:val="19"/>
        </w:rPr>
        <w:t>5</w:t>
      </w:r>
      <w:r w:rsidRPr="00483835">
        <w:rPr>
          <w:rFonts w:cs="Arial"/>
          <w:szCs w:val="19"/>
        </w:rPr>
        <w:t xml:space="preserve"> p. proc</w:t>
      </w:r>
      <w:r w:rsidR="000D5BA2">
        <w:rPr>
          <w:rFonts w:cs="Arial"/>
          <w:szCs w:val="19"/>
        </w:rPr>
        <w:t>.</w:t>
      </w:r>
      <w:r w:rsidRPr="00483835">
        <w:rPr>
          <w:rFonts w:cs="Arial"/>
          <w:szCs w:val="19"/>
        </w:rPr>
        <w:t xml:space="preserve"> i stanowił 2</w:t>
      </w:r>
      <w:r w:rsidR="00696A9F">
        <w:rPr>
          <w:rFonts w:cs="Arial"/>
          <w:szCs w:val="19"/>
        </w:rPr>
        <w:t>2,6</w:t>
      </w:r>
      <w:r w:rsidRPr="00483835">
        <w:rPr>
          <w:rFonts w:cs="Arial"/>
          <w:szCs w:val="19"/>
        </w:rPr>
        <w:t xml:space="preserve">%. Dodatnie saldo wyniosło </w:t>
      </w:r>
      <w:r>
        <w:rPr>
          <w:rFonts w:cs="Arial"/>
          <w:szCs w:val="19"/>
        </w:rPr>
        <w:t>49,5</w:t>
      </w:r>
      <w:r w:rsidRPr="00483835">
        <w:rPr>
          <w:rFonts w:cs="Arial"/>
          <w:szCs w:val="19"/>
        </w:rPr>
        <w:t xml:space="preserve"> mld zł (</w:t>
      </w:r>
      <w:r>
        <w:rPr>
          <w:rFonts w:cs="Arial"/>
          <w:szCs w:val="19"/>
        </w:rPr>
        <w:t>13,7</w:t>
      </w:r>
      <w:r w:rsidRPr="00483835">
        <w:rPr>
          <w:rFonts w:cs="Arial"/>
          <w:szCs w:val="19"/>
        </w:rPr>
        <w:t xml:space="preserve"> mld USD</w:t>
      </w:r>
      <w:r w:rsidRPr="00797CEA">
        <w:rPr>
          <w:rFonts w:cs="Arial"/>
          <w:szCs w:val="19"/>
        </w:rPr>
        <w:t xml:space="preserve">, </w:t>
      </w:r>
      <w:r>
        <w:rPr>
          <w:rFonts w:cs="Arial"/>
          <w:szCs w:val="19"/>
        </w:rPr>
        <w:t>11,6</w:t>
      </w:r>
      <w:r w:rsidRPr="00797CEA">
        <w:rPr>
          <w:rFonts w:cs="Arial"/>
          <w:szCs w:val="19"/>
        </w:rPr>
        <w:t xml:space="preserve"> mld </w:t>
      </w:r>
      <w:r w:rsidRPr="00483835">
        <w:rPr>
          <w:rFonts w:cs="Arial"/>
          <w:szCs w:val="19"/>
        </w:rPr>
        <w:t xml:space="preserve">EUR) wobec </w:t>
      </w:r>
      <w:r>
        <w:rPr>
          <w:rFonts w:cs="Arial"/>
          <w:szCs w:val="19"/>
        </w:rPr>
        <w:t>39,0</w:t>
      </w:r>
      <w:r w:rsidRPr="00483835">
        <w:rPr>
          <w:rFonts w:cs="Arial"/>
          <w:szCs w:val="19"/>
        </w:rPr>
        <w:t xml:space="preserve"> mld zł (</w:t>
      </w:r>
      <w:r>
        <w:rPr>
          <w:rFonts w:cs="Arial"/>
          <w:szCs w:val="19"/>
        </w:rPr>
        <w:t>10,2</w:t>
      </w:r>
      <w:r w:rsidRPr="00483835">
        <w:rPr>
          <w:rFonts w:cs="Arial"/>
          <w:szCs w:val="19"/>
        </w:rPr>
        <w:t xml:space="preserve"> mld USD, </w:t>
      </w:r>
      <w:r>
        <w:rPr>
          <w:rFonts w:cs="Arial"/>
          <w:szCs w:val="19"/>
        </w:rPr>
        <w:t>9,1</w:t>
      </w:r>
      <w:r w:rsidRPr="00483835">
        <w:rPr>
          <w:rFonts w:cs="Arial"/>
          <w:szCs w:val="19"/>
        </w:rPr>
        <w:t xml:space="preserve"> mld EUR) </w:t>
      </w:r>
      <w:r w:rsidRPr="00483835">
        <w:rPr>
          <w:rFonts w:cs="Arial"/>
          <w:spacing w:val="-3"/>
          <w:szCs w:val="19"/>
        </w:rPr>
        <w:t xml:space="preserve">w analogicznym okresie </w:t>
      </w:r>
      <w:r>
        <w:rPr>
          <w:rFonts w:cs="Arial"/>
          <w:spacing w:val="-3"/>
          <w:szCs w:val="19"/>
        </w:rPr>
        <w:t>2017</w:t>
      </w:r>
      <w:r w:rsidRPr="005978CE">
        <w:rPr>
          <w:rFonts w:cs="Arial"/>
          <w:spacing w:val="-3"/>
          <w:szCs w:val="19"/>
        </w:rPr>
        <w:t xml:space="preserve"> r.</w:t>
      </w:r>
      <w:r w:rsidR="00C77C4A" w:rsidRPr="002D45CF">
        <w:rPr>
          <w:rFonts w:cs="Arial"/>
          <w:spacing w:val="-3"/>
          <w:sz w:val="18"/>
          <w:szCs w:val="18"/>
        </w:rPr>
        <w:t xml:space="preserve"> </w:t>
      </w:r>
    </w:p>
    <w:p w:rsidR="00696A9F" w:rsidRPr="002D45CF" w:rsidRDefault="00696A9F" w:rsidP="00A00AD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 w:val="18"/>
          <w:szCs w:val="18"/>
        </w:rPr>
      </w:pPr>
    </w:p>
    <w:p w:rsidR="00366025" w:rsidRPr="002D45CF" w:rsidRDefault="00DD5E0F" w:rsidP="00366025">
      <w:pPr>
        <w:rPr>
          <w:rFonts w:cs="Arial"/>
          <w:sz w:val="18"/>
          <w:szCs w:val="18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C7C981A" wp14:editId="191C262F">
                <wp:simplePos x="0" y="0"/>
                <wp:positionH relativeFrom="column">
                  <wp:posOffset>5264150</wp:posOffset>
                </wp:positionH>
                <wp:positionV relativeFrom="paragraph">
                  <wp:posOffset>4057534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FAC" w:rsidRPr="00FF1498" w:rsidRDefault="00890FAC" w:rsidP="00A00ADB">
                            <w:pPr>
                              <w:pStyle w:val="tekstzboku"/>
                            </w:pPr>
                            <w:r w:rsidRPr="00FF1498">
                              <w:rPr>
                                <w:rFonts w:cs="Arial"/>
                              </w:rPr>
                              <w:t>Udział Rosji w imporcie wzrósł w porównaniu z analogicznym okresem 201</w:t>
                            </w:r>
                            <w:r>
                              <w:rPr>
                                <w:rFonts w:cs="Arial"/>
                              </w:rPr>
                              <w:t>7</w:t>
                            </w:r>
                            <w:r w:rsidRPr="00FF1498">
                              <w:rPr>
                                <w:rFonts w:cs="Arial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</w:rPr>
                              <w:t>r. o 0,7 p. proc. i stanowił 7,1</w:t>
                            </w:r>
                            <w:r w:rsidRPr="00FF1498">
                              <w:rPr>
                                <w:rFonts w:cs="Arial"/>
                              </w:rPr>
                              <w:t>%</w:t>
                            </w:r>
                            <w:r w:rsidRPr="00FF1498">
                              <w:t xml:space="preserve"> </w:t>
                            </w:r>
                          </w:p>
                          <w:p w:rsidR="00890FAC" w:rsidRDefault="00890FAC" w:rsidP="00A00ADB">
                            <w:pPr>
                              <w:pStyle w:val="tekstzboku"/>
                            </w:pPr>
                          </w:p>
                          <w:p w:rsidR="00890FAC" w:rsidRDefault="00890FAC" w:rsidP="00A00ADB">
                            <w:pPr>
                              <w:pStyle w:val="tekstzboku"/>
                            </w:pPr>
                          </w:p>
                          <w:p w:rsidR="00890FAC" w:rsidRDefault="00890FAC" w:rsidP="00A00ADB">
                            <w:pPr>
                              <w:pStyle w:val="tekstzboku"/>
                            </w:pPr>
                          </w:p>
                          <w:p w:rsidR="00890FAC" w:rsidRDefault="00890FAC" w:rsidP="00A00ADB">
                            <w:pPr>
                              <w:pStyle w:val="tekstzboku"/>
                            </w:pPr>
                          </w:p>
                          <w:p w:rsidR="00890FAC" w:rsidRDefault="00890FAC" w:rsidP="00A00ADB">
                            <w:pPr>
                              <w:pStyle w:val="tekstzboku"/>
                            </w:pPr>
                          </w:p>
                          <w:p w:rsidR="00890FAC" w:rsidRDefault="00890FAC" w:rsidP="00A00ADB">
                            <w:pPr>
                              <w:pStyle w:val="tekstzboku"/>
                            </w:pPr>
                          </w:p>
                          <w:p w:rsidR="00890FAC" w:rsidRDefault="00890FAC" w:rsidP="00A00ADB">
                            <w:pPr>
                              <w:pStyle w:val="tekstzboku"/>
                            </w:pPr>
                          </w:p>
                          <w:p w:rsidR="00890FAC" w:rsidRDefault="00890FAC" w:rsidP="00A00ADB">
                            <w:pPr>
                              <w:pStyle w:val="tekstzboku"/>
                            </w:pPr>
                          </w:p>
                          <w:p w:rsidR="00890FAC" w:rsidRDefault="00890FAC" w:rsidP="00A00ADB">
                            <w:pPr>
                              <w:pStyle w:val="tekstzboku"/>
                            </w:pPr>
                          </w:p>
                          <w:p w:rsidR="00890FAC" w:rsidRDefault="00890FAC" w:rsidP="00A00ADB">
                            <w:pPr>
                              <w:pStyle w:val="tekstzboku"/>
                            </w:pPr>
                          </w:p>
                          <w:p w:rsidR="00890FAC" w:rsidRDefault="00890FAC" w:rsidP="00A00ADB">
                            <w:pPr>
                              <w:pStyle w:val="tekstzboku"/>
                            </w:pPr>
                          </w:p>
                          <w:p w:rsidR="00890FAC" w:rsidRDefault="00890FAC" w:rsidP="00A00ADB">
                            <w:pPr>
                              <w:pStyle w:val="tekstzboku"/>
                            </w:pPr>
                          </w:p>
                          <w:p w:rsidR="00890FAC" w:rsidRDefault="00890FAC" w:rsidP="00A00ADB">
                            <w:pPr>
                              <w:pStyle w:val="tekstzboku"/>
                            </w:pPr>
                          </w:p>
                          <w:p w:rsidR="00890FAC" w:rsidRDefault="00890FAC" w:rsidP="00A00ADB">
                            <w:pPr>
                              <w:pStyle w:val="tekstzboku"/>
                            </w:pPr>
                          </w:p>
                          <w:p w:rsidR="00890FAC" w:rsidRDefault="00890FAC" w:rsidP="00A00ADB">
                            <w:pPr>
                              <w:pStyle w:val="tekstzboku"/>
                            </w:pPr>
                          </w:p>
                          <w:p w:rsidR="00890FAC" w:rsidRDefault="00890FAC" w:rsidP="00A00ADB">
                            <w:pPr>
                              <w:pStyle w:val="tekstzboku"/>
                            </w:pPr>
                          </w:p>
                          <w:p w:rsidR="00890FAC" w:rsidRDefault="00890FAC" w:rsidP="00A00ADB">
                            <w:pPr>
                              <w:pStyle w:val="tekstzboku"/>
                            </w:pPr>
                          </w:p>
                          <w:p w:rsidR="00890FAC" w:rsidRDefault="00890FAC" w:rsidP="00A00ADB">
                            <w:pPr>
                              <w:pStyle w:val="tekstzboku"/>
                            </w:pPr>
                          </w:p>
                          <w:p w:rsidR="00890FAC" w:rsidRDefault="00890FAC" w:rsidP="00A00ADB">
                            <w:pPr>
                              <w:pStyle w:val="tekstzboku"/>
                            </w:pPr>
                          </w:p>
                          <w:p w:rsidR="00890FAC" w:rsidRDefault="00890FAC" w:rsidP="00A00ADB">
                            <w:pPr>
                              <w:pStyle w:val="tekstzboku"/>
                            </w:pPr>
                          </w:p>
                          <w:p w:rsidR="00890FAC" w:rsidRDefault="00890FAC" w:rsidP="00A00ADB">
                            <w:pPr>
                              <w:pStyle w:val="tekstzboku"/>
                            </w:pPr>
                          </w:p>
                          <w:p w:rsidR="00890FAC" w:rsidRDefault="00890FAC" w:rsidP="00A00ADB">
                            <w:pPr>
                              <w:pStyle w:val="tekstzboku"/>
                            </w:pPr>
                          </w:p>
                          <w:p w:rsidR="00890FAC" w:rsidRDefault="00890FAC" w:rsidP="00A00ADB">
                            <w:pPr>
                              <w:pStyle w:val="tekstzboku"/>
                            </w:pPr>
                          </w:p>
                          <w:p w:rsidR="00890FAC" w:rsidRDefault="00890FAC" w:rsidP="00A00ADB">
                            <w:pPr>
                              <w:pStyle w:val="tekstzboku"/>
                            </w:pPr>
                          </w:p>
                          <w:p w:rsidR="00890FAC" w:rsidRDefault="00890FAC" w:rsidP="00A00ADB">
                            <w:pPr>
                              <w:pStyle w:val="tekstzboku"/>
                            </w:pPr>
                          </w:p>
                          <w:p w:rsidR="00890FAC" w:rsidRDefault="00890FAC" w:rsidP="00A00ADB">
                            <w:pPr>
                              <w:pStyle w:val="tekstzboku"/>
                            </w:pPr>
                          </w:p>
                          <w:p w:rsidR="00890FAC" w:rsidRDefault="00890FAC" w:rsidP="00A00ADB">
                            <w:pPr>
                              <w:pStyle w:val="tekstzboku"/>
                            </w:pPr>
                          </w:p>
                          <w:p w:rsidR="00890FAC" w:rsidRPr="00074DD8" w:rsidRDefault="00890FAC" w:rsidP="00A00ADB">
                            <w:pPr>
                              <w:pStyle w:val="tekstzboku"/>
                            </w:pPr>
                          </w:p>
                          <w:p w:rsidR="00890FAC" w:rsidRPr="00D616D2" w:rsidRDefault="00890FAC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C981A" id="Pole tekstowe 14" o:spid="_x0000_s1031" type="#_x0000_t202" style="position:absolute;margin-left:414.5pt;margin-top:319.5pt;width:135.85pt;height:65.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" filled="f" stroked="f">
                <v:textbox>
                  <w:txbxContent>
                    <w:p w:rsidR="00890FAC" w:rsidRPr="00FF1498" w:rsidRDefault="00890FAC" w:rsidP="00A00ADB">
                      <w:pPr>
                        <w:pStyle w:val="tekstzboku"/>
                      </w:pPr>
                      <w:r w:rsidRPr="00FF1498">
                        <w:rPr>
                          <w:rFonts w:cs="Arial"/>
                        </w:rPr>
                        <w:t>Udział Rosji w imporcie wzrósł w porównaniu z analogicznym okresem 201</w:t>
                      </w:r>
                      <w:r>
                        <w:rPr>
                          <w:rFonts w:cs="Arial"/>
                        </w:rPr>
                        <w:t>7</w:t>
                      </w:r>
                      <w:r w:rsidRPr="00FF1498">
                        <w:rPr>
                          <w:rFonts w:cs="Arial"/>
                        </w:rPr>
                        <w:t xml:space="preserve"> </w:t>
                      </w:r>
                      <w:r>
                        <w:rPr>
                          <w:rFonts w:cs="Arial"/>
                        </w:rPr>
                        <w:t>r. o 0,7 p. proc. i stanowił 7,1</w:t>
                      </w:r>
                      <w:r w:rsidRPr="00FF1498">
                        <w:rPr>
                          <w:rFonts w:cs="Arial"/>
                        </w:rPr>
                        <w:t>%</w:t>
                      </w:r>
                      <w:r w:rsidRPr="00FF1498">
                        <w:t xml:space="preserve"> </w:t>
                      </w:r>
                    </w:p>
                    <w:p w:rsidR="00890FAC" w:rsidRDefault="00890FAC" w:rsidP="00A00ADB">
                      <w:pPr>
                        <w:pStyle w:val="tekstzboku"/>
                      </w:pPr>
                    </w:p>
                    <w:p w:rsidR="00890FAC" w:rsidRDefault="00890FAC" w:rsidP="00A00ADB">
                      <w:pPr>
                        <w:pStyle w:val="tekstzboku"/>
                      </w:pPr>
                    </w:p>
                    <w:p w:rsidR="00890FAC" w:rsidRDefault="00890FAC" w:rsidP="00A00ADB">
                      <w:pPr>
                        <w:pStyle w:val="tekstzboku"/>
                      </w:pPr>
                    </w:p>
                    <w:p w:rsidR="00890FAC" w:rsidRDefault="00890FAC" w:rsidP="00A00ADB">
                      <w:pPr>
                        <w:pStyle w:val="tekstzboku"/>
                      </w:pPr>
                    </w:p>
                    <w:p w:rsidR="00890FAC" w:rsidRDefault="00890FAC" w:rsidP="00A00ADB">
                      <w:pPr>
                        <w:pStyle w:val="tekstzboku"/>
                      </w:pPr>
                    </w:p>
                    <w:p w:rsidR="00890FAC" w:rsidRDefault="00890FAC" w:rsidP="00A00ADB">
                      <w:pPr>
                        <w:pStyle w:val="tekstzboku"/>
                      </w:pPr>
                    </w:p>
                    <w:p w:rsidR="00890FAC" w:rsidRDefault="00890FAC" w:rsidP="00A00ADB">
                      <w:pPr>
                        <w:pStyle w:val="tekstzboku"/>
                      </w:pPr>
                    </w:p>
                    <w:p w:rsidR="00890FAC" w:rsidRDefault="00890FAC" w:rsidP="00A00ADB">
                      <w:pPr>
                        <w:pStyle w:val="tekstzboku"/>
                      </w:pPr>
                    </w:p>
                    <w:p w:rsidR="00890FAC" w:rsidRDefault="00890FAC" w:rsidP="00A00ADB">
                      <w:pPr>
                        <w:pStyle w:val="tekstzboku"/>
                      </w:pPr>
                    </w:p>
                    <w:p w:rsidR="00890FAC" w:rsidRDefault="00890FAC" w:rsidP="00A00ADB">
                      <w:pPr>
                        <w:pStyle w:val="tekstzboku"/>
                      </w:pPr>
                    </w:p>
                    <w:p w:rsidR="00890FAC" w:rsidRDefault="00890FAC" w:rsidP="00A00ADB">
                      <w:pPr>
                        <w:pStyle w:val="tekstzboku"/>
                      </w:pPr>
                    </w:p>
                    <w:p w:rsidR="00890FAC" w:rsidRDefault="00890FAC" w:rsidP="00A00ADB">
                      <w:pPr>
                        <w:pStyle w:val="tekstzboku"/>
                      </w:pPr>
                    </w:p>
                    <w:p w:rsidR="00890FAC" w:rsidRDefault="00890FAC" w:rsidP="00A00ADB">
                      <w:pPr>
                        <w:pStyle w:val="tekstzboku"/>
                      </w:pPr>
                    </w:p>
                    <w:p w:rsidR="00890FAC" w:rsidRDefault="00890FAC" w:rsidP="00A00ADB">
                      <w:pPr>
                        <w:pStyle w:val="tekstzboku"/>
                      </w:pPr>
                    </w:p>
                    <w:p w:rsidR="00890FAC" w:rsidRDefault="00890FAC" w:rsidP="00A00ADB">
                      <w:pPr>
                        <w:pStyle w:val="tekstzboku"/>
                      </w:pPr>
                    </w:p>
                    <w:p w:rsidR="00890FAC" w:rsidRDefault="00890FAC" w:rsidP="00A00ADB">
                      <w:pPr>
                        <w:pStyle w:val="tekstzboku"/>
                      </w:pPr>
                    </w:p>
                    <w:p w:rsidR="00890FAC" w:rsidRDefault="00890FAC" w:rsidP="00A00ADB">
                      <w:pPr>
                        <w:pStyle w:val="tekstzboku"/>
                      </w:pPr>
                    </w:p>
                    <w:p w:rsidR="00890FAC" w:rsidRDefault="00890FAC" w:rsidP="00A00ADB">
                      <w:pPr>
                        <w:pStyle w:val="tekstzboku"/>
                      </w:pPr>
                    </w:p>
                    <w:p w:rsidR="00890FAC" w:rsidRDefault="00890FAC" w:rsidP="00A00ADB">
                      <w:pPr>
                        <w:pStyle w:val="tekstzboku"/>
                      </w:pPr>
                    </w:p>
                    <w:p w:rsidR="00890FAC" w:rsidRDefault="00890FAC" w:rsidP="00A00ADB">
                      <w:pPr>
                        <w:pStyle w:val="tekstzboku"/>
                      </w:pPr>
                    </w:p>
                    <w:p w:rsidR="00890FAC" w:rsidRDefault="00890FAC" w:rsidP="00A00ADB">
                      <w:pPr>
                        <w:pStyle w:val="tekstzboku"/>
                      </w:pPr>
                    </w:p>
                    <w:p w:rsidR="00890FAC" w:rsidRDefault="00890FAC" w:rsidP="00A00ADB">
                      <w:pPr>
                        <w:pStyle w:val="tekstzboku"/>
                      </w:pPr>
                    </w:p>
                    <w:p w:rsidR="00890FAC" w:rsidRDefault="00890FAC" w:rsidP="00A00ADB">
                      <w:pPr>
                        <w:pStyle w:val="tekstzboku"/>
                      </w:pPr>
                    </w:p>
                    <w:p w:rsidR="00890FAC" w:rsidRDefault="00890FAC" w:rsidP="00A00ADB">
                      <w:pPr>
                        <w:pStyle w:val="tekstzboku"/>
                      </w:pPr>
                    </w:p>
                    <w:p w:rsidR="00890FAC" w:rsidRDefault="00890FAC" w:rsidP="00A00ADB">
                      <w:pPr>
                        <w:pStyle w:val="tekstzboku"/>
                      </w:pPr>
                    </w:p>
                    <w:p w:rsidR="00890FAC" w:rsidRDefault="00890FAC" w:rsidP="00A00ADB">
                      <w:pPr>
                        <w:pStyle w:val="tekstzboku"/>
                      </w:pPr>
                    </w:p>
                    <w:p w:rsidR="00890FAC" w:rsidRDefault="00890FAC" w:rsidP="00A00ADB">
                      <w:pPr>
                        <w:pStyle w:val="tekstzboku"/>
                      </w:pPr>
                    </w:p>
                    <w:p w:rsidR="00890FAC" w:rsidRPr="00074DD8" w:rsidRDefault="00890FAC" w:rsidP="00A00ADB">
                      <w:pPr>
                        <w:pStyle w:val="tekstzboku"/>
                      </w:pPr>
                    </w:p>
                    <w:p w:rsidR="00890FAC" w:rsidRPr="00D616D2" w:rsidRDefault="00890FAC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D45CF">
        <w:rPr>
          <w:rFonts w:cs="Arial"/>
          <w:b/>
          <w:spacing w:val="-3"/>
          <w:sz w:val="18"/>
          <w:szCs w:val="18"/>
        </w:rPr>
        <w:t>Tablica 2</w:t>
      </w:r>
      <w:r w:rsidR="002D45CF" w:rsidRPr="00C30406">
        <w:rPr>
          <w:rFonts w:cs="Arial"/>
          <w:b/>
          <w:spacing w:val="-3"/>
          <w:sz w:val="18"/>
          <w:szCs w:val="18"/>
        </w:rPr>
        <w:t xml:space="preserve">. </w:t>
      </w:r>
      <w:r w:rsidR="002D45CF">
        <w:rPr>
          <w:rFonts w:cs="Arial"/>
          <w:b/>
          <w:spacing w:val="-3"/>
          <w:sz w:val="18"/>
          <w:szCs w:val="18"/>
        </w:rPr>
        <w:t>Obroty towarowe według ważniejszych krajów</w:t>
      </w:r>
      <w:r w:rsidR="002D45CF" w:rsidRPr="002D45CF">
        <w:rPr>
          <w:b/>
          <w:noProof/>
          <w:spacing w:val="-2"/>
          <w:sz w:val="18"/>
          <w:szCs w:val="18"/>
          <w:lang w:eastAsia="pl-PL"/>
        </w:rPr>
        <w:t xml:space="preserve"> </w:t>
      </w:r>
    </w:p>
    <w:tbl>
      <w:tblPr>
        <w:tblW w:w="4973" w:type="pct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407"/>
        <w:gridCol w:w="772"/>
        <w:gridCol w:w="772"/>
        <w:gridCol w:w="772"/>
        <w:gridCol w:w="671"/>
        <w:gridCol w:w="671"/>
        <w:gridCol w:w="670"/>
        <w:gridCol w:w="644"/>
        <w:gridCol w:w="644"/>
      </w:tblGrid>
      <w:tr w:rsidR="00366025" w:rsidRPr="00366025" w:rsidTr="004C40C4">
        <w:tc>
          <w:tcPr>
            <w:tcW w:w="2407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366025" w:rsidRPr="005F3D74" w:rsidRDefault="00A44ACB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28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366025" w:rsidRPr="005F3D74" w:rsidRDefault="0057260A" w:rsidP="001146C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2018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:rsidR="00366025" w:rsidRPr="005F3D74" w:rsidRDefault="0057260A" w:rsidP="001146C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2017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:rsidR="00366025" w:rsidRPr="005F3D74" w:rsidRDefault="0057260A" w:rsidP="001146C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2018</w:t>
            </w:r>
          </w:p>
        </w:tc>
      </w:tr>
      <w:tr w:rsidR="00696A9F" w:rsidRPr="00366025" w:rsidTr="00890FAC">
        <w:tc>
          <w:tcPr>
            <w:tcW w:w="2407" w:type="dxa"/>
            <w:vMerge/>
            <w:tcBorders>
              <w:bottom w:val="single" w:sz="4" w:space="0" w:color="001D77"/>
            </w:tcBorders>
          </w:tcPr>
          <w:p w:rsidR="00696A9F" w:rsidRPr="005F3D74" w:rsidRDefault="00696A9F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bottom w:val="single" w:sz="4" w:space="0" w:color="001D77"/>
            </w:tcBorders>
            <w:vAlign w:val="center"/>
          </w:tcPr>
          <w:p w:rsidR="00696A9F" w:rsidRPr="005F3D74" w:rsidRDefault="00696A9F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696A9F" w:rsidRPr="005F3D74" w:rsidRDefault="00696A9F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:rsidR="00696A9F" w:rsidRPr="005F3D74" w:rsidRDefault="00696A9F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  <w:r w:rsidRPr="005F3D74">
              <w:rPr>
                <w:rFonts w:cs="Arial"/>
                <w:sz w:val="16"/>
                <w:szCs w:val="16"/>
              </w:rPr>
              <w:t xml:space="preserve"> </w:t>
            </w:r>
          </w:p>
          <w:p w:rsidR="00696A9F" w:rsidRPr="005F3D74" w:rsidRDefault="00696A9F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bottom w:val="single" w:sz="4" w:space="0" w:color="001D77"/>
            </w:tcBorders>
            <w:vAlign w:val="center"/>
          </w:tcPr>
          <w:p w:rsidR="00696A9F" w:rsidRPr="005F3D74" w:rsidRDefault="00696A9F" w:rsidP="001146CE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72" w:type="dxa"/>
            <w:vMerge w:val="restart"/>
            <w:tcBorders>
              <w:bottom w:val="single" w:sz="4" w:space="0" w:color="001D77"/>
            </w:tcBorders>
            <w:vAlign w:val="center"/>
          </w:tcPr>
          <w:p w:rsidR="00696A9F" w:rsidRPr="005F3D74" w:rsidRDefault="00696A9F" w:rsidP="001146CE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2012" w:type="dxa"/>
            <w:gridSpan w:val="3"/>
            <w:tcBorders>
              <w:bottom w:val="single" w:sz="4" w:space="0" w:color="001D77"/>
            </w:tcBorders>
            <w:vAlign w:val="center"/>
          </w:tcPr>
          <w:p w:rsidR="00696A9F" w:rsidRPr="005F3D74" w:rsidRDefault="00696A9F" w:rsidP="001146C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2017</w:t>
            </w:r>
            <w:r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vMerge w:val="restart"/>
            <w:vAlign w:val="center"/>
          </w:tcPr>
          <w:p w:rsidR="00696A9F" w:rsidRPr="005F3D74" w:rsidRDefault="00696A9F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696A9F" w:rsidRPr="00366025" w:rsidTr="00D115A8">
        <w:tc>
          <w:tcPr>
            <w:tcW w:w="2407" w:type="dxa"/>
            <w:vMerge/>
            <w:tcBorders>
              <w:bottom w:val="single" w:sz="12" w:space="0" w:color="001D77"/>
            </w:tcBorders>
          </w:tcPr>
          <w:p w:rsidR="00696A9F" w:rsidRPr="005F3D74" w:rsidRDefault="00696A9F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</w:tcPr>
          <w:p w:rsidR="00696A9F" w:rsidRPr="005F3D74" w:rsidRDefault="00696A9F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  <w:vAlign w:val="center"/>
          </w:tcPr>
          <w:p w:rsidR="00696A9F" w:rsidRPr="005F3D74" w:rsidRDefault="00696A9F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</w:tcPr>
          <w:p w:rsidR="00696A9F" w:rsidRPr="005F3D74" w:rsidRDefault="00696A9F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bottom w:val="single" w:sz="12" w:space="0" w:color="001D77"/>
            </w:tcBorders>
            <w:vAlign w:val="center"/>
          </w:tcPr>
          <w:p w:rsidR="00696A9F" w:rsidRPr="005F3D74" w:rsidRDefault="00696A9F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bottom w:val="single" w:sz="12" w:space="0" w:color="001D77"/>
            </w:tcBorders>
            <w:vAlign w:val="center"/>
          </w:tcPr>
          <w:p w:rsidR="00696A9F" w:rsidRPr="005F3D74" w:rsidRDefault="00696A9F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bottom w:val="single" w:sz="12" w:space="0" w:color="001D77"/>
            </w:tcBorders>
            <w:vAlign w:val="center"/>
          </w:tcPr>
          <w:p w:rsidR="00696A9F" w:rsidRPr="005F3D74" w:rsidRDefault="00696A9F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vMerge/>
            <w:tcBorders>
              <w:bottom w:val="single" w:sz="12" w:space="0" w:color="001D77"/>
            </w:tcBorders>
            <w:vAlign w:val="center"/>
          </w:tcPr>
          <w:p w:rsidR="00696A9F" w:rsidRPr="005F3D74" w:rsidRDefault="00696A9F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66025" w:rsidRPr="00366025" w:rsidTr="00D115A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EKSPORT</w:t>
            </w:r>
          </w:p>
        </w:tc>
      </w:tr>
      <w:tr w:rsidR="0015732A" w:rsidRPr="00366025" w:rsidTr="001918ED">
        <w:tc>
          <w:tcPr>
            <w:tcW w:w="2407" w:type="dxa"/>
            <w:vAlign w:val="bottom"/>
          </w:tcPr>
          <w:p w:rsidR="0015732A" w:rsidRPr="00366025" w:rsidRDefault="0015732A" w:rsidP="0015732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vAlign w:val="bottom"/>
          </w:tcPr>
          <w:p w:rsidR="0015732A" w:rsidRDefault="0015732A" w:rsidP="0015732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268,4</w:t>
            </w:r>
          </w:p>
        </w:tc>
        <w:tc>
          <w:tcPr>
            <w:tcW w:w="772" w:type="dxa"/>
            <w:vAlign w:val="bottom"/>
          </w:tcPr>
          <w:p w:rsidR="0015732A" w:rsidRDefault="0015732A" w:rsidP="0015732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74,7</w:t>
            </w:r>
          </w:p>
        </w:tc>
        <w:tc>
          <w:tcPr>
            <w:tcW w:w="772" w:type="dxa"/>
            <w:vAlign w:val="bottom"/>
          </w:tcPr>
          <w:p w:rsidR="0015732A" w:rsidRDefault="0015732A" w:rsidP="0015732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63,1</w:t>
            </w:r>
          </w:p>
        </w:tc>
        <w:tc>
          <w:tcPr>
            <w:tcW w:w="671" w:type="dxa"/>
            <w:vAlign w:val="bottom"/>
          </w:tcPr>
          <w:p w:rsidR="0015732A" w:rsidRDefault="0015732A" w:rsidP="0015732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110,6</w:t>
            </w:r>
          </w:p>
        </w:tc>
        <w:tc>
          <w:tcPr>
            <w:tcW w:w="671" w:type="dxa"/>
            <w:vAlign w:val="bottom"/>
          </w:tcPr>
          <w:p w:rsidR="0015732A" w:rsidRDefault="0015732A" w:rsidP="0015732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117,3</w:t>
            </w:r>
          </w:p>
        </w:tc>
        <w:tc>
          <w:tcPr>
            <w:tcW w:w="670" w:type="dxa"/>
            <w:vAlign w:val="bottom"/>
          </w:tcPr>
          <w:p w:rsidR="0015732A" w:rsidRDefault="0015732A" w:rsidP="0015732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111,1</w:t>
            </w:r>
          </w:p>
        </w:tc>
        <w:tc>
          <w:tcPr>
            <w:tcW w:w="644" w:type="dxa"/>
            <w:vAlign w:val="bottom"/>
          </w:tcPr>
          <w:p w:rsidR="0015732A" w:rsidRDefault="0015732A" w:rsidP="0015732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27,5</w:t>
            </w:r>
          </w:p>
        </w:tc>
        <w:tc>
          <w:tcPr>
            <w:tcW w:w="644" w:type="dxa"/>
            <w:vAlign w:val="bottom"/>
          </w:tcPr>
          <w:p w:rsidR="0015732A" w:rsidRDefault="0015732A" w:rsidP="0015732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28,2</w:t>
            </w:r>
          </w:p>
        </w:tc>
      </w:tr>
      <w:tr w:rsidR="0015732A" w:rsidRPr="00366025" w:rsidTr="001918ED">
        <w:tc>
          <w:tcPr>
            <w:tcW w:w="2407" w:type="dxa"/>
            <w:vAlign w:val="bottom"/>
          </w:tcPr>
          <w:p w:rsidR="0015732A" w:rsidRPr="00366025" w:rsidRDefault="0015732A" w:rsidP="0015732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2. Czechy</w:t>
            </w:r>
          </w:p>
        </w:tc>
        <w:tc>
          <w:tcPr>
            <w:tcW w:w="772" w:type="dxa"/>
            <w:vAlign w:val="bottom"/>
          </w:tcPr>
          <w:p w:rsidR="0015732A" w:rsidRDefault="0015732A" w:rsidP="0015732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60,7</w:t>
            </w:r>
          </w:p>
        </w:tc>
        <w:tc>
          <w:tcPr>
            <w:tcW w:w="772" w:type="dxa"/>
            <w:vAlign w:val="bottom"/>
          </w:tcPr>
          <w:p w:rsidR="0015732A" w:rsidRDefault="0015732A" w:rsidP="0015732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16,9</w:t>
            </w:r>
          </w:p>
        </w:tc>
        <w:tc>
          <w:tcPr>
            <w:tcW w:w="772" w:type="dxa"/>
            <w:vAlign w:val="bottom"/>
          </w:tcPr>
          <w:p w:rsidR="0015732A" w:rsidRDefault="0015732A" w:rsidP="0015732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14,3</w:t>
            </w:r>
          </w:p>
        </w:tc>
        <w:tc>
          <w:tcPr>
            <w:tcW w:w="671" w:type="dxa"/>
            <w:vAlign w:val="bottom"/>
          </w:tcPr>
          <w:p w:rsidR="0015732A" w:rsidRDefault="0015732A" w:rsidP="0015732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106,8</w:t>
            </w:r>
          </w:p>
        </w:tc>
        <w:tc>
          <w:tcPr>
            <w:tcW w:w="671" w:type="dxa"/>
            <w:vAlign w:val="bottom"/>
          </w:tcPr>
          <w:p w:rsidR="0015732A" w:rsidRDefault="0015732A" w:rsidP="0015732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113,3</w:t>
            </w:r>
          </w:p>
        </w:tc>
        <w:tc>
          <w:tcPr>
            <w:tcW w:w="670" w:type="dxa"/>
            <w:vAlign w:val="bottom"/>
          </w:tcPr>
          <w:p w:rsidR="0015732A" w:rsidRDefault="0015732A" w:rsidP="0015732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107,2</w:t>
            </w:r>
          </w:p>
        </w:tc>
        <w:tc>
          <w:tcPr>
            <w:tcW w:w="644" w:type="dxa"/>
            <w:vAlign w:val="bottom"/>
          </w:tcPr>
          <w:p w:rsidR="0015732A" w:rsidRDefault="0015732A" w:rsidP="0015732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6,4</w:t>
            </w:r>
          </w:p>
        </w:tc>
        <w:tc>
          <w:tcPr>
            <w:tcW w:w="644" w:type="dxa"/>
            <w:vAlign w:val="bottom"/>
          </w:tcPr>
          <w:p w:rsidR="0015732A" w:rsidRDefault="0015732A" w:rsidP="0015732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6,4</w:t>
            </w:r>
          </w:p>
        </w:tc>
      </w:tr>
      <w:tr w:rsidR="0015732A" w:rsidRPr="00366025" w:rsidTr="001918ED">
        <w:tc>
          <w:tcPr>
            <w:tcW w:w="2407" w:type="dxa"/>
            <w:vAlign w:val="bottom"/>
          </w:tcPr>
          <w:p w:rsidR="0015732A" w:rsidRPr="00366025" w:rsidRDefault="0015732A" w:rsidP="0015732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3. W. Brytania</w:t>
            </w:r>
          </w:p>
        </w:tc>
        <w:tc>
          <w:tcPr>
            <w:tcW w:w="772" w:type="dxa"/>
            <w:vAlign w:val="bottom"/>
          </w:tcPr>
          <w:p w:rsidR="0015732A" w:rsidRDefault="0015732A" w:rsidP="0015732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59,3</w:t>
            </w:r>
          </w:p>
        </w:tc>
        <w:tc>
          <w:tcPr>
            <w:tcW w:w="772" w:type="dxa"/>
            <w:vAlign w:val="bottom"/>
          </w:tcPr>
          <w:p w:rsidR="0015732A" w:rsidRDefault="0015732A" w:rsidP="0015732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16,5</w:t>
            </w:r>
          </w:p>
        </w:tc>
        <w:tc>
          <w:tcPr>
            <w:tcW w:w="772" w:type="dxa"/>
            <w:vAlign w:val="bottom"/>
          </w:tcPr>
          <w:p w:rsidR="0015732A" w:rsidRDefault="0015732A" w:rsidP="0015732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13,9</w:t>
            </w:r>
          </w:p>
        </w:tc>
        <w:tc>
          <w:tcPr>
            <w:tcW w:w="671" w:type="dxa"/>
            <w:vAlign w:val="bottom"/>
          </w:tcPr>
          <w:p w:rsidR="0015732A" w:rsidRDefault="0015732A" w:rsidP="0015732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104,5</w:t>
            </w:r>
          </w:p>
        </w:tc>
        <w:tc>
          <w:tcPr>
            <w:tcW w:w="671" w:type="dxa"/>
            <w:vAlign w:val="bottom"/>
          </w:tcPr>
          <w:p w:rsidR="0015732A" w:rsidRDefault="0015732A" w:rsidP="0015732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110,8</w:t>
            </w:r>
          </w:p>
        </w:tc>
        <w:tc>
          <w:tcPr>
            <w:tcW w:w="670" w:type="dxa"/>
            <w:vAlign w:val="bottom"/>
          </w:tcPr>
          <w:p w:rsidR="0015732A" w:rsidRDefault="0015732A" w:rsidP="0015732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104,9</w:t>
            </w:r>
          </w:p>
        </w:tc>
        <w:tc>
          <w:tcPr>
            <w:tcW w:w="644" w:type="dxa"/>
            <w:vAlign w:val="bottom"/>
          </w:tcPr>
          <w:p w:rsidR="0015732A" w:rsidRDefault="0015732A" w:rsidP="0015732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6,4</w:t>
            </w:r>
          </w:p>
        </w:tc>
        <w:tc>
          <w:tcPr>
            <w:tcW w:w="644" w:type="dxa"/>
            <w:vAlign w:val="bottom"/>
          </w:tcPr>
          <w:p w:rsidR="0015732A" w:rsidRDefault="0015732A" w:rsidP="0015732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6,2</w:t>
            </w:r>
          </w:p>
        </w:tc>
      </w:tr>
      <w:tr w:rsidR="0015732A" w:rsidRPr="00366025" w:rsidTr="001918ED">
        <w:tc>
          <w:tcPr>
            <w:tcW w:w="2407" w:type="dxa"/>
            <w:vAlign w:val="bottom"/>
          </w:tcPr>
          <w:p w:rsidR="0015732A" w:rsidRPr="00366025" w:rsidRDefault="0015732A" w:rsidP="0015732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4. Francja</w:t>
            </w:r>
          </w:p>
        </w:tc>
        <w:tc>
          <w:tcPr>
            <w:tcW w:w="772" w:type="dxa"/>
            <w:vAlign w:val="bottom"/>
          </w:tcPr>
          <w:p w:rsidR="0015732A" w:rsidRDefault="0015732A" w:rsidP="0015732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53,1</w:t>
            </w:r>
          </w:p>
        </w:tc>
        <w:tc>
          <w:tcPr>
            <w:tcW w:w="772" w:type="dxa"/>
            <w:vAlign w:val="bottom"/>
          </w:tcPr>
          <w:p w:rsidR="0015732A" w:rsidRDefault="0015732A" w:rsidP="0015732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14,8</w:t>
            </w:r>
          </w:p>
        </w:tc>
        <w:tc>
          <w:tcPr>
            <w:tcW w:w="772" w:type="dxa"/>
            <w:vAlign w:val="bottom"/>
          </w:tcPr>
          <w:p w:rsidR="0015732A" w:rsidRDefault="0015732A" w:rsidP="0015732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12,5</w:t>
            </w:r>
          </w:p>
        </w:tc>
        <w:tc>
          <w:tcPr>
            <w:tcW w:w="671" w:type="dxa"/>
            <w:vAlign w:val="bottom"/>
          </w:tcPr>
          <w:p w:rsidR="0015732A" w:rsidRDefault="0015732A" w:rsidP="0015732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106,9</w:t>
            </w:r>
          </w:p>
        </w:tc>
        <w:tc>
          <w:tcPr>
            <w:tcW w:w="671" w:type="dxa"/>
            <w:vAlign w:val="bottom"/>
          </w:tcPr>
          <w:p w:rsidR="0015732A" w:rsidRDefault="0015732A" w:rsidP="0015732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113,6</w:t>
            </w:r>
          </w:p>
        </w:tc>
        <w:tc>
          <w:tcPr>
            <w:tcW w:w="670" w:type="dxa"/>
            <w:vAlign w:val="bottom"/>
          </w:tcPr>
          <w:p w:rsidR="0015732A" w:rsidRDefault="0015732A" w:rsidP="0015732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107,4</w:t>
            </w:r>
          </w:p>
        </w:tc>
        <w:tc>
          <w:tcPr>
            <w:tcW w:w="644" w:type="dxa"/>
            <w:vAlign w:val="bottom"/>
          </w:tcPr>
          <w:p w:rsidR="0015732A" w:rsidRDefault="0015732A" w:rsidP="0015732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5,6</w:t>
            </w:r>
          </w:p>
        </w:tc>
        <w:tc>
          <w:tcPr>
            <w:tcW w:w="644" w:type="dxa"/>
            <w:vAlign w:val="bottom"/>
          </w:tcPr>
          <w:p w:rsidR="0015732A" w:rsidRDefault="0015732A" w:rsidP="0015732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5,6</w:t>
            </w:r>
          </w:p>
        </w:tc>
      </w:tr>
      <w:tr w:rsidR="0015732A" w:rsidRPr="00366025" w:rsidTr="001918ED">
        <w:tc>
          <w:tcPr>
            <w:tcW w:w="2407" w:type="dxa"/>
            <w:vAlign w:val="bottom"/>
          </w:tcPr>
          <w:p w:rsidR="0015732A" w:rsidRPr="00366025" w:rsidRDefault="0015732A" w:rsidP="0015732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5. Włochy</w:t>
            </w:r>
          </w:p>
        </w:tc>
        <w:tc>
          <w:tcPr>
            <w:tcW w:w="772" w:type="dxa"/>
            <w:vAlign w:val="bottom"/>
          </w:tcPr>
          <w:p w:rsidR="0015732A" w:rsidRDefault="0015732A" w:rsidP="0015732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43,8</w:t>
            </w:r>
          </w:p>
        </w:tc>
        <w:tc>
          <w:tcPr>
            <w:tcW w:w="772" w:type="dxa"/>
            <w:vAlign w:val="bottom"/>
          </w:tcPr>
          <w:p w:rsidR="0015732A" w:rsidRDefault="0015732A" w:rsidP="0015732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12,2</w:t>
            </w:r>
          </w:p>
        </w:tc>
        <w:tc>
          <w:tcPr>
            <w:tcW w:w="772" w:type="dxa"/>
            <w:vAlign w:val="bottom"/>
          </w:tcPr>
          <w:p w:rsidR="0015732A" w:rsidRDefault="0015732A" w:rsidP="0015732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10,3</w:t>
            </w:r>
          </w:p>
        </w:tc>
        <w:tc>
          <w:tcPr>
            <w:tcW w:w="671" w:type="dxa"/>
            <w:vAlign w:val="bottom"/>
          </w:tcPr>
          <w:p w:rsidR="0015732A" w:rsidRDefault="0015732A" w:rsidP="0015732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101,4</w:t>
            </w:r>
          </w:p>
        </w:tc>
        <w:tc>
          <w:tcPr>
            <w:tcW w:w="671" w:type="dxa"/>
            <w:vAlign w:val="bottom"/>
          </w:tcPr>
          <w:p w:rsidR="0015732A" w:rsidRDefault="0015732A" w:rsidP="0015732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107,9</w:t>
            </w:r>
          </w:p>
        </w:tc>
        <w:tc>
          <w:tcPr>
            <w:tcW w:w="670" w:type="dxa"/>
            <w:vAlign w:val="bottom"/>
          </w:tcPr>
          <w:p w:rsidR="0015732A" w:rsidRDefault="0015732A" w:rsidP="0015732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101,9</w:t>
            </w:r>
          </w:p>
        </w:tc>
        <w:tc>
          <w:tcPr>
            <w:tcW w:w="644" w:type="dxa"/>
            <w:vAlign w:val="bottom"/>
          </w:tcPr>
          <w:p w:rsidR="0015732A" w:rsidRDefault="0015732A" w:rsidP="0015732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4,9</w:t>
            </w:r>
          </w:p>
        </w:tc>
        <w:tc>
          <w:tcPr>
            <w:tcW w:w="644" w:type="dxa"/>
            <w:vAlign w:val="bottom"/>
          </w:tcPr>
          <w:p w:rsidR="0015732A" w:rsidRDefault="0015732A" w:rsidP="0015732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4,6</w:t>
            </w:r>
          </w:p>
        </w:tc>
      </w:tr>
      <w:tr w:rsidR="0015732A" w:rsidRPr="00366025" w:rsidTr="001918ED">
        <w:tc>
          <w:tcPr>
            <w:tcW w:w="2407" w:type="dxa"/>
            <w:vAlign w:val="bottom"/>
          </w:tcPr>
          <w:p w:rsidR="0015732A" w:rsidRPr="00366025" w:rsidRDefault="0015732A" w:rsidP="0015732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6. Holandia</w:t>
            </w:r>
          </w:p>
        </w:tc>
        <w:tc>
          <w:tcPr>
            <w:tcW w:w="772" w:type="dxa"/>
            <w:vAlign w:val="bottom"/>
          </w:tcPr>
          <w:p w:rsidR="0015732A" w:rsidRDefault="0015732A" w:rsidP="0015732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43,0</w:t>
            </w:r>
          </w:p>
        </w:tc>
        <w:tc>
          <w:tcPr>
            <w:tcW w:w="772" w:type="dxa"/>
            <w:vAlign w:val="bottom"/>
          </w:tcPr>
          <w:p w:rsidR="0015732A" w:rsidRDefault="0015732A" w:rsidP="0015732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12,0</w:t>
            </w:r>
          </w:p>
        </w:tc>
        <w:tc>
          <w:tcPr>
            <w:tcW w:w="772" w:type="dxa"/>
            <w:vAlign w:val="bottom"/>
          </w:tcPr>
          <w:p w:rsidR="0015732A" w:rsidRDefault="0015732A" w:rsidP="0015732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10,1</w:t>
            </w:r>
          </w:p>
        </w:tc>
        <w:tc>
          <w:tcPr>
            <w:tcW w:w="671" w:type="dxa"/>
            <w:vAlign w:val="bottom"/>
          </w:tcPr>
          <w:p w:rsidR="0015732A" w:rsidRDefault="0015732A" w:rsidP="0015732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110,7</w:t>
            </w:r>
          </w:p>
        </w:tc>
        <w:tc>
          <w:tcPr>
            <w:tcW w:w="671" w:type="dxa"/>
            <w:vAlign w:val="bottom"/>
          </w:tcPr>
          <w:p w:rsidR="0015732A" w:rsidRDefault="0015732A" w:rsidP="0015732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117,6</w:t>
            </w:r>
          </w:p>
        </w:tc>
        <w:tc>
          <w:tcPr>
            <w:tcW w:w="670" w:type="dxa"/>
            <w:vAlign w:val="bottom"/>
          </w:tcPr>
          <w:p w:rsidR="0015732A" w:rsidRDefault="0015732A" w:rsidP="0015732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111,2</w:t>
            </w:r>
          </w:p>
        </w:tc>
        <w:tc>
          <w:tcPr>
            <w:tcW w:w="644" w:type="dxa"/>
            <w:vAlign w:val="bottom"/>
          </w:tcPr>
          <w:p w:rsidR="0015732A" w:rsidRDefault="0015732A" w:rsidP="0015732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4,4</w:t>
            </w:r>
          </w:p>
        </w:tc>
        <w:tc>
          <w:tcPr>
            <w:tcW w:w="644" w:type="dxa"/>
            <w:vAlign w:val="bottom"/>
          </w:tcPr>
          <w:p w:rsidR="0015732A" w:rsidRDefault="0015732A" w:rsidP="0015732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15732A" w:rsidRPr="00366025" w:rsidTr="001918ED">
        <w:tc>
          <w:tcPr>
            <w:tcW w:w="2407" w:type="dxa"/>
            <w:vAlign w:val="bottom"/>
          </w:tcPr>
          <w:p w:rsidR="0015732A" w:rsidRPr="00366025" w:rsidRDefault="0015732A" w:rsidP="0015732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7. Rosja</w:t>
            </w:r>
          </w:p>
        </w:tc>
        <w:tc>
          <w:tcPr>
            <w:tcW w:w="772" w:type="dxa"/>
            <w:vAlign w:val="bottom"/>
          </w:tcPr>
          <w:p w:rsidR="0015732A" w:rsidRDefault="0015732A" w:rsidP="0015732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28,8</w:t>
            </w:r>
          </w:p>
        </w:tc>
        <w:tc>
          <w:tcPr>
            <w:tcW w:w="772" w:type="dxa"/>
            <w:vAlign w:val="bottom"/>
          </w:tcPr>
          <w:p w:rsidR="0015732A" w:rsidRDefault="0015732A" w:rsidP="0015732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8,0</w:t>
            </w:r>
          </w:p>
        </w:tc>
        <w:tc>
          <w:tcPr>
            <w:tcW w:w="772" w:type="dxa"/>
            <w:vAlign w:val="bottom"/>
          </w:tcPr>
          <w:p w:rsidR="0015732A" w:rsidRDefault="0015732A" w:rsidP="0015732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6,8</w:t>
            </w:r>
          </w:p>
        </w:tc>
        <w:tc>
          <w:tcPr>
            <w:tcW w:w="671" w:type="dxa"/>
            <w:vAlign w:val="bottom"/>
          </w:tcPr>
          <w:p w:rsidR="0015732A" w:rsidRDefault="0015732A" w:rsidP="0015732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109,3</w:t>
            </w:r>
          </w:p>
        </w:tc>
        <w:tc>
          <w:tcPr>
            <w:tcW w:w="671" w:type="dxa"/>
            <w:vAlign w:val="bottom"/>
          </w:tcPr>
          <w:p w:rsidR="0015732A" w:rsidRDefault="0015732A" w:rsidP="0015732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115,3</w:t>
            </w:r>
          </w:p>
        </w:tc>
        <w:tc>
          <w:tcPr>
            <w:tcW w:w="670" w:type="dxa"/>
            <w:vAlign w:val="bottom"/>
          </w:tcPr>
          <w:p w:rsidR="0015732A" w:rsidRDefault="0015732A" w:rsidP="0015732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109,5</w:t>
            </w:r>
          </w:p>
        </w:tc>
        <w:tc>
          <w:tcPr>
            <w:tcW w:w="644" w:type="dxa"/>
            <w:vAlign w:val="bottom"/>
          </w:tcPr>
          <w:p w:rsidR="0015732A" w:rsidRDefault="0015732A" w:rsidP="0015732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3,0</w:t>
            </w:r>
          </w:p>
        </w:tc>
        <w:tc>
          <w:tcPr>
            <w:tcW w:w="644" w:type="dxa"/>
            <w:vAlign w:val="bottom"/>
          </w:tcPr>
          <w:p w:rsidR="0015732A" w:rsidRDefault="0015732A" w:rsidP="0015732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3,0</w:t>
            </w:r>
          </w:p>
        </w:tc>
      </w:tr>
      <w:tr w:rsidR="0015732A" w:rsidRPr="00366025" w:rsidTr="001918ED">
        <w:tc>
          <w:tcPr>
            <w:tcW w:w="2407" w:type="dxa"/>
            <w:vAlign w:val="bottom"/>
          </w:tcPr>
          <w:p w:rsidR="0015732A" w:rsidRPr="00366025" w:rsidRDefault="0015732A" w:rsidP="0015732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8. Szwecja </w:t>
            </w:r>
          </w:p>
        </w:tc>
        <w:tc>
          <w:tcPr>
            <w:tcW w:w="772" w:type="dxa"/>
            <w:vAlign w:val="bottom"/>
          </w:tcPr>
          <w:p w:rsidR="0015732A" w:rsidRDefault="0015732A" w:rsidP="0015732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26,5</w:t>
            </w:r>
          </w:p>
        </w:tc>
        <w:tc>
          <w:tcPr>
            <w:tcW w:w="772" w:type="dxa"/>
            <w:vAlign w:val="bottom"/>
          </w:tcPr>
          <w:p w:rsidR="0015732A" w:rsidRDefault="0015732A" w:rsidP="0015732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7,4</w:t>
            </w:r>
          </w:p>
        </w:tc>
        <w:tc>
          <w:tcPr>
            <w:tcW w:w="772" w:type="dxa"/>
            <w:vAlign w:val="bottom"/>
          </w:tcPr>
          <w:p w:rsidR="0015732A" w:rsidRDefault="0015732A" w:rsidP="0015732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6,2</w:t>
            </w:r>
          </w:p>
        </w:tc>
        <w:tc>
          <w:tcPr>
            <w:tcW w:w="671" w:type="dxa"/>
            <w:vAlign w:val="bottom"/>
          </w:tcPr>
          <w:p w:rsidR="0015732A" w:rsidRDefault="0015732A" w:rsidP="0015732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106,7</w:t>
            </w:r>
          </w:p>
        </w:tc>
        <w:tc>
          <w:tcPr>
            <w:tcW w:w="671" w:type="dxa"/>
            <w:vAlign w:val="bottom"/>
          </w:tcPr>
          <w:p w:rsidR="0015732A" w:rsidRDefault="0015732A" w:rsidP="0015732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113,2</w:t>
            </w:r>
          </w:p>
        </w:tc>
        <w:tc>
          <w:tcPr>
            <w:tcW w:w="670" w:type="dxa"/>
            <w:vAlign w:val="bottom"/>
          </w:tcPr>
          <w:p w:rsidR="0015732A" w:rsidRDefault="0015732A" w:rsidP="0015732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107,1</w:t>
            </w:r>
          </w:p>
        </w:tc>
        <w:tc>
          <w:tcPr>
            <w:tcW w:w="644" w:type="dxa"/>
            <w:vAlign w:val="bottom"/>
          </w:tcPr>
          <w:p w:rsidR="0015732A" w:rsidRDefault="0015732A" w:rsidP="0015732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2,8</w:t>
            </w:r>
          </w:p>
        </w:tc>
        <w:tc>
          <w:tcPr>
            <w:tcW w:w="644" w:type="dxa"/>
            <w:vAlign w:val="bottom"/>
          </w:tcPr>
          <w:p w:rsidR="0015732A" w:rsidRDefault="0015732A" w:rsidP="0015732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2,8</w:t>
            </w:r>
          </w:p>
        </w:tc>
      </w:tr>
      <w:tr w:rsidR="0015732A" w:rsidRPr="00366025" w:rsidTr="001918ED">
        <w:tc>
          <w:tcPr>
            <w:tcW w:w="2407" w:type="dxa"/>
            <w:vAlign w:val="bottom"/>
          </w:tcPr>
          <w:p w:rsidR="0015732A" w:rsidRPr="00366025" w:rsidRDefault="0015732A" w:rsidP="0015732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9. Stany Zjednoczone</w:t>
            </w:r>
          </w:p>
        </w:tc>
        <w:tc>
          <w:tcPr>
            <w:tcW w:w="772" w:type="dxa"/>
            <w:vAlign w:val="bottom"/>
          </w:tcPr>
          <w:p w:rsidR="0015732A" w:rsidRDefault="0015732A" w:rsidP="0015732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26,2</w:t>
            </w:r>
          </w:p>
        </w:tc>
        <w:tc>
          <w:tcPr>
            <w:tcW w:w="772" w:type="dxa"/>
            <w:vAlign w:val="bottom"/>
          </w:tcPr>
          <w:p w:rsidR="0015732A" w:rsidRDefault="0015732A" w:rsidP="0015732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7,3</w:t>
            </w:r>
          </w:p>
        </w:tc>
        <w:tc>
          <w:tcPr>
            <w:tcW w:w="772" w:type="dxa"/>
            <w:vAlign w:val="bottom"/>
          </w:tcPr>
          <w:p w:rsidR="0015732A" w:rsidRDefault="0015732A" w:rsidP="0015732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6,1</w:t>
            </w:r>
          </w:p>
        </w:tc>
        <w:tc>
          <w:tcPr>
            <w:tcW w:w="671" w:type="dxa"/>
            <w:vAlign w:val="bottom"/>
          </w:tcPr>
          <w:p w:rsidR="0015732A" w:rsidRDefault="0015732A" w:rsidP="0015732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111,9</w:t>
            </w:r>
          </w:p>
        </w:tc>
        <w:tc>
          <w:tcPr>
            <w:tcW w:w="671" w:type="dxa"/>
            <w:vAlign w:val="bottom"/>
          </w:tcPr>
          <w:p w:rsidR="0015732A" w:rsidRDefault="0015732A" w:rsidP="0015732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118,7</w:t>
            </w:r>
          </w:p>
        </w:tc>
        <w:tc>
          <w:tcPr>
            <w:tcW w:w="670" w:type="dxa"/>
            <w:vAlign w:val="bottom"/>
          </w:tcPr>
          <w:p w:rsidR="0015732A" w:rsidRDefault="0015732A" w:rsidP="0015732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112,3</w:t>
            </w:r>
          </w:p>
        </w:tc>
        <w:tc>
          <w:tcPr>
            <w:tcW w:w="644" w:type="dxa"/>
            <w:vAlign w:val="bottom"/>
          </w:tcPr>
          <w:p w:rsidR="0015732A" w:rsidRDefault="0015732A" w:rsidP="0015732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2,6</w:t>
            </w:r>
          </w:p>
        </w:tc>
        <w:tc>
          <w:tcPr>
            <w:tcW w:w="644" w:type="dxa"/>
            <w:vAlign w:val="bottom"/>
          </w:tcPr>
          <w:p w:rsidR="0015732A" w:rsidRDefault="0015732A" w:rsidP="0015732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2,7</w:t>
            </w:r>
          </w:p>
        </w:tc>
      </w:tr>
      <w:tr w:rsidR="0015732A" w:rsidRPr="00366025" w:rsidTr="001918ED">
        <w:tc>
          <w:tcPr>
            <w:tcW w:w="2407" w:type="dxa"/>
            <w:vAlign w:val="bottom"/>
          </w:tcPr>
          <w:p w:rsidR="0015732A" w:rsidRPr="00366025" w:rsidRDefault="0015732A" w:rsidP="0015732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Węgry</w:t>
            </w:r>
          </w:p>
        </w:tc>
        <w:tc>
          <w:tcPr>
            <w:tcW w:w="772" w:type="dxa"/>
            <w:vAlign w:val="bottom"/>
          </w:tcPr>
          <w:p w:rsidR="0015732A" w:rsidRDefault="0015732A" w:rsidP="0015732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25,4</w:t>
            </w:r>
          </w:p>
        </w:tc>
        <w:tc>
          <w:tcPr>
            <w:tcW w:w="772" w:type="dxa"/>
            <w:vAlign w:val="bottom"/>
          </w:tcPr>
          <w:p w:rsidR="0015732A" w:rsidRDefault="0015732A" w:rsidP="0015732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7,1</w:t>
            </w:r>
          </w:p>
        </w:tc>
        <w:tc>
          <w:tcPr>
            <w:tcW w:w="772" w:type="dxa"/>
            <w:vAlign w:val="bottom"/>
          </w:tcPr>
          <w:p w:rsidR="0015732A" w:rsidRDefault="0015732A" w:rsidP="0015732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6,0</w:t>
            </w:r>
          </w:p>
        </w:tc>
        <w:tc>
          <w:tcPr>
            <w:tcW w:w="671" w:type="dxa"/>
            <w:vAlign w:val="bottom"/>
          </w:tcPr>
          <w:p w:rsidR="0015732A" w:rsidRDefault="0015732A" w:rsidP="0015732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108,7</w:t>
            </w:r>
          </w:p>
        </w:tc>
        <w:tc>
          <w:tcPr>
            <w:tcW w:w="671" w:type="dxa"/>
            <w:vAlign w:val="bottom"/>
          </w:tcPr>
          <w:p w:rsidR="0015732A" w:rsidRDefault="0015732A" w:rsidP="0015732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115,4</w:t>
            </w:r>
          </w:p>
        </w:tc>
        <w:tc>
          <w:tcPr>
            <w:tcW w:w="670" w:type="dxa"/>
            <w:vAlign w:val="bottom"/>
          </w:tcPr>
          <w:p w:rsidR="0015732A" w:rsidRDefault="0015732A" w:rsidP="0015732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109,1</w:t>
            </w:r>
          </w:p>
        </w:tc>
        <w:tc>
          <w:tcPr>
            <w:tcW w:w="644" w:type="dxa"/>
            <w:vAlign w:val="bottom"/>
          </w:tcPr>
          <w:p w:rsidR="0015732A" w:rsidRDefault="0015732A" w:rsidP="0015732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2,6</w:t>
            </w:r>
          </w:p>
        </w:tc>
        <w:tc>
          <w:tcPr>
            <w:tcW w:w="644" w:type="dxa"/>
            <w:vAlign w:val="bottom"/>
          </w:tcPr>
          <w:p w:rsidR="0015732A" w:rsidRDefault="0015732A" w:rsidP="0015732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2,7</w:t>
            </w:r>
          </w:p>
        </w:tc>
      </w:tr>
      <w:tr w:rsidR="00366025" w:rsidRPr="00366025" w:rsidTr="00D115A8">
        <w:tc>
          <w:tcPr>
            <w:tcW w:w="8023" w:type="dxa"/>
            <w:gridSpan w:val="9"/>
            <w:vAlign w:val="center"/>
          </w:tcPr>
          <w:p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 w:rsidR="00992926">
              <w:rPr>
                <w:rFonts w:cs="Arial"/>
                <w:b/>
                <w:sz w:val="16"/>
                <w:szCs w:val="16"/>
              </w:rPr>
              <w:t xml:space="preserve"> (wg kraju pochodzenia)</w:t>
            </w:r>
          </w:p>
        </w:tc>
      </w:tr>
      <w:tr w:rsidR="009C7A10" w:rsidRPr="00366025" w:rsidTr="00D115A8">
        <w:tc>
          <w:tcPr>
            <w:tcW w:w="2407" w:type="dxa"/>
            <w:vAlign w:val="bottom"/>
          </w:tcPr>
          <w:p w:rsidR="009C7A10" w:rsidRPr="00366025" w:rsidRDefault="009C7A10" w:rsidP="009C7A1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vAlign w:val="bottom"/>
          </w:tcPr>
          <w:p w:rsidR="009C7A10" w:rsidRDefault="009C7A10" w:rsidP="009C7A10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218,9</w:t>
            </w:r>
          </w:p>
        </w:tc>
        <w:tc>
          <w:tcPr>
            <w:tcW w:w="772" w:type="dxa"/>
            <w:vAlign w:val="bottom"/>
          </w:tcPr>
          <w:p w:rsidR="009C7A10" w:rsidRDefault="009C7A10" w:rsidP="009C7A10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61,0</w:t>
            </w:r>
          </w:p>
        </w:tc>
        <w:tc>
          <w:tcPr>
            <w:tcW w:w="772" w:type="dxa"/>
            <w:vAlign w:val="bottom"/>
          </w:tcPr>
          <w:p w:rsidR="009C7A10" w:rsidRDefault="009C7A10" w:rsidP="009C7A10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51,5</w:t>
            </w:r>
          </w:p>
        </w:tc>
        <w:tc>
          <w:tcPr>
            <w:tcW w:w="671" w:type="dxa"/>
            <w:vAlign w:val="bottom"/>
          </w:tcPr>
          <w:p w:rsidR="009C7A10" w:rsidRDefault="009C7A10" w:rsidP="009C7A10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107,5</w:t>
            </w:r>
          </w:p>
        </w:tc>
        <w:tc>
          <w:tcPr>
            <w:tcW w:w="671" w:type="dxa"/>
            <w:vAlign w:val="bottom"/>
          </w:tcPr>
          <w:p w:rsidR="009C7A10" w:rsidRDefault="009C7A10" w:rsidP="009C7A10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114,0</w:t>
            </w:r>
          </w:p>
        </w:tc>
        <w:tc>
          <w:tcPr>
            <w:tcW w:w="670" w:type="dxa"/>
            <w:vAlign w:val="bottom"/>
          </w:tcPr>
          <w:p w:rsidR="009C7A10" w:rsidRDefault="009C7A10" w:rsidP="009C7A10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107,9</w:t>
            </w:r>
          </w:p>
        </w:tc>
        <w:tc>
          <w:tcPr>
            <w:tcW w:w="644" w:type="dxa"/>
            <w:vAlign w:val="bottom"/>
          </w:tcPr>
          <w:p w:rsidR="009C7A10" w:rsidRDefault="009C7A10" w:rsidP="009C7A10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23,1</w:t>
            </w:r>
          </w:p>
        </w:tc>
        <w:tc>
          <w:tcPr>
            <w:tcW w:w="644" w:type="dxa"/>
            <w:vAlign w:val="bottom"/>
          </w:tcPr>
          <w:p w:rsidR="009C7A10" w:rsidRDefault="009C7A10" w:rsidP="009C7A10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22,6</w:t>
            </w:r>
          </w:p>
        </w:tc>
      </w:tr>
      <w:tr w:rsidR="009C7A10" w:rsidRPr="00366025" w:rsidTr="00D115A8">
        <w:tc>
          <w:tcPr>
            <w:tcW w:w="2407" w:type="dxa"/>
            <w:vAlign w:val="bottom"/>
          </w:tcPr>
          <w:p w:rsidR="009C7A10" w:rsidRPr="00366025" w:rsidRDefault="009C7A10" w:rsidP="009C7A1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2. Chiny</w:t>
            </w:r>
          </w:p>
        </w:tc>
        <w:tc>
          <w:tcPr>
            <w:tcW w:w="772" w:type="dxa"/>
            <w:vAlign w:val="bottom"/>
          </w:tcPr>
          <w:p w:rsidR="009C7A10" w:rsidRDefault="009C7A10" w:rsidP="009C7A10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112,7</w:t>
            </w:r>
          </w:p>
        </w:tc>
        <w:tc>
          <w:tcPr>
            <w:tcW w:w="772" w:type="dxa"/>
            <w:vAlign w:val="bottom"/>
          </w:tcPr>
          <w:p w:rsidR="009C7A10" w:rsidRDefault="009C7A10" w:rsidP="009C7A10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31,3</w:t>
            </w:r>
          </w:p>
        </w:tc>
        <w:tc>
          <w:tcPr>
            <w:tcW w:w="772" w:type="dxa"/>
            <w:vAlign w:val="bottom"/>
          </w:tcPr>
          <w:p w:rsidR="009C7A10" w:rsidRDefault="009C7A10" w:rsidP="009C7A10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26,5</w:t>
            </w:r>
          </w:p>
        </w:tc>
        <w:tc>
          <w:tcPr>
            <w:tcW w:w="671" w:type="dxa"/>
            <w:vAlign w:val="bottom"/>
          </w:tcPr>
          <w:p w:rsidR="009C7A10" w:rsidRDefault="009C7A10" w:rsidP="009C7A10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108,7</w:t>
            </w:r>
          </w:p>
        </w:tc>
        <w:tc>
          <w:tcPr>
            <w:tcW w:w="671" w:type="dxa"/>
            <w:vAlign w:val="bottom"/>
          </w:tcPr>
          <w:p w:rsidR="009C7A10" w:rsidRDefault="009C7A10" w:rsidP="009C7A10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114,8</w:t>
            </w:r>
          </w:p>
        </w:tc>
        <w:tc>
          <w:tcPr>
            <w:tcW w:w="670" w:type="dxa"/>
            <w:vAlign w:val="bottom"/>
          </w:tcPr>
          <w:p w:rsidR="009C7A10" w:rsidRDefault="009C7A10" w:rsidP="009C7A10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109,0</w:t>
            </w:r>
          </w:p>
        </w:tc>
        <w:tc>
          <w:tcPr>
            <w:tcW w:w="644" w:type="dxa"/>
            <w:vAlign w:val="bottom"/>
          </w:tcPr>
          <w:p w:rsidR="009C7A10" w:rsidRDefault="009C7A10" w:rsidP="009C7A10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11,8</w:t>
            </w:r>
          </w:p>
        </w:tc>
        <w:tc>
          <w:tcPr>
            <w:tcW w:w="644" w:type="dxa"/>
            <w:vAlign w:val="bottom"/>
          </w:tcPr>
          <w:p w:rsidR="009C7A10" w:rsidRDefault="009C7A10" w:rsidP="009C7A10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11,6</w:t>
            </w:r>
          </w:p>
        </w:tc>
      </w:tr>
      <w:tr w:rsidR="009C7A10" w:rsidRPr="00366025" w:rsidTr="00D115A8">
        <w:tc>
          <w:tcPr>
            <w:tcW w:w="2407" w:type="dxa"/>
            <w:vAlign w:val="bottom"/>
          </w:tcPr>
          <w:p w:rsidR="009C7A10" w:rsidRPr="00366025" w:rsidRDefault="009C7A10" w:rsidP="009C7A1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3. Rosja</w:t>
            </w:r>
          </w:p>
        </w:tc>
        <w:tc>
          <w:tcPr>
            <w:tcW w:w="772" w:type="dxa"/>
            <w:vAlign w:val="bottom"/>
          </w:tcPr>
          <w:p w:rsidR="009C7A10" w:rsidRDefault="009C7A10" w:rsidP="009C7A10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69,3</w:t>
            </w:r>
          </w:p>
        </w:tc>
        <w:tc>
          <w:tcPr>
            <w:tcW w:w="772" w:type="dxa"/>
            <w:vAlign w:val="bottom"/>
          </w:tcPr>
          <w:p w:rsidR="009C7A10" w:rsidRDefault="009C7A10" w:rsidP="009C7A10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19,2</w:t>
            </w:r>
          </w:p>
        </w:tc>
        <w:tc>
          <w:tcPr>
            <w:tcW w:w="772" w:type="dxa"/>
            <w:vAlign w:val="bottom"/>
          </w:tcPr>
          <w:p w:rsidR="009C7A10" w:rsidRDefault="009C7A10" w:rsidP="009C7A10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16,3</w:t>
            </w:r>
          </w:p>
        </w:tc>
        <w:tc>
          <w:tcPr>
            <w:tcW w:w="671" w:type="dxa"/>
            <w:vAlign w:val="bottom"/>
          </w:tcPr>
          <w:p w:rsidR="009C7A10" w:rsidRDefault="009C7A10" w:rsidP="009C7A10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123,9</w:t>
            </w:r>
          </w:p>
        </w:tc>
        <w:tc>
          <w:tcPr>
            <w:tcW w:w="671" w:type="dxa"/>
            <w:vAlign w:val="bottom"/>
          </w:tcPr>
          <w:p w:rsidR="009C7A10" w:rsidRDefault="009C7A10" w:rsidP="009C7A10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131,2</w:t>
            </w:r>
          </w:p>
        </w:tc>
        <w:tc>
          <w:tcPr>
            <w:tcW w:w="670" w:type="dxa"/>
            <w:vAlign w:val="bottom"/>
          </w:tcPr>
          <w:p w:rsidR="009C7A10" w:rsidRDefault="009C7A10" w:rsidP="009C7A10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124,3</w:t>
            </w:r>
          </w:p>
        </w:tc>
        <w:tc>
          <w:tcPr>
            <w:tcW w:w="644" w:type="dxa"/>
            <w:vAlign w:val="bottom"/>
          </w:tcPr>
          <w:p w:rsidR="009C7A10" w:rsidRDefault="009C7A10" w:rsidP="009C7A10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6,4</w:t>
            </w:r>
          </w:p>
        </w:tc>
        <w:tc>
          <w:tcPr>
            <w:tcW w:w="644" w:type="dxa"/>
            <w:vAlign w:val="bottom"/>
          </w:tcPr>
          <w:p w:rsidR="009C7A10" w:rsidRDefault="009C7A10" w:rsidP="009C7A10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7,1</w:t>
            </w:r>
          </w:p>
        </w:tc>
      </w:tr>
      <w:tr w:rsidR="009C7A10" w:rsidRPr="00366025" w:rsidTr="00D115A8">
        <w:tc>
          <w:tcPr>
            <w:tcW w:w="2407" w:type="dxa"/>
            <w:vAlign w:val="bottom"/>
          </w:tcPr>
          <w:p w:rsidR="009C7A10" w:rsidRPr="00366025" w:rsidRDefault="009C7A10" w:rsidP="009C7A1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4. Włochy </w:t>
            </w:r>
          </w:p>
        </w:tc>
        <w:tc>
          <w:tcPr>
            <w:tcW w:w="772" w:type="dxa"/>
            <w:vAlign w:val="bottom"/>
          </w:tcPr>
          <w:p w:rsidR="009C7A10" w:rsidRDefault="009C7A10" w:rsidP="009C7A10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49,8</w:t>
            </w:r>
          </w:p>
        </w:tc>
        <w:tc>
          <w:tcPr>
            <w:tcW w:w="772" w:type="dxa"/>
            <w:vAlign w:val="bottom"/>
          </w:tcPr>
          <w:p w:rsidR="009C7A10" w:rsidRDefault="009C7A10" w:rsidP="009C7A10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13,9</w:t>
            </w:r>
          </w:p>
        </w:tc>
        <w:tc>
          <w:tcPr>
            <w:tcW w:w="772" w:type="dxa"/>
            <w:vAlign w:val="bottom"/>
          </w:tcPr>
          <w:p w:rsidR="009C7A10" w:rsidRDefault="009C7A10" w:rsidP="009C7A10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11,7</w:t>
            </w:r>
          </w:p>
        </w:tc>
        <w:tc>
          <w:tcPr>
            <w:tcW w:w="671" w:type="dxa"/>
            <w:vAlign w:val="bottom"/>
          </w:tcPr>
          <w:p w:rsidR="009C7A10" w:rsidRDefault="009C7A10" w:rsidP="009C7A10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106,4</w:t>
            </w:r>
          </w:p>
        </w:tc>
        <w:tc>
          <w:tcPr>
            <w:tcW w:w="671" w:type="dxa"/>
            <w:vAlign w:val="bottom"/>
          </w:tcPr>
          <w:p w:rsidR="009C7A10" w:rsidRDefault="009C7A10" w:rsidP="009C7A10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113,0</w:t>
            </w:r>
          </w:p>
        </w:tc>
        <w:tc>
          <w:tcPr>
            <w:tcW w:w="670" w:type="dxa"/>
            <w:vAlign w:val="bottom"/>
          </w:tcPr>
          <w:p w:rsidR="009C7A10" w:rsidRDefault="009C7A10" w:rsidP="009C7A10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106,8</w:t>
            </w:r>
          </w:p>
        </w:tc>
        <w:tc>
          <w:tcPr>
            <w:tcW w:w="644" w:type="dxa"/>
            <w:vAlign w:val="bottom"/>
          </w:tcPr>
          <w:p w:rsidR="009C7A10" w:rsidRDefault="009C7A10" w:rsidP="009C7A10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5,3</w:t>
            </w:r>
          </w:p>
        </w:tc>
        <w:tc>
          <w:tcPr>
            <w:tcW w:w="644" w:type="dxa"/>
            <w:vAlign w:val="bottom"/>
          </w:tcPr>
          <w:p w:rsidR="009C7A10" w:rsidRDefault="009C7A10" w:rsidP="009C7A10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5,1</w:t>
            </w:r>
          </w:p>
        </w:tc>
      </w:tr>
      <w:tr w:rsidR="009C7A10" w:rsidRPr="00366025" w:rsidTr="00D115A8">
        <w:tc>
          <w:tcPr>
            <w:tcW w:w="2407" w:type="dxa"/>
            <w:vAlign w:val="bottom"/>
          </w:tcPr>
          <w:p w:rsidR="009C7A10" w:rsidRPr="00366025" w:rsidRDefault="009C7A10" w:rsidP="009C7A1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5. Francja </w:t>
            </w:r>
          </w:p>
        </w:tc>
        <w:tc>
          <w:tcPr>
            <w:tcW w:w="772" w:type="dxa"/>
            <w:vAlign w:val="bottom"/>
          </w:tcPr>
          <w:p w:rsidR="009C7A10" w:rsidRDefault="009C7A10" w:rsidP="009C7A10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35,6</w:t>
            </w:r>
          </w:p>
        </w:tc>
        <w:tc>
          <w:tcPr>
            <w:tcW w:w="772" w:type="dxa"/>
            <w:vAlign w:val="bottom"/>
          </w:tcPr>
          <w:p w:rsidR="009C7A10" w:rsidRDefault="009C7A10" w:rsidP="009C7A10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9,9</w:t>
            </w:r>
          </w:p>
        </w:tc>
        <w:tc>
          <w:tcPr>
            <w:tcW w:w="772" w:type="dxa"/>
            <w:vAlign w:val="bottom"/>
          </w:tcPr>
          <w:p w:rsidR="009C7A10" w:rsidRDefault="009C7A10" w:rsidP="009C7A10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8,4</w:t>
            </w:r>
          </w:p>
        </w:tc>
        <w:tc>
          <w:tcPr>
            <w:tcW w:w="671" w:type="dxa"/>
            <w:vAlign w:val="bottom"/>
          </w:tcPr>
          <w:p w:rsidR="009C7A10" w:rsidRDefault="009C7A10" w:rsidP="009C7A10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104,3</w:t>
            </w:r>
          </w:p>
        </w:tc>
        <w:tc>
          <w:tcPr>
            <w:tcW w:w="671" w:type="dxa"/>
            <w:vAlign w:val="bottom"/>
          </w:tcPr>
          <w:p w:rsidR="009C7A10" w:rsidRDefault="009C7A10" w:rsidP="009C7A10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110,8</w:t>
            </w:r>
          </w:p>
        </w:tc>
        <w:tc>
          <w:tcPr>
            <w:tcW w:w="670" w:type="dxa"/>
            <w:vAlign w:val="bottom"/>
          </w:tcPr>
          <w:p w:rsidR="009C7A10" w:rsidRDefault="009C7A10" w:rsidP="009C7A10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104,7</w:t>
            </w:r>
          </w:p>
        </w:tc>
        <w:tc>
          <w:tcPr>
            <w:tcW w:w="644" w:type="dxa"/>
            <w:vAlign w:val="bottom"/>
          </w:tcPr>
          <w:p w:rsidR="009C7A10" w:rsidRDefault="009C7A10" w:rsidP="009C7A10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3,9</w:t>
            </w:r>
          </w:p>
        </w:tc>
        <w:tc>
          <w:tcPr>
            <w:tcW w:w="644" w:type="dxa"/>
            <w:vAlign w:val="bottom"/>
          </w:tcPr>
          <w:p w:rsidR="009C7A10" w:rsidRDefault="009C7A10" w:rsidP="009C7A10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3,7</w:t>
            </w:r>
          </w:p>
        </w:tc>
      </w:tr>
      <w:tr w:rsidR="009C7A10" w:rsidRPr="00366025" w:rsidTr="00D115A8">
        <w:tc>
          <w:tcPr>
            <w:tcW w:w="2407" w:type="dxa"/>
            <w:vAlign w:val="bottom"/>
          </w:tcPr>
          <w:p w:rsidR="009C7A10" w:rsidRPr="00366025" w:rsidRDefault="009C7A10" w:rsidP="009C7A1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6. Holandia</w:t>
            </w:r>
          </w:p>
        </w:tc>
        <w:tc>
          <w:tcPr>
            <w:tcW w:w="772" w:type="dxa"/>
            <w:vAlign w:val="bottom"/>
          </w:tcPr>
          <w:p w:rsidR="009C7A10" w:rsidRDefault="009C7A10" w:rsidP="009C7A10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35,2</w:t>
            </w:r>
          </w:p>
        </w:tc>
        <w:tc>
          <w:tcPr>
            <w:tcW w:w="772" w:type="dxa"/>
            <w:vAlign w:val="bottom"/>
          </w:tcPr>
          <w:p w:rsidR="009C7A10" w:rsidRDefault="009C7A10" w:rsidP="009C7A10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9,8</w:t>
            </w:r>
          </w:p>
        </w:tc>
        <w:tc>
          <w:tcPr>
            <w:tcW w:w="772" w:type="dxa"/>
            <w:vAlign w:val="bottom"/>
          </w:tcPr>
          <w:p w:rsidR="009C7A10" w:rsidRDefault="009C7A10" w:rsidP="009C7A10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8,3</w:t>
            </w:r>
          </w:p>
        </w:tc>
        <w:tc>
          <w:tcPr>
            <w:tcW w:w="671" w:type="dxa"/>
            <w:vAlign w:val="bottom"/>
          </w:tcPr>
          <w:p w:rsidR="009C7A10" w:rsidRDefault="009C7A10" w:rsidP="009C7A10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104,8</w:t>
            </w:r>
          </w:p>
        </w:tc>
        <w:tc>
          <w:tcPr>
            <w:tcW w:w="671" w:type="dxa"/>
            <w:vAlign w:val="bottom"/>
          </w:tcPr>
          <w:p w:rsidR="009C7A10" w:rsidRDefault="009C7A10" w:rsidP="009C7A10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111,4</w:t>
            </w:r>
          </w:p>
        </w:tc>
        <w:tc>
          <w:tcPr>
            <w:tcW w:w="670" w:type="dxa"/>
            <w:vAlign w:val="bottom"/>
          </w:tcPr>
          <w:p w:rsidR="009C7A10" w:rsidRDefault="009C7A10" w:rsidP="009C7A10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105,2</w:t>
            </w:r>
          </w:p>
        </w:tc>
        <w:tc>
          <w:tcPr>
            <w:tcW w:w="644" w:type="dxa"/>
            <w:vAlign w:val="bottom"/>
          </w:tcPr>
          <w:p w:rsidR="009C7A10" w:rsidRDefault="009C7A10" w:rsidP="009C7A10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3,8</w:t>
            </w:r>
          </w:p>
        </w:tc>
        <w:tc>
          <w:tcPr>
            <w:tcW w:w="644" w:type="dxa"/>
            <w:vAlign w:val="bottom"/>
          </w:tcPr>
          <w:p w:rsidR="009C7A10" w:rsidRDefault="009C7A10" w:rsidP="009C7A10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3,6</w:t>
            </w:r>
          </w:p>
        </w:tc>
      </w:tr>
      <w:tr w:rsidR="009C7A10" w:rsidRPr="00366025" w:rsidTr="00D115A8">
        <w:tc>
          <w:tcPr>
            <w:tcW w:w="2407" w:type="dxa"/>
            <w:vAlign w:val="bottom"/>
          </w:tcPr>
          <w:p w:rsidR="009C7A10" w:rsidRPr="00366025" w:rsidRDefault="009C7A10" w:rsidP="009C7A1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7. Czechy</w:t>
            </w:r>
          </w:p>
        </w:tc>
        <w:tc>
          <w:tcPr>
            <w:tcW w:w="772" w:type="dxa"/>
            <w:vAlign w:val="bottom"/>
          </w:tcPr>
          <w:p w:rsidR="009C7A10" w:rsidRDefault="009C7A10" w:rsidP="009C7A10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33,4</w:t>
            </w:r>
          </w:p>
        </w:tc>
        <w:tc>
          <w:tcPr>
            <w:tcW w:w="772" w:type="dxa"/>
            <w:vAlign w:val="bottom"/>
          </w:tcPr>
          <w:p w:rsidR="009C7A10" w:rsidRDefault="009C7A10" w:rsidP="009C7A10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9,3</w:t>
            </w:r>
          </w:p>
        </w:tc>
        <w:tc>
          <w:tcPr>
            <w:tcW w:w="772" w:type="dxa"/>
            <w:vAlign w:val="bottom"/>
          </w:tcPr>
          <w:p w:rsidR="009C7A10" w:rsidRDefault="009C7A10" w:rsidP="009C7A10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7,9</w:t>
            </w:r>
          </w:p>
        </w:tc>
        <w:tc>
          <w:tcPr>
            <w:tcW w:w="671" w:type="dxa"/>
            <w:vAlign w:val="bottom"/>
          </w:tcPr>
          <w:p w:rsidR="009C7A10" w:rsidRDefault="009C7A10" w:rsidP="009C7A10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105,3</w:t>
            </w:r>
          </w:p>
        </w:tc>
        <w:tc>
          <w:tcPr>
            <w:tcW w:w="671" w:type="dxa"/>
            <w:vAlign w:val="bottom"/>
          </w:tcPr>
          <w:p w:rsidR="009C7A10" w:rsidRDefault="009C7A10" w:rsidP="009C7A10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111,9</w:t>
            </w:r>
          </w:p>
        </w:tc>
        <w:tc>
          <w:tcPr>
            <w:tcW w:w="670" w:type="dxa"/>
            <w:vAlign w:val="bottom"/>
          </w:tcPr>
          <w:p w:rsidR="009C7A10" w:rsidRDefault="009C7A10" w:rsidP="009C7A10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105,8</w:t>
            </w:r>
          </w:p>
        </w:tc>
        <w:tc>
          <w:tcPr>
            <w:tcW w:w="644" w:type="dxa"/>
            <w:vAlign w:val="bottom"/>
          </w:tcPr>
          <w:p w:rsidR="009C7A10" w:rsidRDefault="009C7A10" w:rsidP="009C7A10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3,6</w:t>
            </w:r>
          </w:p>
        </w:tc>
        <w:tc>
          <w:tcPr>
            <w:tcW w:w="644" w:type="dxa"/>
            <w:vAlign w:val="bottom"/>
          </w:tcPr>
          <w:p w:rsidR="009C7A10" w:rsidRDefault="009C7A10" w:rsidP="009C7A10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3,4</w:t>
            </w:r>
          </w:p>
        </w:tc>
      </w:tr>
      <w:tr w:rsidR="009C7A10" w:rsidRPr="00366025" w:rsidTr="00D115A8">
        <w:tc>
          <w:tcPr>
            <w:tcW w:w="2407" w:type="dxa"/>
            <w:vAlign w:val="bottom"/>
          </w:tcPr>
          <w:p w:rsidR="009C7A10" w:rsidRPr="00366025" w:rsidRDefault="009C7A10" w:rsidP="009C7A10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8. Stany Zjednoczone</w:t>
            </w:r>
          </w:p>
        </w:tc>
        <w:tc>
          <w:tcPr>
            <w:tcW w:w="772" w:type="dxa"/>
            <w:vAlign w:val="bottom"/>
          </w:tcPr>
          <w:p w:rsidR="009C7A10" w:rsidRDefault="009C7A10" w:rsidP="009C7A10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27,6</w:t>
            </w:r>
          </w:p>
        </w:tc>
        <w:tc>
          <w:tcPr>
            <w:tcW w:w="772" w:type="dxa"/>
            <w:vAlign w:val="bottom"/>
          </w:tcPr>
          <w:p w:rsidR="009C7A10" w:rsidRDefault="009C7A10" w:rsidP="009C7A10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7,7</w:t>
            </w:r>
          </w:p>
        </w:tc>
        <w:tc>
          <w:tcPr>
            <w:tcW w:w="772" w:type="dxa"/>
            <w:vAlign w:val="bottom"/>
          </w:tcPr>
          <w:p w:rsidR="009C7A10" w:rsidRDefault="009C7A10" w:rsidP="009C7A10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6,5</w:t>
            </w:r>
          </w:p>
        </w:tc>
        <w:tc>
          <w:tcPr>
            <w:tcW w:w="671" w:type="dxa"/>
            <w:vAlign w:val="bottom"/>
          </w:tcPr>
          <w:p w:rsidR="009C7A10" w:rsidRDefault="009C7A10" w:rsidP="009C7A10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110,1</w:t>
            </w:r>
          </w:p>
        </w:tc>
        <w:tc>
          <w:tcPr>
            <w:tcW w:w="671" w:type="dxa"/>
            <w:vAlign w:val="bottom"/>
          </w:tcPr>
          <w:p w:rsidR="009C7A10" w:rsidRDefault="009C7A10" w:rsidP="009C7A10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117,0</w:t>
            </w:r>
          </w:p>
        </w:tc>
        <w:tc>
          <w:tcPr>
            <w:tcW w:w="670" w:type="dxa"/>
            <w:vAlign w:val="bottom"/>
          </w:tcPr>
          <w:p w:rsidR="009C7A10" w:rsidRDefault="009C7A10" w:rsidP="009C7A10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110,5</w:t>
            </w:r>
          </w:p>
        </w:tc>
        <w:tc>
          <w:tcPr>
            <w:tcW w:w="644" w:type="dxa"/>
            <w:vAlign w:val="bottom"/>
          </w:tcPr>
          <w:p w:rsidR="009C7A10" w:rsidRDefault="009C7A10" w:rsidP="009C7A10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2,8</w:t>
            </w:r>
          </w:p>
        </w:tc>
        <w:tc>
          <w:tcPr>
            <w:tcW w:w="644" w:type="dxa"/>
            <w:vAlign w:val="bottom"/>
          </w:tcPr>
          <w:p w:rsidR="009C7A10" w:rsidRDefault="009C7A10" w:rsidP="009C7A10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2,8</w:t>
            </w:r>
          </w:p>
        </w:tc>
      </w:tr>
      <w:tr w:rsidR="009C7A10" w:rsidRPr="00366025" w:rsidTr="00D115A8">
        <w:tc>
          <w:tcPr>
            <w:tcW w:w="2407" w:type="dxa"/>
            <w:vAlign w:val="bottom"/>
          </w:tcPr>
          <w:p w:rsidR="009C7A10" w:rsidRPr="00366025" w:rsidRDefault="009C7A10" w:rsidP="009C7A1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9. Belgia</w:t>
            </w:r>
          </w:p>
        </w:tc>
        <w:tc>
          <w:tcPr>
            <w:tcW w:w="772" w:type="dxa"/>
            <w:vAlign w:val="bottom"/>
          </w:tcPr>
          <w:p w:rsidR="009C7A10" w:rsidRDefault="009C7A10" w:rsidP="009C7A10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24,1</w:t>
            </w:r>
          </w:p>
        </w:tc>
        <w:tc>
          <w:tcPr>
            <w:tcW w:w="772" w:type="dxa"/>
            <w:vAlign w:val="bottom"/>
          </w:tcPr>
          <w:p w:rsidR="009C7A10" w:rsidRDefault="009C7A10" w:rsidP="009C7A10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6,7</w:t>
            </w:r>
          </w:p>
        </w:tc>
        <w:tc>
          <w:tcPr>
            <w:tcW w:w="772" w:type="dxa"/>
            <w:vAlign w:val="bottom"/>
          </w:tcPr>
          <w:p w:rsidR="009C7A10" w:rsidRDefault="009C7A10" w:rsidP="009C7A10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5,7</w:t>
            </w:r>
          </w:p>
        </w:tc>
        <w:tc>
          <w:tcPr>
            <w:tcW w:w="671" w:type="dxa"/>
            <w:vAlign w:val="bottom"/>
          </w:tcPr>
          <w:p w:rsidR="009C7A10" w:rsidRDefault="009C7A10" w:rsidP="009C7A10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107,2</w:t>
            </w:r>
          </w:p>
        </w:tc>
        <w:tc>
          <w:tcPr>
            <w:tcW w:w="671" w:type="dxa"/>
            <w:vAlign w:val="bottom"/>
          </w:tcPr>
          <w:p w:rsidR="009C7A10" w:rsidRDefault="009C7A10" w:rsidP="009C7A10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113,9</w:t>
            </w:r>
          </w:p>
        </w:tc>
        <w:tc>
          <w:tcPr>
            <w:tcW w:w="670" w:type="dxa"/>
            <w:vAlign w:val="bottom"/>
          </w:tcPr>
          <w:p w:rsidR="009C7A10" w:rsidRDefault="009C7A10" w:rsidP="009C7A10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107,7</w:t>
            </w:r>
          </w:p>
        </w:tc>
        <w:tc>
          <w:tcPr>
            <w:tcW w:w="644" w:type="dxa"/>
            <w:vAlign w:val="bottom"/>
          </w:tcPr>
          <w:p w:rsidR="009C7A10" w:rsidRDefault="009C7A10" w:rsidP="009C7A10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2,6</w:t>
            </w:r>
          </w:p>
        </w:tc>
        <w:tc>
          <w:tcPr>
            <w:tcW w:w="644" w:type="dxa"/>
            <w:vAlign w:val="bottom"/>
          </w:tcPr>
          <w:p w:rsidR="009C7A10" w:rsidRDefault="009C7A10" w:rsidP="009C7A10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9C7A10" w:rsidRPr="00366025" w:rsidTr="00D115A8">
        <w:tc>
          <w:tcPr>
            <w:tcW w:w="2407" w:type="dxa"/>
            <w:vAlign w:val="bottom"/>
          </w:tcPr>
          <w:p w:rsidR="009C7A10" w:rsidRPr="00366025" w:rsidRDefault="009C7A10" w:rsidP="009C7A1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10. W. Brytania</w:t>
            </w:r>
          </w:p>
        </w:tc>
        <w:tc>
          <w:tcPr>
            <w:tcW w:w="772" w:type="dxa"/>
            <w:vAlign w:val="bottom"/>
          </w:tcPr>
          <w:p w:rsidR="009C7A10" w:rsidRDefault="009C7A10" w:rsidP="009C7A10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23,7</w:t>
            </w:r>
          </w:p>
        </w:tc>
        <w:tc>
          <w:tcPr>
            <w:tcW w:w="772" w:type="dxa"/>
            <w:vAlign w:val="bottom"/>
          </w:tcPr>
          <w:p w:rsidR="009C7A10" w:rsidRDefault="009C7A10" w:rsidP="009C7A10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6,6</w:t>
            </w:r>
          </w:p>
        </w:tc>
        <w:tc>
          <w:tcPr>
            <w:tcW w:w="772" w:type="dxa"/>
            <w:vAlign w:val="bottom"/>
          </w:tcPr>
          <w:p w:rsidR="009C7A10" w:rsidRDefault="009C7A10" w:rsidP="009C7A10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5,6</w:t>
            </w:r>
          </w:p>
        </w:tc>
        <w:tc>
          <w:tcPr>
            <w:tcW w:w="671" w:type="dxa"/>
            <w:vAlign w:val="bottom"/>
          </w:tcPr>
          <w:p w:rsidR="009C7A10" w:rsidRDefault="009C7A10" w:rsidP="009C7A10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112,1</w:t>
            </w:r>
          </w:p>
        </w:tc>
        <w:tc>
          <w:tcPr>
            <w:tcW w:w="671" w:type="dxa"/>
            <w:vAlign w:val="bottom"/>
          </w:tcPr>
          <w:p w:rsidR="009C7A10" w:rsidRDefault="009C7A10" w:rsidP="009C7A10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118,5</w:t>
            </w:r>
          </w:p>
        </w:tc>
        <w:tc>
          <w:tcPr>
            <w:tcW w:w="670" w:type="dxa"/>
            <w:vAlign w:val="bottom"/>
          </w:tcPr>
          <w:p w:rsidR="009C7A10" w:rsidRDefault="009C7A10" w:rsidP="009C7A10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112,5</w:t>
            </w:r>
          </w:p>
        </w:tc>
        <w:tc>
          <w:tcPr>
            <w:tcW w:w="644" w:type="dxa"/>
            <w:vAlign w:val="bottom"/>
          </w:tcPr>
          <w:p w:rsidR="009C7A10" w:rsidRDefault="009C7A10" w:rsidP="009C7A10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2,4</w:t>
            </w:r>
          </w:p>
        </w:tc>
        <w:tc>
          <w:tcPr>
            <w:tcW w:w="644" w:type="dxa"/>
            <w:vAlign w:val="bottom"/>
          </w:tcPr>
          <w:p w:rsidR="009C7A10" w:rsidRDefault="009C7A10" w:rsidP="009C7A10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2,4</w:t>
            </w:r>
          </w:p>
        </w:tc>
      </w:tr>
    </w:tbl>
    <w:p w:rsidR="00CD2FE9" w:rsidRDefault="00CD2FE9" w:rsidP="00366025">
      <w:pPr>
        <w:rPr>
          <w:b/>
          <w:sz w:val="18"/>
          <w:szCs w:val="18"/>
        </w:rPr>
      </w:pPr>
    </w:p>
    <w:p w:rsidR="004F68CF" w:rsidRDefault="00E14E43" w:rsidP="00366025">
      <w:pPr>
        <w:rPr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59616" behindDoc="1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256540</wp:posOffset>
            </wp:positionV>
            <wp:extent cx="4993640" cy="1097280"/>
            <wp:effectExtent l="0" t="0" r="0" b="7620"/>
            <wp:wrapNone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0DA2" w:rsidRPr="00F70DA2">
        <w:rPr>
          <w:b/>
          <w:sz w:val="18"/>
          <w:szCs w:val="18"/>
        </w:rPr>
        <w:t xml:space="preserve">Wykres </w:t>
      </w:r>
      <w:r w:rsidR="004A29AD">
        <w:rPr>
          <w:b/>
          <w:sz w:val="18"/>
          <w:szCs w:val="18"/>
        </w:rPr>
        <w:t>4</w:t>
      </w:r>
      <w:r w:rsidR="002D45CF">
        <w:rPr>
          <w:b/>
          <w:sz w:val="18"/>
          <w:szCs w:val="18"/>
        </w:rPr>
        <w:t>.</w:t>
      </w:r>
      <w:r w:rsidR="00F70DA2" w:rsidRPr="00F70DA2">
        <w:rPr>
          <w:b/>
          <w:sz w:val="18"/>
          <w:szCs w:val="18"/>
          <w:shd w:val="clear" w:color="auto" w:fill="FFFFFF"/>
        </w:rPr>
        <w:t xml:space="preserve"> </w:t>
      </w:r>
      <w:r w:rsidR="00F70DA2">
        <w:rPr>
          <w:b/>
          <w:sz w:val="18"/>
          <w:szCs w:val="18"/>
          <w:shd w:val="clear" w:color="auto" w:fill="FFFFFF"/>
        </w:rPr>
        <w:t xml:space="preserve">Saldo </w:t>
      </w:r>
      <w:r w:rsidR="004D100F">
        <w:rPr>
          <w:b/>
          <w:sz w:val="18"/>
          <w:szCs w:val="18"/>
          <w:shd w:val="clear" w:color="auto" w:fill="FFFFFF"/>
        </w:rPr>
        <w:t>Polski z Rosją</w:t>
      </w:r>
      <w:r w:rsidR="009C5D06">
        <w:rPr>
          <w:b/>
          <w:sz w:val="18"/>
          <w:szCs w:val="18"/>
          <w:shd w:val="clear" w:color="auto" w:fill="FFFFFF"/>
        </w:rPr>
        <w:t xml:space="preserve"> (</w:t>
      </w:r>
      <w:r w:rsidR="00F42440">
        <w:rPr>
          <w:b/>
          <w:sz w:val="18"/>
          <w:szCs w:val="18"/>
          <w:shd w:val="clear" w:color="auto" w:fill="FFFFFF"/>
        </w:rPr>
        <w:t>w mld zł</w:t>
      </w:r>
      <w:r w:rsidR="009C5D06">
        <w:rPr>
          <w:b/>
          <w:sz w:val="18"/>
          <w:szCs w:val="18"/>
          <w:shd w:val="clear" w:color="auto" w:fill="FFFFFF"/>
        </w:rPr>
        <w:t>)</w:t>
      </w:r>
      <w:r w:rsidR="002E14D1" w:rsidRPr="002E14D1">
        <w:rPr>
          <w:noProof/>
          <w:lang w:eastAsia="pl-PL"/>
        </w:rPr>
        <w:t xml:space="preserve"> </w:t>
      </w:r>
    </w:p>
    <w:p w:rsidR="00E14E43" w:rsidRDefault="00E14E43" w:rsidP="00366025">
      <w:pPr>
        <w:rPr>
          <w:noProof/>
          <w:lang w:eastAsia="pl-PL"/>
        </w:rPr>
      </w:pPr>
    </w:p>
    <w:p w:rsidR="00E14E43" w:rsidRDefault="00E14E43" w:rsidP="00366025">
      <w:pPr>
        <w:rPr>
          <w:noProof/>
          <w:lang w:eastAsia="pl-PL"/>
        </w:rPr>
      </w:pPr>
    </w:p>
    <w:p w:rsidR="00E14E43" w:rsidRDefault="00E14E43" w:rsidP="00366025">
      <w:pPr>
        <w:rPr>
          <w:b/>
          <w:sz w:val="18"/>
          <w:szCs w:val="18"/>
          <w:shd w:val="clear" w:color="auto" w:fill="FFFFFF"/>
        </w:rPr>
      </w:pPr>
    </w:p>
    <w:p w:rsidR="00AD34B4" w:rsidRDefault="00AD34B4" w:rsidP="00AD34B4">
      <w:pPr>
        <w:pStyle w:val="Nagwek1"/>
      </w:pPr>
      <w:r>
        <w:lastRenderedPageBreak/>
        <w:t>Import według kraju wysyłki</w:t>
      </w:r>
      <w:r w:rsidRPr="003C6B82">
        <w:t xml:space="preserve"> ogółem i według grup krajów</w:t>
      </w:r>
    </w:p>
    <w:p w:rsidR="0048231B" w:rsidRDefault="0048231B" w:rsidP="0048231B">
      <w:pPr>
        <w:rPr>
          <w:shd w:val="clear" w:color="auto" w:fill="FFFFFF"/>
        </w:rPr>
      </w:pPr>
      <w:r>
        <w:rPr>
          <w:rFonts w:cs="Arial"/>
          <w:spacing w:val="-3"/>
        </w:rPr>
        <w:t xml:space="preserve">Największy obrót towarowy w imporcie według kraju wysyłki Polska odnotowała z </w:t>
      </w:r>
      <w:r w:rsidRPr="003C6B82">
        <w:rPr>
          <w:rFonts w:cs="Arial"/>
          <w:spacing w:val="-3"/>
        </w:rPr>
        <w:t>kraj</w:t>
      </w:r>
      <w:r>
        <w:rPr>
          <w:rFonts w:cs="Arial"/>
          <w:spacing w:val="-3"/>
        </w:rPr>
        <w:t>ami</w:t>
      </w:r>
      <w:r w:rsidRPr="003C6B82">
        <w:rPr>
          <w:rFonts w:cs="Arial"/>
          <w:spacing w:val="-3"/>
        </w:rPr>
        <w:t xml:space="preserve"> rozwinięty</w:t>
      </w:r>
      <w:r>
        <w:rPr>
          <w:rFonts w:cs="Arial"/>
          <w:spacing w:val="-3"/>
        </w:rPr>
        <w:t xml:space="preserve">mi </w:t>
      </w:r>
      <w:r w:rsidRPr="003C6B82">
        <w:rPr>
          <w:rFonts w:cs="Arial"/>
        </w:rPr>
        <w:t>–</w:t>
      </w:r>
      <w:r>
        <w:rPr>
          <w:rFonts w:cs="Arial"/>
          <w:spacing w:val="-3"/>
        </w:rPr>
        <w:t xml:space="preserve"> </w:t>
      </w:r>
      <w:r w:rsidR="00EF3629">
        <w:rPr>
          <w:rFonts w:cs="Arial"/>
          <w:spacing w:val="-3"/>
        </w:rPr>
        <w:t>724,0</w:t>
      </w:r>
      <w:r>
        <w:rPr>
          <w:rFonts w:cs="Arial"/>
          <w:spacing w:val="-3"/>
        </w:rPr>
        <w:t xml:space="preserve"> mld</w:t>
      </w:r>
      <w:r w:rsidR="004921B7">
        <w:rPr>
          <w:rFonts w:cs="Arial"/>
          <w:spacing w:val="-3"/>
        </w:rPr>
        <w:t xml:space="preserve"> zł</w:t>
      </w:r>
      <w:r>
        <w:rPr>
          <w:rFonts w:cs="Arial"/>
          <w:spacing w:val="-3"/>
        </w:rPr>
        <w:t xml:space="preserve">, </w:t>
      </w:r>
      <w:r w:rsidRPr="003C6B82">
        <w:rPr>
          <w:rFonts w:cs="Arial"/>
          <w:spacing w:val="-3"/>
        </w:rPr>
        <w:t xml:space="preserve">w tym </w:t>
      </w:r>
      <w:r>
        <w:rPr>
          <w:rFonts w:cs="Arial"/>
          <w:spacing w:val="-3"/>
        </w:rPr>
        <w:t xml:space="preserve">z </w:t>
      </w:r>
      <w:r w:rsidRPr="003C6B82">
        <w:rPr>
          <w:rFonts w:cs="Arial"/>
          <w:spacing w:val="-3"/>
        </w:rPr>
        <w:t>UE</w:t>
      </w:r>
      <w:r>
        <w:rPr>
          <w:rFonts w:cs="Arial"/>
          <w:spacing w:val="-3"/>
        </w:rPr>
        <w:t xml:space="preserve"> – </w:t>
      </w:r>
      <w:r w:rsidR="00EF3629">
        <w:rPr>
          <w:rFonts w:cs="Arial"/>
          <w:spacing w:val="-3"/>
        </w:rPr>
        <w:t>680,4</w:t>
      </w:r>
      <w:r w:rsidR="004921B7">
        <w:rPr>
          <w:rFonts w:cs="Arial"/>
          <w:spacing w:val="-3"/>
        </w:rPr>
        <w:t xml:space="preserve"> </w:t>
      </w:r>
      <w:r>
        <w:rPr>
          <w:rFonts w:cs="Arial"/>
          <w:spacing w:val="-3"/>
        </w:rPr>
        <w:t>mld</w:t>
      </w:r>
      <w:r w:rsidR="004921B7">
        <w:rPr>
          <w:rFonts w:cs="Arial"/>
          <w:spacing w:val="-3"/>
        </w:rPr>
        <w:t xml:space="preserve"> zł</w:t>
      </w:r>
      <w:r>
        <w:rPr>
          <w:rFonts w:cs="Arial"/>
          <w:spacing w:val="-3"/>
        </w:rPr>
        <w:t>,</w:t>
      </w:r>
      <w:r w:rsidRPr="003C6B82">
        <w:rPr>
          <w:rFonts w:cs="Arial"/>
          <w:spacing w:val="-3"/>
        </w:rPr>
        <w:t xml:space="preserve"> wobec odpowiednio </w:t>
      </w:r>
      <w:r w:rsidR="00E729DA">
        <w:rPr>
          <w:rFonts w:cs="Arial"/>
          <w:spacing w:val="-3"/>
        </w:rPr>
        <w:t>672,6</w:t>
      </w:r>
      <w:r>
        <w:rPr>
          <w:rFonts w:cs="Arial"/>
          <w:spacing w:val="-3"/>
        </w:rPr>
        <w:t xml:space="preserve"> mld</w:t>
      </w:r>
      <w:r w:rsidR="004921B7">
        <w:rPr>
          <w:rFonts w:cs="Arial"/>
          <w:spacing w:val="-3"/>
        </w:rPr>
        <w:t xml:space="preserve"> zł</w:t>
      </w:r>
      <w:r>
        <w:rPr>
          <w:rFonts w:cs="Arial"/>
          <w:spacing w:val="-3"/>
        </w:rPr>
        <w:t xml:space="preserve">, </w:t>
      </w:r>
      <w:r w:rsidRPr="003C6B82">
        <w:rPr>
          <w:rFonts w:cs="Arial"/>
          <w:spacing w:val="-3"/>
        </w:rPr>
        <w:t xml:space="preserve">w tym </w:t>
      </w:r>
      <w:r>
        <w:rPr>
          <w:rFonts w:cs="Arial"/>
          <w:spacing w:val="-3"/>
        </w:rPr>
        <w:t xml:space="preserve">z </w:t>
      </w:r>
      <w:r w:rsidR="00F657FD">
        <w:rPr>
          <w:rFonts w:cs="Arial"/>
          <w:spacing w:val="-3"/>
        </w:rPr>
        <w:t xml:space="preserve">UE </w:t>
      </w:r>
      <w:r w:rsidR="009D4A4B">
        <w:rPr>
          <w:rFonts w:cs="Arial"/>
          <w:spacing w:val="-3"/>
        </w:rPr>
        <w:t>631,8</w:t>
      </w:r>
      <w:r>
        <w:rPr>
          <w:rFonts w:cs="Arial"/>
          <w:spacing w:val="-3"/>
        </w:rPr>
        <w:t xml:space="preserve">  mld</w:t>
      </w:r>
      <w:r w:rsidR="004921B7">
        <w:rPr>
          <w:rFonts w:cs="Arial"/>
          <w:spacing w:val="-3"/>
        </w:rPr>
        <w:t xml:space="preserve"> zł</w:t>
      </w:r>
      <w:r>
        <w:rPr>
          <w:rFonts w:cs="Arial"/>
          <w:spacing w:val="-3"/>
        </w:rPr>
        <w:t> </w:t>
      </w:r>
      <w:r w:rsidRPr="003C6B82">
        <w:rPr>
          <w:rFonts w:cs="Arial"/>
          <w:spacing w:val="-3"/>
        </w:rPr>
        <w:t>w 201</w:t>
      </w:r>
      <w:r w:rsidR="009D4A4B">
        <w:rPr>
          <w:rFonts w:cs="Arial"/>
          <w:spacing w:val="-3"/>
        </w:rPr>
        <w:t>7</w:t>
      </w:r>
      <w:r w:rsidRPr="003C6B82">
        <w:rPr>
          <w:rFonts w:cs="Arial"/>
          <w:spacing w:val="-3"/>
        </w:rPr>
        <w:t xml:space="preserve"> roku</w:t>
      </w:r>
      <w:r w:rsidRPr="003C6B82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</w:p>
    <w:p w:rsidR="003D23E6" w:rsidRPr="0048231B" w:rsidRDefault="003D23E6" w:rsidP="0048231B">
      <w:pPr>
        <w:rPr>
          <w:lang w:eastAsia="pl-PL"/>
        </w:rPr>
      </w:pPr>
    </w:p>
    <w:p w:rsidR="00AE636C" w:rsidRDefault="0048231B" w:rsidP="00366025">
      <w:pPr>
        <w:rPr>
          <w:b/>
          <w:sz w:val="18"/>
          <w:szCs w:val="18"/>
          <w:shd w:val="clear" w:color="auto" w:fill="FFFFFF"/>
        </w:rPr>
      </w:pPr>
      <w:r>
        <w:rPr>
          <w:rFonts w:cs="Arial"/>
          <w:b/>
          <w:spacing w:val="-3"/>
          <w:sz w:val="18"/>
          <w:szCs w:val="18"/>
        </w:rPr>
        <w:t xml:space="preserve">Tablica </w:t>
      </w:r>
      <w:r w:rsidR="00D67CD3">
        <w:rPr>
          <w:rFonts w:cs="Arial"/>
          <w:b/>
          <w:spacing w:val="-3"/>
          <w:sz w:val="18"/>
          <w:szCs w:val="18"/>
        </w:rPr>
        <w:t>3</w:t>
      </w:r>
      <w:r w:rsidRPr="00C30406">
        <w:rPr>
          <w:rFonts w:cs="Arial"/>
          <w:b/>
          <w:spacing w:val="-3"/>
          <w:sz w:val="18"/>
          <w:szCs w:val="18"/>
        </w:rPr>
        <w:t>.</w:t>
      </w:r>
      <w:r>
        <w:rPr>
          <w:rFonts w:cs="Arial"/>
          <w:b/>
          <w:spacing w:val="-3"/>
          <w:sz w:val="18"/>
          <w:szCs w:val="18"/>
        </w:rPr>
        <w:t xml:space="preserve"> </w:t>
      </w:r>
      <w:r w:rsidRPr="0048231B">
        <w:rPr>
          <w:b/>
        </w:rPr>
        <w:t xml:space="preserve">Import według kraju wysyłki ogółem </w:t>
      </w:r>
      <w:r w:rsidR="00E44BC0">
        <w:rPr>
          <w:b/>
        </w:rPr>
        <w:t>i według grup krajów</w:t>
      </w:r>
    </w:p>
    <w:tbl>
      <w:tblPr>
        <w:tblW w:w="7976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718"/>
        <w:gridCol w:w="717"/>
        <w:gridCol w:w="717"/>
        <w:gridCol w:w="717"/>
        <w:gridCol w:w="717"/>
        <w:gridCol w:w="719"/>
        <w:gridCol w:w="717"/>
        <w:gridCol w:w="717"/>
      </w:tblGrid>
      <w:tr w:rsidR="0051165C" w:rsidRPr="0051165C" w:rsidTr="00D115A8">
        <w:trPr>
          <w:trHeight w:val="352"/>
        </w:trPr>
        <w:tc>
          <w:tcPr>
            <w:tcW w:w="2237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51165C" w:rsidRPr="005F3D74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05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51165C" w:rsidRPr="005F3D74" w:rsidRDefault="000C7ECE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2018</w:t>
            </w:r>
          </w:p>
        </w:tc>
        <w:tc>
          <w:tcPr>
            <w:tcW w:w="717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5F3D74" w:rsidRDefault="000C7ECE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2017</w:t>
            </w:r>
          </w:p>
        </w:tc>
        <w:tc>
          <w:tcPr>
            <w:tcW w:w="717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5F3D74" w:rsidRDefault="000C7ECE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2018</w:t>
            </w:r>
          </w:p>
        </w:tc>
      </w:tr>
      <w:tr w:rsidR="00690F17" w:rsidRPr="0051165C" w:rsidTr="00890FAC">
        <w:trPr>
          <w:trHeight w:val="370"/>
        </w:trPr>
        <w:tc>
          <w:tcPr>
            <w:tcW w:w="2237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690F17" w:rsidRPr="005F3D74" w:rsidRDefault="00690F17" w:rsidP="00FF29C2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690F17" w:rsidRPr="005F3D74" w:rsidRDefault="00690F17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:rsidR="00690F17" w:rsidRPr="005F3D74" w:rsidRDefault="00690F17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690F17" w:rsidRPr="005F3D74" w:rsidRDefault="00690F17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:rsidR="00690F17" w:rsidRPr="005F3D74" w:rsidRDefault="00690F17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690F17" w:rsidRPr="005F3D74" w:rsidRDefault="00690F17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</w:t>
            </w:r>
          </w:p>
          <w:p w:rsidR="00690F17" w:rsidRPr="005F3D74" w:rsidRDefault="00690F17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53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690F17" w:rsidRPr="005F3D74" w:rsidRDefault="00690F17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2017</w:t>
            </w:r>
            <w:r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001D77"/>
            </w:tcBorders>
            <w:vAlign w:val="center"/>
          </w:tcPr>
          <w:p w:rsidR="00690F17" w:rsidRPr="005F3D74" w:rsidRDefault="00690F17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690F17" w:rsidRPr="0051165C" w:rsidTr="00890FAC">
        <w:trPr>
          <w:trHeight w:val="380"/>
        </w:trPr>
        <w:tc>
          <w:tcPr>
            <w:tcW w:w="223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690F17" w:rsidRPr="005F3D74" w:rsidRDefault="00690F17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690F17" w:rsidRPr="005F3D74" w:rsidRDefault="00690F17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690F17" w:rsidRPr="005F3D74" w:rsidRDefault="00690F17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690F17" w:rsidRPr="005F3D74" w:rsidRDefault="00690F17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690F17" w:rsidRPr="005F3D74" w:rsidRDefault="00690F17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690F17" w:rsidRPr="005F3D74" w:rsidRDefault="00690F17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9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690F17" w:rsidRPr="005F3D74" w:rsidRDefault="00690F17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434" w:type="dxa"/>
            <w:gridSpan w:val="2"/>
            <w:vMerge/>
            <w:tcBorders>
              <w:bottom w:val="single" w:sz="12" w:space="0" w:color="001D77"/>
            </w:tcBorders>
            <w:vAlign w:val="center"/>
          </w:tcPr>
          <w:p w:rsidR="00690F17" w:rsidRPr="005F3D74" w:rsidRDefault="00690F17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90F17" w:rsidRPr="0051165C" w:rsidTr="00D115A8">
        <w:trPr>
          <w:trHeight w:val="342"/>
        </w:trPr>
        <w:tc>
          <w:tcPr>
            <w:tcW w:w="2237" w:type="dxa"/>
            <w:tcBorders>
              <w:top w:val="single" w:sz="12" w:space="0" w:color="001D77"/>
            </w:tcBorders>
            <w:vAlign w:val="center"/>
          </w:tcPr>
          <w:p w:rsidR="00690F17" w:rsidRPr="00A00ADB" w:rsidRDefault="00690F17" w:rsidP="00690F1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(wg kraju wysyłki)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18" w:type="dxa"/>
            <w:tcBorders>
              <w:top w:val="single" w:sz="12" w:space="0" w:color="001D77"/>
            </w:tcBorders>
            <w:vAlign w:val="bottom"/>
          </w:tcPr>
          <w:p w:rsidR="00690F17" w:rsidRDefault="00690F17" w:rsidP="00690F17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970,8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690F17" w:rsidRDefault="00690F17" w:rsidP="00690F17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270,2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690F17" w:rsidRDefault="00690F17" w:rsidP="00690F17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228,2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690F17" w:rsidRDefault="00690F17" w:rsidP="00690F17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110,3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690F17" w:rsidRDefault="00690F17" w:rsidP="00690F17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116,9</w:t>
            </w:r>
          </w:p>
        </w:tc>
        <w:tc>
          <w:tcPr>
            <w:tcW w:w="719" w:type="dxa"/>
            <w:tcBorders>
              <w:top w:val="single" w:sz="12" w:space="0" w:color="001D77"/>
            </w:tcBorders>
            <w:vAlign w:val="bottom"/>
          </w:tcPr>
          <w:p w:rsidR="00690F17" w:rsidRDefault="00690F17" w:rsidP="00690F17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110,7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690F17" w:rsidRPr="0051165C" w:rsidRDefault="00690F17" w:rsidP="00690F17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690F17" w:rsidRPr="0051165C" w:rsidRDefault="00690F17" w:rsidP="00690F17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690F17" w:rsidRPr="0051165C" w:rsidTr="00D115A8">
        <w:trPr>
          <w:trHeight w:val="352"/>
        </w:trPr>
        <w:tc>
          <w:tcPr>
            <w:tcW w:w="2237" w:type="dxa"/>
            <w:vAlign w:val="center"/>
          </w:tcPr>
          <w:p w:rsidR="00690F17" w:rsidRPr="0051165C" w:rsidRDefault="00690F17" w:rsidP="00690F1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18" w:type="dxa"/>
            <w:vAlign w:val="bottom"/>
          </w:tcPr>
          <w:p w:rsidR="00690F17" w:rsidRDefault="00690F17" w:rsidP="00690F1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724,0</w:t>
            </w:r>
          </w:p>
        </w:tc>
        <w:tc>
          <w:tcPr>
            <w:tcW w:w="717" w:type="dxa"/>
            <w:vAlign w:val="bottom"/>
          </w:tcPr>
          <w:p w:rsidR="00690F17" w:rsidRDefault="00690F17" w:rsidP="00690F1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201,6</w:t>
            </w:r>
          </w:p>
        </w:tc>
        <w:tc>
          <w:tcPr>
            <w:tcW w:w="717" w:type="dxa"/>
            <w:vAlign w:val="bottom"/>
          </w:tcPr>
          <w:p w:rsidR="00690F17" w:rsidRDefault="00690F17" w:rsidP="00690F1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170,2</w:t>
            </w:r>
          </w:p>
        </w:tc>
        <w:tc>
          <w:tcPr>
            <w:tcW w:w="717" w:type="dxa"/>
            <w:vAlign w:val="bottom"/>
          </w:tcPr>
          <w:p w:rsidR="00690F17" w:rsidRDefault="00690F17" w:rsidP="00690F1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107,6</w:t>
            </w:r>
          </w:p>
        </w:tc>
        <w:tc>
          <w:tcPr>
            <w:tcW w:w="717" w:type="dxa"/>
            <w:vAlign w:val="bottom"/>
          </w:tcPr>
          <w:p w:rsidR="00690F17" w:rsidRDefault="00690F17" w:rsidP="00690F1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114,2</w:t>
            </w:r>
          </w:p>
        </w:tc>
        <w:tc>
          <w:tcPr>
            <w:tcW w:w="719" w:type="dxa"/>
            <w:vAlign w:val="bottom"/>
          </w:tcPr>
          <w:p w:rsidR="00690F17" w:rsidRDefault="00690F17" w:rsidP="00690F1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717" w:type="dxa"/>
            <w:vAlign w:val="bottom"/>
          </w:tcPr>
          <w:p w:rsidR="00690F17" w:rsidRDefault="00690F17" w:rsidP="00690F1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76,4</w:t>
            </w:r>
          </w:p>
        </w:tc>
        <w:tc>
          <w:tcPr>
            <w:tcW w:w="717" w:type="dxa"/>
            <w:vAlign w:val="bottom"/>
          </w:tcPr>
          <w:p w:rsidR="00690F17" w:rsidRDefault="00690F17" w:rsidP="00690F1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74,5</w:t>
            </w:r>
          </w:p>
        </w:tc>
      </w:tr>
      <w:tr w:rsidR="00690F17" w:rsidRPr="0051165C" w:rsidTr="00D115A8">
        <w:trPr>
          <w:trHeight w:val="342"/>
        </w:trPr>
        <w:tc>
          <w:tcPr>
            <w:tcW w:w="2237" w:type="dxa"/>
            <w:vAlign w:val="center"/>
          </w:tcPr>
          <w:p w:rsidR="00690F17" w:rsidRPr="0051165C" w:rsidRDefault="00690F17" w:rsidP="00690F17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w tym UE</w:t>
            </w:r>
            <w:r w:rsidRPr="0051165C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51165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690F17" w:rsidRDefault="00690F17" w:rsidP="00690F1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680,4</w:t>
            </w:r>
          </w:p>
        </w:tc>
        <w:tc>
          <w:tcPr>
            <w:tcW w:w="717" w:type="dxa"/>
            <w:vAlign w:val="bottom"/>
          </w:tcPr>
          <w:p w:rsidR="00690F17" w:rsidRDefault="00690F17" w:rsidP="00690F1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189,4</w:t>
            </w:r>
          </w:p>
        </w:tc>
        <w:tc>
          <w:tcPr>
            <w:tcW w:w="717" w:type="dxa"/>
            <w:vAlign w:val="bottom"/>
          </w:tcPr>
          <w:p w:rsidR="00690F17" w:rsidRDefault="00690F17" w:rsidP="00690F1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159,9</w:t>
            </w:r>
          </w:p>
        </w:tc>
        <w:tc>
          <w:tcPr>
            <w:tcW w:w="717" w:type="dxa"/>
            <w:vAlign w:val="bottom"/>
          </w:tcPr>
          <w:p w:rsidR="00690F17" w:rsidRDefault="00690F17" w:rsidP="00690F1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107,7</w:t>
            </w:r>
          </w:p>
        </w:tc>
        <w:tc>
          <w:tcPr>
            <w:tcW w:w="717" w:type="dxa"/>
            <w:vAlign w:val="bottom"/>
          </w:tcPr>
          <w:p w:rsidR="00690F17" w:rsidRDefault="00690F17" w:rsidP="00690F1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114,2</w:t>
            </w:r>
          </w:p>
        </w:tc>
        <w:tc>
          <w:tcPr>
            <w:tcW w:w="719" w:type="dxa"/>
            <w:vAlign w:val="bottom"/>
          </w:tcPr>
          <w:p w:rsidR="00690F17" w:rsidRDefault="00690F17" w:rsidP="00690F1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717" w:type="dxa"/>
            <w:vAlign w:val="bottom"/>
          </w:tcPr>
          <w:p w:rsidR="00690F17" w:rsidRDefault="00690F17" w:rsidP="00690F1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71,8</w:t>
            </w:r>
          </w:p>
        </w:tc>
        <w:tc>
          <w:tcPr>
            <w:tcW w:w="717" w:type="dxa"/>
            <w:vAlign w:val="bottom"/>
          </w:tcPr>
          <w:p w:rsidR="00690F17" w:rsidRDefault="00690F17" w:rsidP="00690F1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70,1</w:t>
            </w:r>
          </w:p>
        </w:tc>
      </w:tr>
      <w:tr w:rsidR="00690F17" w:rsidRPr="0051165C" w:rsidTr="00D115A8">
        <w:trPr>
          <w:trHeight w:val="352"/>
        </w:trPr>
        <w:tc>
          <w:tcPr>
            <w:tcW w:w="2237" w:type="dxa"/>
            <w:vAlign w:val="center"/>
          </w:tcPr>
          <w:p w:rsidR="00690F17" w:rsidRPr="0051165C" w:rsidRDefault="00690F17" w:rsidP="00690F1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18" w:type="dxa"/>
            <w:vAlign w:val="bottom"/>
          </w:tcPr>
          <w:p w:rsidR="00690F17" w:rsidRDefault="00690F17" w:rsidP="00690F1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552,0</w:t>
            </w:r>
          </w:p>
        </w:tc>
        <w:tc>
          <w:tcPr>
            <w:tcW w:w="717" w:type="dxa"/>
            <w:vAlign w:val="bottom"/>
          </w:tcPr>
          <w:p w:rsidR="00690F17" w:rsidRDefault="00690F17" w:rsidP="00690F1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153,7</w:t>
            </w:r>
          </w:p>
        </w:tc>
        <w:tc>
          <w:tcPr>
            <w:tcW w:w="717" w:type="dxa"/>
            <w:vAlign w:val="bottom"/>
          </w:tcPr>
          <w:p w:rsidR="00690F17" w:rsidRDefault="00690F17" w:rsidP="00690F1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129,8</w:t>
            </w:r>
          </w:p>
        </w:tc>
        <w:tc>
          <w:tcPr>
            <w:tcW w:w="717" w:type="dxa"/>
            <w:vAlign w:val="bottom"/>
          </w:tcPr>
          <w:p w:rsidR="00690F17" w:rsidRDefault="00690F17" w:rsidP="00690F1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107,7</w:t>
            </w:r>
          </w:p>
        </w:tc>
        <w:tc>
          <w:tcPr>
            <w:tcW w:w="717" w:type="dxa"/>
            <w:vAlign w:val="bottom"/>
          </w:tcPr>
          <w:p w:rsidR="00690F17" w:rsidRDefault="00690F17" w:rsidP="00690F1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114,2</w:t>
            </w:r>
          </w:p>
        </w:tc>
        <w:tc>
          <w:tcPr>
            <w:tcW w:w="719" w:type="dxa"/>
            <w:vAlign w:val="bottom"/>
          </w:tcPr>
          <w:p w:rsidR="00690F17" w:rsidRDefault="00690F17" w:rsidP="00690F1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717" w:type="dxa"/>
            <w:vAlign w:val="bottom"/>
          </w:tcPr>
          <w:p w:rsidR="00690F17" w:rsidRDefault="00690F17" w:rsidP="00690F1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58,2</w:t>
            </w:r>
          </w:p>
        </w:tc>
        <w:tc>
          <w:tcPr>
            <w:tcW w:w="717" w:type="dxa"/>
            <w:vAlign w:val="bottom"/>
          </w:tcPr>
          <w:p w:rsidR="00690F17" w:rsidRDefault="00690F17" w:rsidP="00690F1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56,9</w:t>
            </w:r>
          </w:p>
        </w:tc>
      </w:tr>
      <w:tr w:rsidR="00690F17" w:rsidRPr="0051165C" w:rsidTr="00D115A8">
        <w:trPr>
          <w:trHeight w:val="342"/>
        </w:trPr>
        <w:tc>
          <w:tcPr>
            <w:tcW w:w="2237" w:type="dxa"/>
            <w:vAlign w:val="center"/>
          </w:tcPr>
          <w:p w:rsidR="00690F17" w:rsidRPr="0051165C" w:rsidRDefault="00690F17" w:rsidP="00690F1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18" w:type="dxa"/>
            <w:vAlign w:val="bottom"/>
          </w:tcPr>
          <w:p w:rsidR="00690F17" w:rsidRDefault="00690F17" w:rsidP="00690F1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155,9</w:t>
            </w:r>
          </w:p>
        </w:tc>
        <w:tc>
          <w:tcPr>
            <w:tcW w:w="717" w:type="dxa"/>
            <w:vAlign w:val="bottom"/>
          </w:tcPr>
          <w:p w:rsidR="00690F17" w:rsidRDefault="00690F17" w:rsidP="00690F1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43,3</w:t>
            </w:r>
          </w:p>
        </w:tc>
        <w:tc>
          <w:tcPr>
            <w:tcW w:w="717" w:type="dxa"/>
            <w:vAlign w:val="bottom"/>
          </w:tcPr>
          <w:p w:rsidR="00690F17" w:rsidRDefault="00690F17" w:rsidP="00690F1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36,6</w:t>
            </w:r>
          </w:p>
        </w:tc>
        <w:tc>
          <w:tcPr>
            <w:tcW w:w="717" w:type="dxa"/>
            <w:vAlign w:val="bottom"/>
          </w:tcPr>
          <w:p w:rsidR="00690F17" w:rsidRDefault="00690F17" w:rsidP="00690F1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114,6</w:t>
            </w:r>
          </w:p>
        </w:tc>
        <w:tc>
          <w:tcPr>
            <w:tcW w:w="717" w:type="dxa"/>
            <w:vAlign w:val="bottom"/>
          </w:tcPr>
          <w:p w:rsidR="00690F17" w:rsidRDefault="00690F17" w:rsidP="00690F1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121,3</w:t>
            </w:r>
          </w:p>
        </w:tc>
        <w:tc>
          <w:tcPr>
            <w:tcW w:w="719" w:type="dxa"/>
            <w:vAlign w:val="bottom"/>
          </w:tcPr>
          <w:p w:rsidR="00690F17" w:rsidRDefault="00690F17" w:rsidP="00690F1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115,0</w:t>
            </w:r>
          </w:p>
        </w:tc>
        <w:tc>
          <w:tcPr>
            <w:tcW w:w="717" w:type="dxa"/>
            <w:vAlign w:val="bottom"/>
          </w:tcPr>
          <w:p w:rsidR="00690F17" w:rsidRDefault="00690F17" w:rsidP="00690F1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15,5</w:t>
            </w:r>
          </w:p>
        </w:tc>
        <w:tc>
          <w:tcPr>
            <w:tcW w:w="717" w:type="dxa"/>
            <w:vAlign w:val="bottom"/>
          </w:tcPr>
          <w:p w:rsidR="00690F17" w:rsidRDefault="00690F17" w:rsidP="00690F1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16,1</w:t>
            </w:r>
          </w:p>
        </w:tc>
      </w:tr>
      <w:tr w:rsidR="00690F17" w:rsidRPr="0051165C" w:rsidTr="00D115A8">
        <w:trPr>
          <w:trHeight w:val="355"/>
        </w:trPr>
        <w:tc>
          <w:tcPr>
            <w:tcW w:w="2237" w:type="dxa"/>
            <w:vAlign w:val="center"/>
          </w:tcPr>
          <w:p w:rsidR="00690F17" w:rsidRPr="0051165C" w:rsidRDefault="00690F17" w:rsidP="00690F1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18" w:type="dxa"/>
            <w:vAlign w:val="bottom"/>
          </w:tcPr>
          <w:p w:rsidR="00690F17" w:rsidRDefault="00690F17" w:rsidP="00690F1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90,9</w:t>
            </w:r>
          </w:p>
        </w:tc>
        <w:tc>
          <w:tcPr>
            <w:tcW w:w="717" w:type="dxa"/>
            <w:vAlign w:val="bottom"/>
          </w:tcPr>
          <w:p w:rsidR="00690F17" w:rsidRDefault="00690F17" w:rsidP="00690F1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25,3</w:t>
            </w:r>
          </w:p>
        </w:tc>
        <w:tc>
          <w:tcPr>
            <w:tcW w:w="717" w:type="dxa"/>
            <w:vAlign w:val="bottom"/>
          </w:tcPr>
          <w:p w:rsidR="00690F17" w:rsidRDefault="00690F17" w:rsidP="00690F1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21,4</w:t>
            </w:r>
          </w:p>
        </w:tc>
        <w:tc>
          <w:tcPr>
            <w:tcW w:w="717" w:type="dxa"/>
            <w:vAlign w:val="bottom"/>
          </w:tcPr>
          <w:p w:rsidR="00690F17" w:rsidRDefault="00690F17" w:rsidP="00690F1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127,2</w:t>
            </w:r>
          </w:p>
        </w:tc>
        <w:tc>
          <w:tcPr>
            <w:tcW w:w="717" w:type="dxa"/>
            <w:vAlign w:val="bottom"/>
          </w:tcPr>
          <w:p w:rsidR="00690F17" w:rsidRDefault="00690F17" w:rsidP="00690F1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134,7</w:t>
            </w:r>
          </w:p>
        </w:tc>
        <w:tc>
          <w:tcPr>
            <w:tcW w:w="719" w:type="dxa"/>
            <w:vAlign w:val="bottom"/>
          </w:tcPr>
          <w:p w:rsidR="00690F17" w:rsidRDefault="00690F17" w:rsidP="00690F1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127,7</w:t>
            </w:r>
          </w:p>
        </w:tc>
        <w:tc>
          <w:tcPr>
            <w:tcW w:w="717" w:type="dxa"/>
            <w:vAlign w:val="bottom"/>
          </w:tcPr>
          <w:p w:rsidR="00690F17" w:rsidRDefault="00690F17" w:rsidP="00690F1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8,1</w:t>
            </w:r>
          </w:p>
        </w:tc>
        <w:tc>
          <w:tcPr>
            <w:tcW w:w="717" w:type="dxa"/>
            <w:vAlign w:val="bottom"/>
          </w:tcPr>
          <w:p w:rsidR="00690F17" w:rsidRDefault="00690F17" w:rsidP="00690F1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9,4</w:t>
            </w:r>
          </w:p>
        </w:tc>
      </w:tr>
      <w:tr w:rsidR="00466ABC" w:rsidRPr="0051165C" w:rsidTr="00D115A8">
        <w:trPr>
          <w:trHeight w:val="342"/>
        </w:trPr>
        <w:tc>
          <w:tcPr>
            <w:tcW w:w="2237" w:type="dxa"/>
            <w:vAlign w:val="center"/>
          </w:tcPr>
          <w:p w:rsidR="00466ABC" w:rsidRPr="0051165C" w:rsidRDefault="00466ABC" w:rsidP="00466ABC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51165C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18" w:type="dxa"/>
            <w:vAlign w:val="bottom"/>
          </w:tcPr>
          <w:p w:rsidR="00466ABC" w:rsidRDefault="00466ABC" w:rsidP="00466ABC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-19,5</w:t>
            </w:r>
          </w:p>
        </w:tc>
        <w:tc>
          <w:tcPr>
            <w:tcW w:w="717" w:type="dxa"/>
            <w:vAlign w:val="bottom"/>
          </w:tcPr>
          <w:p w:rsidR="00466ABC" w:rsidRDefault="00466ABC" w:rsidP="00466ABC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-5,4</w:t>
            </w:r>
          </w:p>
        </w:tc>
        <w:tc>
          <w:tcPr>
            <w:tcW w:w="717" w:type="dxa"/>
            <w:vAlign w:val="bottom"/>
          </w:tcPr>
          <w:p w:rsidR="00466ABC" w:rsidRDefault="00466ABC" w:rsidP="00466ABC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-4,6</w:t>
            </w:r>
          </w:p>
        </w:tc>
        <w:tc>
          <w:tcPr>
            <w:tcW w:w="717" w:type="dxa"/>
            <w:vAlign w:val="bottom"/>
          </w:tcPr>
          <w:p w:rsidR="00466ABC" w:rsidRPr="0051165C" w:rsidRDefault="00466ABC" w:rsidP="00466ABC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466ABC" w:rsidRPr="0051165C" w:rsidRDefault="00466ABC" w:rsidP="00466ABC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19" w:type="dxa"/>
            <w:vAlign w:val="bottom"/>
          </w:tcPr>
          <w:p w:rsidR="00466ABC" w:rsidRPr="0051165C" w:rsidRDefault="00466ABC" w:rsidP="00466ABC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466ABC" w:rsidRPr="0051165C" w:rsidRDefault="00466ABC" w:rsidP="00466ABC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466ABC" w:rsidRPr="0051165C" w:rsidRDefault="00466ABC" w:rsidP="00466ABC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</w:tr>
      <w:tr w:rsidR="00466ABC" w:rsidRPr="0051165C" w:rsidTr="00D115A8">
        <w:trPr>
          <w:trHeight w:val="352"/>
        </w:trPr>
        <w:tc>
          <w:tcPr>
            <w:tcW w:w="2237" w:type="dxa"/>
            <w:vAlign w:val="center"/>
          </w:tcPr>
          <w:p w:rsidR="00466ABC" w:rsidRPr="0051165C" w:rsidRDefault="00466ABC" w:rsidP="00466AB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18" w:type="dxa"/>
            <w:vAlign w:val="bottom"/>
          </w:tcPr>
          <w:p w:rsidR="00466ABC" w:rsidRDefault="00466ABC" w:rsidP="00466ABC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105,1</w:t>
            </w:r>
          </w:p>
        </w:tc>
        <w:tc>
          <w:tcPr>
            <w:tcW w:w="717" w:type="dxa"/>
            <w:vAlign w:val="bottom"/>
          </w:tcPr>
          <w:p w:rsidR="00466ABC" w:rsidRDefault="00466ABC" w:rsidP="00466ABC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29,2</w:t>
            </w:r>
          </w:p>
        </w:tc>
        <w:tc>
          <w:tcPr>
            <w:tcW w:w="717" w:type="dxa"/>
            <w:vAlign w:val="bottom"/>
          </w:tcPr>
          <w:p w:rsidR="00466ABC" w:rsidRDefault="00466ABC" w:rsidP="00466ABC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24,7</w:t>
            </w:r>
          </w:p>
        </w:tc>
        <w:tc>
          <w:tcPr>
            <w:tcW w:w="717" w:type="dxa"/>
            <w:vAlign w:val="bottom"/>
          </w:tcPr>
          <w:p w:rsidR="00466ABC" w:rsidRPr="0051165C" w:rsidRDefault="00466ABC" w:rsidP="00466AB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466ABC" w:rsidRPr="0051165C" w:rsidRDefault="00466ABC" w:rsidP="00466AB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9" w:type="dxa"/>
            <w:vAlign w:val="bottom"/>
          </w:tcPr>
          <w:p w:rsidR="00466ABC" w:rsidRPr="0051165C" w:rsidRDefault="00466ABC" w:rsidP="00466AB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466ABC" w:rsidRPr="0051165C" w:rsidRDefault="00466ABC" w:rsidP="00466AB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466ABC" w:rsidRPr="0051165C" w:rsidRDefault="00466ABC" w:rsidP="00466AB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</w:tr>
      <w:tr w:rsidR="00466ABC" w:rsidRPr="0051165C" w:rsidTr="00D115A8">
        <w:trPr>
          <w:trHeight w:val="342"/>
        </w:trPr>
        <w:tc>
          <w:tcPr>
            <w:tcW w:w="2237" w:type="dxa"/>
            <w:vAlign w:val="center"/>
          </w:tcPr>
          <w:p w:rsidR="00466ABC" w:rsidRPr="0051165C" w:rsidRDefault="00466ABC" w:rsidP="00466ABC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w tym UE</w:t>
            </w:r>
            <w:r w:rsidRPr="0051165C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51165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466ABC" w:rsidRDefault="00466ABC" w:rsidP="00466ABC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86,6</w:t>
            </w:r>
          </w:p>
        </w:tc>
        <w:tc>
          <w:tcPr>
            <w:tcW w:w="717" w:type="dxa"/>
            <w:vAlign w:val="bottom"/>
          </w:tcPr>
          <w:p w:rsidR="00466ABC" w:rsidRDefault="00466ABC" w:rsidP="00466ABC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24,1</w:t>
            </w:r>
          </w:p>
        </w:tc>
        <w:tc>
          <w:tcPr>
            <w:tcW w:w="717" w:type="dxa"/>
            <w:vAlign w:val="bottom"/>
          </w:tcPr>
          <w:p w:rsidR="00466ABC" w:rsidRDefault="00466ABC" w:rsidP="00466ABC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20,4</w:t>
            </w:r>
          </w:p>
        </w:tc>
        <w:tc>
          <w:tcPr>
            <w:tcW w:w="717" w:type="dxa"/>
            <w:vAlign w:val="bottom"/>
          </w:tcPr>
          <w:p w:rsidR="00466ABC" w:rsidRPr="0051165C" w:rsidRDefault="00466ABC" w:rsidP="00466AB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466ABC" w:rsidRPr="0051165C" w:rsidRDefault="00466ABC" w:rsidP="00466AB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9" w:type="dxa"/>
            <w:vAlign w:val="bottom"/>
          </w:tcPr>
          <w:p w:rsidR="00466ABC" w:rsidRPr="0051165C" w:rsidRDefault="00466ABC" w:rsidP="00466AB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466ABC" w:rsidRPr="0051165C" w:rsidRDefault="00466ABC" w:rsidP="00466AB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466ABC" w:rsidRPr="0051165C" w:rsidRDefault="00466ABC" w:rsidP="00466AB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</w:tr>
      <w:tr w:rsidR="00466ABC" w:rsidRPr="0051165C" w:rsidTr="00D115A8">
        <w:trPr>
          <w:trHeight w:val="352"/>
        </w:trPr>
        <w:tc>
          <w:tcPr>
            <w:tcW w:w="2237" w:type="dxa"/>
            <w:vAlign w:val="center"/>
          </w:tcPr>
          <w:p w:rsidR="00466ABC" w:rsidRPr="0051165C" w:rsidRDefault="00466ABC" w:rsidP="00466AB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18" w:type="dxa"/>
            <w:vAlign w:val="bottom"/>
          </w:tcPr>
          <w:p w:rsidR="00466ABC" w:rsidRDefault="00466ABC" w:rsidP="00466ABC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-1,5</w:t>
            </w:r>
          </w:p>
        </w:tc>
        <w:tc>
          <w:tcPr>
            <w:tcW w:w="717" w:type="dxa"/>
            <w:vAlign w:val="bottom"/>
          </w:tcPr>
          <w:p w:rsidR="00466ABC" w:rsidRDefault="00466ABC" w:rsidP="00466ABC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-0,5</w:t>
            </w:r>
          </w:p>
        </w:tc>
        <w:tc>
          <w:tcPr>
            <w:tcW w:w="717" w:type="dxa"/>
            <w:vAlign w:val="bottom"/>
          </w:tcPr>
          <w:p w:rsidR="00466ABC" w:rsidRDefault="00466ABC" w:rsidP="00466ABC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-0,4</w:t>
            </w:r>
          </w:p>
        </w:tc>
        <w:tc>
          <w:tcPr>
            <w:tcW w:w="717" w:type="dxa"/>
            <w:vAlign w:val="bottom"/>
          </w:tcPr>
          <w:p w:rsidR="00466ABC" w:rsidRPr="0051165C" w:rsidRDefault="00466ABC" w:rsidP="00466AB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466ABC" w:rsidRPr="0051165C" w:rsidRDefault="00466ABC" w:rsidP="00466AB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9" w:type="dxa"/>
            <w:vAlign w:val="bottom"/>
          </w:tcPr>
          <w:p w:rsidR="00466ABC" w:rsidRPr="0051165C" w:rsidRDefault="00466ABC" w:rsidP="00466AB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466ABC" w:rsidRPr="0051165C" w:rsidRDefault="00466ABC" w:rsidP="00466AB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466ABC" w:rsidRPr="0051165C" w:rsidRDefault="00466ABC" w:rsidP="00466AB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</w:tr>
      <w:tr w:rsidR="00466ABC" w:rsidRPr="0051165C" w:rsidTr="00D115A8">
        <w:trPr>
          <w:trHeight w:val="342"/>
        </w:trPr>
        <w:tc>
          <w:tcPr>
            <w:tcW w:w="2237" w:type="dxa"/>
            <w:vAlign w:val="center"/>
          </w:tcPr>
          <w:p w:rsidR="00466ABC" w:rsidRPr="0051165C" w:rsidRDefault="00466ABC" w:rsidP="00466AB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18" w:type="dxa"/>
            <w:vAlign w:val="bottom"/>
          </w:tcPr>
          <w:p w:rsidR="00466ABC" w:rsidRDefault="00466ABC" w:rsidP="00466ABC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-88,7</w:t>
            </w:r>
          </w:p>
        </w:tc>
        <w:tc>
          <w:tcPr>
            <w:tcW w:w="717" w:type="dxa"/>
            <w:vAlign w:val="bottom"/>
          </w:tcPr>
          <w:p w:rsidR="00466ABC" w:rsidRDefault="00466ABC" w:rsidP="00466ABC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-24,6</w:t>
            </w:r>
          </w:p>
        </w:tc>
        <w:tc>
          <w:tcPr>
            <w:tcW w:w="717" w:type="dxa"/>
            <w:vAlign w:val="bottom"/>
          </w:tcPr>
          <w:p w:rsidR="00466ABC" w:rsidRDefault="00466ABC" w:rsidP="00466ABC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-20,8</w:t>
            </w:r>
          </w:p>
        </w:tc>
        <w:tc>
          <w:tcPr>
            <w:tcW w:w="717" w:type="dxa"/>
            <w:vAlign w:val="bottom"/>
          </w:tcPr>
          <w:p w:rsidR="00466ABC" w:rsidRPr="0051165C" w:rsidRDefault="00466ABC" w:rsidP="00466AB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466ABC" w:rsidRPr="0051165C" w:rsidRDefault="00466ABC" w:rsidP="00466AB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9" w:type="dxa"/>
            <w:vAlign w:val="bottom"/>
          </w:tcPr>
          <w:p w:rsidR="00466ABC" w:rsidRPr="0051165C" w:rsidRDefault="00466ABC" w:rsidP="00466AB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466ABC" w:rsidRPr="0051165C" w:rsidRDefault="00466ABC" w:rsidP="00466AB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466ABC" w:rsidRPr="0051165C" w:rsidRDefault="00466ABC" w:rsidP="00466AB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</w:tr>
      <w:tr w:rsidR="00466ABC" w:rsidRPr="0051165C" w:rsidTr="00D115A8">
        <w:trPr>
          <w:trHeight w:val="258"/>
        </w:trPr>
        <w:tc>
          <w:tcPr>
            <w:tcW w:w="2237" w:type="dxa"/>
            <w:vAlign w:val="center"/>
          </w:tcPr>
          <w:p w:rsidR="00466ABC" w:rsidRPr="0051165C" w:rsidRDefault="00466ABC" w:rsidP="00466AB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18" w:type="dxa"/>
            <w:vAlign w:val="bottom"/>
          </w:tcPr>
          <w:p w:rsidR="00466ABC" w:rsidRDefault="00466ABC" w:rsidP="00466ABC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-35,9</w:t>
            </w:r>
          </w:p>
        </w:tc>
        <w:tc>
          <w:tcPr>
            <w:tcW w:w="717" w:type="dxa"/>
            <w:vAlign w:val="bottom"/>
          </w:tcPr>
          <w:p w:rsidR="00466ABC" w:rsidRDefault="00466ABC" w:rsidP="00466ABC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-10,0</w:t>
            </w:r>
          </w:p>
        </w:tc>
        <w:tc>
          <w:tcPr>
            <w:tcW w:w="717" w:type="dxa"/>
            <w:vAlign w:val="bottom"/>
          </w:tcPr>
          <w:p w:rsidR="00466ABC" w:rsidRDefault="00466ABC" w:rsidP="00466ABC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-8,5</w:t>
            </w:r>
          </w:p>
        </w:tc>
        <w:tc>
          <w:tcPr>
            <w:tcW w:w="717" w:type="dxa"/>
            <w:vAlign w:val="bottom"/>
          </w:tcPr>
          <w:p w:rsidR="00466ABC" w:rsidRPr="0051165C" w:rsidRDefault="00466ABC" w:rsidP="00466AB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466ABC" w:rsidRPr="0051165C" w:rsidRDefault="00466ABC" w:rsidP="00466AB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9" w:type="dxa"/>
            <w:vAlign w:val="bottom"/>
          </w:tcPr>
          <w:p w:rsidR="00466ABC" w:rsidRPr="0051165C" w:rsidRDefault="00466ABC" w:rsidP="00466AB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466ABC" w:rsidRPr="0051165C" w:rsidRDefault="00466ABC" w:rsidP="00466AB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466ABC" w:rsidRPr="0051165C" w:rsidRDefault="00466ABC" w:rsidP="00466AB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</w:tr>
    </w:tbl>
    <w:p w:rsidR="003D23E6" w:rsidRDefault="003D23E6" w:rsidP="00366025">
      <w:pPr>
        <w:rPr>
          <w:b/>
          <w:sz w:val="18"/>
          <w:szCs w:val="18"/>
          <w:shd w:val="clear" w:color="auto" w:fill="FFFFFF"/>
        </w:rPr>
      </w:pPr>
    </w:p>
    <w:p w:rsidR="00EF3629" w:rsidRDefault="00EF3629" w:rsidP="00366025">
      <w:pPr>
        <w:rPr>
          <w:b/>
          <w:sz w:val="18"/>
          <w:szCs w:val="18"/>
          <w:shd w:val="clear" w:color="auto" w:fill="FFFFFF"/>
        </w:rPr>
      </w:pPr>
    </w:p>
    <w:p w:rsidR="00FF1498" w:rsidRDefault="00FF1498" w:rsidP="00366025">
      <w:pPr>
        <w:rPr>
          <w:b/>
          <w:sz w:val="18"/>
          <w:szCs w:val="18"/>
          <w:shd w:val="clear" w:color="auto" w:fill="FFFFFF"/>
        </w:rPr>
      </w:pPr>
      <w:r w:rsidRPr="00F70DA2">
        <w:rPr>
          <w:b/>
          <w:sz w:val="18"/>
          <w:szCs w:val="18"/>
        </w:rPr>
        <w:t xml:space="preserve">Wykres </w:t>
      </w:r>
      <w:r>
        <w:rPr>
          <w:b/>
          <w:sz w:val="18"/>
          <w:szCs w:val="18"/>
        </w:rPr>
        <w:t>5</w:t>
      </w:r>
      <w:r w:rsidR="003D23E6">
        <w:rPr>
          <w:b/>
          <w:sz w:val="18"/>
          <w:szCs w:val="18"/>
        </w:rPr>
        <w:t>.</w:t>
      </w:r>
      <w:r w:rsidRPr="00F70DA2">
        <w:rPr>
          <w:b/>
          <w:sz w:val="18"/>
          <w:szCs w:val="18"/>
          <w:shd w:val="clear" w:color="auto" w:fill="FFFFFF"/>
        </w:rPr>
        <w:t xml:space="preserve"> </w:t>
      </w:r>
      <w:r w:rsidRPr="002313C5">
        <w:rPr>
          <w:b/>
          <w:sz w:val="18"/>
          <w:szCs w:val="18"/>
          <w:shd w:val="clear" w:color="auto" w:fill="FFFFFF"/>
        </w:rPr>
        <w:t xml:space="preserve">Udział importu </w:t>
      </w:r>
      <w:r w:rsidR="009F59A3" w:rsidRPr="002313C5">
        <w:rPr>
          <w:b/>
          <w:sz w:val="18"/>
          <w:szCs w:val="18"/>
          <w:shd w:val="clear" w:color="auto" w:fill="FFFFFF"/>
        </w:rPr>
        <w:t xml:space="preserve">grup krajów </w:t>
      </w:r>
      <w:r w:rsidRPr="002313C5">
        <w:rPr>
          <w:b/>
          <w:sz w:val="18"/>
          <w:szCs w:val="18"/>
          <w:shd w:val="clear" w:color="auto" w:fill="FFFFFF"/>
        </w:rPr>
        <w:t>według kraju pochodzenia</w:t>
      </w:r>
      <w:r w:rsidR="009C5D06" w:rsidRPr="002313C5">
        <w:rPr>
          <w:b/>
          <w:sz w:val="18"/>
          <w:szCs w:val="18"/>
          <w:shd w:val="clear" w:color="auto" w:fill="FFFFFF"/>
        </w:rPr>
        <w:t>,</w:t>
      </w:r>
      <w:r w:rsidRPr="002313C5">
        <w:rPr>
          <w:b/>
          <w:sz w:val="18"/>
          <w:szCs w:val="18"/>
          <w:shd w:val="clear" w:color="auto" w:fill="FFFFFF"/>
        </w:rPr>
        <w:t xml:space="preserve"> a</w:t>
      </w:r>
      <w:r w:rsidR="009F59A3" w:rsidRPr="002313C5">
        <w:rPr>
          <w:b/>
          <w:sz w:val="18"/>
          <w:szCs w:val="18"/>
          <w:shd w:val="clear" w:color="auto" w:fill="FFFFFF"/>
        </w:rPr>
        <w:t xml:space="preserve"> kraju</w:t>
      </w:r>
      <w:r w:rsidRPr="002313C5">
        <w:rPr>
          <w:b/>
          <w:sz w:val="18"/>
          <w:szCs w:val="18"/>
          <w:shd w:val="clear" w:color="auto" w:fill="FFFFFF"/>
        </w:rPr>
        <w:t xml:space="preserve"> </w:t>
      </w:r>
      <w:r w:rsidR="002313C5" w:rsidRPr="002313C5">
        <w:rPr>
          <w:b/>
          <w:sz w:val="18"/>
          <w:szCs w:val="18"/>
          <w:shd w:val="clear" w:color="auto" w:fill="FFFFFF"/>
        </w:rPr>
        <w:t xml:space="preserve">wysyłki </w:t>
      </w:r>
      <w:r w:rsidR="00AF13CD">
        <w:rPr>
          <w:b/>
          <w:sz w:val="18"/>
          <w:szCs w:val="18"/>
          <w:shd w:val="clear" w:color="auto" w:fill="FFFFFF"/>
        </w:rPr>
        <w:t>za 2018</w:t>
      </w:r>
      <w:r w:rsidRPr="002313C5">
        <w:rPr>
          <w:b/>
          <w:sz w:val="18"/>
          <w:szCs w:val="18"/>
          <w:shd w:val="clear" w:color="auto" w:fill="FFFFFF"/>
        </w:rPr>
        <w:t xml:space="preserve"> r.</w:t>
      </w:r>
    </w:p>
    <w:p w:rsidR="00FF1498" w:rsidRDefault="00DD5E0F" w:rsidP="00366025">
      <w:pPr>
        <w:rPr>
          <w:b/>
          <w:sz w:val="18"/>
          <w:szCs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757568" behindDoc="0" locked="0" layoutInCell="1" allowOverlap="1">
            <wp:simplePos x="0" y="0"/>
            <wp:positionH relativeFrom="column">
              <wp:posOffset>-118976</wp:posOffset>
            </wp:positionH>
            <wp:positionV relativeFrom="paragraph">
              <wp:posOffset>72333</wp:posOffset>
            </wp:positionV>
            <wp:extent cx="5122545" cy="2082165"/>
            <wp:effectExtent l="0" t="0" r="1905" b="0"/>
            <wp:wrapNone/>
            <wp:docPr id="20" name="Wykres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F1498" w:rsidRDefault="00FF1498" w:rsidP="00366025">
      <w:pPr>
        <w:rPr>
          <w:b/>
          <w:sz w:val="18"/>
          <w:szCs w:val="18"/>
          <w:shd w:val="clear" w:color="auto" w:fill="FFFFFF"/>
        </w:rPr>
      </w:pPr>
    </w:p>
    <w:p w:rsidR="00FB50BD" w:rsidRDefault="00FB50BD" w:rsidP="00366025">
      <w:pPr>
        <w:rPr>
          <w:b/>
          <w:sz w:val="18"/>
          <w:szCs w:val="18"/>
          <w:shd w:val="clear" w:color="auto" w:fill="FFFFFF"/>
        </w:rPr>
      </w:pPr>
    </w:p>
    <w:p w:rsidR="0038490F" w:rsidRDefault="0038490F" w:rsidP="0038490F">
      <w:pPr>
        <w:pStyle w:val="Nagwek1"/>
      </w:pPr>
      <w:r>
        <w:t>Import według kraju wysyłki</w:t>
      </w:r>
      <w:r w:rsidR="004F39A5">
        <w:t xml:space="preserve"> – według krajów</w:t>
      </w:r>
    </w:p>
    <w:p w:rsidR="0038490F" w:rsidRDefault="009C17B6" w:rsidP="00366025">
      <w:pPr>
        <w:rPr>
          <w:b/>
          <w:sz w:val="18"/>
          <w:szCs w:val="18"/>
          <w:shd w:val="clear" w:color="auto" w:fill="FFFFFF"/>
        </w:rPr>
      </w:pPr>
      <w:r>
        <w:t xml:space="preserve">Udział Niemiec w imporcie według </w:t>
      </w:r>
      <w:r w:rsidRPr="00345F7C">
        <w:t xml:space="preserve"> </w:t>
      </w:r>
      <w:r w:rsidRPr="00345F7C">
        <w:rPr>
          <w:rFonts w:cs="Arial"/>
        </w:rPr>
        <w:t xml:space="preserve">kraju </w:t>
      </w:r>
      <w:r>
        <w:rPr>
          <w:rFonts w:cs="Arial"/>
        </w:rPr>
        <w:t>wysyłki</w:t>
      </w:r>
      <w:r w:rsidRPr="00345F7C">
        <w:rPr>
          <w:rFonts w:cs="Arial"/>
        </w:rPr>
        <w:t xml:space="preserve"> </w:t>
      </w:r>
      <w:r>
        <w:rPr>
          <w:rFonts w:cs="Arial"/>
        </w:rPr>
        <w:t>w stosun</w:t>
      </w:r>
      <w:r w:rsidR="00786D57">
        <w:rPr>
          <w:rFonts w:cs="Arial"/>
        </w:rPr>
        <w:t xml:space="preserve">ki do importu według kraju </w:t>
      </w:r>
      <w:proofErr w:type="spellStart"/>
      <w:r w:rsidR="00786D57">
        <w:rPr>
          <w:rFonts w:cs="Arial"/>
        </w:rPr>
        <w:t>poch</w:t>
      </w:r>
      <w:r>
        <w:rPr>
          <w:rFonts w:cs="Arial"/>
        </w:rPr>
        <w:t>dzenia</w:t>
      </w:r>
      <w:proofErr w:type="spellEnd"/>
      <w:r>
        <w:rPr>
          <w:rFonts w:cs="Arial"/>
        </w:rPr>
        <w:t xml:space="preserve"> </w:t>
      </w:r>
      <w:r w:rsidR="008C317D">
        <w:rPr>
          <w:rFonts w:cs="Arial"/>
        </w:rPr>
        <w:t>był większy</w:t>
      </w:r>
      <w:r>
        <w:rPr>
          <w:rFonts w:cs="Arial"/>
        </w:rPr>
        <w:t xml:space="preserve"> o </w:t>
      </w:r>
      <w:r w:rsidR="0099454C">
        <w:rPr>
          <w:rFonts w:cs="Arial"/>
        </w:rPr>
        <w:t>4,7</w:t>
      </w:r>
      <w:r>
        <w:rPr>
          <w:rFonts w:cs="Arial"/>
        </w:rPr>
        <w:t xml:space="preserve"> p. proc., udział Holandii odpowiednio </w:t>
      </w:r>
      <w:r w:rsidR="008C317D">
        <w:rPr>
          <w:rFonts w:cs="Arial"/>
        </w:rPr>
        <w:t>był większy</w:t>
      </w:r>
      <w:r>
        <w:rPr>
          <w:rFonts w:cs="Arial"/>
        </w:rPr>
        <w:t xml:space="preserve"> o </w:t>
      </w:r>
      <w:r w:rsidR="0099454C">
        <w:rPr>
          <w:rFonts w:cs="Arial"/>
        </w:rPr>
        <w:t>3,</w:t>
      </w:r>
      <w:r w:rsidR="009C5D06">
        <w:rPr>
          <w:rFonts w:cs="Arial"/>
        </w:rPr>
        <w:t>2</w:t>
      </w:r>
      <w:r w:rsidR="0099454C">
        <w:rPr>
          <w:rFonts w:cs="Arial"/>
        </w:rPr>
        <w:t xml:space="preserve"> p. proc., a</w:t>
      </w:r>
      <w:r w:rsidR="008C317D">
        <w:rPr>
          <w:rFonts w:cs="Arial"/>
        </w:rPr>
        <w:t> </w:t>
      </w:r>
      <w:r w:rsidR="0099454C">
        <w:rPr>
          <w:rFonts w:cs="Arial"/>
        </w:rPr>
        <w:t>Belgii o 1,1</w:t>
      </w:r>
      <w:r w:rsidR="00F657FD">
        <w:rPr>
          <w:rFonts w:cs="Arial"/>
        </w:rPr>
        <w:t xml:space="preserve"> </w:t>
      </w:r>
      <w:r>
        <w:rPr>
          <w:rFonts w:cs="Arial"/>
        </w:rPr>
        <w:t>p. proc.</w:t>
      </w:r>
      <w:r w:rsidRPr="00633014">
        <w:rPr>
          <w:b/>
          <w:noProof/>
          <w:spacing w:val="-2"/>
          <w:szCs w:val="19"/>
          <w:lang w:eastAsia="pl-PL"/>
        </w:rPr>
        <w:t xml:space="preserve"> </w:t>
      </w:r>
    </w:p>
    <w:tbl>
      <w:tblPr>
        <w:tblpPr w:leftFromText="141" w:rightFromText="141" w:vertAnchor="page" w:horzAnchor="margin" w:tblpY="3780"/>
        <w:tblW w:w="4858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351"/>
        <w:gridCol w:w="754"/>
        <w:gridCol w:w="754"/>
        <w:gridCol w:w="754"/>
        <w:gridCol w:w="655"/>
        <w:gridCol w:w="655"/>
        <w:gridCol w:w="656"/>
        <w:gridCol w:w="629"/>
        <w:gridCol w:w="630"/>
      </w:tblGrid>
      <w:tr w:rsidR="0038490F" w:rsidRPr="00366025" w:rsidTr="00B63D39">
        <w:trPr>
          <w:trHeight w:val="613"/>
        </w:trPr>
        <w:tc>
          <w:tcPr>
            <w:tcW w:w="2351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38490F" w:rsidRPr="005F3D74" w:rsidRDefault="0038490F" w:rsidP="009C17B6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lastRenderedPageBreak/>
              <w:t>WYSZCZEGÓLNIENIE</w:t>
            </w:r>
          </w:p>
        </w:tc>
        <w:tc>
          <w:tcPr>
            <w:tcW w:w="4228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38490F" w:rsidRPr="005F3D74" w:rsidRDefault="00B63D39" w:rsidP="009C17B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2018</w:t>
            </w:r>
          </w:p>
        </w:tc>
        <w:tc>
          <w:tcPr>
            <w:tcW w:w="629" w:type="dxa"/>
            <w:tcBorders>
              <w:top w:val="nil"/>
              <w:bottom w:val="single" w:sz="4" w:space="0" w:color="001D77"/>
            </w:tcBorders>
            <w:vAlign w:val="center"/>
          </w:tcPr>
          <w:p w:rsidR="0038490F" w:rsidRPr="005F3D74" w:rsidRDefault="0038490F" w:rsidP="00B63D39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 w:rsidR="00B63D39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30" w:type="dxa"/>
            <w:tcBorders>
              <w:top w:val="nil"/>
              <w:bottom w:val="single" w:sz="4" w:space="0" w:color="001D77"/>
            </w:tcBorders>
            <w:vAlign w:val="center"/>
          </w:tcPr>
          <w:p w:rsidR="0038490F" w:rsidRPr="005F3D74" w:rsidRDefault="0038490F" w:rsidP="009C17B6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</w:t>
            </w:r>
            <w:r w:rsidR="00B63D39">
              <w:rPr>
                <w:rFonts w:cs="Arial"/>
                <w:sz w:val="16"/>
                <w:szCs w:val="16"/>
              </w:rPr>
              <w:t>018</w:t>
            </w:r>
          </w:p>
        </w:tc>
      </w:tr>
      <w:tr w:rsidR="006F00A8" w:rsidRPr="00366025" w:rsidTr="00890FAC">
        <w:trPr>
          <w:trHeight w:val="613"/>
        </w:trPr>
        <w:tc>
          <w:tcPr>
            <w:tcW w:w="2351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6F00A8" w:rsidRPr="005F3D74" w:rsidRDefault="006F00A8" w:rsidP="009C17B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54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6F00A8" w:rsidRPr="005F3D74" w:rsidRDefault="006F00A8" w:rsidP="009C17B6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6F00A8" w:rsidRPr="005F3D74" w:rsidRDefault="006F00A8" w:rsidP="009C17B6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:rsidR="006F00A8" w:rsidRPr="005F3D74" w:rsidRDefault="006F00A8" w:rsidP="009C17B6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:rsidR="006F00A8" w:rsidRPr="005F3D74" w:rsidRDefault="006F00A8" w:rsidP="009C17B6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54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6F00A8" w:rsidRPr="005F3D74" w:rsidRDefault="006F00A8" w:rsidP="009C17B6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54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6F00A8" w:rsidRPr="005F3D74" w:rsidRDefault="006F00A8" w:rsidP="009C17B6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1966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6F00A8" w:rsidRPr="005F3D74" w:rsidRDefault="006F00A8" w:rsidP="00B63D39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>
              <w:rPr>
                <w:rFonts w:cs="Arial"/>
                <w:sz w:val="16"/>
                <w:szCs w:val="16"/>
              </w:rPr>
              <w:t>7</w:t>
            </w:r>
            <w:r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4" w:space="0" w:color="001D77"/>
            </w:tcBorders>
            <w:vAlign w:val="center"/>
          </w:tcPr>
          <w:p w:rsidR="006F00A8" w:rsidRPr="005F3D74" w:rsidRDefault="006F00A8" w:rsidP="00890FA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6F00A8" w:rsidRPr="00366025" w:rsidTr="00890FAC">
        <w:trPr>
          <w:trHeight w:val="774"/>
        </w:trPr>
        <w:tc>
          <w:tcPr>
            <w:tcW w:w="235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6F00A8" w:rsidRPr="005F3D74" w:rsidRDefault="006F00A8" w:rsidP="009C17B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54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6F00A8" w:rsidRPr="005F3D74" w:rsidRDefault="006F00A8" w:rsidP="009C17B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54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6F00A8" w:rsidRPr="005F3D74" w:rsidRDefault="006F00A8" w:rsidP="009C17B6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54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6F00A8" w:rsidRPr="005F3D74" w:rsidRDefault="006F00A8" w:rsidP="009C17B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6F00A8" w:rsidRPr="005F3D74" w:rsidRDefault="006F00A8" w:rsidP="009C17B6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55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6F00A8" w:rsidRPr="005F3D74" w:rsidRDefault="006F00A8" w:rsidP="009C17B6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56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6F00A8" w:rsidRPr="005F3D74" w:rsidRDefault="006F00A8" w:rsidP="009C17B6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59" w:type="dxa"/>
            <w:gridSpan w:val="2"/>
            <w:vMerge/>
            <w:tcBorders>
              <w:bottom w:val="single" w:sz="12" w:space="0" w:color="001D77"/>
            </w:tcBorders>
            <w:vAlign w:val="center"/>
          </w:tcPr>
          <w:p w:rsidR="006F00A8" w:rsidRPr="005F3D74" w:rsidRDefault="006F00A8" w:rsidP="009C17B6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8490F" w:rsidRPr="00366025" w:rsidTr="00320D7D">
        <w:trPr>
          <w:trHeight w:val="394"/>
        </w:trPr>
        <w:tc>
          <w:tcPr>
            <w:tcW w:w="7838" w:type="dxa"/>
            <w:gridSpan w:val="9"/>
            <w:tcBorders>
              <w:top w:val="single" w:sz="12" w:space="0" w:color="001D77"/>
            </w:tcBorders>
            <w:vAlign w:val="center"/>
          </w:tcPr>
          <w:p w:rsidR="0038490F" w:rsidRPr="00366025" w:rsidRDefault="0038490F" w:rsidP="009C17B6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 w:rsidR="005E67F5">
              <w:rPr>
                <w:rFonts w:cs="Arial"/>
                <w:b/>
                <w:sz w:val="16"/>
                <w:szCs w:val="16"/>
              </w:rPr>
              <w:t xml:space="preserve"> (wg kraju wysyłki)</w:t>
            </w:r>
          </w:p>
        </w:tc>
      </w:tr>
      <w:tr w:rsidR="006F00A8" w:rsidRPr="00366025" w:rsidTr="006F00A8">
        <w:trPr>
          <w:trHeight w:val="394"/>
        </w:trPr>
        <w:tc>
          <w:tcPr>
            <w:tcW w:w="2351" w:type="dxa"/>
            <w:vAlign w:val="center"/>
          </w:tcPr>
          <w:p w:rsidR="006F00A8" w:rsidRPr="0038490F" w:rsidRDefault="006F00A8" w:rsidP="006F00A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54" w:type="dxa"/>
            <w:vAlign w:val="bottom"/>
          </w:tcPr>
          <w:p w:rsidR="006F00A8" w:rsidRPr="006F00A8" w:rsidRDefault="006F00A8" w:rsidP="006F00A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267,7</w:t>
            </w:r>
          </w:p>
        </w:tc>
        <w:tc>
          <w:tcPr>
            <w:tcW w:w="754" w:type="dxa"/>
            <w:vAlign w:val="bottom"/>
          </w:tcPr>
          <w:p w:rsidR="006F00A8" w:rsidRPr="006F00A8" w:rsidRDefault="006F00A8" w:rsidP="006F00A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74,5</w:t>
            </w:r>
          </w:p>
        </w:tc>
        <w:tc>
          <w:tcPr>
            <w:tcW w:w="754" w:type="dxa"/>
            <w:vAlign w:val="bottom"/>
          </w:tcPr>
          <w:p w:rsidR="006F00A8" w:rsidRPr="006F00A8" w:rsidRDefault="006F00A8" w:rsidP="006F00A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62,9</w:t>
            </w:r>
          </w:p>
        </w:tc>
        <w:tc>
          <w:tcPr>
            <w:tcW w:w="655" w:type="dxa"/>
            <w:vAlign w:val="bottom"/>
          </w:tcPr>
          <w:p w:rsidR="006F00A8" w:rsidRPr="006F00A8" w:rsidRDefault="006F00A8" w:rsidP="006F00A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108,6</w:t>
            </w:r>
          </w:p>
        </w:tc>
        <w:tc>
          <w:tcPr>
            <w:tcW w:w="655" w:type="dxa"/>
            <w:vAlign w:val="bottom"/>
          </w:tcPr>
          <w:p w:rsidR="006F00A8" w:rsidRPr="006F00A8" w:rsidRDefault="006F00A8" w:rsidP="006F00A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115,0</w:t>
            </w:r>
          </w:p>
        </w:tc>
        <w:tc>
          <w:tcPr>
            <w:tcW w:w="656" w:type="dxa"/>
            <w:vAlign w:val="bottom"/>
          </w:tcPr>
          <w:p w:rsidR="006F00A8" w:rsidRPr="006F00A8" w:rsidRDefault="006F00A8" w:rsidP="006F00A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108,9</w:t>
            </w:r>
          </w:p>
        </w:tc>
        <w:tc>
          <w:tcPr>
            <w:tcW w:w="629" w:type="dxa"/>
            <w:vAlign w:val="bottom"/>
          </w:tcPr>
          <w:p w:rsidR="006F00A8" w:rsidRPr="006F00A8" w:rsidRDefault="006F00A8" w:rsidP="006F00A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28,0</w:t>
            </w:r>
          </w:p>
        </w:tc>
        <w:tc>
          <w:tcPr>
            <w:tcW w:w="630" w:type="dxa"/>
            <w:vAlign w:val="bottom"/>
          </w:tcPr>
          <w:p w:rsidR="006F00A8" w:rsidRPr="006F00A8" w:rsidRDefault="006F00A8" w:rsidP="006F00A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27,6</w:t>
            </w:r>
          </w:p>
        </w:tc>
      </w:tr>
      <w:tr w:rsidR="006F00A8" w:rsidRPr="00366025" w:rsidTr="006F00A8">
        <w:trPr>
          <w:trHeight w:val="394"/>
        </w:trPr>
        <w:tc>
          <w:tcPr>
            <w:tcW w:w="2351" w:type="dxa"/>
            <w:vAlign w:val="center"/>
          </w:tcPr>
          <w:p w:rsidR="006F00A8" w:rsidRPr="0038490F" w:rsidRDefault="006F00A8" w:rsidP="006F00A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>2.  Rosja</w:t>
            </w:r>
          </w:p>
        </w:tc>
        <w:tc>
          <w:tcPr>
            <w:tcW w:w="754" w:type="dxa"/>
            <w:vAlign w:val="bottom"/>
          </w:tcPr>
          <w:p w:rsidR="006F00A8" w:rsidRPr="006F00A8" w:rsidRDefault="006F00A8" w:rsidP="006F00A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72,4</w:t>
            </w:r>
          </w:p>
        </w:tc>
        <w:tc>
          <w:tcPr>
            <w:tcW w:w="754" w:type="dxa"/>
            <w:vAlign w:val="bottom"/>
          </w:tcPr>
          <w:p w:rsidR="006F00A8" w:rsidRPr="006F00A8" w:rsidRDefault="006F00A8" w:rsidP="006F00A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20,1</w:t>
            </w:r>
          </w:p>
        </w:tc>
        <w:tc>
          <w:tcPr>
            <w:tcW w:w="754" w:type="dxa"/>
            <w:vAlign w:val="bottom"/>
          </w:tcPr>
          <w:p w:rsidR="006F00A8" w:rsidRPr="006F00A8" w:rsidRDefault="006F00A8" w:rsidP="006F00A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17,0</w:t>
            </w:r>
          </w:p>
        </w:tc>
        <w:tc>
          <w:tcPr>
            <w:tcW w:w="655" w:type="dxa"/>
            <w:vAlign w:val="bottom"/>
          </w:tcPr>
          <w:p w:rsidR="006F00A8" w:rsidRPr="006F00A8" w:rsidRDefault="006F00A8" w:rsidP="006F00A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127,9</w:t>
            </w:r>
          </w:p>
        </w:tc>
        <w:tc>
          <w:tcPr>
            <w:tcW w:w="655" w:type="dxa"/>
            <w:vAlign w:val="bottom"/>
          </w:tcPr>
          <w:p w:rsidR="006F00A8" w:rsidRPr="006F00A8" w:rsidRDefault="006F00A8" w:rsidP="006F00A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135,4</w:t>
            </w:r>
          </w:p>
        </w:tc>
        <w:tc>
          <w:tcPr>
            <w:tcW w:w="656" w:type="dxa"/>
            <w:vAlign w:val="bottom"/>
          </w:tcPr>
          <w:p w:rsidR="006F00A8" w:rsidRPr="006F00A8" w:rsidRDefault="006F00A8" w:rsidP="006F00A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128,4</w:t>
            </w:r>
          </w:p>
        </w:tc>
        <w:tc>
          <w:tcPr>
            <w:tcW w:w="629" w:type="dxa"/>
            <w:vAlign w:val="bottom"/>
          </w:tcPr>
          <w:p w:rsidR="006F00A8" w:rsidRPr="006F00A8" w:rsidRDefault="006F00A8" w:rsidP="006F00A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6,4</w:t>
            </w:r>
          </w:p>
        </w:tc>
        <w:tc>
          <w:tcPr>
            <w:tcW w:w="630" w:type="dxa"/>
            <w:vAlign w:val="bottom"/>
          </w:tcPr>
          <w:p w:rsidR="006F00A8" w:rsidRPr="006F00A8" w:rsidRDefault="006F00A8" w:rsidP="006F00A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7,5</w:t>
            </w:r>
          </w:p>
        </w:tc>
      </w:tr>
      <w:tr w:rsidR="006F00A8" w:rsidRPr="00366025" w:rsidTr="006F00A8">
        <w:trPr>
          <w:trHeight w:val="394"/>
        </w:trPr>
        <w:tc>
          <w:tcPr>
            <w:tcW w:w="2351" w:type="dxa"/>
            <w:vAlign w:val="center"/>
          </w:tcPr>
          <w:p w:rsidR="006F00A8" w:rsidRPr="0038490F" w:rsidRDefault="006F00A8" w:rsidP="006F00A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3.  Chiny </w:t>
            </w:r>
          </w:p>
        </w:tc>
        <w:tc>
          <w:tcPr>
            <w:tcW w:w="754" w:type="dxa"/>
            <w:vAlign w:val="bottom"/>
          </w:tcPr>
          <w:p w:rsidR="006F00A8" w:rsidRPr="006F00A8" w:rsidRDefault="006F00A8" w:rsidP="006F00A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69,6</w:t>
            </w:r>
          </w:p>
        </w:tc>
        <w:tc>
          <w:tcPr>
            <w:tcW w:w="754" w:type="dxa"/>
            <w:vAlign w:val="bottom"/>
          </w:tcPr>
          <w:p w:rsidR="006F00A8" w:rsidRPr="006F00A8" w:rsidRDefault="006F00A8" w:rsidP="006F00A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19,3</w:t>
            </w:r>
          </w:p>
        </w:tc>
        <w:tc>
          <w:tcPr>
            <w:tcW w:w="754" w:type="dxa"/>
            <w:vAlign w:val="bottom"/>
          </w:tcPr>
          <w:p w:rsidR="006F00A8" w:rsidRPr="006F00A8" w:rsidRDefault="006F00A8" w:rsidP="006F00A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16,4</w:t>
            </w:r>
          </w:p>
        </w:tc>
        <w:tc>
          <w:tcPr>
            <w:tcW w:w="655" w:type="dxa"/>
            <w:vAlign w:val="bottom"/>
          </w:tcPr>
          <w:p w:rsidR="006F00A8" w:rsidRPr="006F00A8" w:rsidRDefault="006F00A8" w:rsidP="006F00A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111,8</w:t>
            </w:r>
          </w:p>
        </w:tc>
        <w:tc>
          <w:tcPr>
            <w:tcW w:w="655" w:type="dxa"/>
            <w:vAlign w:val="bottom"/>
          </w:tcPr>
          <w:p w:rsidR="006F00A8" w:rsidRPr="006F00A8" w:rsidRDefault="006F00A8" w:rsidP="006F00A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118,4</w:t>
            </w:r>
          </w:p>
        </w:tc>
        <w:tc>
          <w:tcPr>
            <w:tcW w:w="656" w:type="dxa"/>
            <w:vAlign w:val="bottom"/>
          </w:tcPr>
          <w:p w:rsidR="006F00A8" w:rsidRPr="006F00A8" w:rsidRDefault="006F00A8" w:rsidP="006F00A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112,2</w:t>
            </w:r>
          </w:p>
        </w:tc>
        <w:tc>
          <w:tcPr>
            <w:tcW w:w="629" w:type="dxa"/>
            <w:vAlign w:val="bottom"/>
          </w:tcPr>
          <w:p w:rsidR="006F00A8" w:rsidRPr="006F00A8" w:rsidRDefault="006F00A8" w:rsidP="006F00A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7,1</w:t>
            </w:r>
          </w:p>
        </w:tc>
        <w:tc>
          <w:tcPr>
            <w:tcW w:w="630" w:type="dxa"/>
            <w:vAlign w:val="bottom"/>
          </w:tcPr>
          <w:p w:rsidR="006F00A8" w:rsidRPr="006F00A8" w:rsidRDefault="006F00A8" w:rsidP="006F00A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7,2</w:t>
            </w:r>
          </w:p>
        </w:tc>
      </w:tr>
      <w:tr w:rsidR="006F00A8" w:rsidRPr="00366025" w:rsidTr="006F00A8">
        <w:trPr>
          <w:trHeight w:val="394"/>
        </w:trPr>
        <w:tc>
          <w:tcPr>
            <w:tcW w:w="2351" w:type="dxa"/>
            <w:vAlign w:val="center"/>
          </w:tcPr>
          <w:p w:rsidR="006F00A8" w:rsidRPr="0038490F" w:rsidRDefault="006F00A8" w:rsidP="006F00A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>4. Holandia</w:t>
            </w:r>
          </w:p>
        </w:tc>
        <w:tc>
          <w:tcPr>
            <w:tcW w:w="754" w:type="dxa"/>
            <w:vAlign w:val="bottom"/>
          </w:tcPr>
          <w:p w:rsidR="006F00A8" w:rsidRPr="006F00A8" w:rsidRDefault="006F00A8" w:rsidP="006F00A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53,8</w:t>
            </w:r>
          </w:p>
        </w:tc>
        <w:tc>
          <w:tcPr>
            <w:tcW w:w="754" w:type="dxa"/>
            <w:vAlign w:val="bottom"/>
          </w:tcPr>
          <w:p w:rsidR="006F00A8" w:rsidRPr="006F00A8" w:rsidRDefault="006F00A8" w:rsidP="006F00A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15,0</w:t>
            </w:r>
          </w:p>
        </w:tc>
        <w:tc>
          <w:tcPr>
            <w:tcW w:w="754" w:type="dxa"/>
            <w:vAlign w:val="bottom"/>
          </w:tcPr>
          <w:p w:rsidR="006F00A8" w:rsidRPr="006F00A8" w:rsidRDefault="006F00A8" w:rsidP="006F00A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12,6</w:t>
            </w:r>
          </w:p>
        </w:tc>
        <w:tc>
          <w:tcPr>
            <w:tcW w:w="655" w:type="dxa"/>
            <w:vAlign w:val="bottom"/>
          </w:tcPr>
          <w:p w:rsidR="006F00A8" w:rsidRPr="006F00A8" w:rsidRDefault="006F00A8" w:rsidP="006F00A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102,6</w:t>
            </w:r>
          </w:p>
        </w:tc>
        <w:tc>
          <w:tcPr>
            <w:tcW w:w="655" w:type="dxa"/>
            <w:vAlign w:val="bottom"/>
          </w:tcPr>
          <w:p w:rsidR="006F00A8" w:rsidRPr="006F00A8" w:rsidRDefault="006F00A8" w:rsidP="006F00A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109,0</w:t>
            </w:r>
          </w:p>
        </w:tc>
        <w:tc>
          <w:tcPr>
            <w:tcW w:w="656" w:type="dxa"/>
            <w:vAlign w:val="bottom"/>
          </w:tcPr>
          <w:p w:rsidR="006F00A8" w:rsidRPr="006F00A8" w:rsidRDefault="006F00A8" w:rsidP="006F00A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103,0</w:t>
            </w:r>
          </w:p>
        </w:tc>
        <w:tc>
          <w:tcPr>
            <w:tcW w:w="629" w:type="dxa"/>
            <w:vAlign w:val="bottom"/>
          </w:tcPr>
          <w:p w:rsidR="006F00A8" w:rsidRPr="006F00A8" w:rsidRDefault="006F00A8" w:rsidP="006F00A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6,0</w:t>
            </w:r>
          </w:p>
        </w:tc>
        <w:tc>
          <w:tcPr>
            <w:tcW w:w="630" w:type="dxa"/>
            <w:vAlign w:val="bottom"/>
          </w:tcPr>
          <w:p w:rsidR="006F00A8" w:rsidRPr="006F00A8" w:rsidRDefault="006F00A8" w:rsidP="006F00A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5,5</w:t>
            </w:r>
          </w:p>
        </w:tc>
      </w:tr>
      <w:tr w:rsidR="006F00A8" w:rsidRPr="00366025" w:rsidTr="006F00A8">
        <w:trPr>
          <w:trHeight w:val="394"/>
        </w:trPr>
        <w:tc>
          <w:tcPr>
            <w:tcW w:w="2351" w:type="dxa"/>
            <w:vAlign w:val="center"/>
          </w:tcPr>
          <w:p w:rsidR="006F00A8" w:rsidRPr="0038490F" w:rsidRDefault="006F00A8" w:rsidP="006F00A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>5. Włochy</w:t>
            </w:r>
          </w:p>
        </w:tc>
        <w:tc>
          <w:tcPr>
            <w:tcW w:w="754" w:type="dxa"/>
            <w:vAlign w:val="bottom"/>
          </w:tcPr>
          <w:p w:rsidR="006F00A8" w:rsidRPr="006F00A8" w:rsidRDefault="006F00A8" w:rsidP="006F00A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50,0</w:t>
            </w:r>
          </w:p>
        </w:tc>
        <w:tc>
          <w:tcPr>
            <w:tcW w:w="754" w:type="dxa"/>
            <w:vAlign w:val="bottom"/>
          </w:tcPr>
          <w:p w:rsidR="006F00A8" w:rsidRPr="006F00A8" w:rsidRDefault="006F00A8" w:rsidP="006F00A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13,9</w:t>
            </w:r>
          </w:p>
        </w:tc>
        <w:tc>
          <w:tcPr>
            <w:tcW w:w="754" w:type="dxa"/>
            <w:vAlign w:val="bottom"/>
          </w:tcPr>
          <w:p w:rsidR="006F00A8" w:rsidRPr="006F00A8" w:rsidRDefault="006F00A8" w:rsidP="006F00A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11,8</w:t>
            </w:r>
          </w:p>
        </w:tc>
        <w:tc>
          <w:tcPr>
            <w:tcW w:w="655" w:type="dxa"/>
            <w:vAlign w:val="bottom"/>
          </w:tcPr>
          <w:p w:rsidR="006F00A8" w:rsidRPr="006F00A8" w:rsidRDefault="006F00A8" w:rsidP="006F00A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105,4</w:t>
            </w:r>
          </w:p>
        </w:tc>
        <w:tc>
          <w:tcPr>
            <w:tcW w:w="655" w:type="dxa"/>
            <w:vAlign w:val="bottom"/>
          </w:tcPr>
          <w:p w:rsidR="006F00A8" w:rsidRPr="006F00A8" w:rsidRDefault="006F00A8" w:rsidP="006F00A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112,0</w:t>
            </w:r>
          </w:p>
        </w:tc>
        <w:tc>
          <w:tcPr>
            <w:tcW w:w="656" w:type="dxa"/>
            <w:vAlign w:val="bottom"/>
          </w:tcPr>
          <w:p w:rsidR="006F00A8" w:rsidRPr="006F00A8" w:rsidRDefault="006F00A8" w:rsidP="006F00A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105,8</w:t>
            </w:r>
          </w:p>
        </w:tc>
        <w:tc>
          <w:tcPr>
            <w:tcW w:w="629" w:type="dxa"/>
            <w:vAlign w:val="bottom"/>
          </w:tcPr>
          <w:p w:rsidR="006F00A8" w:rsidRPr="006F00A8" w:rsidRDefault="006F00A8" w:rsidP="006F00A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5,4</w:t>
            </w:r>
          </w:p>
        </w:tc>
        <w:tc>
          <w:tcPr>
            <w:tcW w:w="630" w:type="dxa"/>
            <w:vAlign w:val="bottom"/>
          </w:tcPr>
          <w:p w:rsidR="006F00A8" w:rsidRPr="006F00A8" w:rsidRDefault="006F00A8" w:rsidP="006F00A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5,2</w:t>
            </w:r>
          </w:p>
        </w:tc>
      </w:tr>
      <w:tr w:rsidR="006F00A8" w:rsidRPr="00366025" w:rsidTr="006F00A8">
        <w:trPr>
          <w:trHeight w:val="394"/>
        </w:trPr>
        <w:tc>
          <w:tcPr>
            <w:tcW w:w="2351" w:type="dxa"/>
            <w:vAlign w:val="center"/>
          </w:tcPr>
          <w:p w:rsidR="006F00A8" w:rsidRPr="0038490F" w:rsidRDefault="006F00A8" w:rsidP="006F00A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6.  Czechy </w:t>
            </w:r>
          </w:p>
        </w:tc>
        <w:tc>
          <w:tcPr>
            <w:tcW w:w="754" w:type="dxa"/>
            <w:vAlign w:val="bottom"/>
          </w:tcPr>
          <w:p w:rsidR="006F00A8" w:rsidRPr="006F00A8" w:rsidRDefault="006F00A8" w:rsidP="006F00A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38,9</w:t>
            </w:r>
          </w:p>
        </w:tc>
        <w:tc>
          <w:tcPr>
            <w:tcW w:w="754" w:type="dxa"/>
            <w:vAlign w:val="bottom"/>
          </w:tcPr>
          <w:p w:rsidR="006F00A8" w:rsidRPr="006F00A8" w:rsidRDefault="006F00A8" w:rsidP="006F00A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10,8</w:t>
            </w:r>
          </w:p>
        </w:tc>
        <w:tc>
          <w:tcPr>
            <w:tcW w:w="754" w:type="dxa"/>
            <w:vAlign w:val="bottom"/>
          </w:tcPr>
          <w:p w:rsidR="006F00A8" w:rsidRPr="006F00A8" w:rsidRDefault="006F00A8" w:rsidP="006F00A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9,1</w:t>
            </w:r>
          </w:p>
        </w:tc>
        <w:tc>
          <w:tcPr>
            <w:tcW w:w="655" w:type="dxa"/>
            <w:vAlign w:val="bottom"/>
          </w:tcPr>
          <w:p w:rsidR="006F00A8" w:rsidRPr="006F00A8" w:rsidRDefault="006F00A8" w:rsidP="006F00A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109,3</w:t>
            </w:r>
          </w:p>
        </w:tc>
        <w:tc>
          <w:tcPr>
            <w:tcW w:w="655" w:type="dxa"/>
            <w:vAlign w:val="bottom"/>
          </w:tcPr>
          <w:p w:rsidR="006F00A8" w:rsidRPr="006F00A8" w:rsidRDefault="006F00A8" w:rsidP="006F00A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115,9</w:t>
            </w:r>
          </w:p>
        </w:tc>
        <w:tc>
          <w:tcPr>
            <w:tcW w:w="656" w:type="dxa"/>
            <w:vAlign w:val="bottom"/>
          </w:tcPr>
          <w:p w:rsidR="006F00A8" w:rsidRPr="006F00A8" w:rsidRDefault="006F00A8" w:rsidP="006F00A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109,7</w:t>
            </w:r>
          </w:p>
        </w:tc>
        <w:tc>
          <w:tcPr>
            <w:tcW w:w="629" w:type="dxa"/>
            <w:vAlign w:val="bottom"/>
          </w:tcPr>
          <w:p w:rsidR="006F00A8" w:rsidRPr="006F00A8" w:rsidRDefault="006F00A8" w:rsidP="006F00A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4,0</w:t>
            </w:r>
          </w:p>
        </w:tc>
        <w:tc>
          <w:tcPr>
            <w:tcW w:w="630" w:type="dxa"/>
            <w:vAlign w:val="bottom"/>
          </w:tcPr>
          <w:p w:rsidR="006F00A8" w:rsidRPr="006F00A8" w:rsidRDefault="006F00A8" w:rsidP="006F00A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4,0</w:t>
            </w:r>
          </w:p>
        </w:tc>
      </w:tr>
      <w:tr w:rsidR="006F00A8" w:rsidRPr="00366025" w:rsidTr="006F00A8">
        <w:trPr>
          <w:trHeight w:val="394"/>
        </w:trPr>
        <w:tc>
          <w:tcPr>
            <w:tcW w:w="2351" w:type="dxa"/>
            <w:vAlign w:val="center"/>
          </w:tcPr>
          <w:p w:rsidR="006F00A8" w:rsidRPr="0038490F" w:rsidRDefault="006F00A8" w:rsidP="006F00A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>7.  Francja</w:t>
            </w:r>
          </w:p>
        </w:tc>
        <w:tc>
          <w:tcPr>
            <w:tcW w:w="754" w:type="dxa"/>
            <w:vAlign w:val="bottom"/>
          </w:tcPr>
          <w:p w:rsidR="006F00A8" w:rsidRPr="006F00A8" w:rsidRDefault="006F00A8" w:rsidP="006F00A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38,5</w:t>
            </w:r>
          </w:p>
        </w:tc>
        <w:tc>
          <w:tcPr>
            <w:tcW w:w="754" w:type="dxa"/>
            <w:vAlign w:val="bottom"/>
          </w:tcPr>
          <w:p w:rsidR="006F00A8" w:rsidRPr="006F00A8" w:rsidRDefault="006F00A8" w:rsidP="006F00A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10,7</w:t>
            </w:r>
          </w:p>
        </w:tc>
        <w:tc>
          <w:tcPr>
            <w:tcW w:w="754" w:type="dxa"/>
            <w:vAlign w:val="bottom"/>
          </w:tcPr>
          <w:p w:rsidR="006F00A8" w:rsidRPr="006F00A8" w:rsidRDefault="006F00A8" w:rsidP="006F00A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9,1</w:t>
            </w:r>
          </w:p>
        </w:tc>
        <w:tc>
          <w:tcPr>
            <w:tcW w:w="655" w:type="dxa"/>
            <w:vAlign w:val="bottom"/>
          </w:tcPr>
          <w:p w:rsidR="006F00A8" w:rsidRPr="006F00A8" w:rsidRDefault="006F00A8" w:rsidP="006F00A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105,5</w:t>
            </w:r>
          </w:p>
        </w:tc>
        <w:tc>
          <w:tcPr>
            <w:tcW w:w="655" w:type="dxa"/>
            <w:vAlign w:val="bottom"/>
          </w:tcPr>
          <w:p w:rsidR="006F00A8" w:rsidRPr="006F00A8" w:rsidRDefault="006F00A8" w:rsidP="006F00A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112,2</w:t>
            </w:r>
          </w:p>
        </w:tc>
        <w:tc>
          <w:tcPr>
            <w:tcW w:w="656" w:type="dxa"/>
            <w:vAlign w:val="bottom"/>
          </w:tcPr>
          <w:p w:rsidR="006F00A8" w:rsidRPr="006F00A8" w:rsidRDefault="006F00A8" w:rsidP="006F00A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106,0</w:t>
            </w:r>
          </w:p>
        </w:tc>
        <w:tc>
          <w:tcPr>
            <w:tcW w:w="629" w:type="dxa"/>
            <w:vAlign w:val="bottom"/>
          </w:tcPr>
          <w:p w:rsidR="006F00A8" w:rsidRPr="006F00A8" w:rsidRDefault="006F00A8" w:rsidP="006F00A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4,1</w:t>
            </w:r>
          </w:p>
        </w:tc>
        <w:tc>
          <w:tcPr>
            <w:tcW w:w="630" w:type="dxa"/>
            <w:vAlign w:val="bottom"/>
          </w:tcPr>
          <w:p w:rsidR="006F00A8" w:rsidRPr="006F00A8" w:rsidRDefault="006F00A8" w:rsidP="006F00A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4,0</w:t>
            </w:r>
          </w:p>
        </w:tc>
      </w:tr>
      <w:tr w:rsidR="006F00A8" w:rsidRPr="00366025" w:rsidTr="006F00A8">
        <w:trPr>
          <w:trHeight w:val="394"/>
        </w:trPr>
        <w:tc>
          <w:tcPr>
            <w:tcW w:w="2351" w:type="dxa"/>
            <w:vAlign w:val="center"/>
          </w:tcPr>
          <w:p w:rsidR="006F00A8" w:rsidRPr="0038490F" w:rsidRDefault="006F00A8" w:rsidP="006F00A8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>8. Belgia</w:t>
            </w:r>
          </w:p>
        </w:tc>
        <w:tc>
          <w:tcPr>
            <w:tcW w:w="754" w:type="dxa"/>
            <w:vAlign w:val="bottom"/>
          </w:tcPr>
          <w:p w:rsidR="006F00A8" w:rsidRPr="006F00A8" w:rsidRDefault="006F00A8" w:rsidP="006F00A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36,9</w:t>
            </w:r>
          </w:p>
        </w:tc>
        <w:tc>
          <w:tcPr>
            <w:tcW w:w="754" w:type="dxa"/>
            <w:vAlign w:val="bottom"/>
          </w:tcPr>
          <w:p w:rsidR="006F00A8" w:rsidRPr="006F00A8" w:rsidRDefault="006F00A8" w:rsidP="006F00A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10,3</w:t>
            </w:r>
          </w:p>
        </w:tc>
        <w:tc>
          <w:tcPr>
            <w:tcW w:w="754" w:type="dxa"/>
            <w:vAlign w:val="bottom"/>
          </w:tcPr>
          <w:p w:rsidR="006F00A8" w:rsidRPr="006F00A8" w:rsidRDefault="006F00A8" w:rsidP="006F00A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8,7</w:t>
            </w:r>
          </w:p>
        </w:tc>
        <w:tc>
          <w:tcPr>
            <w:tcW w:w="655" w:type="dxa"/>
            <w:vAlign w:val="bottom"/>
          </w:tcPr>
          <w:p w:rsidR="006F00A8" w:rsidRPr="006F00A8" w:rsidRDefault="006F00A8" w:rsidP="006F00A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112,7</w:t>
            </w:r>
          </w:p>
        </w:tc>
        <w:tc>
          <w:tcPr>
            <w:tcW w:w="655" w:type="dxa"/>
            <w:vAlign w:val="bottom"/>
          </w:tcPr>
          <w:p w:rsidR="006F00A8" w:rsidRPr="006F00A8" w:rsidRDefault="006F00A8" w:rsidP="006F00A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119,6</w:t>
            </w:r>
          </w:p>
        </w:tc>
        <w:tc>
          <w:tcPr>
            <w:tcW w:w="656" w:type="dxa"/>
            <w:vAlign w:val="bottom"/>
          </w:tcPr>
          <w:p w:rsidR="006F00A8" w:rsidRPr="006F00A8" w:rsidRDefault="006F00A8" w:rsidP="006F00A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113,1</w:t>
            </w:r>
          </w:p>
        </w:tc>
        <w:tc>
          <w:tcPr>
            <w:tcW w:w="629" w:type="dxa"/>
            <w:vAlign w:val="bottom"/>
          </w:tcPr>
          <w:p w:rsidR="006F00A8" w:rsidRPr="006F00A8" w:rsidRDefault="006F00A8" w:rsidP="006F00A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3,7</w:t>
            </w:r>
          </w:p>
        </w:tc>
        <w:tc>
          <w:tcPr>
            <w:tcW w:w="630" w:type="dxa"/>
            <w:vAlign w:val="bottom"/>
          </w:tcPr>
          <w:p w:rsidR="006F00A8" w:rsidRPr="006F00A8" w:rsidRDefault="006F00A8" w:rsidP="006F00A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3,8</w:t>
            </w:r>
          </w:p>
        </w:tc>
      </w:tr>
      <w:tr w:rsidR="006F00A8" w:rsidRPr="00366025" w:rsidTr="006F00A8">
        <w:trPr>
          <w:trHeight w:val="394"/>
        </w:trPr>
        <w:tc>
          <w:tcPr>
            <w:tcW w:w="2351" w:type="dxa"/>
            <w:vAlign w:val="center"/>
          </w:tcPr>
          <w:p w:rsidR="006F00A8" w:rsidRPr="0038490F" w:rsidRDefault="006F00A8" w:rsidP="006F00A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>9. W. Brytania</w:t>
            </w:r>
          </w:p>
        </w:tc>
        <w:tc>
          <w:tcPr>
            <w:tcW w:w="754" w:type="dxa"/>
            <w:vAlign w:val="bottom"/>
          </w:tcPr>
          <w:p w:rsidR="006F00A8" w:rsidRPr="006F00A8" w:rsidRDefault="006F00A8" w:rsidP="006F00A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25,4</w:t>
            </w:r>
          </w:p>
        </w:tc>
        <w:tc>
          <w:tcPr>
            <w:tcW w:w="754" w:type="dxa"/>
            <w:vAlign w:val="bottom"/>
          </w:tcPr>
          <w:p w:rsidR="006F00A8" w:rsidRPr="006F00A8" w:rsidRDefault="006F00A8" w:rsidP="006F00A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7,1</w:t>
            </w:r>
          </w:p>
        </w:tc>
        <w:tc>
          <w:tcPr>
            <w:tcW w:w="754" w:type="dxa"/>
            <w:vAlign w:val="bottom"/>
          </w:tcPr>
          <w:p w:rsidR="006F00A8" w:rsidRPr="006F00A8" w:rsidRDefault="006F00A8" w:rsidP="006F00A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6,0</w:t>
            </w:r>
          </w:p>
        </w:tc>
        <w:tc>
          <w:tcPr>
            <w:tcW w:w="655" w:type="dxa"/>
            <w:vAlign w:val="bottom"/>
          </w:tcPr>
          <w:p w:rsidR="006F00A8" w:rsidRPr="006F00A8" w:rsidRDefault="006F00A8" w:rsidP="006F00A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105,1</w:t>
            </w:r>
          </w:p>
        </w:tc>
        <w:tc>
          <w:tcPr>
            <w:tcW w:w="655" w:type="dxa"/>
            <w:vAlign w:val="bottom"/>
          </w:tcPr>
          <w:p w:rsidR="006F00A8" w:rsidRPr="006F00A8" w:rsidRDefault="006F00A8" w:rsidP="006F00A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111,2</w:t>
            </w:r>
          </w:p>
        </w:tc>
        <w:tc>
          <w:tcPr>
            <w:tcW w:w="656" w:type="dxa"/>
            <w:vAlign w:val="bottom"/>
          </w:tcPr>
          <w:p w:rsidR="006F00A8" w:rsidRPr="006F00A8" w:rsidRDefault="006F00A8" w:rsidP="006F00A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105,5</w:t>
            </w:r>
          </w:p>
        </w:tc>
        <w:tc>
          <w:tcPr>
            <w:tcW w:w="629" w:type="dxa"/>
            <w:vAlign w:val="bottom"/>
          </w:tcPr>
          <w:p w:rsidR="006F00A8" w:rsidRPr="006F00A8" w:rsidRDefault="006F00A8" w:rsidP="006F00A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2,7</w:t>
            </w:r>
          </w:p>
        </w:tc>
        <w:tc>
          <w:tcPr>
            <w:tcW w:w="630" w:type="dxa"/>
            <w:vAlign w:val="bottom"/>
          </w:tcPr>
          <w:p w:rsidR="006F00A8" w:rsidRPr="006F00A8" w:rsidRDefault="006F00A8" w:rsidP="006F00A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2,6</w:t>
            </w:r>
          </w:p>
        </w:tc>
      </w:tr>
      <w:tr w:rsidR="006F00A8" w:rsidRPr="00366025" w:rsidTr="006F00A8">
        <w:trPr>
          <w:trHeight w:val="394"/>
        </w:trPr>
        <w:tc>
          <w:tcPr>
            <w:tcW w:w="2351" w:type="dxa"/>
            <w:vAlign w:val="center"/>
          </w:tcPr>
          <w:p w:rsidR="006F00A8" w:rsidRPr="0038490F" w:rsidRDefault="006F00A8" w:rsidP="0001641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S</w:t>
            </w:r>
            <w:r w:rsidR="00016410">
              <w:rPr>
                <w:rFonts w:cs="Arial"/>
                <w:sz w:val="16"/>
                <w:szCs w:val="16"/>
              </w:rPr>
              <w:t>łowacja</w:t>
            </w:r>
          </w:p>
        </w:tc>
        <w:tc>
          <w:tcPr>
            <w:tcW w:w="754" w:type="dxa"/>
            <w:vAlign w:val="bottom"/>
          </w:tcPr>
          <w:p w:rsidR="006F00A8" w:rsidRPr="006F00A8" w:rsidRDefault="006F00A8" w:rsidP="006F00A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22,9</w:t>
            </w:r>
          </w:p>
        </w:tc>
        <w:tc>
          <w:tcPr>
            <w:tcW w:w="754" w:type="dxa"/>
            <w:vAlign w:val="bottom"/>
          </w:tcPr>
          <w:p w:rsidR="006F00A8" w:rsidRPr="006F00A8" w:rsidRDefault="006F00A8" w:rsidP="006F00A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6,4</w:t>
            </w:r>
          </w:p>
        </w:tc>
        <w:tc>
          <w:tcPr>
            <w:tcW w:w="754" w:type="dxa"/>
            <w:vAlign w:val="bottom"/>
          </w:tcPr>
          <w:p w:rsidR="006F00A8" w:rsidRPr="006F00A8" w:rsidRDefault="006F00A8" w:rsidP="006F00A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5,4</w:t>
            </w:r>
          </w:p>
        </w:tc>
        <w:tc>
          <w:tcPr>
            <w:tcW w:w="655" w:type="dxa"/>
            <w:vAlign w:val="bottom"/>
          </w:tcPr>
          <w:p w:rsidR="006F00A8" w:rsidRPr="006F00A8" w:rsidRDefault="006F00A8" w:rsidP="006F00A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107,4</w:t>
            </w:r>
          </w:p>
        </w:tc>
        <w:tc>
          <w:tcPr>
            <w:tcW w:w="655" w:type="dxa"/>
            <w:vAlign w:val="bottom"/>
          </w:tcPr>
          <w:p w:rsidR="006F00A8" w:rsidRPr="006F00A8" w:rsidRDefault="006F00A8" w:rsidP="006F00A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113,9</w:t>
            </w:r>
          </w:p>
        </w:tc>
        <w:tc>
          <w:tcPr>
            <w:tcW w:w="656" w:type="dxa"/>
            <w:vAlign w:val="bottom"/>
          </w:tcPr>
          <w:p w:rsidR="006F00A8" w:rsidRPr="006F00A8" w:rsidRDefault="006F00A8" w:rsidP="006F00A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107,8</w:t>
            </w:r>
          </w:p>
        </w:tc>
        <w:tc>
          <w:tcPr>
            <w:tcW w:w="629" w:type="dxa"/>
            <w:vAlign w:val="bottom"/>
          </w:tcPr>
          <w:p w:rsidR="006F00A8" w:rsidRPr="006F00A8" w:rsidRDefault="006F00A8" w:rsidP="006F00A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2,4</w:t>
            </w:r>
          </w:p>
        </w:tc>
        <w:tc>
          <w:tcPr>
            <w:tcW w:w="630" w:type="dxa"/>
            <w:vAlign w:val="bottom"/>
          </w:tcPr>
          <w:p w:rsidR="006F00A8" w:rsidRPr="006F00A8" w:rsidRDefault="006F00A8" w:rsidP="006F00A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2,4</w:t>
            </w:r>
          </w:p>
        </w:tc>
      </w:tr>
    </w:tbl>
    <w:p w:rsidR="00DD5E0F" w:rsidRDefault="00DD5E0F" w:rsidP="00DD5E0F">
      <w:pPr>
        <w:pStyle w:val="Nagwek1"/>
      </w:pPr>
      <w:r>
        <w:t>Import według kraju wysyłki – według krajów</w:t>
      </w:r>
    </w:p>
    <w:p w:rsidR="00F657FD" w:rsidRDefault="00DD5E0F" w:rsidP="00DD5E0F">
      <w:pPr>
        <w:rPr>
          <w:rFonts w:cs="Arial"/>
          <w:b/>
          <w:spacing w:val="-3"/>
          <w:sz w:val="18"/>
          <w:szCs w:val="18"/>
        </w:rPr>
      </w:pPr>
      <w:r>
        <w:t xml:space="preserve">Udział Niemiec w imporcie według </w:t>
      </w:r>
      <w:r w:rsidRPr="00345F7C">
        <w:t xml:space="preserve"> </w:t>
      </w:r>
      <w:r w:rsidRPr="00345F7C">
        <w:rPr>
          <w:rFonts w:cs="Arial"/>
        </w:rPr>
        <w:t xml:space="preserve">kraju </w:t>
      </w:r>
      <w:r>
        <w:rPr>
          <w:rFonts w:cs="Arial"/>
        </w:rPr>
        <w:t>wysyłki</w:t>
      </w:r>
      <w:r w:rsidRPr="00345F7C">
        <w:rPr>
          <w:rFonts w:cs="Arial"/>
        </w:rPr>
        <w:t xml:space="preserve"> </w:t>
      </w:r>
      <w:r>
        <w:rPr>
          <w:rFonts w:cs="Arial"/>
        </w:rPr>
        <w:t xml:space="preserve">w stosunku do importu według kraju pochodzenia był większy o </w:t>
      </w:r>
      <w:r w:rsidR="004640BE">
        <w:rPr>
          <w:rFonts w:cs="Arial"/>
        </w:rPr>
        <w:t>5,0</w:t>
      </w:r>
      <w:r>
        <w:rPr>
          <w:rFonts w:cs="Arial"/>
        </w:rPr>
        <w:t xml:space="preserve"> p. proc., udział Holandii odpowiednio był większy o 1,9 p. proc., Belgii o 1,3 p. proc., Czech o 0,</w:t>
      </w:r>
      <w:r w:rsidR="00F26A5B">
        <w:rPr>
          <w:rFonts w:cs="Arial"/>
        </w:rPr>
        <w:t>6</w:t>
      </w:r>
      <w:r>
        <w:rPr>
          <w:rFonts w:cs="Arial"/>
        </w:rPr>
        <w:t xml:space="preserve"> p. proc. oraz Rosji o 0,</w:t>
      </w:r>
      <w:r w:rsidR="00F26A5B">
        <w:rPr>
          <w:rFonts w:cs="Arial"/>
        </w:rPr>
        <w:t>4</w:t>
      </w:r>
      <w:r>
        <w:rPr>
          <w:rFonts w:cs="Arial"/>
        </w:rPr>
        <w:t xml:space="preserve"> p. proc. </w:t>
      </w:r>
    </w:p>
    <w:p w:rsidR="00DD5E0F" w:rsidRDefault="00DD5E0F" w:rsidP="00366025">
      <w:pPr>
        <w:rPr>
          <w:rFonts w:cs="Arial"/>
          <w:b/>
          <w:spacing w:val="-3"/>
          <w:sz w:val="18"/>
          <w:szCs w:val="18"/>
        </w:rPr>
      </w:pPr>
    </w:p>
    <w:p w:rsidR="00DD5E0F" w:rsidRDefault="00DD5E0F" w:rsidP="00366025">
      <w:pPr>
        <w:rPr>
          <w:rFonts w:cs="Arial"/>
          <w:b/>
          <w:spacing w:val="-3"/>
          <w:sz w:val="18"/>
          <w:szCs w:val="18"/>
        </w:rPr>
      </w:pPr>
    </w:p>
    <w:p w:rsidR="00DD5E0F" w:rsidRDefault="00DD5E0F" w:rsidP="00DD5E0F">
      <w:pPr>
        <w:rPr>
          <w:rFonts w:cs="Arial"/>
        </w:rPr>
      </w:pPr>
      <w:r>
        <w:rPr>
          <w:rFonts w:cs="Arial"/>
          <w:b/>
          <w:spacing w:val="-3"/>
          <w:sz w:val="18"/>
          <w:szCs w:val="18"/>
        </w:rPr>
        <w:t>Tablica 4</w:t>
      </w:r>
      <w:r w:rsidRPr="00C30406">
        <w:rPr>
          <w:rFonts w:cs="Arial"/>
          <w:b/>
          <w:spacing w:val="-3"/>
          <w:sz w:val="18"/>
          <w:szCs w:val="18"/>
        </w:rPr>
        <w:t>.</w:t>
      </w:r>
      <w:r>
        <w:rPr>
          <w:rFonts w:cs="Arial"/>
          <w:b/>
          <w:spacing w:val="-3"/>
          <w:sz w:val="18"/>
          <w:szCs w:val="18"/>
        </w:rPr>
        <w:t xml:space="preserve"> </w:t>
      </w:r>
      <w:r w:rsidRPr="0048231B">
        <w:rPr>
          <w:b/>
        </w:rPr>
        <w:t>Import wedłu</w:t>
      </w:r>
      <w:r>
        <w:rPr>
          <w:b/>
        </w:rPr>
        <w:t>g kraju wysyłki - według krajów</w:t>
      </w:r>
    </w:p>
    <w:p w:rsidR="00DD5E0F" w:rsidRDefault="00F26A5B" w:rsidP="00366025">
      <w:pPr>
        <w:rPr>
          <w:rFonts w:cs="Arial"/>
          <w:b/>
          <w:spacing w:val="-3"/>
          <w:sz w:val="18"/>
          <w:szCs w:val="18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5280" behindDoc="1" locked="0" layoutInCell="1" allowOverlap="1" wp14:anchorId="4C5CD1D3" wp14:editId="2041F5D1">
                <wp:simplePos x="0" y="0"/>
                <wp:positionH relativeFrom="column">
                  <wp:posOffset>5316104</wp:posOffset>
                </wp:positionH>
                <wp:positionV relativeFrom="paragraph">
                  <wp:posOffset>2338185</wp:posOffset>
                </wp:positionV>
                <wp:extent cx="1725295" cy="1080135"/>
                <wp:effectExtent l="0" t="0" r="0" b="5715"/>
                <wp:wrapTight wrapText="bothSides">
                  <wp:wrapPolygon edited="0">
                    <wp:start x="715" y="0"/>
                    <wp:lineTo x="715" y="21333"/>
                    <wp:lineTo x="20749" y="21333"/>
                    <wp:lineTo x="20749" y="0"/>
                    <wp:lineTo x="715" y="0"/>
                  </wp:wrapPolygon>
                </wp:wrapTight>
                <wp:docPr id="32" name="Pole tekstow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80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FAC" w:rsidRDefault="00890FAC" w:rsidP="0038490F">
                            <w:pPr>
                              <w:pStyle w:val="tekstzboku"/>
                            </w:pPr>
                            <w:r>
                              <w:rPr>
                                <w:rFonts w:cs="Arial"/>
                              </w:rPr>
                              <w:t xml:space="preserve">Import z Chin </w:t>
                            </w:r>
                            <w:r>
                              <w:t xml:space="preserve">według </w:t>
                            </w:r>
                            <w:r w:rsidRPr="00345F7C">
                              <w:t xml:space="preserve"> </w:t>
                            </w:r>
                            <w:r w:rsidRPr="00345F7C">
                              <w:rPr>
                                <w:rFonts w:cs="Arial"/>
                              </w:rPr>
                              <w:t xml:space="preserve">kraju </w:t>
                            </w:r>
                            <w:r>
                              <w:rPr>
                                <w:rFonts w:cs="Arial"/>
                              </w:rPr>
                              <w:t>wysyłki</w:t>
                            </w:r>
                            <w:r w:rsidRPr="00345F7C">
                              <w:rPr>
                                <w:rFonts w:cs="Arial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</w:rPr>
                              <w:t>w stosunku do importu według kraju pochodzenia był mniejszy o 4,4 p. proc.</w:t>
                            </w:r>
                          </w:p>
                          <w:p w:rsidR="00890FAC" w:rsidRDefault="00890FAC" w:rsidP="0038490F">
                            <w:pPr>
                              <w:pStyle w:val="tekstzboku"/>
                            </w:pPr>
                          </w:p>
                          <w:p w:rsidR="00890FAC" w:rsidRDefault="00890FAC" w:rsidP="0038490F">
                            <w:pPr>
                              <w:pStyle w:val="tekstzboku"/>
                            </w:pPr>
                          </w:p>
                          <w:p w:rsidR="00890FAC" w:rsidRDefault="00890FAC" w:rsidP="0038490F">
                            <w:pPr>
                              <w:pStyle w:val="tekstzboku"/>
                            </w:pPr>
                          </w:p>
                          <w:p w:rsidR="00890FAC" w:rsidRDefault="00890FAC" w:rsidP="0038490F">
                            <w:pPr>
                              <w:pStyle w:val="tekstzboku"/>
                            </w:pPr>
                          </w:p>
                          <w:p w:rsidR="00890FAC" w:rsidRDefault="00890FAC" w:rsidP="0038490F">
                            <w:pPr>
                              <w:pStyle w:val="tekstzboku"/>
                            </w:pPr>
                          </w:p>
                          <w:p w:rsidR="00890FAC" w:rsidRDefault="00890FAC" w:rsidP="0038490F">
                            <w:pPr>
                              <w:pStyle w:val="tekstzboku"/>
                            </w:pPr>
                          </w:p>
                          <w:p w:rsidR="00890FAC" w:rsidRDefault="00890FAC" w:rsidP="0038490F">
                            <w:pPr>
                              <w:pStyle w:val="tekstzboku"/>
                            </w:pPr>
                          </w:p>
                          <w:p w:rsidR="00890FAC" w:rsidRDefault="00890FAC" w:rsidP="0038490F">
                            <w:pPr>
                              <w:pStyle w:val="tekstzboku"/>
                            </w:pPr>
                          </w:p>
                          <w:p w:rsidR="00890FAC" w:rsidRDefault="00890FAC" w:rsidP="0038490F">
                            <w:pPr>
                              <w:pStyle w:val="tekstzboku"/>
                            </w:pPr>
                          </w:p>
                          <w:p w:rsidR="00890FAC" w:rsidRDefault="00890FAC" w:rsidP="0038490F">
                            <w:pPr>
                              <w:pStyle w:val="tekstzboku"/>
                            </w:pPr>
                          </w:p>
                          <w:p w:rsidR="00890FAC" w:rsidRDefault="00890FAC" w:rsidP="0038490F">
                            <w:pPr>
                              <w:pStyle w:val="tekstzboku"/>
                            </w:pPr>
                          </w:p>
                          <w:p w:rsidR="00890FAC" w:rsidRDefault="00890FAC" w:rsidP="0038490F">
                            <w:pPr>
                              <w:pStyle w:val="tekstzboku"/>
                            </w:pPr>
                          </w:p>
                          <w:p w:rsidR="00890FAC" w:rsidRDefault="00890FAC" w:rsidP="0038490F">
                            <w:pPr>
                              <w:pStyle w:val="tekstzboku"/>
                            </w:pPr>
                          </w:p>
                          <w:p w:rsidR="00890FAC" w:rsidRDefault="00890FAC" w:rsidP="0038490F">
                            <w:pPr>
                              <w:pStyle w:val="tekstzboku"/>
                            </w:pPr>
                          </w:p>
                          <w:p w:rsidR="00890FAC" w:rsidRDefault="00890FAC" w:rsidP="0038490F">
                            <w:pPr>
                              <w:pStyle w:val="tekstzboku"/>
                            </w:pPr>
                          </w:p>
                          <w:p w:rsidR="00890FAC" w:rsidRDefault="00890FAC" w:rsidP="0038490F">
                            <w:pPr>
                              <w:pStyle w:val="tekstzboku"/>
                            </w:pPr>
                          </w:p>
                          <w:p w:rsidR="00890FAC" w:rsidRDefault="00890FAC" w:rsidP="0038490F">
                            <w:pPr>
                              <w:pStyle w:val="tekstzboku"/>
                            </w:pPr>
                          </w:p>
                          <w:p w:rsidR="00890FAC" w:rsidRDefault="00890FAC" w:rsidP="0038490F">
                            <w:pPr>
                              <w:pStyle w:val="tekstzboku"/>
                            </w:pPr>
                          </w:p>
                          <w:p w:rsidR="00890FAC" w:rsidRDefault="00890FAC" w:rsidP="0038490F">
                            <w:pPr>
                              <w:pStyle w:val="tekstzboku"/>
                            </w:pPr>
                          </w:p>
                          <w:p w:rsidR="00890FAC" w:rsidRDefault="00890FAC" w:rsidP="0038490F">
                            <w:pPr>
                              <w:pStyle w:val="tekstzboku"/>
                            </w:pPr>
                          </w:p>
                          <w:p w:rsidR="00890FAC" w:rsidRDefault="00890FAC" w:rsidP="0038490F">
                            <w:pPr>
                              <w:pStyle w:val="tekstzboku"/>
                            </w:pPr>
                          </w:p>
                          <w:p w:rsidR="00890FAC" w:rsidRDefault="00890FAC" w:rsidP="0038490F">
                            <w:pPr>
                              <w:pStyle w:val="tekstzboku"/>
                            </w:pPr>
                          </w:p>
                          <w:p w:rsidR="00890FAC" w:rsidRPr="00074DD8" w:rsidRDefault="00890FAC" w:rsidP="0038490F">
                            <w:pPr>
                              <w:pStyle w:val="tekstzboku"/>
                            </w:pPr>
                          </w:p>
                          <w:p w:rsidR="00890FAC" w:rsidRPr="00D616D2" w:rsidRDefault="00890FAC" w:rsidP="0038490F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CD1D3" id="Pole tekstowe 32" o:spid="_x0000_s1032" type="#_x0000_t202" style="position:absolute;margin-left:418.6pt;margin-top:184.1pt;width:135.85pt;height:85.05pt;z-index:-251571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" filled="f" stroked="f">
                <v:textbox>
                  <w:txbxContent>
                    <w:p w:rsidR="00890FAC" w:rsidRDefault="00890FAC" w:rsidP="0038490F">
                      <w:pPr>
                        <w:pStyle w:val="tekstzboku"/>
                      </w:pPr>
                      <w:r>
                        <w:rPr>
                          <w:rFonts w:cs="Arial"/>
                        </w:rPr>
                        <w:t xml:space="preserve">Import z Chin </w:t>
                      </w:r>
                      <w:r>
                        <w:t xml:space="preserve">według </w:t>
                      </w:r>
                      <w:r w:rsidRPr="00345F7C">
                        <w:t xml:space="preserve"> </w:t>
                      </w:r>
                      <w:r w:rsidRPr="00345F7C">
                        <w:rPr>
                          <w:rFonts w:cs="Arial"/>
                        </w:rPr>
                        <w:t xml:space="preserve">kraju </w:t>
                      </w:r>
                      <w:r>
                        <w:rPr>
                          <w:rFonts w:cs="Arial"/>
                        </w:rPr>
                        <w:t>wysyłki</w:t>
                      </w:r>
                      <w:r w:rsidRPr="00345F7C">
                        <w:rPr>
                          <w:rFonts w:cs="Arial"/>
                        </w:rPr>
                        <w:t xml:space="preserve"> </w:t>
                      </w:r>
                      <w:r>
                        <w:rPr>
                          <w:rFonts w:cs="Arial"/>
                        </w:rPr>
                        <w:t>w stosunku do importu według kraju pochodzenia był mniejszy o 4,4 p. proc.</w:t>
                      </w:r>
                    </w:p>
                    <w:p w:rsidR="00890FAC" w:rsidRDefault="00890FAC" w:rsidP="0038490F">
                      <w:pPr>
                        <w:pStyle w:val="tekstzboku"/>
                      </w:pPr>
                    </w:p>
                    <w:p w:rsidR="00890FAC" w:rsidRDefault="00890FAC" w:rsidP="0038490F">
                      <w:pPr>
                        <w:pStyle w:val="tekstzboku"/>
                      </w:pPr>
                    </w:p>
                    <w:p w:rsidR="00890FAC" w:rsidRDefault="00890FAC" w:rsidP="0038490F">
                      <w:pPr>
                        <w:pStyle w:val="tekstzboku"/>
                      </w:pPr>
                    </w:p>
                    <w:p w:rsidR="00890FAC" w:rsidRDefault="00890FAC" w:rsidP="0038490F">
                      <w:pPr>
                        <w:pStyle w:val="tekstzboku"/>
                      </w:pPr>
                    </w:p>
                    <w:p w:rsidR="00890FAC" w:rsidRDefault="00890FAC" w:rsidP="0038490F">
                      <w:pPr>
                        <w:pStyle w:val="tekstzboku"/>
                      </w:pPr>
                    </w:p>
                    <w:p w:rsidR="00890FAC" w:rsidRDefault="00890FAC" w:rsidP="0038490F">
                      <w:pPr>
                        <w:pStyle w:val="tekstzboku"/>
                      </w:pPr>
                    </w:p>
                    <w:p w:rsidR="00890FAC" w:rsidRDefault="00890FAC" w:rsidP="0038490F">
                      <w:pPr>
                        <w:pStyle w:val="tekstzboku"/>
                      </w:pPr>
                    </w:p>
                    <w:p w:rsidR="00890FAC" w:rsidRDefault="00890FAC" w:rsidP="0038490F">
                      <w:pPr>
                        <w:pStyle w:val="tekstzboku"/>
                      </w:pPr>
                    </w:p>
                    <w:p w:rsidR="00890FAC" w:rsidRDefault="00890FAC" w:rsidP="0038490F">
                      <w:pPr>
                        <w:pStyle w:val="tekstzboku"/>
                      </w:pPr>
                    </w:p>
                    <w:p w:rsidR="00890FAC" w:rsidRDefault="00890FAC" w:rsidP="0038490F">
                      <w:pPr>
                        <w:pStyle w:val="tekstzboku"/>
                      </w:pPr>
                    </w:p>
                    <w:p w:rsidR="00890FAC" w:rsidRDefault="00890FAC" w:rsidP="0038490F">
                      <w:pPr>
                        <w:pStyle w:val="tekstzboku"/>
                      </w:pPr>
                    </w:p>
                    <w:p w:rsidR="00890FAC" w:rsidRDefault="00890FAC" w:rsidP="0038490F">
                      <w:pPr>
                        <w:pStyle w:val="tekstzboku"/>
                      </w:pPr>
                    </w:p>
                    <w:p w:rsidR="00890FAC" w:rsidRDefault="00890FAC" w:rsidP="0038490F">
                      <w:pPr>
                        <w:pStyle w:val="tekstzboku"/>
                      </w:pPr>
                    </w:p>
                    <w:p w:rsidR="00890FAC" w:rsidRDefault="00890FAC" w:rsidP="0038490F">
                      <w:pPr>
                        <w:pStyle w:val="tekstzboku"/>
                      </w:pPr>
                    </w:p>
                    <w:p w:rsidR="00890FAC" w:rsidRDefault="00890FAC" w:rsidP="0038490F">
                      <w:pPr>
                        <w:pStyle w:val="tekstzboku"/>
                      </w:pPr>
                    </w:p>
                    <w:p w:rsidR="00890FAC" w:rsidRDefault="00890FAC" w:rsidP="0038490F">
                      <w:pPr>
                        <w:pStyle w:val="tekstzboku"/>
                      </w:pPr>
                    </w:p>
                    <w:p w:rsidR="00890FAC" w:rsidRDefault="00890FAC" w:rsidP="0038490F">
                      <w:pPr>
                        <w:pStyle w:val="tekstzboku"/>
                      </w:pPr>
                    </w:p>
                    <w:p w:rsidR="00890FAC" w:rsidRDefault="00890FAC" w:rsidP="0038490F">
                      <w:pPr>
                        <w:pStyle w:val="tekstzboku"/>
                      </w:pPr>
                    </w:p>
                    <w:p w:rsidR="00890FAC" w:rsidRDefault="00890FAC" w:rsidP="0038490F">
                      <w:pPr>
                        <w:pStyle w:val="tekstzboku"/>
                      </w:pPr>
                    </w:p>
                    <w:p w:rsidR="00890FAC" w:rsidRDefault="00890FAC" w:rsidP="0038490F">
                      <w:pPr>
                        <w:pStyle w:val="tekstzboku"/>
                      </w:pPr>
                    </w:p>
                    <w:p w:rsidR="00890FAC" w:rsidRDefault="00890FAC" w:rsidP="0038490F">
                      <w:pPr>
                        <w:pStyle w:val="tekstzboku"/>
                      </w:pPr>
                    </w:p>
                    <w:p w:rsidR="00890FAC" w:rsidRDefault="00890FAC" w:rsidP="0038490F">
                      <w:pPr>
                        <w:pStyle w:val="tekstzboku"/>
                      </w:pPr>
                    </w:p>
                    <w:p w:rsidR="00890FAC" w:rsidRPr="00074DD8" w:rsidRDefault="00890FAC" w:rsidP="0038490F">
                      <w:pPr>
                        <w:pStyle w:val="tekstzboku"/>
                      </w:pPr>
                    </w:p>
                    <w:p w:rsidR="00890FAC" w:rsidRPr="00D616D2" w:rsidRDefault="00890FAC" w:rsidP="0038490F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DD5E0F" w:rsidRDefault="00DD5E0F" w:rsidP="00366025">
      <w:pPr>
        <w:rPr>
          <w:rFonts w:cs="Arial"/>
          <w:b/>
          <w:spacing w:val="-3"/>
          <w:sz w:val="18"/>
          <w:szCs w:val="18"/>
        </w:rPr>
      </w:pPr>
    </w:p>
    <w:p w:rsidR="00DD5E0F" w:rsidRDefault="00DD5E0F" w:rsidP="00366025">
      <w:pPr>
        <w:rPr>
          <w:rFonts w:cs="Arial"/>
          <w:b/>
          <w:spacing w:val="-3"/>
          <w:sz w:val="18"/>
          <w:szCs w:val="18"/>
        </w:rPr>
      </w:pPr>
    </w:p>
    <w:p w:rsidR="00F3415A" w:rsidRDefault="00F3415A" w:rsidP="00366025">
      <w:pPr>
        <w:rPr>
          <w:rFonts w:cs="Arial"/>
        </w:rPr>
      </w:pPr>
    </w:p>
    <w:p w:rsidR="00F3415A" w:rsidRPr="00F70DA2" w:rsidRDefault="00F3415A" w:rsidP="00366025">
      <w:pPr>
        <w:rPr>
          <w:b/>
          <w:sz w:val="18"/>
          <w:szCs w:val="18"/>
          <w:lang w:eastAsia="pl-PL"/>
        </w:rPr>
        <w:sectPr w:rsidR="00F3415A" w:rsidRPr="00F70DA2" w:rsidSect="00673305"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55"/>
        <w:gridCol w:w="3812"/>
      </w:tblGrid>
      <w:tr w:rsidR="000470AA" w:rsidRPr="005C53BB" w:rsidTr="00E23337">
        <w:trPr>
          <w:trHeight w:val="1912"/>
        </w:trPr>
        <w:tc>
          <w:tcPr>
            <w:tcW w:w="4379" w:type="dxa"/>
          </w:tcPr>
          <w:p w:rsidR="000470AA" w:rsidRPr="008F3638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0470AA" w:rsidRPr="008F3638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4045B9"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="00B92654" w:rsidRPr="00B92654" w:rsidRDefault="00B92654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B92654">
              <w:rPr>
                <w:rFonts w:ascii="Fira Sans" w:hAnsi="Fira Sans" w:cs="Arial"/>
                <w:b/>
                <w:color w:val="auto"/>
                <w:sz w:val="20"/>
              </w:rPr>
              <w:t>Aldona B. Matejak</w:t>
            </w:r>
            <w:r w:rsidRPr="00B92654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34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83</w:t>
            </w:r>
          </w:p>
          <w:p w:rsidR="000470AA" w:rsidRPr="008F3638" w:rsidRDefault="000470AA" w:rsidP="00B92654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B92654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>e-mail</w:t>
            </w:r>
            <w:r w:rsidRPr="006F00A8">
              <w:rPr>
                <w:rFonts w:ascii="Fira Sans" w:hAnsi="Fira Sans" w:cs="Arial"/>
                <w:b/>
                <w:color w:val="auto"/>
                <w:sz w:val="20"/>
                <w:szCs w:val="20"/>
                <w:lang w:val="en-US"/>
              </w:rPr>
              <w:t xml:space="preserve">: </w:t>
            </w:r>
            <w:hyperlink r:id="rId22" w:history="1">
              <w:r w:rsidR="00B92654" w:rsidRPr="006F00A8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  <w:lang w:val="en-US"/>
                </w:rPr>
                <w:t>a.matejak@stat.gov.pl</w:t>
              </w:r>
            </w:hyperlink>
          </w:p>
        </w:tc>
        <w:tc>
          <w:tcPr>
            <w:tcW w:w="3942" w:type="dxa"/>
          </w:tcPr>
          <w:p w:rsidR="000470AA" w:rsidRPr="008F3638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862B5E" w:rsidRPr="00862B5E">
              <w:rPr>
                <w:rFonts w:ascii="Fira Sans" w:hAnsi="Fira Sans"/>
                <w:b/>
                <w:color w:val="auto"/>
                <w:sz w:val="20"/>
                <w:szCs w:val="20"/>
              </w:rPr>
              <w:t>Banaszek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</w:t>
            </w:r>
            <w:r w:rsidR="005C53B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75, 22 608 30</w:t>
            </w:r>
            <w:r w:rsidR="005C53B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09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A00ADB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3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0470AA" w:rsidRPr="00690129" w:rsidRDefault="000470AA" w:rsidP="000470AA">
      <w:pPr>
        <w:rPr>
          <w:sz w:val="20"/>
          <w:lang w:val="en-US"/>
        </w:rPr>
      </w:pPr>
    </w:p>
    <w:p w:rsidR="000470AA" w:rsidRPr="00690129" w:rsidRDefault="000470AA" w:rsidP="000470AA">
      <w:pPr>
        <w:rPr>
          <w:sz w:val="18"/>
          <w:lang w:val="en-US"/>
        </w:rPr>
      </w:pPr>
      <w:bookmarkStart w:id="0" w:name="_GoBack"/>
      <w:bookmarkEnd w:id="0"/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016410" w:rsidRDefault="006F00A8" w:rsidP="000470AA">
            <w:pPr>
              <w:rPr>
                <w:sz w:val="20"/>
              </w:rPr>
            </w:pPr>
            <w:r w:rsidRPr="00016410">
              <w:rPr>
                <w:sz w:val="20"/>
              </w:rPr>
              <w:t>Tel</w:t>
            </w:r>
            <w:r w:rsidR="000470AA" w:rsidRPr="00016410">
              <w:rPr>
                <w:sz w:val="20"/>
              </w:rPr>
              <w:t>:</w:t>
            </w:r>
            <w:r w:rsidR="000470AA" w:rsidRPr="00016410">
              <w:rPr>
                <w:b/>
                <w:sz w:val="20"/>
              </w:rPr>
              <w:t xml:space="preserve"> </w:t>
            </w:r>
            <w:r w:rsidR="00E74BAD" w:rsidRPr="00016410">
              <w:rPr>
                <w:sz w:val="20"/>
              </w:rPr>
              <w:t xml:space="preserve">22 </w:t>
            </w:r>
            <w:r w:rsidRPr="00016410">
              <w:rPr>
                <w:sz w:val="20"/>
              </w:rPr>
              <w:t>608 34 91, 22</w:t>
            </w:r>
            <w:r w:rsidR="000470AA" w:rsidRPr="00016410">
              <w:rPr>
                <w:sz w:val="20"/>
              </w:rPr>
              <w:t xml:space="preserve"> 608 38 04 </w:t>
            </w:r>
          </w:p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 w:rsidRPr="00690129">
              <w:rPr>
                <w:b/>
                <w:sz w:val="20"/>
                <w:lang w:val="en-US"/>
              </w:rPr>
              <w:t>e-mail:</w:t>
            </w:r>
            <w:r w:rsidRPr="00690129">
              <w:rPr>
                <w:sz w:val="20"/>
                <w:lang w:val="en-US"/>
              </w:rPr>
              <w:t xml:space="preserve"> </w:t>
            </w:r>
            <w:hyperlink r:id="rId24" w:history="1">
              <w:r w:rsidRPr="005C53BB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1448A7" w:rsidP="007D3F3F">
      <w:pPr>
        <w:ind w:right="-155"/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2E05A0A0">
                <wp:simplePos x="0" y="0"/>
                <wp:positionH relativeFrom="margin">
                  <wp:posOffset>17780</wp:posOffset>
                </wp:positionH>
                <wp:positionV relativeFrom="paragraph">
                  <wp:posOffset>427355</wp:posOffset>
                </wp:positionV>
                <wp:extent cx="6451600" cy="4117340"/>
                <wp:effectExtent l="0" t="0" r="25400" b="1651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0" cy="4117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FAC" w:rsidRDefault="00890FAC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890FAC" w:rsidRPr="00A00ADB" w:rsidRDefault="00890FAC" w:rsidP="00AB6D25">
                            <w:pPr>
                              <w:rPr>
                                <w:b/>
                              </w:rPr>
                            </w:pPr>
                            <w:r w:rsidRPr="00A00ADB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890FAC" w:rsidRPr="00E74BAD" w:rsidRDefault="00EF03D4" w:rsidP="00004008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8" w:history="1">
                              <w:r w:rsidR="00890FAC" w:rsidRPr="00E74BA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Rocznik Statystyczny Handlu Zagranicznego 2018</w:t>
                              </w:r>
                            </w:hyperlink>
                          </w:p>
                          <w:p w:rsidR="00890FAC" w:rsidRPr="00E74BAD" w:rsidRDefault="00EF03D4" w:rsidP="00004008">
                            <w:pPr>
                              <w:rPr>
                                <w:rStyle w:val="Hipercze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9" w:history="1">
                              <w:r w:rsidR="00890FAC" w:rsidRPr="00E74BAD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Handel Zagraniczny. Statystyka lustrzana i statystyka asymetrii</w:t>
                              </w:r>
                            </w:hyperlink>
                          </w:p>
                          <w:p w:rsidR="00890FAC" w:rsidRPr="00E74BAD" w:rsidRDefault="00890FAC" w:rsidP="00004008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E74BAD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E74BAD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"http://stat.gov.pl/obszary-tematyczne/ceny-handel/handel/handel-zagraniczny-polska-w-unii-europejskiej,6,12.html" </w:instrText>
                            </w:r>
                            <w:r w:rsidRPr="00E74BAD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E74BA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Handel zagraniczny. Polska w Unii Europejskiej</w:t>
                            </w:r>
                          </w:p>
                          <w:p w:rsidR="00890FAC" w:rsidRPr="00A00ADB" w:rsidRDefault="00890FAC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E74BAD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  <w:p w:rsidR="00890FAC" w:rsidRPr="00A00ADB" w:rsidRDefault="00890FAC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00ADB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890FAC" w:rsidRPr="00E74BAD" w:rsidRDefault="00890FAC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74BAD">
                              <w:fldChar w:fldCharType="begin"/>
                            </w:r>
                            <w:r w:rsidRPr="00E74BAD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"http://swaid.stat.gov.pl/SitePagesDBW/HandelZagraniczny.aspx" </w:instrText>
                            </w:r>
                            <w:r w:rsidRPr="00E74BAD">
                              <w:fldChar w:fldCharType="separate"/>
                            </w:r>
                            <w:hyperlink r:id="rId30" w:history="1">
                              <w:r w:rsidRPr="00E74BA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Dziedzinowe Bazy Wiedzy Handel Zagraniczny</w:t>
                              </w:r>
                            </w:hyperlink>
                          </w:p>
                          <w:p w:rsidR="00890FAC" w:rsidRPr="00E74BAD" w:rsidRDefault="00890FAC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r w:rsidRPr="00E74BA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end"/>
                            </w:r>
                            <w:hyperlink r:id="rId31" w:history="1">
                              <w:r w:rsidRPr="00E74BA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Banki i bazy danych. Handel zagraniczny</w:t>
                              </w:r>
                            </w:hyperlink>
                          </w:p>
                          <w:p w:rsidR="00890FAC" w:rsidRPr="00A00ADB" w:rsidRDefault="00890FAC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890FAC" w:rsidRDefault="00890FAC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890FAC" w:rsidRPr="00E74BAD" w:rsidRDefault="00EF03D4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32" w:history="1">
                              <w:r w:rsidR="00890FAC" w:rsidRPr="00E74BA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Eksport towarów</w:t>
                              </w:r>
                            </w:hyperlink>
                          </w:p>
                          <w:p w:rsidR="00890FAC" w:rsidRPr="00E74BAD" w:rsidRDefault="00EF03D4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33" w:history="1">
                              <w:r w:rsidR="00890FAC" w:rsidRPr="00E74BA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Import towarów</w:t>
                              </w:r>
                            </w:hyperlink>
                          </w:p>
                          <w:p w:rsidR="00890FAC" w:rsidRPr="00E74BAD" w:rsidRDefault="00890FAC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r w:rsidRPr="00E74BAD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E74BAD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"http://stat.gov.pl/metainformacje/slownik-pojec/pojecia-stosowane-w-statystyce-publicznej/449,pojecie.html" </w:instrText>
                            </w:r>
                            <w:r w:rsidRPr="00E74BAD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E74BA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Saldo obrotów towarowych handlu zagranicznego</w:t>
                            </w:r>
                          </w:p>
                          <w:p w:rsidR="00890FAC" w:rsidRPr="00020CD4" w:rsidRDefault="00890FAC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E74BAD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020CD4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:rsidR="00890FAC" w:rsidRPr="00020CD4" w:rsidRDefault="00890FAC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204" id="_x0000_s1033" type="#_x0000_t202" style="position:absolute;margin-left:1.4pt;margin-top:33.65pt;width:508pt;height:324.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" fillcolor="#f2f2f2 [3052]" strokecolor="white [3212]">
                <v:textbox>
                  <w:txbxContent>
                    <w:p w:rsidR="00890FAC" w:rsidRDefault="00890FAC" w:rsidP="00AB6D25">
                      <w:pPr>
                        <w:rPr>
                          <w:b/>
                        </w:rPr>
                      </w:pPr>
                    </w:p>
                    <w:p w:rsidR="00890FAC" w:rsidRPr="00A00ADB" w:rsidRDefault="00890FAC" w:rsidP="00AB6D25">
                      <w:pPr>
                        <w:rPr>
                          <w:b/>
                        </w:rPr>
                      </w:pPr>
                      <w:r w:rsidRPr="00A00ADB">
                        <w:rPr>
                          <w:b/>
                        </w:rPr>
                        <w:t>Powiązane opracowania</w:t>
                      </w:r>
                    </w:p>
                    <w:p w:rsidR="00890FAC" w:rsidRPr="00E74BAD" w:rsidRDefault="00890FAC" w:rsidP="00004008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4" w:history="1">
                        <w:r w:rsidRPr="00E74BA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Rocznik Statystyczny Handlu Zagranicznego 2018</w:t>
                        </w:r>
                      </w:hyperlink>
                    </w:p>
                    <w:p w:rsidR="00890FAC" w:rsidRPr="00E74BAD" w:rsidRDefault="00890FAC" w:rsidP="00004008">
                      <w:pPr>
                        <w:rPr>
                          <w:rStyle w:val="Hipercze"/>
                          <w:color w:val="001D77"/>
                          <w:sz w:val="18"/>
                          <w:szCs w:val="18"/>
                        </w:rPr>
                      </w:pPr>
                      <w:hyperlink r:id="rId35" w:history="1">
                        <w:r w:rsidRPr="00E74BAD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Handel Zagraniczny. Statystyka lustrzana i sta</w:t>
                        </w:r>
                        <w:bookmarkStart w:id="1" w:name="_GoBack"/>
                        <w:bookmarkEnd w:id="1"/>
                        <w:r w:rsidRPr="00E74BAD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tystyka asymetrii</w:t>
                        </w:r>
                      </w:hyperlink>
                    </w:p>
                    <w:p w:rsidR="00890FAC" w:rsidRPr="00E74BAD" w:rsidRDefault="00890FAC" w:rsidP="00004008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E74BAD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E74BAD">
                        <w:rPr>
                          <w:color w:val="001D77"/>
                          <w:sz w:val="18"/>
                          <w:szCs w:val="18"/>
                        </w:rPr>
                        <w:instrText xml:space="preserve"> HYPERLINK "http://stat.gov.pl/obszary-tematyczne/ceny-handel/handel/handel-zagraniczny-polska-w-unii-europejskiej,6,12.html" </w:instrText>
                      </w:r>
                      <w:r w:rsidRPr="00E74BAD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E74BAD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Handel zagraniczny. Polska w Unii Europejskiej</w:t>
                      </w:r>
                    </w:p>
                    <w:p w:rsidR="00890FAC" w:rsidRPr="00A00ADB" w:rsidRDefault="00890FAC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E74BAD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</w:p>
                    <w:p w:rsidR="00890FAC" w:rsidRPr="00A00ADB" w:rsidRDefault="00890FAC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00ADB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890FAC" w:rsidRPr="00E74BAD" w:rsidRDefault="00890FAC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r w:rsidRPr="00E74BAD">
                        <w:fldChar w:fldCharType="begin"/>
                      </w:r>
                      <w:r w:rsidRPr="00E74BAD">
                        <w:rPr>
                          <w:color w:val="001D77"/>
                          <w:sz w:val="18"/>
                          <w:szCs w:val="18"/>
                        </w:rPr>
                        <w:instrText xml:space="preserve"> HYPERLINK "http://swaid.stat.gov.pl/SitePagesDBW/HandelZagraniczny.aspx" </w:instrText>
                      </w:r>
                      <w:r w:rsidRPr="00E74BAD">
                        <w:fldChar w:fldCharType="separate"/>
                      </w:r>
                      <w:hyperlink r:id="rId36" w:history="1">
                        <w:r w:rsidRPr="00E74BA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Dziedzinowe Bazy Wiedzy Handel Zagraniczny</w:t>
                        </w:r>
                      </w:hyperlink>
                    </w:p>
                    <w:p w:rsidR="00890FAC" w:rsidRPr="00E74BAD" w:rsidRDefault="00890FAC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r w:rsidRPr="00E74BA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end"/>
                      </w:r>
                      <w:hyperlink r:id="rId37" w:history="1">
                        <w:r w:rsidRPr="00E74BA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Banki i bazy danych. Handel zagraniczny</w:t>
                        </w:r>
                      </w:hyperlink>
                    </w:p>
                    <w:p w:rsidR="00890FAC" w:rsidRPr="00A00ADB" w:rsidRDefault="00890FAC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890FAC" w:rsidRDefault="00890FAC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890FAC" w:rsidRPr="00E74BAD" w:rsidRDefault="00890FAC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8" w:history="1">
                        <w:r w:rsidRPr="00E74BA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Eksport towarów</w:t>
                        </w:r>
                      </w:hyperlink>
                    </w:p>
                    <w:p w:rsidR="00890FAC" w:rsidRPr="00E74BAD" w:rsidRDefault="00890FAC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39" w:history="1">
                        <w:r w:rsidRPr="00E74BA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Import towarów</w:t>
                        </w:r>
                      </w:hyperlink>
                    </w:p>
                    <w:p w:rsidR="00890FAC" w:rsidRPr="00E74BAD" w:rsidRDefault="00890FAC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r w:rsidRPr="00E74BAD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E74BAD">
                        <w:rPr>
                          <w:color w:val="001D77"/>
                          <w:sz w:val="18"/>
                          <w:szCs w:val="18"/>
                        </w:rPr>
                        <w:instrText xml:space="preserve"> HYPERLINK "http://stat.gov.pl/metainformacje/slownik-pojec/pojecia-stosowane-w-statystyce-publicznej/449,pojecie.html" </w:instrText>
                      </w:r>
                      <w:r w:rsidRPr="00E74BAD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E74BAD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Saldo obrotów towarowych handlu zagranicznego</w:t>
                      </w:r>
                    </w:p>
                    <w:p w:rsidR="00890FAC" w:rsidRPr="00020CD4" w:rsidRDefault="00890FAC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E74BAD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020CD4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:rsidR="00890FAC" w:rsidRPr="00020CD4" w:rsidRDefault="00890FAC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673305">
      <w:headerReference w:type="default" r:id="rId40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3D4" w:rsidRDefault="00EF03D4" w:rsidP="000662E2">
      <w:pPr>
        <w:spacing w:after="0" w:line="240" w:lineRule="auto"/>
      </w:pPr>
      <w:r>
        <w:separator/>
      </w:r>
    </w:p>
  </w:endnote>
  <w:endnote w:type="continuationSeparator" w:id="0">
    <w:p w:rsidR="00EF03D4" w:rsidRDefault="00EF03D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9314316"/>
      <w:docPartObj>
        <w:docPartGallery w:val="Page Numbers (Bottom of Page)"/>
        <w:docPartUnique/>
      </w:docPartObj>
    </w:sdtPr>
    <w:sdtEndPr/>
    <w:sdtContent>
      <w:p w:rsidR="00890FAC" w:rsidRDefault="00890FA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53BB">
          <w:rPr>
            <w:noProof/>
          </w:rPr>
          <w:t>2</w:t>
        </w:r>
        <w:r>
          <w:fldChar w:fldCharType="end"/>
        </w:r>
      </w:p>
    </w:sdtContent>
  </w:sdt>
  <w:p w:rsidR="00890FAC" w:rsidRDefault="00890FA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5980639"/>
      <w:docPartObj>
        <w:docPartGallery w:val="Page Numbers (Bottom of Page)"/>
        <w:docPartUnique/>
      </w:docPartObj>
    </w:sdtPr>
    <w:sdtEndPr/>
    <w:sdtContent>
      <w:p w:rsidR="00890FAC" w:rsidRDefault="00890FA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53BB">
          <w:rPr>
            <w:noProof/>
          </w:rPr>
          <w:t>1</w:t>
        </w:r>
        <w:r>
          <w:fldChar w:fldCharType="end"/>
        </w:r>
      </w:p>
    </w:sdtContent>
  </w:sdt>
  <w:p w:rsidR="00890FAC" w:rsidRDefault="00890FA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3D4" w:rsidRDefault="00EF03D4" w:rsidP="000662E2">
      <w:pPr>
        <w:spacing w:after="0" w:line="240" w:lineRule="auto"/>
      </w:pPr>
      <w:r>
        <w:separator/>
      </w:r>
    </w:p>
  </w:footnote>
  <w:footnote w:type="continuationSeparator" w:id="0">
    <w:p w:rsidR="00EF03D4" w:rsidRDefault="00EF03D4" w:rsidP="000662E2">
      <w:pPr>
        <w:spacing w:after="0" w:line="240" w:lineRule="auto"/>
      </w:pPr>
      <w:r>
        <w:continuationSeparator/>
      </w:r>
    </w:p>
  </w:footnote>
  <w:footnote w:id="1">
    <w:p w:rsidR="00890FAC" w:rsidRPr="006779F7" w:rsidRDefault="00890FAC" w:rsidP="00F86FE8">
      <w:pPr>
        <w:spacing w:before="0" w:after="0" w:line="240" w:lineRule="auto"/>
        <w:rPr>
          <w:sz w:val="16"/>
          <w:szCs w:val="16"/>
        </w:rPr>
      </w:pPr>
      <w:r w:rsidRPr="006779F7">
        <w:rPr>
          <w:sz w:val="16"/>
          <w:szCs w:val="16"/>
        </w:rPr>
        <w:t>UWAGA. Ze względu na zaokrąglenia danych, w niektórych przypadkach sumy składników mogą się nieznacznie różnić od podanych wielkości „ogółem”.</w:t>
      </w:r>
    </w:p>
    <w:p w:rsidR="00890FAC" w:rsidRPr="00F86FE8" w:rsidRDefault="00890FAC">
      <w:pPr>
        <w:pStyle w:val="Tekstprzypisudolnego"/>
        <w:rPr>
          <w:sz w:val="16"/>
          <w:szCs w:val="16"/>
        </w:rPr>
      </w:pPr>
      <w:r w:rsidRPr="00F86FE8">
        <w:rPr>
          <w:rStyle w:val="Odwoanieprzypisudolnego"/>
          <w:sz w:val="16"/>
          <w:szCs w:val="16"/>
        </w:rPr>
        <w:footnoteRef/>
      </w:r>
      <w:r w:rsidRPr="00F86FE8">
        <w:rPr>
          <w:sz w:val="16"/>
          <w:szCs w:val="16"/>
        </w:rPr>
        <w:t xml:space="preserve"> Import według </w:t>
      </w:r>
      <w:r w:rsidRPr="00F86FE8">
        <w:rPr>
          <w:rFonts w:cs="Arial"/>
          <w:sz w:val="16"/>
          <w:szCs w:val="16"/>
        </w:rPr>
        <w:t xml:space="preserve">kraju pochodzenia - kraj, w którym towar został wytworzony, obrobiony lub przerobiony </w:t>
      </w:r>
      <w:r>
        <w:rPr>
          <w:rFonts w:cs="Arial"/>
          <w:sz w:val="16"/>
          <w:szCs w:val="16"/>
        </w:rPr>
        <w:t xml:space="preserve">           </w:t>
      </w:r>
      <w:r w:rsidRPr="00F86FE8">
        <w:rPr>
          <w:rFonts w:cs="Arial"/>
          <w:sz w:val="16"/>
          <w:szCs w:val="16"/>
        </w:rPr>
        <w:t>i w tym stanie nadszedł do polskiego obszaru celnego.</w:t>
      </w:r>
    </w:p>
  </w:footnote>
  <w:footnote w:id="2">
    <w:p w:rsidR="00890FAC" w:rsidRPr="00EF3629" w:rsidRDefault="00890FAC" w:rsidP="0048231B">
      <w:pPr>
        <w:pStyle w:val="tekstzboku"/>
        <w:rPr>
          <w:sz w:val="16"/>
          <w:szCs w:val="16"/>
        </w:rPr>
      </w:pPr>
      <w:r w:rsidRPr="00EF3629">
        <w:rPr>
          <w:rStyle w:val="Odwoanieprzypisudolnego"/>
          <w:color w:val="auto"/>
          <w:sz w:val="16"/>
          <w:szCs w:val="16"/>
        </w:rPr>
        <w:footnoteRef/>
      </w:r>
      <w:r w:rsidRPr="00EF3629">
        <w:rPr>
          <w:color w:val="auto"/>
          <w:sz w:val="16"/>
          <w:szCs w:val="16"/>
        </w:rPr>
        <w:t xml:space="preserve"> Import według </w:t>
      </w:r>
      <w:r w:rsidRPr="00EF3629">
        <w:rPr>
          <w:rFonts w:cs="Arial"/>
          <w:color w:val="auto"/>
          <w:sz w:val="16"/>
          <w:szCs w:val="16"/>
        </w:rPr>
        <w:t xml:space="preserve">kraju wysyłki - </w:t>
      </w:r>
      <w:r w:rsidRPr="00EF3629">
        <w:rPr>
          <w:rFonts w:eastAsia="Calibri" w:cs="Arial"/>
          <w:color w:val="auto"/>
          <w:sz w:val="16"/>
          <w:szCs w:val="16"/>
        </w:rPr>
        <w:t>kraj, z którego terytorium zostały wprowadzone towary na obszar Polski</w:t>
      </w:r>
      <w:r w:rsidRPr="00EF3629">
        <w:rPr>
          <w:rFonts w:cs="Arial"/>
          <w:color w:val="auto"/>
          <w:sz w:val="16"/>
          <w:szCs w:val="16"/>
        </w:rPr>
        <w:t xml:space="preserve"> bez względu  na ich pochodzenie</w:t>
      </w:r>
      <w:r w:rsidRPr="00EF3629">
        <w:rPr>
          <w:color w:val="auto"/>
          <w:sz w:val="16"/>
          <w:szCs w:val="16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FAC" w:rsidRDefault="00890FA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87F210" wp14:editId="5F87F21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0E2A70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890FAC" w:rsidRDefault="00890FA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FAC" w:rsidRDefault="00890FAC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87F212" wp14:editId="5F87F21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890FAC" w:rsidRPr="003C6C8D" w:rsidRDefault="00890FAC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87F212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890FAC" w:rsidRPr="003C6C8D" w:rsidRDefault="00890FAC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F87F214" wp14:editId="5F87F21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B90D4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5F87F216" wp14:editId="5F87F217">
          <wp:extent cx="1153274" cy="720000"/>
          <wp:effectExtent l="0" t="0" r="0" b="4445"/>
          <wp:docPr id="12" name="Obraz 12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0FAC" w:rsidRDefault="00890FAC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F87F218" wp14:editId="5F87F21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90FAC" w:rsidRPr="00C97596" w:rsidRDefault="00890FAC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31.07.2019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87F218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890FAC" w:rsidRPr="00C97596" w:rsidRDefault="00890FAC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31.07.2019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FAC" w:rsidRDefault="00890FAC">
    <w:pPr>
      <w:pStyle w:val="Nagwek"/>
    </w:pPr>
  </w:p>
  <w:p w:rsidR="00890FAC" w:rsidRDefault="00890FA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1pt;height:124.3pt;visibility:visible" o:bullet="t">
        <v:imagedata r:id="rId1" o:title=""/>
      </v:shape>
    </w:pict>
  </w:numPicBullet>
  <w:numPicBullet w:numPicBulletId="1">
    <w:pict>
      <v:shape id="_x0000_i1029" type="#_x0000_t75" style="width:124.3pt;height:124.3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B59"/>
    <w:rsid w:val="00001C5B"/>
    <w:rsid w:val="00003437"/>
    <w:rsid w:val="00004008"/>
    <w:rsid w:val="0000709F"/>
    <w:rsid w:val="000108B8"/>
    <w:rsid w:val="000152F5"/>
    <w:rsid w:val="00016410"/>
    <w:rsid w:val="00017EBA"/>
    <w:rsid w:val="00020CD4"/>
    <w:rsid w:val="00026900"/>
    <w:rsid w:val="00042C5D"/>
    <w:rsid w:val="0004582E"/>
    <w:rsid w:val="000470AA"/>
    <w:rsid w:val="00057CA1"/>
    <w:rsid w:val="000662E2"/>
    <w:rsid w:val="00066883"/>
    <w:rsid w:val="00074DD8"/>
    <w:rsid w:val="00076A47"/>
    <w:rsid w:val="000806F7"/>
    <w:rsid w:val="00091E91"/>
    <w:rsid w:val="000B0727"/>
    <w:rsid w:val="000B30DC"/>
    <w:rsid w:val="000B3A5D"/>
    <w:rsid w:val="000B62CD"/>
    <w:rsid w:val="000B6C36"/>
    <w:rsid w:val="000C135D"/>
    <w:rsid w:val="000C7ECE"/>
    <w:rsid w:val="000D1D43"/>
    <w:rsid w:val="000D225C"/>
    <w:rsid w:val="000D2A5C"/>
    <w:rsid w:val="000D5BA2"/>
    <w:rsid w:val="000E0918"/>
    <w:rsid w:val="001011C3"/>
    <w:rsid w:val="00110D87"/>
    <w:rsid w:val="001146CE"/>
    <w:rsid w:val="00114DB9"/>
    <w:rsid w:val="00116087"/>
    <w:rsid w:val="00130296"/>
    <w:rsid w:val="001423B6"/>
    <w:rsid w:val="001440E1"/>
    <w:rsid w:val="001448A7"/>
    <w:rsid w:val="00146621"/>
    <w:rsid w:val="001478E5"/>
    <w:rsid w:val="00150575"/>
    <w:rsid w:val="00152273"/>
    <w:rsid w:val="0015732A"/>
    <w:rsid w:val="001605DA"/>
    <w:rsid w:val="00162325"/>
    <w:rsid w:val="0016391F"/>
    <w:rsid w:val="0017078D"/>
    <w:rsid w:val="00185BAA"/>
    <w:rsid w:val="001918ED"/>
    <w:rsid w:val="001951DA"/>
    <w:rsid w:val="001B232A"/>
    <w:rsid w:val="001C3269"/>
    <w:rsid w:val="001C56B5"/>
    <w:rsid w:val="001D111C"/>
    <w:rsid w:val="001D1DB4"/>
    <w:rsid w:val="001D6A61"/>
    <w:rsid w:val="001D7946"/>
    <w:rsid w:val="001F223F"/>
    <w:rsid w:val="00201087"/>
    <w:rsid w:val="00220335"/>
    <w:rsid w:val="002313C5"/>
    <w:rsid w:val="00240783"/>
    <w:rsid w:val="00246534"/>
    <w:rsid w:val="002505AA"/>
    <w:rsid w:val="002574F9"/>
    <w:rsid w:val="0027462D"/>
    <w:rsid w:val="00276811"/>
    <w:rsid w:val="00277A82"/>
    <w:rsid w:val="00282699"/>
    <w:rsid w:val="0028458E"/>
    <w:rsid w:val="002926DF"/>
    <w:rsid w:val="00296697"/>
    <w:rsid w:val="002A1BE8"/>
    <w:rsid w:val="002B0472"/>
    <w:rsid w:val="002B6B12"/>
    <w:rsid w:val="002D45CF"/>
    <w:rsid w:val="002E14D1"/>
    <w:rsid w:val="002E21CD"/>
    <w:rsid w:val="002E6140"/>
    <w:rsid w:val="002E6985"/>
    <w:rsid w:val="002E71B6"/>
    <w:rsid w:val="002F2768"/>
    <w:rsid w:val="002F77C8"/>
    <w:rsid w:val="00304F22"/>
    <w:rsid w:val="00306C7C"/>
    <w:rsid w:val="00316114"/>
    <w:rsid w:val="00320D7D"/>
    <w:rsid w:val="003216C9"/>
    <w:rsid w:val="00322EDD"/>
    <w:rsid w:val="00332320"/>
    <w:rsid w:val="00345F7C"/>
    <w:rsid w:val="00347D72"/>
    <w:rsid w:val="00357611"/>
    <w:rsid w:val="00366025"/>
    <w:rsid w:val="00367237"/>
    <w:rsid w:val="0037077F"/>
    <w:rsid w:val="00371FC0"/>
    <w:rsid w:val="00373882"/>
    <w:rsid w:val="0038341F"/>
    <w:rsid w:val="003843DB"/>
    <w:rsid w:val="0038490F"/>
    <w:rsid w:val="00393761"/>
    <w:rsid w:val="00397D18"/>
    <w:rsid w:val="003A1B36"/>
    <w:rsid w:val="003B1454"/>
    <w:rsid w:val="003C491B"/>
    <w:rsid w:val="003C59E0"/>
    <w:rsid w:val="003C6B82"/>
    <w:rsid w:val="003C6C8D"/>
    <w:rsid w:val="003D23E6"/>
    <w:rsid w:val="003D4F95"/>
    <w:rsid w:val="003D5F42"/>
    <w:rsid w:val="003D60A9"/>
    <w:rsid w:val="003E1275"/>
    <w:rsid w:val="003E4AC3"/>
    <w:rsid w:val="003F4C97"/>
    <w:rsid w:val="003F7FE6"/>
    <w:rsid w:val="00400193"/>
    <w:rsid w:val="00403C1A"/>
    <w:rsid w:val="004045B9"/>
    <w:rsid w:val="00404EF4"/>
    <w:rsid w:val="00411C0A"/>
    <w:rsid w:val="004212E7"/>
    <w:rsid w:val="0042446D"/>
    <w:rsid w:val="00427BF8"/>
    <w:rsid w:val="00431C02"/>
    <w:rsid w:val="00434D16"/>
    <w:rsid w:val="00437395"/>
    <w:rsid w:val="00445047"/>
    <w:rsid w:val="004523A8"/>
    <w:rsid w:val="00454FD8"/>
    <w:rsid w:val="0045590E"/>
    <w:rsid w:val="00463E39"/>
    <w:rsid w:val="004640BE"/>
    <w:rsid w:val="004657FC"/>
    <w:rsid w:val="0046619C"/>
    <w:rsid w:val="00466ABC"/>
    <w:rsid w:val="004733F6"/>
    <w:rsid w:val="00474E69"/>
    <w:rsid w:val="00476D65"/>
    <w:rsid w:val="0048231B"/>
    <w:rsid w:val="004921B7"/>
    <w:rsid w:val="004926AC"/>
    <w:rsid w:val="004931B7"/>
    <w:rsid w:val="0049621B"/>
    <w:rsid w:val="004A29AD"/>
    <w:rsid w:val="004B2FBB"/>
    <w:rsid w:val="004B64A7"/>
    <w:rsid w:val="004C1895"/>
    <w:rsid w:val="004C40C4"/>
    <w:rsid w:val="004C6D40"/>
    <w:rsid w:val="004D100F"/>
    <w:rsid w:val="004F0C3C"/>
    <w:rsid w:val="004F39A5"/>
    <w:rsid w:val="004F63FC"/>
    <w:rsid w:val="004F68CF"/>
    <w:rsid w:val="00505A92"/>
    <w:rsid w:val="0051165C"/>
    <w:rsid w:val="005203F1"/>
    <w:rsid w:val="00521BC3"/>
    <w:rsid w:val="00531167"/>
    <w:rsid w:val="00533632"/>
    <w:rsid w:val="005354A1"/>
    <w:rsid w:val="0054251F"/>
    <w:rsid w:val="00550618"/>
    <w:rsid w:val="005520D8"/>
    <w:rsid w:val="00556CF1"/>
    <w:rsid w:val="0057260A"/>
    <w:rsid w:val="005762A7"/>
    <w:rsid w:val="00585385"/>
    <w:rsid w:val="00586936"/>
    <w:rsid w:val="00591490"/>
    <w:rsid w:val="005916D7"/>
    <w:rsid w:val="005A602B"/>
    <w:rsid w:val="005A698C"/>
    <w:rsid w:val="005A729A"/>
    <w:rsid w:val="005C4C4F"/>
    <w:rsid w:val="005C5358"/>
    <w:rsid w:val="005C53BB"/>
    <w:rsid w:val="005D4E1A"/>
    <w:rsid w:val="005E0799"/>
    <w:rsid w:val="005E67F5"/>
    <w:rsid w:val="005E76AC"/>
    <w:rsid w:val="005F0F6A"/>
    <w:rsid w:val="005F30B8"/>
    <w:rsid w:val="005F3D74"/>
    <w:rsid w:val="005F5A80"/>
    <w:rsid w:val="006044FF"/>
    <w:rsid w:val="00607CC5"/>
    <w:rsid w:val="006316BB"/>
    <w:rsid w:val="00633014"/>
    <w:rsid w:val="0063437B"/>
    <w:rsid w:val="00637702"/>
    <w:rsid w:val="006401A1"/>
    <w:rsid w:val="0065337E"/>
    <w:rsid w:val="006537F5"/>
    <w:rsid w:val="00665A78"/>
    <w:rsid w:val="006673CA"/>
    <w:rsid w:val="00673305"/>
    <w:rsid w:val="00673C26"/>
    <w:rsid w:val="0067678F"/>
    <w:rsid w:val="006812AF"/>
    <w:rsid w:val="0068327D"/>
    <w:rsid w:val="00690129"/>
    <w:rsid w:val="00690F17"/>
    <w:rsid w:val="00694AF0"/>
    <w:rsid w:val="00696A9F"/>
    <w:rsid w:val="006A215D"/>
    <w:rsid w:val="006B0E9E"/>
    <w:rsid w:val="006B53C4"/>
    <w:rsid w:val="006B5AE4"/>
    <w:rsid w:val="006D31C0"/>
    <w:rsid w:val="006D4054"/>
    <w:rsid w:val="006E02EC"/>
    <w:rsid w:val="006F00A8"/>
    <w:rsid w:val="006F6C73"/>
    <w:rsid w:val="00701D51"/>
    <w:rsid w:val="007211B1"/>
    <w:rsid w:val="00746187"/>
    <w:rsid w:val="007476ED"/>
    <w:rsid w:val="0076254F"/>
    <w:rsid w:val="00771B49"/>
    <w:rsid w:val="00773E91"/>
    <w:rsid w:val="007801F5"/>
    <w:rsid w:val="00783CA4"/>
    <w:rsid w:val="007842FB"/>
    <w:rsid w:val="00786124"/>
    <w:rsid w:val="00786D57"/>
    <w:rsid w:val="0079514B"/>
    <w:rsid w:val="007A2DC1"/>
    <w:rsid w:val="007D3319"/>
    <w:rsid w:val="007D335D"/>
    <w:rsid w:val="007D3F3F"/>
    <w:rsid w:val="007D43A2"/>
    <w:rsid w:val="007D6BC4"/>
    <w:rsid w:val="007E3314"/>
    <w:rsid w:val="007E4B03"/>
    <w:rsid w:val="007F324B"/>
    <w:rsid w:val="0080553C"/>
    <w:rsid w:val="00805B46"/>
    <w:rsid w:val="00825DC2"/>
    <w:rsid w:val="00825F5C"/>
    <w:rsid w:val="00830459"/>
    <w:rsid w:val="00834AD3"/>
    <w:rsid w:val="0084092E"/>
    <w:rsid w:val="00843795"/>
    <w:rsid w:val="00844328"/>
    <w:rsid w:val="008456DC"/>
    <w:rsid w:val="00847F0F"/>
    <w:rsid w:val="00852243"/>
    <w:rsid w:val="00852448"/>
    <w:rsid w:val="00862B5E"/>
    <w:rsid w:val="008720A0"/>
    <w:rsid w:val="0088258A"/>
    <w:rsid w:val="00886332"/>
    <w:rsid w:val="00887BD4"/>
    <w:rsid w:val="00890FAC"/>
    <w:rsid w:val="008A0197"/>
    <w:rsid w:val="008A10A2"/>
    <w:rsid w:val="008A26D9"/>
    <w:rsid w:val="008A697A"/>
    <w:rsid w:val="008C0C29"/>
    <w:rsid w:val="008C317D"/>
    <w:rsid w:val="008D517E"/>
    <w:rsid w:val="008F3638"/>
    <w:rsid w:val="008F6F31"/>
    <w:rsid w:val="008F74DF"/>
    <w:rsid w:val="0090586A"/>
    <w:rsid w:val="009127BA"/>
    <w:rsid w:val="00921F50"/>
    <w:rsid w:val="009227A6"/>
    <w:rsid w:val="00932408"/>
    <w:rsid w:val="00933EC1"/>
    <w:rsid w:val="00946902"/>
    <w:rsid w:val="009530DB"/>
    <w:rsid w:val="00953676"/>
    <w:rsid w:val="00955FF5"/>
    <w:rsid w:val="009705EE"/>
    <w:rsid w:val="00977927"/>
    <w:rsid w:val="0098135C"/>
    <w:rsid w:val="0098156A"/>
    <w:rsid w:val="00982B24"/>
    <w:rsid w:val="00984585"/>
    <w:rsid w:val="00991BAC"/>
    <w:rsid w:val="00992926"/>
    <w:rsid w:val="0099454C"/>
    <w:rsid w:val="009A0F70"/>
    <w:rsid w:val="009A39CF"/>
    <w:rsid w:val="009A5C86"/>
    <w:rsid w:val="009A6EA0"/>
    <w:rsid w:val="009C1335"/>
    <w:rsid w:val="009C17B6"/>
    <w:rsid w:val="009C1AB2"/>
    <w:rsid w:val="009C5D06"/>
    <w:rsid w:val="009C7251"/>
    <w:rsid w:val="009C7A10"/>
    <w:rsid w:val="009D1900"/>
    <w:rsid w:val="009D4A4B"/>
    <w:rsid w:val="009E2D52"/>
    <w:rsid w:val="009E2E91"/>
    <w:rsid w:val="009F21D8"/>
    <w:rsid w:val="009F50B3"/>
    <w:rsid w:val="009F59A3"/>
    <w:rsid w:val="00A00ADB"/>
    <w:rsid w:val="00A139F5"/>
    <w:rsid w:val="00A365F4"/>
    <w:rsid w:val="00A416B1"/>
    <w:rsid w:val="00A44ACB"/>
    <w:rsid w:val="00A47D80"/>
    <w:rsid w:val="00A53132"/>
    <w:rsid w:val="00A563F2"/>
    <w:rsid w:val="00A566E8"/>
    <w:rsid w:val="00A77F02"/>
    <w:rsid w:val="00A810F9"/>
    <w:rsid w:val="00A81F44"/>
    <w:rsid w:val="00A830A9"/>
    <w:rsid w:val="00A844E6"/>
    <w:rsid w:val="00A86DDA"/>
    <w:rsid w:val="00A86ECC"/>
    <w:rsid w:val="00A86FCC"/>
    <w:rsid w:val="00A876AE"/>
    <w:rsid w:val="00A913B8"/>
    <w:rsid w:val="00AA710D"/>
    <w:rsid w:val="00AB6D25"/>
    <w:rsid w:val="00AD34B4"/>
    <w:rsid w:val="00AE2D4B"/>
    <w:rsid w:val="00AE4F99"/>
    <w:rsid w:val="00AE636C"/>
    <w:rsid w:val="00AF13CD"/>
    <w:rsid w:val="00AF2878"/>
    <w:rsid w:val="00B14952"/>
    <w:rsid w:val="00B25357"/>
    <w:rsid w:val="00B31E5A"/>
    <w:rsid w:val="00B5279C"/>
    <w:rsid w:val="00B60BED"/>
    <w:rsid w:val="00B63D39"/>
    <w:rsid w:val="00B653AB"/>
    <w:rsid w:val="00B65F9E"/>
    <w:rsid w:val="00B66555"/>
    <w:rsid w:val="00B66B19"/>
    <w:rsid w:val="00B914E9"/>
    <w:rsid w:val="00B92654"/>
    <w:rsid w:val="00B956EE"/>
    <w:rsid w:val="00B957EC"/>
    <w:rsid w:val="00BA1D4F"/>
    <w:rsid w:val="00BA2BA1"/>
    <w:rsid w:val="00BB4F09"/>
    <w:rsid w:val="00BC3F69"/>
    <w:rsid w:val="00BD2BC3"/>
    <w:rsid w:val="00BD4E33"/>
    <w:rsid w:val="00BE588F"/>
    <w:rsid w:val="00BF34B7"/>
    <w:rsid w:val="00C02127"/>
    <w:rsid w:val="00C030DE"/>
    <w:rsid w:val="00C22105"/>
    <w:rsid w:val="00C244B6"/>
    <w:rsid w:val="00C30406"/>
    <w:rsid w:val="00C3702F"/>
    <w:rsid w:val="00C5627C"/>
    <w:rsid w:val="00C64A37"/>
    <w:rsid w:val="00C6550F"/>
    <w:rsid w:val="00C7158E"/>
    <w:rsid w:val="00C7250B"/>
    <w:rsid w:val="00C733C3"/>
    <w:rsid w:val="00C7346B"/>
    <w:rsid w:val="00C77C0E"/>
    <w:rsid w:val="00C77C4A"/>
    <w:rsid w:val="00C85BB8"/>
    <w:rsid w:val="00C91687"/>
    <w:rsid w:val="00C924A8"/>
    <w:rsid w:val="00C945FE"/>
    <w:rsid w:val="00C96FAA"/>
    <w:rsid w:val="00C97A04"/>
    <w:rsid w:val="00CA107B"/>
    <w:rsid w:val="00CA484D"/>
    <w:rsid w:val="00CB5036"/>
    <w:rsid w:val="00CC303A"/>
    <w:rsid w:val="00CC739E"/>
    <w:rsid w:val="00CD2FE9"/>
    <w:rsid w:val="00CD58B7"/>
    <w:rsid w:val="00CF4099"/>
    <w:rsid w:val="00D00796"/>
    <w:rsid w:val="00D115A8"/>
    <w:rsid w:val="00D261A2"/>
    <w:rsid w:val="00D34D98"/>
    <w:rsid w:val="00D366A1"/>
    <w:rsid w:val="00D45E90"/>
    <w:rsid w:val="00D616D2"/>
    <w:rsid w:val="00D626BB"/>
    <w:rsid w:val="00D63B5F"/>
    <w:rsid w:val="00D67CD3"/>
    <w:rsid w:val="00D70EF7"/>
    <w:rsid w:val="00D8397C"/>
    <w:rsid w:val="00D94EED"/>
    <w:rsid w:val="00D96026"/>
    <w:rsid w:val="00DA7C1C"/>
    <w:rsid w:val="00DB147A"/>
    <w:rsid w:val="00DB1B7A"/>
    <w:rsid w:val="00DB562E"/>
    <w:rsid w:val="00DB6AE1"/>
    <w:rsid w:val="00DC6708"/>
    <w:rsid w:val="00DD5E0F"/>
    <w:rsid w:val="00DF3030"/>
    <w:rsid w:val="00E01436"/>
    <w:rsid w:val="00E02BC5"/>
    <w:rsid w:val="00E045BD"/>
    <w:rsid w:val="00E12DB3"/>
    <w:rsid w:val="00E14E43"/>
    <w:rsid w:val="00E17B77"/>
    <w:rsid w:val="00E23337"/>
    <w:rsid w:val="00E259EA"/>
    <w:rsid w:val="00E32061"/>
    <w:rsid w:val="00E33A76"/>
    <w:rsid w:val="00E42FF9"/>
    <w:rsid w:val="00E441B4"/>
    <w:rsid w:val="00E444C6"/>
    <w:rsid w:val="00E44BC0"/>
    <w:rsid w:val="00E4714C"/>
    <w:rsid w:val="00E51AEB"/>
    <w:rsid w:val="00E522A7"/>
    <w:rsid w:val="00E53C35"/>
    <w:rsid w:val="00E54452"/>
    <w:rsid w:val="00E664C5"/>
    <w:rsid w:val="00E671A2"/>
    <w:rsid w:val="00E729DA"/>
    <w:rsid w:val="00E74BAD"/>
    <w:rsid w:val="00E76D26"/>
    <w:rsid w:val="00E93AC6"/>
    <w:rsid w:val="00EA7416"/>
    <w:rsid w:val="00EB1390"/>
    <w:rsid w:val="00EB2C71"/>
    <w:rsid w:val="00EB4340"/>
    <w:rsid w:val="00EB556D"/>
    <w:rsid w:val="00EB5A7D"/>
    <w:rsid w:val="00ED55C0"/>
    <w:rsid w:val="00ED682B"/>
    <w:rsid w:val="00EE41D5"/>
    <w:rsid w:val="00EF03D4"/>
    <w:rsid w:val="00EF3629"/>
    <w:rsid w:val="00F00CA5"/>
    <w:rsid w:val="00F02C7E"/>
    <w:rsid w:val="00F037A4"/>
    <w:rsid w:val="00F152E6"/>
    <w:rsid w:val="00F26A5B"/>
    <w:rsid w:val="00F27C8F"/>
    <w:rsid w:val="00F32749"/>
    <w:rsid w:val="00F3415A"/>
    <w:rsid w:val="00F37172"/>
    <w:rsid w:val="00F42440"/>
    <w:rsid w:val="00F4477E"/>
    <w:rsid w:val="00F54C70"/>
    <w:rsid w:val="00F657FD"/>
    <w:rsid w:val="00F67D8F"/>
    <w:rsid w:val="00F70DA2"/>
    <w:rsid w:val="00F802BE"/>
    <w:rsid w:val="00F831A5"/>
    <w:rsid w:val="00F86024"/>
    <w:rsid w:val="00F8611A"/>
    <w:rsid w:val="00F86FE8"/>
    <w:rsid w:val="00FA104A"/>
    <w:rsid w:val="00FA5128"/>
    <w:rsid w:val="00FB42D4"/>
    <w:rsid w:val="00FB50BD"/>
    <w:rsid w:val="00FB5906"/>
    <w:rsid w:val="00FB762F"/>
    <w:rsid w:val="00FC0B7D"/>
    <w:rsid w:val="00FC2AED"/>
    <w:rsid w:val="00FD5EA7"/>
    <w:rsid w:val="00FF1498"/>
    <w:rsid w:val="00FF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E459F2-B2A4-42A9-BAB8-0249DB5B6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7358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447358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CD8C8" w:themeColor="accent1" w:themeTint="66"/>
        <w:left w:val="single" w:sz="4" w:space="0" w:color="BCD8C8" w:themeColor="accent1" w:themeTint="66"/>
        <w:bottom w:val="single" w:sz="4" w:space="0" w:color="BCD8C8" w:themeColor="accent1" w:themeTint="66"/>
        <w:right w:val="single" w:sz="4" w:space="0" w:color="BCD8C8" w:themeColor="accent1" w:themeTint="66"/>
        <w:insideH w:val="single" w:sz="4" w:space="0" w:color="BCD8C8" w:themeColor="accent1" w:themeTint="66"/>
        <w:insideV w:val="single" w:sz="4" w:space="0" w:color="BCD8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BC4A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4A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eader" Target="header1.xml"/><Relationship Id="rId26" Type="http://schemas.openxmlformats.org/officeDocument/2006/relationships/image" Target="media/image5.png"/><Relationship Id="rId39" Type="http://schemas.openxmlformats.org/officeDocument/2006/relationships/hyperlink" Target="http://stat.gov.pl/metainformacje/slownik-pojec/pojecia-stosowane-w-statystyce-publicznej/119,pojecie.html" TargetMode="External"/><Relationship Id="rId21" Type="http://schemas.openxmlformats.org/officeDocument/2006/relationships/footer" Target="footer2.xml"/><Relationship Id="rId34" Type="http://schemas.openxmlformats.org/officeDocument/2006/relationships/hyperlink" Target="http://stat.gov.pl/obszary-tematyczne/roczniki-statystyczne/roczniki-statystyczne/rocznik-statystyczny-handlu-zagranicznego-2018,9,12.html" TargetMode="External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header" Target="header2.xml"/><Relationship Id="rId29" Type="http://schemas.openxmlformats.org/officeDocument/2006/relationships/hyperlink" Target="https://stat.gov.pl/obszary-tematyczne/ceny-handel/handel/handel-zagraniczny-statystyka-lustrzana-i-statystyka-asymetrii,17,1.html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24" Type="http://schemas.openxmlformats.org/officeDocument/2006/relationships/hyperlink" Target="mailto:obslugaprasowa@stat.gov.pl" TargetMode="External"/><Relationship Id="rId32" Type="http://schemas.openxmlformats.org/officeDocument/2006/relationships/hyperlink" Target="http://stat.gov.pl/metainformacje/slownik-pojec/pojecia-stosowane-w-statystyce-publicznej/746,pojecie.html" TargetMode="External"/><Relationship Id="rId37" Type="http://schemas.openxmlformats.org/officeDocument/2006/relationships/hyperlink" Target="http://stat.gov.pl/banki-i-bazy-danych/handel-zagraniczny/" TargetMode="External"/><Relationship Id="rId40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hyperlink" Target="mailto:rzecznik@stat.gov.pl" TargetMode="External"/><Relationship Id="rId28" Type="http://schemas.openxmlformats.org/officeDocument/2006/relationships/hyperlink" Target="http://stat.gov.pl/obszary-tematyczne/roczniki-statystyczne/roczniki-statystyczne/rocznik-statystyczny-handlu-zagranicznego-2018,9,12.html" TargetMode="External"/><Relationship Id="rId36" Type="http://schemas.openxmlformats.org/officeDocument/2006/relationships/hyperlink" Target="http://swaid.stat.gov.pl/SitePagesDBW/HandelZagraniczny.aspx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31" Type="http://schemas.openxmlformats.org/officeDocument/2006/relationships/hyperlink" Target="http://stat.gov.pl/banki-i-bazy-danych/handel-zagraniczny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hyperlink" Target="mailto:a.matejak@stat.gov.pl" TargetMode="External"/><Relationship Id="rId27" Type="http://schemas.openxmlformats.org/officeDocument/2006/relationships/image" Target="media/image6.png"/><Relationship Id="rId30" Type="http://schemas.openxmlformats.org/officeDocument/2006/relationships/hyperlink" Target="http://swaid.stat.gov.pl/SitePagesDBW/HandelZagraniczny.aspx" TargetMode="External"/><Relationship Id="rId35" Type="http://schemas.openxmlformats.org/officeDocument/2006/relationships/hyperlink" Target="https://stat.gov.pl/obszary-tematyczne/ceny-handel/handel/handel-zagraniczny-statystyka-lustrzana-i-statystyka-asymetrii,17,1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20.emf"/><Relationship Id="rId17" Type="http://schemas.openxmlformats.org/officeDocument/2006/relationships/chart" Target="charts/chart5.xml"/><Relationship Id="rId25" Type="http://schemas.openxmlformats.org/officeDocument/2006/relationships/image" Target="media/image4.png"/><Relationship Id="rId33" Type="http://schemas.openxmlformats.org/officeDocument/2006/relationships/hyperlink" Target="http://stat.gov.pl/metainformacje/slownik-pojec/pojecia-stosowane-w-statystyce-publicznej/119,pojecie.html" TargetMode="External"/><Relationship Id="rId38" Type="http://schemas.openxmlformats.org/officeDocument/2006/relationships/hyperlink" Target="http://stat.gov.pl/metainformacje/slownik-pojec/pojecia-stosowane-w-statystyce-publicznej/746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tejakA\Desktop\Documents\Ci&#261;gutki\2017\XII\C-17_.xls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tejakA\Desktop\Documents\Ci&#261;gutki\2017\XII\C-17_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tejakA\Desktop\Documents\Ci&#261;gutki\2017\XII\C-17_.xls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tejakA\Desktop\Documents\Ci&#261;gutki\2017\XII\Kopia%20C-17_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tejakA\Desktop\Documents\Ci&#261;gutki\2017\XII\C-17_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7601768261674623E-2"/>
          <c:y val="5.6603773584905662E-2"/>
          <c:w val="0.88512663139123227"/>
          <c:h val="0.749677611053335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'3 miesiące'!$A$7</c:f>
              <c:strCache>
                <c:ptCount val="1"/>
                <c:pt idx="0">
                  <c:v>Eksport  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'3 miesiące'!$B$5:$D$6</c:f>
              <c:strCache>
                <c:ptCount val="3"/>
                <c:pt idx="0">
                  <c:v>X </c:v>
                </c:pt>
                <c:pt idx="1">
                  <c:v>XI </c:v>
                </c:pt>
                <c:pt idx="2">
                  <c:v>XII </c:v>
                </c:pt>
              </c:strCache>
            </c:strRef>
          </c:cat>
          <c:val>
            <c:numRef>
              <c:f>'3 miesiące'!$B$7:$D$7</c:f>
              <c:numCache>
                <c:formatCode>0.0</c:formatCode>
                <c:ptCount val="3"/>
                <c:pt idx="0">
                  <c:v>91.4</c:v>
                </c:pt>
                <c:pt idx="1">
                  <c:v>89.5</c:v>
                </c:pt>
                <c:pt idx="2">
                  <c:v>69.8</c:v>
                </c:pt>
              </c:numCache>
            </c:numRef>
          </c:val>
        </c:ser>
        <c:ser>
          <c:idx val="1"/>
          <c:order val="1"/>
          <c:tx>
            <c:strRef>
              <c:f>'3 miesiące'!$A$8</c:f>
              <c:strCache>
                <c:ptCount val="1"/>
                <c:pt idx="0">
                  <c:v>Import   </c:v>
                </c:pt>
              </c:strCache>
            </c:strRef>
          </c:tx>
          <c:spPr>
            <a:solidFill>
              <a:srgbClr val="CCD2E4"/>
            </a:solidFill>
            <a:ln>
              <a:noFill/>
            </a:ln>
            <a:effectLst/>
          </c:spPr>
          <c:invertIfNegative val="0"/>
          <c:cat>
            <c:strRef>
              <c:f>'3 miesiące'!$B$5:$D$6</c:f>
              <c:strCache>
                <c:ptCount val="3"/>
                <c:pt idx="0">
                  <c:v>X </c:v>
                </c:pt>
                <c:pt idx="1">
                  <c:v>XI </c:v>
                </c:pt>
                <c:pt idx="2">
                  <c:v>XII </c:v>
                </c:pt>
              </c:strCache>
            </c:strRef>
          </c:cat>
          <c:val>
            <c:numRef>
              <c:f>'3 miesiące'!$B$8:$D$8</c:f>
              <c:numCache>
                <c:formatCode>0.0</c:formatCode>
                <c:ptCount val="3"/>
                <c:pt idx="0">
                  <c:v>93</c:v>
                </c:pt>
                <c:pt idx="1">
                  <c:v>89.2</c:v>
                </c:pt>
                <c:pt idx="2">
                  <c:v>75.8</c:v>
                </c:pt>
              </c:numCache>
            </c:numRef>
          </c:val>
        </c:ser>
        <c:ser>
          <c:idx val="2"/>
          <c:order val="2"/>
          <c:tx>
            <c:strRef>
              <c:f>'3 miesiące'!$A$9</c:f>
              <c:strCache>
                <c:ptCount val="1"/>
                <c:pt idx="0">
                  <c:v>Saldo      </c:v>
                </c:pt>
              </c:strCache>
            </c:strRef>
          </c:tx>
          <c:spPr>
            <a:solidFill>
              <a:srgbClr val="339D68"/>
            </a:solidFill>
            <a:ln w="28575" cap="rnd">
              <a:noFill/>
              <a:prstDash val="sysDash"/>
              <a:round/>
            </a:ln>
            <a:effectLst/>
          </c:spPr>
          <c:invertIfNegative val="0"/>
          <c:cat>
            <c:strRef>
              <c:f>'3 miesiące'!$B$5:$D$6</c:f>
              <c:strCache>
                <c:ptCount val="3"/>
                <c:pt idx="0">
                  <c:v>X </c:v>
                </c:pt>
                <c:pt idx="1">
                  <c:v>XI </c:v>
                </c:pt>
                <c:pt idx="2">
                  <c:v>XII </c:v>
                </c:pt>
              </c:strCache>
            </c:strRef>
          </c:cat>
          <c:val>
            <c:numRef>
              <c:f>'3 miesiące'!$B$9:$D$9</c:f>
              <c:numCache>
                <c:formatCode>0.0</c:formatCode>
                <c:ptCount val="3"/>
                <c:pt idx="0">
                  <c:v>-1.5999999999999943</c:v>
                </c:pt>
                <c:pt idx="1">
                  <c:v>0.29999999999999716</c:v>
                </c:pt>
                <c:pt idx="2">
                  <c:v>-6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2112284752"/>
        <c:axId val="-2112283120"/>
      </c:barChart>
      <c:catAx>
        <c:axId val="-2112284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+mn-lt"/>
                <a:ea typeface="Calibri"/>
                <a:cs typeface="Calibri"/>
              </a:defRPr>
            </a:pPr>
            <a:endParaRPr lang="pl-PL"/>
          </a:p>
        </c:txPr>
        <c:crossAx val="-2112283120"/>
        <c:crosses val="autoZero"/>
        <c:auto val="1"/>
        <c:lblAlgn val="ctr"/>
        <c:lblOffset val="100"/>
        <c:noMultiLvlLbl val="0"/>
      </c:catAx>
      <c:valAx>
        <c:axId val="-21122831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+mn-lt"/>
                <a:ea typeface="Calibri"/>
                <a:cs typeface="Calibri"/>
              </a:defRPr>
            </a:pPr>
            <a:endParaRPr lang="pl-PL"/>
          </a:p>
        </c:txPr>
        <c:crossAx val="-2112284752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overlay val="0"/>
      <c:spPr>
        <a:noFill/>
        <a:ln w="25400">
          <a:noFill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+mn-lt"/>
              <a:ea typeface="Calibri"/>
              <a:cs typeface="Calibri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OgółemE_I!$B$14</c:f>
              <c:strCache>
                <c:ptCount val="1"/>
                <c:pt idx="0">
                  <c:v>2017 </c:v>
                </c:pt>
              </c:strCache>
            </c:strRef>
          </c:tx>
          <c:spPr>
            <a:solidFill>
              <a:srgbClr val="CCD2E4"/>
            </a:solidFill>
            <a:ln>
              <a:solidFill>
                <a:srgbClr val="CCD2E4"/>
              </a:solidFill>
            </a:ln>
            <a:effectLst/>
          </c:spPr>
          <c:invertIfNegative val="0"/>
          <c:cat>
            <c:strRef>
              <c:f>OgółemE_I!$C$12:$N$13</c:f>
              <c:strCache>
                <c:ptCount val="12"/>
                <c:pt idx="0">
                  <c:v>I</c:v>
                </c:pt>
                <c:pt idx="1">
                  <c:v>I-II</c:v>
                </c:pt>
                <c:pt idx="2">
                  <c:v>       I-III</c:v>
                </c:pt>
                <c:pt idx="3">
                  <c:v>       I-IV</c:v>
                </c:pt>
                <c:pt idx="4">
                  <c:v>        I-V</c:v>
                </c:pt>
                <c:pt idx="5">
                  <c:v>       I-VI</c:v>
                </c:pt>
                <c:pt idx="6">
                  <c:v>       I-VII</c:v>
                </c:pt>
                <c:pt idx="7">
                  <c:v>       I-VIII</c:v>
                </c:pt>
                <c:pt idx="8">
                  <c:v>       I-IX</c:v>
                </c:pt>
                <c:pt idx="9">
                  <c:v>        I-X</c:v>
                </c:pt>
                <c:pt idx="10">
                  <c:v>       I-XI</c:v>
                </c:pt>
                <c:pt idx="11">
                  <c:v>      I-XII</c:v>
                </c:pt>
              </c:strCache>
            </c:strRef>
          </c:cat>
          <c:val>
            <c:numRef>
              <c:f>OgółemE_I!$C$14:$N$14</c:f>
              <c:numCache>
                <c:formatCode>0.0</c:formatCode>
                <c:ptCount val="12"/>
                <c:pt idx="0">
                  <c:v>116.5</c:v>
                </c:pt>
                <c:pt idx="1">
                  <c:v>111.2</c:v>
                </c:pt>
                <c:pt idx="2">
                  <c:v>114.3</c:v>
                </c:pt>
                <c:pt idx="3">
                  <c:v>111.4</c:v>
                </c:pt>
                <c:pt idx="4">
                  <c:v>111.3</c:v>
                </c:pt>
                <c:pt idx="5">
                  <c:v>110.2</c:v>
                </c:pt>
                <c:pt idx="6">
                  <c:v>110</c:v>
                </c:pt>
                <c:pt idx="7">
                  <c:v>110.3</c:v>
                </c:pt>
                <c:pt idx="8">
                  <c:v>110.5</c:v>
                </c:pt>
                <c:pt idx="9">
                  <c:v>111.1</c:v>
                </c:pt>
                <c:pt idx="10">
                  <c:v>110.8</c:v>
                </c:pt>
                <c:pt idx="11">
                  <c:v>109.8</c:v>
                </c:pt>
              </c:numCache>
            </c:numRef>
          </c:val>
        </c:ser>
        <c:ser>
          <c:idx val="1"/>
          <c:order val="1"/>
          <c:tx>
            <c:strRef>
              <c:f>OgółemE_I!$B$15</c:f>
              <c:strCache>
                <c:ptCount val="1"/>
                <c:pt idx="0">
                  <c:v>2018 </c:v>
                </c:pt>
              </c:strCache>
            </c:strRef>
          </c:tx>
          <c:spPr>
            <a:solidFill>
              <a:srgbClr val="001D77"/>
            </a:solidFill>
            <a:ln>
              <a:solidFill>
                <a:srgbClr val="001D77"/>
              </a:solidFill>
            </a:ln>
            <a:effectLst/>
          </c:spPr>
          <c:invertIfNegative val="0"/>
          <c:cat>
            <c:strRef>
              <c:f>OgółemE_I!$C$12:$N$13</c:f>
              <c:strCache>
                <c:ptCount val="12"/>
                <c:pt idx="0">
                  <c:v>I</c:v>
                </c:pt>
                <c:pt idx="1">
                  <c:v>I-II</c:v>
                </c:pt>
                <c:pt idx="2">
                  <c:v>       I-III</c:v>
                </c:pt>
                <c:pt idx="3">
                  <c:v>       I-IV</c:v>
                </c:pt>
                <c:pt idx="4">
                  <c:v>        I-V</c:v>
                </c:pt>
                <c:pt idx="5">
                  <c:v>       I-VI</c:v>
                </c:pt>
                <c:pt idx="6">
                  <c:v>       I-VII</c:v>
                </c:pt>
                <c:pt idx="7">
                  <c:v>       I-VIII</c:v>
                </c:pt>
                <c:pt idx="8">
                  <c:v>       I-IX</c:v>
                </c:pt>
                <c:pt idx="9">
                  <c:v>        I-X</c:v>
                </c:pt>
                <c:pt idx="10">
                  <c:v>       I-XI</c:v>
                </c:pt>
                <c:pt idx="11">
                  <c:v>      I-XII</c:v>
                </c:pt>
              </c:strCache>
            </c:strRef>
          </c:cat>
          <c:val>
            <c:numRef>
              <c:f>OgółemE_I!$C$15:$N$15</c:f>
              <c:numCache>
                <c:formatCode>0.0</c:formatCode>
                <c:ptCount val="12"/>
                <c:pt idx="0">
                  <c:v>106.4</c:v>
                </c:pt>
                <c:pt idx="1">
                  <c:v>104.7</c:v>
                </c:pt>
                <c:pt idx="2">
                  <c:v>102.4</c:v>
                </c:pt>
                <c:pt idx="3">
                  <c:v>104.3</c:v>
                </c:pt>
                <c:pt idx="4">
                  <c:v>104.8</c:v>
                </c:pt>
                <c:pt idx="5">
                  <c:v>106</c:v>
                </c:pt>
                <c:pt idx="6">
                  <c:v>107.2</c:v>
                </c:pt>
                <c:pt idx="7">
                  <c:v>107.4</c:v>
                </c:pt>
                <c:pt idx="8">
                  <c:v>107</c:v>
                </c:pt>
                <c:pt idx="9">
                  <c:v>107.7</c:v>
                </c:pt>
                <c:pt idx="10">
                  <c:v>108</c:v>
                </c:pt>
                <c:pt idx="11">
                  <c:v>107.8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-2112282576"/>
        <c:axId val="-2112284208"/>
      </c:barChart>
      <c:catAx>
        <c:axId val="-21122825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112284208"/>
        <c:crosses val="autoZero"/>
        <c:auto val="1"/>
        <c:lblAlgn val="ctr"/>
        <c:lblOffset val="100"/>
        <c:noMultiLvlLbl val="0"/>
      </c:catAx>
      <c:valAx>
        <c:axId val="-2112284208"/>
        <c:scaling>
          <c:orientation val="minMax"/>
          <c:max val="120"/>
          <c:min val="9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112282576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OgółemE_I!$B$20</c:f>
              <c:strCache>
                <c:ptCount val="1"/>
                <c:pt idx="0">
                  <c:v>2017 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OgółemE_I!$C$18:$N$19</c:f>
              <c:strCache>
                <c:ptCount val="12"/>
                <c:pt idx="0">
                  <c:v>I</c:v>
                </c:pt>
                <c:pt idx="1">
                  <c:v>I-II</c:v>
                </c:pt>
                <c:pt idx="2">
                  <c:v>       I-III</c:v>
                </c:pt>
                <c:pt idx="3">
                  <c:v>       I-IV</c:v>
                </c:pt>
                <c:pt idx="4">
                  <c:v>        I-V</c:v>
                </c:pt>
                <c:pt idx="5">
                  <c:v>       I-VI</c:v>
                </c:pt>
                <c:pt idx="6">
                  <c:v>       I-VII</c:v>
                </c:pt>
                <c:pt idx="7">
                  <c:v>       I-VIII</c:v>
                </c:pt>
                <c:pt idx="8">
                  <c:v>       I-IX</c:v>
                </c:pt>
                <c:pt idx="9">
                  <c:v>        I-X</c:v>
                </c:pt>
                <c:pt idx="10">
                  <c:v>       I-XI</c:v>
                </c:pt>
                <c:pt idx="11">
                  <c:v>      I-XII</c:v>
                </c:pt>
              </c:strCache>
            </c:strRef>
          </c:cat>
          <c:val>
            <c:numRef>
              <c:f>OgółemE_I!$C$20:$N$20</c:f>
              <c:numCache>
                <c:formatCode>0.0</c:formatCode>
                <c:ptCount val="12"/>
                <c:pt idx="0">
                  <c:v>117.3</c:v>
                </c:pt>
                <c:pt idx="1">
                  <c:v>113.4</c:v>
                </c:pt>
                <c:pt idx="2">
                  <c:v>115.7</c:v>
                </c:pt>
                <c:pt idx="3">
                  <c:v>112.5</c:v>
                </c:pt>
                <c:pt idx="4">
                  <c:v>113.2</c:v>
                </c:pt>
                <c:pt idx="5">
                  <c:v>112.8</c:v>
                </c:pt>
                <c:pt idx="6">
                  <c:v>112.6</c:v>
                </c:pt>
                <c:pt idx="7">
                  <c:v>112.1</c:v>
                </c:pt>
                <c:pt idx="8">
                  <c:v>111.9</c:v>
                </c:pt>
                <c:pt idx="9">
                  <c:v>112.3</c:v>
                </c:pt>
                <c:pt idx="10">
                  <c:v>112.3</c:v>
                </c:pt>
                <c:pt idx="11">
                  <c:v>111.9</c:v>
                </c:pt>
              </c:numCache>
            </c:numRef>
          </c:val>
        </c:ser>
        <c:ser>
          <c:idx val="1"/>
          <c:order val="1"/>
          <c:tx>
            <c:strRef>
              <c:f>OgółemE_I!$B$21</c:f>
              <c:strCache>
                <c:ptCount val="1"/>
                <c:pt idx="0">
                  <c:v>2018 </c:v>
                </c:pt>
              </c:strCache>
            </c:strRef>
          </c:tx>
          <c:spPr>
            <a:solidFill>
              <a:srgbClr val="CCD2E4"/>
            </a:solidFill>
            <a:ln>
              <a:solidFill>
                <a:srgbClr val="CCD2E4"/>
              </a:solidFill>
            </a:ln>
            <a:effectLst/>
          </c:spPr>
          <c:invertIfNegative val="0"/>
          <c:cat>
            <c:strRef>
              <c:f>OgółemE_I!$C$18:$N$19</c:f>
              <c:strCache>
                <c:ptCount val="12"/>
                <c:pt idx="0">
                  <c:v>I</c:v>
                </c:pt>
                <c:pt idx="1">
                  <c:v>I-II</c:v>
                </c:pt>
                <c:pt idx="2">
                  <c:v>       I-III</c:v>
                </c:pt>
                <c:pt idx="3">
                  <c:v>       I-IV</c:v>
                </c:pt>
                <c:pt idx="4">
                  <c:v>        I-V</c:v>
                </c:pt>
                <c:pt idx="5">
                  <c:v>       I-VI</c:v>
                </c:pt>
                <c:pt idx="6">
                  <c:v>       I-VII</c:v>
                </c:pt>
                <c:pt idx="7">
                  <c:v>       I-VIII</c:v>
                </c:pt>
                <c:pt idx="8">
                  <c:v>       I-IX</c:v>
                </c:pt>
                <c:pt idx="9">
                  <c:v>        I-X</c:v>
                </c:pt>
                <c:pt idx="10">
                  <c:v>       I-XI</c:v>
                </c:pt>
                <c:pt idx="11">
                  <c:v>      I-XII</c:v>
                </c:pt>
              </c:strCache>
            </c:strRef>
          </c:cat>
          <c:val>
            <c:numRef>
              <c:f>OgółemE_I!$C$21:$N$21</c:f>
              <c:numCache>
                <c:formatCode>0.0</c:formatCode>
                <c:ptCount val="12"/>
                <c:pt idx="0">
                  <c:v>112.6</c:v>
                </c:pt>
                <c:pt idx="1">
                  <c:v>108.9</c:v>
                </c:pt>
                <c:pt idx="2">
                  <c:v>106.7</c:v>
                </c:pt>
                <c:pt idx="3">
                  <c:v>108.4</c:v>
                </c:pt>
                <c:pt idx="4">
                  <c:v>107.9</c:v>
                </c:pt>
                <c:pt idx="5">
                  <c:v>108.9</c:v>
                </c:pt>
                <c:pt idx="6">
                  <c:v>109.7</c:v>
                </c:pt>
                <c:pt idx="7">
                  <c:v>110.4</c:v>
                </c:pt>
                <c:pt idx="8">
                  <c:v>109.9</c:v>
                </c:pt>
                <c:pt idx="9">
                  <c:v>110.7</c:v>
                </c:pt>
                <c:pt idx="10">
                  <c:v>110.8</c:v>
                </c:pt>
                <c:pt idx="11">
                  <c:v>110.3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-2112285840"/>
        <c:axId val="-2112285296"/>
      </c:barChart>
      <c:catAx>
        <c:axId val="-21122858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Fira Sans "/>
                <a:ea typeface="+mn-ea"/>
                <a:cs typeface="+mn-cs"/>
              </a:defRPr>
            </a:pPr>
            <a:endParaRPr lang="pl-PL"/>
          </a:p>
        </c:txPr>
        <c:crossAx val="-2112285296"/>
        <c:crosses val="autoZero"/>
        <c:auto val="1"/>
        <c:lblAlgn val="ctr"/>
        <c:lblOffset val="100"/>
        <c:noMultiLvlLbl val="0"/>
      </c:catAx>
      <c:valAx>
        <c:axId val="-2112285296"/>
        <c:scaling>
          <c:orientation val="minMax"/>
          <c:min val="9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 "/>
                <a:ea typeface="+mn-ea"/>
                <a:cs typeface="+mn-cs"/>
              </a:defRPr>
            </a:pPr>
            <a:endParaRPr lang="pl-PL"/>
          </a:p>
        </c:txPr>
        <c:crossAx val="-2112285840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 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Arkusz3!$A$6</c:f>
              <c:strCache>
                <c:ptCount val="1"/>
                <c:pt idx="0">
                  <c:v>2017 </c:v>
                </c:pt>
              </c:strCache>
            </c:strRef>
          </c:tx>
          <c:spPr>
            <a:ln w="28575" cap="rnd">
              <a:solidFill>
                <a:srgbClr val="CCD2E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CCD2E4"/>
              </a:solidFill>
              <a:ln w="9525">
                <a:solidFill>
                  <a:srgbClr val="CCD2E4"/>
                </a:solidFill>
              </a:ln>
              <a:effectLst/>
            </c:spPr>
          </c:marker>
          <c:cat>
            <c:strRef>
              <c:f>Arkusz3!$B$5:$M$5</c:f>
              <c:strCache>
                <c:ptCount val="12"/>
                <c:pt idx="0">
                  <c:v>I</c:v>
                </c:pt>
                <c:pt idx="1">
                  <c:v>I-II</c:v>
                </c:pt>
                <c:pt idx="2">
                  <c:v>I-III</c:v>
                </c:pt>
                <c:pt idx="3">
                  <c:v>I-IV</c:v>
                </c:pt>
                <c:pt idx="4">
                  <c:v>I-V</c:v>
                </c:pt>
                <c:pt idx="5">
                  <c:v>I-VI</c:v>
                </c:pt>
                <c:pt idx="6">
                  <c:v>I-VII</c:v>
                </c:pt>
                <c:pt idx="7">
                  <c:v>I-VIII</c:v>
                </c:pt>
                <c:pt idx="8">
                  <c:v>I-IX</c:v>
                </c:pt>
                <c:pt idx="9">
                  <c:v>I-X</c:v>
                </c:pt>
                <c:pt idx="10">
                  <c:v>I-XI</c:v>
                </c:pt>
                <c:pt idx="11">
                  <c:v>I-XII</c:v>
                </c:pt>
              </c:strCache>
            </c:strRef>
          </c:cat>
          <c:val>
            <c:numRef>
              <c:f>Arkusz3!$B$6:$M$6</c:f>
              <c:numCache>
                <c:formatCode>0.0</c:formatCode>
                <c:ptCount val="12"/>
                <c:pt idx="0">
                  <c:v>-3.1773045979999903</c:v>
                </c:pt>
                <c:pt idx="1">
                  <c:v>-6.1770274149999906</c:v>
                </c:pt>
                <c:pt idx="2">
                  <c:v>-8.4770375909999398</c:v>
                </c:pt>
                <c:pt idx="3">
                  <c:v>-10.996701119999878</c:v>
                </c:pt>
                <c:pt idx="4">
                  <c:v>-13.229480292000099</c:v>
                </c:pt>
                <c:pt idx="5">
                  <c:v>-15.100199259000199</c:v>
                </c:pt>
                <c:pt idx="6">
                  <c:v>-16.9905603250001</c:v>
                </c:pt>
                <c:pt idx="7">
                  <c:v>-18.740847883999802</c:v>
                </c:pt>
                <c:pt idx="8">
                  <c:v>-20.978943812999802</c:v>
                </c:pt>
                <c:pt idx="9">
                  <c:v>-23.061136288999602</c:v>
                </c:pt>
                <c:pt idx="10">
                  <c:v>-25.8890132129996</c:v>
                </c:pt>
                <c:pt idx="11">
                  <c:v>-29.581806937999499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Arkusz3!$A$7</c:f>
              <c:strCache>
                <c:ptCount val="1"/>
                <c:pt idx="0">
                  <c:v>2018 </c:v>
                </c:pt>
              </c:strCache>
            </c:strRef>
          </c:tx>
          <c:spPr>
            <a:ln w="28575" cap="flat">
              <a:solidFill>
                <a:srgbClr val="001D77"/>
              </a:solidFill>
              <a:bevel/>
            </a:ln>
            <a:effectLst/>
          </c:spPr>
          <c:marker>
            <c:symbol val="circle"/>
            <c:size val="5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strRef>
              <c:f>Arkusz3!$B$5:$M$5</c:f>
              <c:strCache>
                <c:ptCount val="12"/>
                <c:pt idx="0">
                  <c:v>I</c:v>
                </c:pt>
                <c:pt idx="1">
                  <c:v>I-II</c:v>
                </c:pt>
                <c:pt idx="2">
                  <c:v>I-III</c:v>
                </c:pt>
                <c:pt idx="3">
                  <c:v>I-IV</c:v>
                </c:pt>
                <c:pt idx="4">
                  <c:v>I-V</c:v>
                </c:pt>
                <c:pt idx="5">
                  <c:v>I-VI</c:v>
                </c:pt>
                <c:pt idx="6">
                  <c:v>I-VII</c:v>
                </c:pt>
                <c:pt idx="7">
                  <c:v>I-VIII</c:v>
                </c:pt>
                <c:pt idx="8">
                  <c:v>I-IX</c:v>
                </c:pt>
                <c:pt idx="9">
                  <c:v>I-X</c:v>
                </c:pt>
                <c:pt idx="10">
                  <c:v>I-XI</c:v>
                </c:pt>
                <c:pt idx="11">
                  <c:v>I-XII</c:v>
                </c:pt>
              </c:strCache>
            </c:strRef>
          </c:cat>
          <c:val>
            <c:numRef>
              <c:f>Arkusz3!$B$7:$M$7</c:f>
              <c:numCache>
                <c:formatCode>0.0</c:formatCode>
                <c:ptCount val="12"/>
                <c:pt idx="0">
                  <c:v>-3.5</c:v>
                </c:pt>
                <c:pt idx="1">
                  <c:v>-6.6</c:v>
                </c:pt>
                <c:pt idx="2">
                  <c:v>-9.8000000000000007</c:v>
                </c:pt>
                <c:pt idx="3">
                  <c:v>-12.7</c:v>
                </c:pt>
                <c:pt idx="4">
                  <c:v>-15.6</c:v>
                </c:pt>
                <c:pt idx="5">
                  <c:v>-19.3</c:v>
                </c:pt>
                <c:pt idx="6">
                  <c:v>-22.6</c:v>
                </c:pt>
                <c:pt idx="7">
                  <c:v>-25.8</c:v>
                </c:pt>
                <c:pt idx="8">
                  <c:v>-29.7</c:v>
                </c:pt>
                <c:pt idx="9">
                  <c:v>-34.200000000000003</c:v>
                </c:pt>
                <c:pt idx="10">
                  <c:v>-38.200000000000003</c:v>
                </c:pt>
                <c:pt idx="11">
                  <c:v>-41.9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025728992"/>
        <c:axId val="-2025724640"/>
      </c:lineChart>
      <c:catAx>
        <c:axId val="-2025728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-2025724640"/>
        <c:crosses val="autoZero"/>
        <c:auto val="1"/>
        <c:lblAlgn val="ctr"/>
        <c:lblOffset val="100"/>
        <c:noMultiLvlLbl val="0"/>
      </c:catAx>
      <c:valAx>
        <c:axId val="-20257246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750" b="0" i="0" u="none" strike="noStrike" baseline="0">
                <a:solidFill>
                  <a:srgbClr val="000000"/>
                </a:solidFill>
                <a:latin typeface="Fira Sans "/>
                <a:ea typeface="Calibri"/>
                <a:cs typeface="Calibri"/>
              </a:defRPr>
            </a:pPr>
            <a:endParaRPr lang="pl-PL"/>
          </a:p>
        </c:txPr>
        <c:crossAx val="-2025728992"/>
        <c:crosses val="autoZero"/>
        <c:crossBetween val="between"/>
        <c:majorUnit val="20"/>
        <c:minorUnit val="2"/>
      </c:valAx>
      <c:spPr>
        <a:noFill/>
        <a:ln w="25400">
          <a:noFill/>
        </a:ln>
      </c:spPr>
    </c:plotArea>
    <c:legend>
      <c:legendPos val="b"/>
      <c:overlay val="0"/>
      <c:spPr>
        <a:noFill/>
        <a:ln w="25400">
          <a:noFill/>
        </a:ln>
      </c:spPr>
      <c:txPr>
        <a:bodyPr/>
        <a:lstStyle/>
        <a:p>
          <a:pPr>
            <a:defRPr sz="750" b="0" i="0" u="none" strike="noStrike" baseline="0">
              <a:solidFill>
                <a:sysClr val="windowText" lastClr="000000"/>
              </a:solidFill>
              <a:latin typeface="Fira Sans "/>
              <a:ea typeface="Calibri"/>
              <a:cs typeface="Calibri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'Grupu krajów'!$B$1</c:f>
              <c:strCache>
                <c:ptCount val="1"/>
                <c:pt idx="0">
                  <c:v>Import wg kraju pochodzenia</c:v>
                </c:pt>
              </c:strCache>
            </c:strRef>
          </c:tx>
          <c:spPr>
            <a:ln w="28575" cap="rnd">
              <a:solidFill>
                <a:srgbClr val="CCD2E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CCD2E4"/>
              </a:solidFill>
              <a:ln w="9525">
                <a:solidFill>
                  <a:srgbClr val="CCD2E4"/>
                </a:solidFill>
              </a:ln>
              <a:effectLst/>
            </c:spPr>
          </c:marker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cat>
            <c:strRef>
              <c:f>'Grupu krajów'!$A$2:$A$4</c:f>
              <c:strCache>
                <c:ptCount val="3"/>
                <c:pt idx="0">
                  <c:v>Kraje rozwinięte </c:v>
                </c:pt>
                <c:pt idx="1">
                  <c:v>Kraje rozwijające się </c:v>
                </c:pt>
                <c:pt idx="2">
                  <c:v>Kraje Europy Środ. – Wsch. </c:v>
                </c:pt>
              </c:strCache>
            </c:strRef>
          </c:cat>
          <c:val>
            <c:numRef>
              <c:f>'Grupu krajów'!$B$2:$B$4</c:f>
              <c:numCache>
                <c:formatCode>0.0</c:formatCode>
                <c:ptCount val="3"/>
                <c:pt idx="0">
                  <c:v>65.900000000000006</c:v>
                </c:pt>
                <c:pt idx="1">
                  <c:v>25.2</c:v>
                </c:pt>
                <c:pt idx="2">
                  <c:v>8.9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'Grupu krajów'!$C$1</c:f>
              <c:strCache>
                <c:ptCount val="1"/>
                <c:pt idx="0">
                  <c:v>Import wg kraju wysyłki</c:v>
                </c:pt>
              </c:strCache>
            </c:strRef>
          </c:tx>
          <c:spPr>
            <a:ln w="28575" cap="rnd">
              <a:solidFill>
                <a:srgbClr val="00206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1D77"/>
              </a:solidFill>
              <a:ln w="9525">
                <a:solidFill>
                  <a:srgbClr val="002060"/>
                </a:solidFill>
              </a:ln>
              <a:effectLst/>
            </c:spPr>
          </c:marker>
          <c:dPt>
            <c:idx val="0"/>
            <c:bubble3D val="0"/>
          </c:dPt>
          <c:dPt>
            <c:idx val="1"/>
            <c:bubble3D val="0"/>
          </c:dPt>
          <c:dPt>
            <c:idx val="2"/>
            <c:marker>
              <c:spPr>
                <a:solidFill>
                  <a:srgbClr val="001D77"/>
                </a:solidFill>
                <a:ln w="9525">
                  <a:solidFill>
                    <a:srgbClr val="001D77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001D77"/>
                </a:solidFill>
                <a:round/>
              </a:ln>
              <a:effectLst/>
            </c:spPr>
          </c:dPt>
          <c:cat>
            <c:strRef>
              <c:f>'Grupu krajów'!$A$2:$A$4</c:f>
              <c:strCache>
                <c:ptCount val="3"/>
                <c:pt idx="0">
                  <c:v>Kraje rozwinięte </c:v>
                </c:pt>
                <c:pt idx="1">
                  <c:v>Kraje rozwijające się </c:v>
                </c:pt>
                <c:pt idx="2">
                  <c:v>Kraje Europy Środ. – Wsch. </c:v>
                </c:pt>
              </c:strCache>
            </c:strRef>
          </c:cat>
          <c:val>
            <c:numRef>
              <c:f>'Grupu krajów'!$C$2:$C$4</c:f>
              <c:numCache>
                <c:formatCode>0.0</c:formatCode>
                <c:ptCount val="3"/>
                <c:pt idx="0">
                  <c:v>74.5</c:v>
                </c:pt>
                <c:pt idx="1">
                  <c:v>16.100000000000001</c:v>
                </c:pt>
                <c:pt idx="2">
                  <c:v>9.4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025728448"/>
        <c:axId val="-2025726272"/>
      </c:lineChart>
      <c:catAx>
        <c:axId val="-2025728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750" b="0" i="0" u="none" strike="noStrike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Fira Sans Light"/>
              </a:defRPr>
            </a:pPr>
            <a:endParaRPr lang="pl-PL"/>
          </a:p>
        </c:txPr>
        <c:crossAx val="-2025726272"/>
        <c:crosses val="autoZero"/>
        <c:auto val="1"/>
        <c:lblAlgn val="ctr"/>
        <c:lblOffset val="100"/>
        <c:noMultiLvlLbl val="0"/>
      </c:catAx>
      <c:valAx>
        <c:axId val="-20257262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750" b="0" i="0" u="none" strike="noStrike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Fira Sans Light"/>
              </a:defRPr>
            </a:pPr>
            <a:endParaRPr lang="pl-PL"/>
          </a:p>
        </c:txPr>
        <c:crossAx val="-2025728448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overlay val="0"/>
      <c:spPr>
        <a:noFill/>
        <a:ln w="25400">
          <a:noFill/>
        </a:ln>
      </c:spPr>
      <c:txPr>
        <a:bodyPr/>
        <a:lstStyle/>
        <a:p>
          <a:pPr>
            <a:defRPr sz="525" b="0" i="0" u="none" strike="noStrike" baseline="0">
              <a:solidFill>
                <a:srgbClr val="000000"/>
              </a:solidFill>
              <a:latin typeface="Fira Sans Light"/>
              <a:ea typeface="Fira Sans Light"/>
              <a:cs typeface="Fira Sans Light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77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1D77"/>
      </a:accent5>
      <a:accent6>
        <a:srgbClr val="70AD47"/>
      </a:accent6>
      <a:hlink>
        <a:srgbClr val="001D77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2C7128-0AAF-4BA7-9A58-44273AE0E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1204</Words>
  <Characters>7227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</dc:creator>
  <cp:keywords/>
  <dc:description/>
  <cp:lastPrinted>2019-07-16T10:25:00Z</cp:lastPrinted>
  <dcterms:created xsi:type="dcterms:W3CDTF">2019-07-17T09:20:00Z</dcterms:created>
  <dcterms:modified xsi:type="dcterms:W3CDTF">2019-07-29T08:03:00Z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