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CB048F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21524E" w:rsidRPr="00CB048F">
        <w:rPr>
          <w:shd w:val="clear" w:color="auto" w:fill="FFFFFF"/>
        </w:rPr>
        <w:t xml:space="preserve"> </w:t>
      </w:r>
      <w:r w:rsidR="00D91CC0" w:rsidRPr="00CB048F">
        <w:rPr>
          <w:shd w:val="clear" w:color="auto" w:fill="FFFFFF"/>
        </w:rPr>
        <w:t>w</w:t>
      </w:r>
      <w:r w:rsidR="003262AA">
        <w:rPr>
          <w:shd w:val="clear" w:color="auto" w:fill="FFFFFF"/>
        </w:rPr>
        <w:t>e</w:t>
      </w:r>
      <w:r w:rsidR="00A4530B">
        <w:rPr>
          <w:shd w:val="clear" w:color="auto" w:fill="FFFFFF"/>
        </w:rPr>
        <w:t> </w:t>
      </w:r>
      <w:r w:rsidR="003262AA">
        <w:rPr>
          <w:shd w:val="clear" w:color="auto" w:fill="FFFFFF"/>
        </w:rPr>
        <w:t>wrześniu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Pr="00CB048F">
        <w:rPr>
          <w:shd w:val="clear" w:color="auto" w:fill="FFFFFF"/>
        </w:rPr>
        <w:t xml:space="preserve"> </w:t>
      </w:r>
      <w:proofErr w:type="spellStart"/>
      <w:r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003437" w:rsidP="00C768AA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107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47F1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FEE092D">
                                  <wp:extent cx="361950" cy="35242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3262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262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3262AA">
                              <w:rPr>
                                <w:sz w:val="20"/>
                              </w:rPr>
                              <w:t>wrześniem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0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qG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" fillcolor="#001d77" stroked="f">
                <v:textbox>
                  <w:txbxContent>
                    <w:p w:rsidR="00933EC1" w:rsidRPr="00B66B19" w:rsidRDefault="00847F1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FEE092D">
                            <wp:extent cx="361950" cy="35242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3262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262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3262AA">
                        <w:rPr>
                          <w:sz w:val="20"/>
                        </w:rPr>
                        <w:t>wrześniem</w:t>
                      </w:r>
                      <w:r w:rsidRPr="007E3F3F">
                        <w:rPr>
                          <w:sz w:val="20"/>
                        </w:rPr>
                        <w:t xml:space="preserve">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3262AA">
        <w:t>e</w:t>
      </w:r>
      <w:r w:rsidR="00C768AA">
        <w:t xml:space="preserve"> </w:t>
      </w:r>
      <w:r w:rsidR="003262AA">
        <w:t xml:space="preserve">wrześniu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F2B7F">
        <w:t xml:space="preserve"> </w:t>
      </w:r>
      <w:r w:rsidR="00C768AA">
        <w:t>cenach stałych</w:t>
      </w:r>
      <w:r w:rsidR="00886DCC" w:rsidRPr="00886DCC">
        <w:t xml:space="preserve"> </w:t>
      </w:r>
      <w:r w:rsidR="00492D54">
        <w:t>wzrosła</w:t>
      </w:r>
      <w:r w:rsidR="003222D9">
        <w:t xml:space="preserve">, </w:t>
      </w:r>
      <w:r w:rsidR="00492D54">
        <w:t xml:space="preserve">zarówno </w:t>
      </w:r>
      <w:r w:rsidR="002F2B7F">
        <w:t>w </w:t>
      </w:r>
      <w:r w:rsidR="003222D9">
        <w:t xml:space="preserve">ujęciu </w:t>
      </w:r>
      <w:r w:rsidR="00727085">
        <w:t>miesięcznym</w:t>
      </w:r>
      <w:r w:rsidR="00770DB7" w:rsidRPr="00BC5EC2">
        <w:t>,</w:t>
      </w:r>
      <w:r w:rsidR="00727085">
        <w:t xml:space="preserve"> </w:t>
      </w:r>
      <w:r w:rsidR="00492D54">
        <w:t xml:space="preserve">jak i </w:t>
      </w:r>
      <w:r w:rsidR="00770DB7">
        <w:t>narastająco</w:t>
      </w:r>
      <w:r w:rsidR="00492D54">
        <w:t>,</w:t>
      </w:r>
      <w:r w:rsidR="003222D9">
        <w:t xml:space="preserve"> </w:t>
      </w:r>
      <w:r w:rsidR="00EB1576">
        <w:t>w</w:t>
      </w:r>
      <w:r w:rsidR="00BF5B8C">
        <w:t xml:space="preserve"> 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B05F3D" w:rsidRDefault="00BF5B8C" w:rsidP="0032688D">
      <w:pPr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5682926</wp:posOffset>
                </wp:positionH>
                <wp:positionV relativeFrom="paragraph">
                  <wp:posOffset>103769</wp:posOffset>
                </wp:positionV>
                <wp:extent cx="180000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37CED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 </w:t>
                            </w:r>
                            <w:r w:rsidR="00E27BB9">
                              <w:t>sierpniem</w:t>
                            </w:r>
                            <w:r w:rsidR="0063223B">
                              <w:t xml:space="preserve"> b</w:t>
                            </w:r>
                            <w:r w:rsidR="00E27BB9">
                              <w:t>r</w:t>
                            </w:r>
                            <w:r w:rsidR="0063223B">
                              <w:t>.</w:t>
                            </w:r>
                            <w:r w:rsidR="006E3E70">
                              <w:t xml:space="preserve"> </w:t>
                            </w:r>
                            <w:r w:rsidR="00535D56" w:rsidRPr="00E510EB">
                              <w:t>r</w:t>
                            </w:r>
                            <w:r w:rsidR="0063223B">
                              <w:t>oku</w:t>
                            </w:r>
                            <w:r w:rsidR="00535D56" w:rsidRPr="00E510EB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 w:rsidR="00471D79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37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45pt;margin-top:8.15pt;width:141.75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" filled="f" stroked="f">
                <v:textbox>
                  <w:txbxContent>
                    <w:p w:rsidR="00535D56" w:rsidRPr="00E510EB" w:rsidRDefault="00637CED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 </w:t>
                      </w:r>
                      <w:r w:rsidR="00E27BB9">
                        <w:t>sierpniem</w:t>
                      </w:r>
                      <w:r w:rsidR="0063223B">
                        <w:t xml:space="preserve"> b</w:t>
                      </w:r>
                      <w:r w:rsidR="00E27BB9">
                        <w:t>r</w:t>
                      </w:r>
                      <w:r w:rsidR="0063223B">
                        <w:t>.</w:t>
                      </w:r>
                      <w:r w:rsidR="006E3E70">
                        <w:t xml:space="preserve"> </w:t>
                      </w:r>
                      <w:r w:rsidR="00535D56" w:rsidRPr="00E510EB">
                        <w:t>r</w:t>
                      </w:r>
                      <w:r w:rsidR="0063223B">
                        <w:t>oku</w:t>
                      </w:r>
                      <w:r w:rsidR="00535D56" w:rsidRPr="00E510EB">
                        <w:t xml:space="preserve"> </w:t>
                      </w:r>
                      <w:r w:rsidR="00770DB7">
                        <w:t xml:space="preserve">odnotowano </w:t>
                      </w:r>
                      <w:r w:rsidR="00471D79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3262AA">
        <w:rPr>
          <w:noProof/>
          <w:spacing w:val="-2"/>
          <w:szCs w:val="19"/>
          <w:lang w:eastAsia="pl-PL"/>
        </w:rPr>
        <w:t>e</w:t>
      </w:r>
      <w:r w:rsidR="0032240C">
        <w:rPr>
          <w:noProof/>
          <w:spacing w:val="-2"/>
          <w:szCs w:val="19"/>
          <w:lang w:eastAsia="pl-PL"/>
        </w:rPr>
        <w:t> </w:t>
      </w:r>
      <w:r w:rsidR="003262AA">
        <w:rPr>
          <w:noProof/>
          <w:spacing w:val="-2"/>
          <w:szCs w:val="19"/>
          <w:lang w:eastAsia="pl-PL"/>
        </w:rPr>
        <w:t>wrześniu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EA08B2" w:rsidRPr="00EB1576">
        <w:rPr>
          <w:noProof/>
          <w:spacing w:val="-2"/>
          <w:szCs w:val="19"/>
          <w:lang w:eastAsia="pl-PL"/>
        </w:rPr>
        <w:t xml:space="preserve">była </w:t>
      </w:r>
      <w:r w:rsidR="00492D54">
        <w:rPr>
          <w:noProof/>
          <w:spacing w:val="-2"/>
          <w:szCs w:val="19"/>
          <w:lang w:eastAsia="pl-PL"/>
        </w:rPr>
        <w:t>wyższa</w:t>
      </w:r>
      <w:r w:rsidR="00EA08B2" w:rsidRPr="00EB1576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</w:t>
      </w:r>
      <w:r w:rsidR="003262AA">
        <w:rPr>
          <w:noProof/>
          <w:spacing w:val="-2"/>
          <w:szCs w:val="19"/>
          <w:lang w:eastAsia="pl-PL"/>
        </w:rPr>
        <w:t>7</w:t>
      </w:r>
      <w:r w:rsidR="00663FA1">
        <w:rPr>
          <w:noProof/>
          <w:spacing w:val="-2"/>
          <w:szCs w:val="19"/>
          <w:lang w:eastAsia="pl-PL"/>
        </w:rPr>
        <w:t>,</w:t>
      </w:r>
      <w:r w:rsidR="003262AA">
        <w:rPr>
          <w:noProof/>
          <w:spacing w:val="-2"/>
          <w:szCs w:val="19"/>
          <w:lang w:eastAsia="pl-PL"/>
        </w:rPr>
        <w:t>6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3262AA">
        <w:rPr>
          <w:noProof/>
          <w:spacing w:val="-2"/>
          <w:szCs w:val="19"/>
          <w:lang w:eastAsia="pl-PL"/>
        </w:rPr>
        <w:t>wyższa</w:t>
      </w:r>
      <w:r w:rsidR="003222D9">
        <w:rPr>
          <w:noProof/>
          <w:spacing w:val="-2"/>
          <w:szCs w:val="19"/>
          <w:lang w:eastAsia="pl-PL"/>
        </w:rPr>
        <w:t xml:space="preserve"> </w:t>
      </w:r>
      <w:r w:rsidR="00120FD2">
        <w:rPr>
          <w:noProof/>
          <w:spacing w:val="-2"/>
          <w:szCs w:val="19"/>
          <w:lang w:eastAsia="pl-PL"/>
        </w:rPr>
        <w:t>w</w:t>
      </w:r>
      <w:r w:rsidR="002F2B7F">
        <w:rPr>
          <w:noProof/>
          <w:spacing w:val="-2"/>
          <w:szCs w:val="19"/>
          <w:lang w:eastAsia="pl-PL"/>
        </w:rPr>
        <w:t xml:space="preserve"> </w:t>
      </w:r>
      <w:r w:rsidR="00120FD2">
        <w:rPr>
          <w:noProof/>
          <w:spacing w:val="-2"/>
          <w:szCs w:val="19"/>
          <w:lang w:eastAsia="pl-PL"/>
        </w:rPr>
        <w:t xml:space="preserve">porównaniu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3262AA">
        <w:rPr>
          <w:noProof/>
          <w:spacing w:val="-2"/>
          <w:szCs w:val="19"/>
          <w:lang w:eastAsia="pl-PL"/>
        </w:rPr>
        <w:t>sierpniem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3262AA">
        <w:rPr>
          <w:noProof/>
          <w:spacing w:val="-2"/>
          <w:szCs w:val="19"/>
          <w:lang w:eastAsia="pl-PL"/>
        </w:rPr>
        <w:t>12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3262AA">
        <w:rPr>
          <w:noProof/>
          <w:spacing w:val="-2"/>
          <w:szCs w:val="19"/>
          <w:lang w:eastAsia="pl-PL"/>
        </w:rPr>
        <w:t>7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 xml:space="preserve">(przed rokiem </w:t>
      </w:r>
      <w:r w:rsidR="00492D54">
        <w:rPr>
          <w:noProof/>
          <w:spacing w:val="-2"/>
          <w:szCs w:val="19"/>
          <w:lang w:eastAsia="pl-PL"/>
        </w:rPr>
        <w:t xml:space="preserve">odpowiednio </w:t>
      </w:r>
      <w:r w:rsidRPr="00EB1576">
        <w:rPr>
          <w:noProof/>
          <w:spacing w:val="-2"/>
          <w:szCs w:val="19"/>
          <w:lang w:eastAsia="pl-PL"/>
        </w:rPr>
        <w:t>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6E596E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o </w:t>
      </w:r>
      <w:r w:rsidR="007D2C13">
        <w:rPr>
          <w:noProof/>
          <w:spacing w:val="-2"/>
          <w:szCs w:val="19"/>
          <w:lang w:eastAsia="pl-PL"/>
        </w:rPr>
        <w:t>16</w:t>
      </w:r>
      <w:r w:rsidRPr="00EB1576">
        <w:rPr>
          <w:noProof/>
          <w:spacing w:val="-2"/>
          <w:szCs w:val="19"/>
          <w:lang w:eastAsia="pl-PL"/>
        </w:rPr>
        <w:t>,</w:t>
      </w:r>
      <w:r w:rsidR="007D2C13">
        <w:rPr>
          <w:noProof/>
          <w:spacing w:val="-2"/>
          <w:szCs w:val="19"/>
          <w:lang w:eastAsia="pl-PL"/>
        </w:rPr>
        <w:t>5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="002F2B7F">
        <w:rPr>
          <w:noProof/>
          <w:spacing w:val="-2"/>
          <w:szCs w:val="19"/>
          <w:lang w:eastAsia="pl-PL"/>
        </w:rPr>
        <w:t> </w:t>
      </w:r>
      <w:r w:rsidR="007D2C13">
        <w:rPr>
          <w:noProof/>
          <w:spacing w:val="-2"/>
          <w:szCs w:val="19"/>
          <w:lang w:eastAsia="pl-PL"/>
        </w:rPr>
        <w:t>7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7D2C13">
        <w:rPr>
          <w:noProof/>
          <w:spacing w:val="-2"/>
          <w:szCs w:val="19"/>
          <w:lang w:eastAsia="pl-PL"/>
        </w:rPr>
        <w:t>5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2F2B7F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7D2C13">
        <w:rPr>
          <w:noProof/>
          <w:spacing w:val="-2"/>
          <w:szCs w:val="19"/>
          <w:lang w:eastAsia="pl-PL"/>
        </w:rPr>
        <w:t>wrzesień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FA14AF">
        <w:rPr>
          <w:noProof/>
          <w:spacing w:val="-2"/>
          <w:szCs w:val="19"/>
          <w:lang w:eastAsia="pl-PL"/>
        </w:rPr>
        <w:t>5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FA14AF">
        <w:rPr>
          <w:noProof/>
          <w:spacing w:val="-2"/>
          <w:szCs w:val="19"/>
          <w:lang w:eastAsia="pl-PL"/>
        </w:rPr>
        <w:t>3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</w:t>
      </w:r>
      <w:r w:rsidR="009F1A2F">
        <w:rPr>
          <w:noProof/>
          <w:spacing w:val="-2"/>
          <w:szCs w:val="19"/>
          <w:lang w:eastAsia="pl-PL"/>
        </w:rPr>
        <w:t> </w:t>
      </w:r>
      <w:r w:rsidR="00C03CAC">
        <w:rPr>
          <w:noProof/>
          <w:spacing w:val="-2"/>
          <w:szCs w:val="19"/>
          <w:lang w:eastAsia="pl-PL"/>
        </w:rPr>
        <w:t>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 xml:space="preserve">wzrost o </w:t>
      </w:r>
      <w:r w:rsidR="00FA14AF">
        <w:rPr>
          <w:noProof/>
          <w:spacing w:val="-2"/>
          <w:szCs w:val="19"/>
          <w:lang w:eastAsia="pl-PL"/>
        </w:rPr>
        <w:t>19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FA14AF">
        <w:rPr>
          <w:noProof/>
          <w:spacing w:val="-2"/>
          <w:szCs w:val="19"/>
          <w:lang w:eastAsia="pl-PL"/>
        </w:rPr>
        <w:t>8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EE5CDC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E5CD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IX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670703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EE5CDC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EE5CDC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EE5CD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IX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992CC3" w:rsidP="00992CC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0704DE" w:rsidP="00992CC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992CC3">
              <w:rPr>
                <w:b/>
                <w:sz w:val="16"/>
                <w:szCs w:val="18"/>
                <w:shd w:val="clear" w:color="auto" w:fill="FFFFFF"/>
              </w:rPr>
              <w:t>7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992CC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992CC3">
              <w:rPr>
                <w:b/>
                <w:sz w:val="16"/>
                <w:szCs w:val="18"/>
                <w:shd w:val="clear" w:color="auto" w:fill="FFFFFF"/>
              </w:rPr>
              <w:t>5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92CC3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:rsidR="0032688D" w:rsidRPr="00263373" w:rsidRDefault="006E3E70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992CC3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92CC3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92CC3">
              <w:rPr>
                <w:sz w:val="16"/>
                <w:szCs w:val="18"/>
                <w:shd w:val="clear" w:color="auto" w:fill="FFFFFF"/>
              </w:rPr>
              <w:t>15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92CC3">
              <w:rPr>
                <w:sz w:val="16"/>
                <w:szCs w:val="18"/>
                <w:shd w:val="clear" w:color="auto" w:fill="FFFFFF"/>
              </w:rPr>
              <w:t>08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992CC3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:rsidR="0032688D" w:rsidRPr="00263373" w:rsidRDefault="00992CC3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992CC3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8C48A7">
        <w:rPr>
          <w:kern w:val="16"/>
          <w:sz w:val="16"/>
          <w:szCs w:val="16"/>
          <w:shd w:val="clear" w:color="auto" w:fill="FFFFFF"/>
        </w:rPr>
        <w:t>sierpniu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>w</w:t>
      </w:r>
      <w:r w:rsidR="00EE5CDC">
        <w:rPr>
          <w:kern w:val="16"/>
          <w:sz w:val="16"/>
          <w:szCs w:val="16"/>
          <w:shd w:val="clear" w:color="auto" w:fill="FFFFFF"/>
        </w:rPr>
        <w:t>e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</w:t>
      </w:r>
      <w:r w:rsidR="00EE5CDC">
        <w:rPr>
          <w:kern w:val="16"/>
          <w:sz w:val="16"/>
          <w:szCs w:val="16"/>
          <w:shd w:val="clear" w:color="auto" w:fill="FFFFFF"/>
        </w:rPr>
        <w:t>wrześniu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84723" w:rsidRPr="004E5AD4" w:rsidRDefault="00537C8F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5668893</wp:posOffset>
                </wp:positionH>
                <wp:positionV relativeFrom="paragraph">
                  <wp:posOffset>-128270</wp:posOffset>
                </wp:positionV>
                <wp:extent cx="1800000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865380">
                              <w:t>wrześniem</w:t>
                            </w:r>
                            <w:r w:rsidRPr="00637CED">
                              <w:t xml:space="preserve"> </w:t>
                            </w:r>
                            <w:r w:rsidR="002F2B7F">
                              <w:t>ub. </w:t>
                            </w:r>
                            <w:r>
                              <w:t xml:space="preserve">r. </w:t>
                            </w:r>
                            <w:r w:rsidR="003E651C">
                              <w:t xml:space="preserve">największy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3E651C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była budowa </w:t>
                            </w:r>
                            <w:r w:rsidR="00B05F3D" w:rsidRPr="0071387E">
                              <w:rPr>
                                <w:noProof/>
                                <w:spacing w:val="-2"/>
                                <w:szCs w:val="19"/>
                              </w:rPr>
                              <w:t>obiektów inżynierii lądowej i</w:t>
                            </w:r>
                            <w:r w:rsidR="009D1210">
                              <w:rPr>
                                <w:noProof/>
                                <w:spacing w:val="-2"/>
                                <w:szCs w:val="19"/>
                              </w:rPr>
                              <w:t xml:space="preserve"> </w:t>
                            </w:r>
                            <w:r w:rsidR="00B05F3D" w:rsidRPr="0071387E">
                              <w:rPr>
                                <w:noProof/>
                                <w:spacing w:val="-2"/>
                                <w:szCs w:val="19"/>
                              </w:rPr>
                              <w:t>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E2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35pt;margin-top:-10.1pt;width:141.7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865380">
                        <w:t>wrześniem</w:t>
                      </w:r>
                      <w:r w:rsidRPr="00637CED">
                        <w:t xml:space="preserve"> </w:t>
                      </w:r>
                      <w:r w:rsidR="002F2B7F">
                        <w:t>ub. </w:t>
                      </w:r>
                      <w:r>
                        <w:t xml:space="preserve">r. </w:t>
                      </w:r>
                      <w:r w:rsidR="003E651C">
                        <w:t xml:space="preserve">największy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3E651C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była budowa </w:t>
                      </w:r>
                      <w:r w:rsidR="00B05F3D" w:rsidRPr="0071387E">
                        <w:rPr>
                          <w:noProof/>
                          <w:spacing w:val="-2"/>
                          <w:szCs w:val="19"/>
                        </w:rPr>
                        <w:t>obiektów inżynierii lądowej i</w:t>
                      </w:r>
                      <w:r w:rsidR="009D1210">
                        <w:rPr>
                          <w:noProof/>
                          <w:spacing w:val="-2"/>
                          <w:szCs w:val="19"/>
                        </w:rPr>
                        <w:t xml:space="preserve"> </w:t>
                      </w:r>
                      <w:r w:rsidR="00B05F3D" w:rsidRPr="0071387E">
                        <w:rPr>
                          <w:noProof/>
                          <w:spacing w:val="-2"/>
                          <w:szCs w:val="19"/>
                        </w:rPr>
                        <w:t>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865380">
        <w:rPr>
          <w:noProof/>
          <w:spacing w:val="-2"/>
          <w:szCs w:val="19"/>
          <w:lang w:eastAsia="pl-PL"/>
        </w:rPr>
        <w:t>września</w:t>
      </w:r>
      <w:r w:rsidR="00C768AA" w:rsidRPr="004E5AD4">
        <w:rPr>
          <w:noProof/>
          <w:spacing w:val="-2"/>
          <w:szCs w:val="19"/>
          <w:lang w:eastAsia="pl-PL"/>
        </w:rPr>
        <w:t xml:space="preserve"> ub. roku </w:t>
      </w:r>
      <w:r w:rsidR="000704DE">
        <w:rPr>
          <w:noProof/>
          <w:spacing w:val="-2"/>
          <w:szCs w:val="19"/>
          <w:lang w:eastAsia="pl-PL"/>
        </w:rPr>
        <w:t>wzrost</w:t>
      </w:r>
      <w:r w:rsidR="00667613">
        <w:rPr>
          <w:noProof/>
          <w:spacing w:val="-2"/>
          <w:szCs w:val="19"/>
          <w:lang w:eastAsia="pl-PL"/>
        </w:rPr>
        <w:t xml:space="preserve">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>produkcji bu</w:t>
      </w:r>
      <w:r w:rsidR="000D1CE8">
        <w:rPr>
          <w:noProof/>
          <w:spacing w:val="-2"/>
          <w:szCs w:val="19"/>
          <w:lang w:eastAsia="pl-PL"/>
        </w:rPr>
        <w:t xml:space="preserve">dowlano-montażowej odnotowano w </w:t>
      </w:r>
      <w:r w:rsidR="00C768AA" w:rsidRPr="004E5AD4">
        <w:rPr>
          <w:noProof/>
          <w:spacing w:val="-2"/>
          <w:szCs w:val="19"/>
          <w:lang w:eastAsia="pl-PL"/>
        </w:rPr>
        <w:t>jednostkach</w:t>
      </w:r>
      <w:r w:rsidR="00C84723">
        <w:rPr>
          <w:noProof/>
          <w:spacing w:val="-2"/>
          <w:szCs w:val="19"/>
          <w:lang w:eastAsia="pl-PL"/>
        </w:rPr>
        <w:t xml:space="preserve">, </w:t>
      </w:r>
      <w:r w:rsidR="00C84723" w:rsidRPr="004E5AD4">
        <w:rPr>
          <w:noProof/>
          <w:spacing w:val="-2"/>
          <w:szCs w:val="19"/>
          <w:lang w:eastAsia="pl-PL"/>
        </w:rPr>
        <w:t xml:space="preserve">których podstawowym rodzajem działalności </w:t>
      </w:r>
      <w:r w:rsidR="00C84723">
        <w:rPr>
          <w:noProof/>
          <w:spacing w:val="-2"/>
          <w:szCs w:val="19"/>
          <w:lang w:eastAsia="pl-PL"/>
        </w:rPr>
        <w:t>była</w:t>
      </w:r>
      <w:r w:rsidR="00C84723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B131D2">
        <w:rPr>
          <w:noProof/>
          <w:spacing w:val="-2"/>
          <w:szCs w:val="19"/>
          <w:lang w:eastAsia="pl-PL"/>
        </w:rPr>
        <w:t>budowa obiektów inżynierii lądowej i wodnej (</w:t>
      </w:r>
      <w:r w:rsidR="00865380">
        <w:rPr>
          <w:noProof/>
          <w:spacing w:val="-2"/>
          <w:szCs w:val="19"/>
          <w:lang w:eastAsia="pl-PL"/>
        </w:rPr>
        <w:t>15</w:t>
      </w:r>
      <w:r w:rsidR="00B131D2">
        <w:rPr>
          <w:noProof/>
          <w:spacing w:val="-2"/>
          <w:szCs w:val="19"/>
          <w:lang w:eastAsia="pl-PL"/>
        </w:rPr>
        <w:t>,</w:t>
      </w:r>
      <w:r w:rsidR="00865380">
        <w:rPr>
          <w:noProof/>
          <w:spacing w:val="-2"/>
          <w:szCs w:val="19"/>
          <w:lang w:eastAsia="pl-PL"/>
        </w:rPr>
        <w:t>8</w:t>
      </w:r>
      <w:r w:rsidR="00B131D2">
        <w:rPr>
          <w:noProof/>
          <w:spacing w:val="-2"/>
          <w:szCs w:val="19"/>
          <w:lang w:eastAsia="pl-PL"/>
        </w:rPr>
        <w:t xml:space="preserve">%) oraz </w:t>
      </w:r>
      <w:r w:rsidR="00C84723" w:rsidRPr="004E5AD4">
        <w:rPr>
          <w:noProof/>
          <w:spacing w:val="-2"/>
          <w:szCs w:val="19"/>
          <w:lang w:eastAsia="pl-PL"/>
        </w:rPr>
        <w:t xml:space="preserve">budowa </w:t>
      </w:r>
      <w:r w:rsidR="00C84723">
        <w:rPr>
          <w:noProof/>
          <w:spacing w:val="-2"/>
          <w:szCs w:val="19"/>
          <w:lang w:eastAsia="pl-PL"/>
        </w:rPr>
        <w:t xml:space="preserve">budynków </w:t>
      </w:r>
      <w:r w:rsidR="00C84723" w:rsidRPr="004E5AD4">
        <w:rPr>
          <w:noProof/>
          <w:spacing w:val="-2"/>
          <w:szCs w:val="19"/>
          <w:lang w:eastAsia="pl-PL"/>
        </w:rPr>
        <w:t>(</w:t>
      </w:r>
      <w:r w:rsidR="00C84723">
        <w:rPr>
          <w:noProof/>
          <w:spacing w:val="-2"/>
          <w:szCs w:val="19"/>
          <w:lang w:eastAsia="pl-PL"/>
        </w:rPr>
        <w:t>5,</w:t>
      </w:r>
      <w:r w:rsidR="00865380">
        <w:rPr>
          <w:noProof/>
          <w:spacing w:val="-2"/>
          <w:szCs w:val="19"/>
          <w:lang w:eastAsia="pl-PL"/>
        </w:rPr>
        <w:t>3</w:t>
      </w:r>
      <w:r w:rsidR="00C84723" w:rsidRPr="004E5AD4">
        <w:rPr>
          <w:noProof/>
          <w:spacing w:val="-2"/>
          <w:szCs w:val="19"/>
          <w:lang w:eastAsia="pl-PL"/>
        </w:rPr>
        <w:t>%)</w:t>
      </w:r>
      <w:r w:rsidR="00B30960">
        <w:rPr>
          <w:noProof/>
          <w:spacing w:val="-2"/>
          <w:szCs w:val="19"/>
          <w:lang w:eastAsia="pl-PL"/>
        </w:rPr>
        <w:t xml:space="preserve">, </w:t>
      </w:r>
      <w:r w:rsidR="00C84723">
        <w:rPr>
          <w:noProof/>
          <w:spacing w:val="-2"/>
          <w:szCs w:val="19"/>
          <w:lang w:eastAsia="pl-PL"/>
        </w:rPr>
        <w:t xml:space="preserve">natomiast </w:t>
      </w:r>
      <w:r w:rsidR="001D05BB">
        <w:rPr>
          <w:noProof/>
          <w:spacing w:val="-2"/>
          <w:szCs w:val="19"/>
          <w:lang w:eastAsia="pl-PL"/>
        </w:rPr>
        <w:t xml:space="preserve">zmniejszenie </w:t>
      </w:r>
      <w:bookmarkStart w:id="0" w:name="_GoBack"/>
      <w:bookmarkEnd w:id="0"/>
      <w:r w:rsidR="0087754A">
        <w:rPr>
          <w:noProof/>
          <w:spacing w:val="-2"/>
          <w:szCs w:val="19"/>
          <w:lang w:eastAsia="pl-PL"/>
        </w:rPr>
        <w:t>w </w:t>
      </w:r>
      <w:r w:rsidR="00C84723">
        <w:rPr>
          <w:noProof/>
          <w:spacing w:val="-2"/>
          <w:szCs w:val="19"/>
          <w:lang w:eastAsia="pl-PL"/>
        </w:rPr>
        <w:t xml:space="preserve">jednostkach wykonujących głównie </w:t>
      </w:r>
      <w:r w:rsidR="00C84723" w:rsidRPr="004E5AD4">
        <w:rPr>
          <w:noProof/>
          <w:spacing w:val="-2"/>
          <w:szCs w:val="19"/>
          <w:lang w:eastAsia="pl-PL"/>
        </w:rPr>
        <w:t>roboty budowlane specjalistyczne (</w:t>
      </w:r>
      <w:r w:rsidR="00865380">
        <w:rPr>
          <w:noProof/>
          <w:spacing w:val="-2"/>
          <w:szCs w:val="19"/>
          <w:lang w:eastAsia="pl-PL"/>
        </w:rPr>
        <w:t>4</w:t>
      </w:r>
      <w:r w:rsidR="00C84723" w:rsidRPr="004E5AD4">
        <w:rPr>
          <w:noProof/>
          <w:spacing w:val="-2"/>
          <w:szCs w:val="19"/>
          <w:lang w:eastAsia="pl-PL"/>
        </w:rPr>
        <w:t>,</w:t>
      </w:r>
      <w:r w:rsidR="00865380">
        <w:rPr>
          <w:noProof/>
          <w:spacing w:val="-2"/>
          <w:szCs w:val="19"/>
          <w:lang w:eastAsia="pl-PL"/>
        </w:rPr>
        <w:t>5</w:t>
      </w:r>
      <w:r w:rsidR="00C84723" w:rsidRPr="004E5AD4">
        <w:rPr>
          <w:noProof/>
          <w:spacing w:val="-2"/>
          <w:szCs w:val="19"/>
          <w:lang w:eastAsia="pl-PL"/>
        </w:rPr>
        <w:t>%)</w:t>
      </w:r>
      <w:r w:rsidR="00C84723">
        <w:rPr>
          <w:noProof/>
          <w:spacing w:val="-2"/>
          <w:szCs w:val="19"/>
          <w:lang w:eastAsia="pl-PL"/>
        </w:rPr>
        <w:t>.</w:t>
      </w:r>
      <w:r w:rsidR="00C84723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865380">
        <w:rPr>
          <w:noProof/>
          <w:spacing w:val="-2"/>
          <w:szCs w:val="19"/>
          <w:lang w:eastAsia="pl-PL"/>
        </w:rPr>
        <w:t>sierpniem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865380">
        <w:rPr>
          <w:noProof/>
          <w:spacing w:val="-2"/>
          <w:szCs w:val="19"/>
          <w:lang w:eastAsia="pl-PL"/>
        </w:rPr>
        <w:t>wzrosty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</w:t>
      </w:r>
      <w:r w:rsidR="006C2663">
        <w:rPr>
          <w:noProof/>
          <w:spacing w:val="-2"/>
          <w:szCs w:val="19"/>
          <w:lang w:eastAsia="pl-PL"/>
        </w:rPr>
        <w:t xml:space="preserve">robót zaobserwowano we </w:t>
      </w:r>
      <w:r w:rsidR="006C2663" w:rsidRPr="005644F6">
        <w:rPr>
          <w:noProof/>
          <w:spacing w:val="-2"/>
          <w:szCs w:val="19"/>
          <w:lang w:eastAsia="pl-PL"/>
        </w:rPr>
        <w:t>wszystkich działach budownictwa</w:t>
      </w:r>
      <w:r w:rsidR="006C2663">
        <w:rPr>
          <w:noProof/>
          <w:spacing w:val="-2"/>
          <w:szCs w:val="19"/>
          <w:lang w:eastAsia="pl-PL"/>
        </w:rPr>
        <w:t xml:space="preserve">, przy czym </w:t>
      </w:r>
      <w:r w:rsidR="00F33C1F">
        <w:rPr>
          <w:noProof/>
          <w:spacing w:val="-2"/>
          <w:szCs w:val="19"/>
          <w:lang w:eastAsia="pl-PL"/>
        </w:rPr>
        <w:t>w</w:t>
      </w:r>
      <w:r w:rsidR="00150302">
        <w:rPr>
          <w:noProof/>
          <w:spacing w:val="-2"/>
          <w:szCs w:val="19"/>
          <w:lang w:eastAsia="pl-PL"/>
        </w:rPr>
        <w:t xml:space="preserve"> </w:t>
      </w:r>
      <w:r w:rsidR="002B773C" w:rsidRPr="005644F6">
        <w:rPr>
          <w:noProof/>
          <w:spacing w:val="-2"/>
          <w:szCs w:val="19"/>
          <w:lang w:eastAsia="pl-PL"/>
        </w:rPr>
        <w:t>jednostkach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865380">
        <w:rPr>
          <w:noProof/>
          <w:spacing w:val="-2"/>
          <w:szCs w:val="19"/>
          <w:lang w:eastAsia="pl-PL"/>
        </w:rPr>
        <w:t xml:space="preserve">zajmujących się budową </w:t>
      </w:r>
      <w:r w:rsidR="001D05BB">
        <w:rPr>
          <w:noProof/>
          <w:spacing w:val="-2"/>
          <w:szCs w:val="19"/>
          <w:lang w:eastAsia="pl-PL"/>
        </w:rPr>
        <w:t xml:space="preserve">budynków </w:t>
      </w:r>
      <w:r w:rsidR="00955243">
        <w:rPr>
          <w:noProof/>
          <w:spacing w:val="-2"/>
          <w:szCs w:val="19"/>
          <w:lang w:eastAsia="pl-PL"/>
        </w:rPr>
        <w:t xml:space="preserve">o 17,1%, </w:t>
      </w:r>
      <w:r w:rsidR="00865380" w:rsidRPr="005644F6">
        <w:rPr>
          <w:noProof/>
          <w:spacing w:val="-2"/>
          <w:szCs w:val="19"/>
          <w:lang w:eastAsia="pl-PL"/>
        </w:rPr>
        <w:t xml:space="preserve">obiektów inżynierii lądowej i wodnej </w:t>
      </w:r>
      <w:r w:rsidR="00865380">
        <w:rPr>
          <w:noProof/>
          <w:spacing w:val="-2"/>
          <w:szCs w:val="19"/>
          <w:lang w:eastAsia="pl-PL"/>
        </w:rPr>
        <w:t xml:space="preserve">o </w:t>
      </w:r>
      <w:r w:rsidR="00955243">
        <w:rPr>
          <w:noProof/>
          <w:spacing w:val="-2"/>
          <w:szCs w:val="19"/>
          <w:lang w:eastAsia="pl-PL"/>
        </w:rPr>
        <w:t>11,3</w:t>
      </w:r>
      <w:r w:rsidR="001D05BB">
        <w:rPr>
          <w:noProof/>
          <w:spacing w:val="-2"/>
          <w:szCs w:val="19"/>
          <w:lang w:eastAsia="pl-PL"/>
        </w:rPr>
        <w:t>%</w:t>
      </w:r>
      <w:r w:rsidR="00865380">
        <w:rPr>
          <w:noProof/>
          <w:spacing w:val="-2"/>
          <w:szCs w:val="19"/>
          <w:lang w:eastAsia="pl-PL"/>
        </w:rPr>
        <w:t xml:space="preserve"> </w:t>
      </w:r>
      <w:r w:rsidR="001D05BB">
        <w:rPr>
          <w:noProof/>
          <w:spacing w:val="-2"/>
          <w:szCs w:val="19"/>
          <w:lang w:eastAsia="pl-PL"/>
        </w:rPr>
        <w:t>oraz</w:t>
      </w:r>
      <w:r w:rsidR="00955243">
        <w:rPr>
          <w:noProof/>
          <w:spacing w:val="-2"/>
          <w:szCs w:val="19"/>
          <w:lang w:eastAsia="pl-PL"/>
        </w:rPr>
        <w:t xml:space="preserve"> </w:t>
      </w:r>
      <w:r w:rsidR="00D841EF">
        <w:rPr>
          <w:noProof/>
          <w:spacing w:val="-2"/>
          <w:szCs w:val="19"/>
          <w:lang w:eastAsia="pl-PL"/>
        </w:rPr>
        <w:t>realizujących roboty</w:t>
      </w:r>
      <w:r w:rsidR="00955243">
        <w:rPr>
          <w:noProof/>
          <w:spacing w:val="-2"/>
          <w:szCs w:val="19"/>
          <w:lang w:eastAsia="pl-PL"/>
        </w:rPr>
        <w:t xml:space="preserve"> budowlane </w:t>
      </w:r>
      <w:r w:rsidR="00D841EF">
        <w:rPr>
          <w:noProof/>
          <w:spacing w:val="-2"/>
          <w:szCs w:val="19"/>
          <w:lang w:eastAsia="pl-PL"/>
        </w:rPr>
        <w:t xml:space="preserve">specjalistyczne </w:t>
      </w:r>
      <w:r w:rsidR="00D841EF" w:rsidRPr="005644F6">
        <w:rPr>
          <w:noProof/>
          <w:spacing w:val="-2"/>
          <w:szCs w:val="19"/>
          <w:lang w:eastAsia="pl-PL"/>
        </w:rPr>
        <w:t>o</w:t>
      </w:r>
      <w:r w:rsidR="00D841EF">
        <w:rPr>
          <w:noProof/>
          <w:spacing w:val="-2"/>
          <w:szCs w:val="19"/>
          <w:lang w:eastAsia="pl-PL"/>
        </w:rPr>
        <w:t xml:space="preserve"> </w:t>
      </w:r>
      <w:r w:rsidR="00865380">
        <w:rPr>
          <w:noProof/>
          <w:spacing w:val="-2"/>
          <w:szCs w:val="19"/>
          <w:lang w:eastAsia="pl-PL"/>
        </w:rPr>
        <w:t>1</w:t>
      </w:r>
      <w:r w:rsidR="00955243">
        <w:rPr>
          <w:noProof/>
          <w:spacing w:val="-2"/>
          <w:szCs w:val="19"/>
          <w:lang w:eastAsia="pl-PL"/>
        </w:rPr>
        <w:t>0</w:t>
      </w:r>
      <w:r w:rsidR="00D841EF" w:rsidRPr="005644F6">
        <w:rPr>
          <w:noProof/>
          <w:spacing w:val="-2"/>
          <w:szCs w:val="19"/>
          <w:lang w:eastAsia="pl-PL"/>
        </w:rPr>
        <w:t>,</w:t>
      </w:r>
      <w:r w:rsidR="00955243">
        <w:rPr>
          <w:noProof/>
          <w:spacing w:val="-2"/>
          <w:szCs w:val="19"/>
          <w:lang w:eastAsia="pl-PL"/>
        </w:rPr>
        <w:t>0</w:t>
      </w:r>
      <w:r w:rsidR="00D841EF" w:rsidRPr="005644F6">
        <w:rPr>
          <w:noProof/>
          <w:spacing w:val="-2"/>
          <w:szCs w:val="19"/>
          <w:lang w:eastAsia="pl-PL"/>
        </w:rPr>
        <w:t>%</w:t>
      </w:r>
      <w:r w:rsidR="00865380">
        <w:rPr>
          <w:noProof/>
          <w:spacing w:val="-2"/>
          <w:szCs w:val="19"/>
          <w:lang w:eastAsia="pl-PL"/>
        </w:rPr>
        <w:t xml:space="preserve">. 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741770">
        <w:rPr>
          <w:noProof/>
          <w:spacing w:val="-2"/>
          <w:szCs w:val="19"/>
          <w:lang w:eastAsia="pl-PL"/>
        </w:rPr>
        <w:t>wrzesień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955243">
        <w:rPr>
          <w:noProof/>
          <w:spacing w:val="-2"/>
          <w:szCs w:val="19"/>
          <w:lang w:eastAsia="pl-PL"/>
        </w:rPr>
        <w:t>8</w:t>
      </w:r>
      <w:r w:rsidR="00CE3526">
        <w:rPr>
          <w:noProof/>
          <w:spacing w:val="-2"/>
          <w:szCs w:val="19"/>
          <w:lang w:eastAsia="pl-PL"/>
        </w:rPr>
        <w:t>,</w:t>
      </w:r>
      <w:r w:rsidR="00955243">
        <w:rPr>
          <w:noProof/>
          <w:spacing w:val="-2"/>
          <w:szCs w:val="19"/>
          <w:lang w:eastAsia="pl-PL"/>
        </w:rPr>
        <w:t>7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>przedsiębiorstwach zajmujących się budową obiekt</w:t>
      </w:r>
      <w:r w:rsidR="00A07DCB">
        <w:rPr>
          <w:noProof/>
          <w:spacing w:val="-2"/>
          <w:szCs w:val="19"/>
          <w:lang w:eastAsia="pl-PL"/>
        </w:rPr>
        <w:t>ów inżynierii lądowej i wodnej</w:t>
      </w:r>
      <w:r w:rsidR="00D9591C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>, których podstawowym rodzajem dzia</w:t>
      </w:r>
      <w:r w:rsidR="007B7CA5">
        <w:rPr>
          <w:noProof/>
          <w:spacing w:val="-2"/>
          <w:szCs w:val="19"/>
          <w:lang w:eastAsia="pl-PL"/>
        </w:rPr>
        <w:t>ł</w:t>
      </w:r>
      <w:r w:rsidR="00367C57">
        <w:rPr>
          <w:noProof/>
          <w:spacing w:val="-2"/>
          <w:szCs w:val="19"/>
          <w:lang w:eastAsia="pl-PL"/>
        </w:rPr>
        <w:t>alności była</w:t>
      </w:r>
      <w:r w:rsidR="00D9591C">
        <w:rPr>
          <w:noProof/>
          <w:spacing w:val="-2"/>
          <w:szCs w:val="19"/>
          <w:lang w:eastAsia="pl-PL"/>
        </w:rPr>
        <w:t xml:space="preserve"> </w:t>
      </w:r>
      <w:r w:rsidR="00367C57">
        <w:rPr>
          <w:noProof/>
          <w:spacing w:val="-2"/>
          <w:szCs w:val="19"/>
          <w:lang w:eastAsia="pl-PL"/>
        </w:rPr>
        <w:t xml:space="preserve">budowa budynków (4,1%) oraz </w:t>
      </w:r>
      <w:r w:rsidR="00D9591C">
        <w:rPr>
          <w:noProof/>
          <w:spacing w:val="-2"/>
          <w:szCs w:val="19"/>
          <w:lang w:eastAsia="pl-PL"/>
        </w:rPr>
        <w:t>wykonywanie robót specjalistycznych (</w:t>
      </w:r>
      <w:r w:rsidR="00367C57">
        <w:rPr>
          <w:noProof/>
          <w:spacing w:val="-2"/>
          <w:szCs w:val="19"/>
          <w:lang w:eastAsia="pl-PL"/>
        </w:rPr>
        <w:t>1</w:t>
      </w:r>
      <w:r w:rsidR="00D9591C">
        <w:rPr>
          <w:noProof/>
          <w:spacing w:val="-2"/>
          <w:szCs w:val="19"/>
          <w:lang w:eastAsia="pl-PL"/>
        </w:rPr>
        <w:t>,</w:t>
      </w:r>
      <w:r w:rsidR="00367C57">
        <w:rPr>
          <w:noProof/>
          <w:spacing w:val="-2"/>
          <w:szCs w:val="19"/>
          <w:lang w:eastAsia="pl-PL"/>
        </w:rPr>
        <w:t>7%)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5678649</wp:posOffset>
                </wp:positionH>
                <wp:positionV relativeFrom="paragraph">
                  <wp:posOffset>508383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A07DCB">
                              <w:t xml:space="preserve">okresie </w:t>
                            </w:r>
                            <w:r w:rsidR="00A73B46">
                              <w:t>trzech</w:t>
                            </w:r>
                            <w:r w:rsidR="00A07DCB">
                              <w:t xml:space="preserve"> </w:t>
                            </w:r>
                            <w:r w:rsidR="00A73B46">
                              <w:t>kwartałów</w:t>
                            </w:r>
                            <w:r>
                              <w:t xml:space="preserve">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A73B46">
                              <w:t>5</w:t>
                            </w:r>
                            <w:r w:rsidR="003444D8" w:rsidRPr="00E510EB">
                              <w:t>,</w:t>
                            </w:r>
                            <w:r w:rsidR="00A73B46">
                              <w:t>1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29" type="#_x0000_t202" style="position:absolute;margin-left:447.15pt;margin-top:40.05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A07DCB">
                        <w:t xml:space="preserve">okresie </w:t>
                      </w:r>
                      <w:r w:rsidR="00A73B46">
                        <w:t>trzech</w:t>
                      </w:r>
                      <w:r w:rsidR="00A07DCB">
                        <w:t xml:space="preserve"> </w:t>
                      </w:r>
                      <w:r w:rsidR="00A73B46">
                        <w:t>kwartałów</w:t>
                      </w:r>
                      <w:r>
                        <w:t xml:space="preserve">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A73B46">
                        <w:t>5</w:t>
                      </w:r>
                      <w:r w:rsidR="003444D8" w:rsidRPr="00E510EB">
                        <w:t>,</w:t>
                      </w:r>
                      <w:r w:rsidR="00A73B46">
                        <w:t>1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>w</w:t>
      </w:r>
      <w:r w:rsidR="00367C57">
        <w:rPr>
          <w:noProof/>
          <w:spacing w:val="-2"/>
          <w:szCs w:val="19"/>
          <w:lang w:eastAsia="pl-PL"/>
        </w:rPr>
        <w:t>e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367C57">
        <w:rPr>
          <w:noProof/>
          <w:spacing w:val="-2"/>
          <w:szCs w:val="19"/>
          <w:lang w:eastAsia="pl-PL"/>
        </w:rPr>
        <w:t>wrześniu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F51E3">
        <w:rPr>
          <w:noProof/>
          <w:spacing w:val="-2"/>
          <w:szCs w:val="19"/>
          <w:lang w:eastAsia="pl-PL"/>
        </w:rPr>
        <w:t>wyższa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367C57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367C57">
        <w:rPr>
          <w:noProof/>
          <w:spacing w:val="-2"/>
          <w:szCs w:val="19"/>
          <w:lang w:eastAsia="pl-PL"/>
        </w:rPr>
        <w:t>8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A11B18">
        <w:rPr>
          <w:noProof/>
          <w:spacing w:val="-2"/>
          <w:szCs w:val="19"/>
          <w:lang w:eastAsia="pl-PL"/>
        </w:rPr>
        <w:t xml:space="preserve">o </w:t>
      </w:r>
      <w:r w:rsidR="004F51E3">
        <w:rPr>
          <w:noProof/>
          <w:spacing w:val="-2"/>
          <w:szCs w:val="19"/>
          <w:lang w:eastAsia="pl-PL"/>
        </w:rPr>
        <w:t>1</w:t>
      </w:r>
      <w:r w:rsidR="00367C57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367C57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367C57">
        <w:rPr>
          <w:noProof/>
          <w:spacing w:val="-2"/>
          <w:szCs w:val="19"/>
          <w:lang w:eastAsia="pl-PL"/>
        </w:rPr>
        <w:t>zwiększyła</w:t>
      </w:r>
      <w:r w:rsidR="00C45DBB">
        <w:rPr>
          <w:noProof/>
          <w:spacing w:val="-2"/>
          <w:szCs w:val="19"/>
          <w:lang w:eastAsia="pl-PL"/>
        </w:rPr>
        <w:t xml:space="preserve"> się o </w:t>
      </w:r>
      <w:r w:rsidR="00367C57">
        <w:rPr>
          <w:noProof/>
          <w:spacing w:val="-2"/>
          <w:szCs w:val="19"/>
          <w:lang w:eastAsia="pl-PL"/>
        </w:rPr>
        <w:t>13</w:t>
      </w:r>
      <w:r w:rsidR="00C45DBB">
        <w:rPr>
          <w:noProof/>
          <w:spacing w:val="-2"/>
          <w:szCs w:val="19"/>
          <w:lang w:eastAsia="pl-PL"/>
        </w:rPr>
        <w:t>,</w:t>
      </w:r>
      <w:r w:rsidR="00367C57">
        <w:rPr>
          <w:noProof/>
          <w:spacing w:val="-2"/>
          <w:szCs w:val="19"/>
          <w:lang w:eastAsia="pl-PL"/>
        </w:rPr>
        <w:t>8</w:t>
      </w:r>
      <w:r w:rsidR="00C45DBB">
        <w:rPr>
          <w:noProof/>
          <w:spacing w:val="-2"/>
          <w:szCs w:val="19"/>
          <w:lang w:eastAsia="pl-PL"/>
        </w:rPr>
        <w:t>% (</w:t>
      </w:r>
      <w:r w:rsidR="00DE5635">
        <w:rPr>
          <w:noProof/>
          <w:spacing w:val="-2"/>
          <w:szCs w:val="19"/>
          <w:lang w:eastAsia="pl-PL"/>
        </w:rPr>
        <w:t>przed rokiem wzrost o 2</w:t>
      </w:r>
      <w:r w:rsidR="00367C57">
        <w:rPr>
          <w:noProof/>
          <w:spacing w:val="-2"/>
          <w:szCs w:val="19"/>
          <w:lang w:eastAsia="pl-PL"/>
        </w:rPr>
        <w:t>6</w:t>
      </w:r>
      <w:r w:rsidR="00DE5635">
        <w:rPr>
          <w:noProof/>
          <w:spacing w:val="-2"/>
          <w:szCs w:val="19"/>
          <w:lang w:eastAsia="pl-PL"/>
        </w:rPr>
        <w:t>,</w:t>
      </w:r>
      <w:r w:rsidR="00367C57">
        <w:rPr>
          <w:noProof/>
          <w:spacing w:val="-2"/>
          <w:szCs w:val="19"/>
          <w:lang w:eastAsia="pl-PL"/>
        </w:rPr>
        <w:t>7</w:t>
      </w:r>
      <w:r w:rsidR="00DE5635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971DA4">
        <w:rPr>
          <w:noProof/>
          <w:spacing w:val="-2"/>
          <w:szCs w:val="19"/>
          <w:lang w:eastAsia="pl-PL"/>
        </w:rPr>
        <w:t>wrzesień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971DA4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,</w:t>
      </w:r>
      <w:r w:rsidR="00971DA4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971DA4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,</w:t>
      </w:r>
      <w:r w:rsidR="00DE5635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1</w:t>
      </w:r>
      <w:r w:rsidR="00971DA4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,</w:t>
      </w:r>
      <w:r w:rsidR="00971DA4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971DA4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,</w:t>
      </w:r>
      <w:r w:rsidR="00971DA4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955243">
        <w:rPr>
          <w:sz w:val="16"/>
          <w:szCs w:val="16"/>
        </w:rPr>
        <w:t>września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>e wrześniu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813838">
        <w:rPr>
          <w:spacing w:val="-2"/>
          <w:lang w:eastAsia="pl-PL"/>
        </w:rPr>
        <w:t>1</w:t>
      </w:r>
      <w:r w:rsidR="00A73B46">
        <w:rPr>
          <w:spacing w:val="-2"/>
          <w:lang w:eastAsia="pl-PL"/>
        </w:rPr>
        <w:t>44</w:t>
      </w:r>
      <w:r w:rsidR="00590C88">
        <w:rPr>
          <w:spacing w:val="-2"/>
          <w:lang w:eastAsia="pl-PL"/>
        </w:rPr>
        <w:t>,</w:t>
      </w:r>
      <w:r w:rsidR="00A73B46">
        <w:rPr>
          <w:spacing w:val="-2"/>
          <w:lang w:eastAsia="pl-PL"/>
        </w:rPr>
        <w:t>6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C65C91">
        <w:rPr>
          <w:noProof/>
          <w:spacing w:val="-2"/>
          <w:szCs w:val="19"/>
          <w:lang w:eastAsia="pl-PL"/>
        </w:rPr>
        <w:t>6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C65C91">
        <w:rPr>
          <w:noProof/>
          <w:spacing w:val="-2"/>
          <w:szCs w:val="19"/>
          <w:lang w:eastAsia="pl-PL"/>
        </w:rPr>
        <w:t>0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C65C91">
        <w:rPr>
          <w:noProof/>
          <w:spacing w:val="-2"/>
          <w:szCs w:val="19"/>
          <w:lang w:eastAsia="pl-PL"/>
        </w:rPr>
        <w:t>0</w:t>
      </w:r>
      <w:r w:rsidR="00C3373C">
        <w:rPr>
          <w:noProof/>
          <w:spacing w:val="-2"/>
          <w:szCs w:val="19"/>
          <w:lang w:eastAsia="pl-PL"/>
        </w:rPr>
        <w:t>,</w:t>
      </w:r>
      <w:r w:rsidR="00C65C91">
        <w:rPr>
          <w:noProof/>
          <w:spacing w:val="-2"/>
          <w:szCs w:val="19"/>
          <w:lang w:eastAsia="pl-PL"/>
        </w:rPr>
        <w:t>3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491D74">
        <w:rPr>
          <w:noProof/>
          <w:spacing w:val="-2"/>
          <w:szCs w:val="19"/>
          <w:lang w:eastAsia="pl-PL"/>
        </w:rPr>
        <w:t>wyższym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C65C91">
        <w:rPr>
          <w:noProof/>
          <w:spacing w:val="-2"/>
          <w:szCs w:val="19"/>
          <w:lang w:eastAsia="pl-PL"/>
        </w:rPr>
        <w:t xml:space="preserve">sierpniem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1D05BB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7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9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B91D8C" w:rsidP="0027684A">
            <w:pPr>
              <w:rPr>
                <w:sz w:val="20"/>
                <w:szCs w:val="20"/>
              </w:rPr>
            </w:pPr>
            <w:hyperlink r:id="rId21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B91D8C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B91D8C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B91D8C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B91D8C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B91D8C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B91D8C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B91D8C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B91D8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B91D8C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172C11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172C11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172C11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172C11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172C11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172C11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172C11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172C1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172C11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8C" w:rsidRDefault="00B91D8C" w:rsidP="000662E2">
      <w:pPr>
        <w:spacing w:after="0" w:line="240" w:lineRule="auto"/>
      </w:pPr>
      <w:r>
        <w:separator/>
      </w:r>
    </w:p>
  </w:endnote>
  <w:endnote w:type="continuationSeparator" w:id="0">
    <w:p w:rsidR="00B91D8C" w:rsidRDefault="00B91D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32B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8C" w:rsidRDefault="00B91D8C" w:rsidP="000662E2">
      <w:pPr>
        <w:spacing w:after="0" w:line="240" w:lineRule="auto"/>
      </w:pPr>
      <w:r>
        <w:separator/>
      </w:r>
    </w:p>
  </w:footnote>
  <w:footnote w:type="continuationSeparator" w:id="0">
    <w:p w:rsidR="00B91D8C" w:rsidRDefault="00B91D8C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262A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262AA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262A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262AA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D07B4"/>
    <w:rsid w:val="000D1CE8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802BD"/>
    <w:rsid w:val="00180640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235E"/>
    <w:rsid w:val="001C29D5"/>
    <w:rsid w:val="001C2FA1"/>
    <w:rsid w:val="001C3269"/>
    <w:rsid w:val="001C6CAC"/>
    <w:rsid w:val="001D0477"/>
    <w:rsid w:val="001D05BB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7724"/>
    <w:rsid w:val="00231107"/>
    <w:rsid w:val="0023214D"/>
    <w:rsid w:val="002338F4"/>
    <w:rsid w:val="00233D39"/>
    <w:rsid w:val="00234174"/>
    <w:rsid w:val="002376C0"/>
    <w:rsid w:val="002454B3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5FE8"/>
    <w:rsid w:val="00276221"/>
    <w:rsid w:val="00276811"/>
    <w:rsid w:val="0027684A"/>
    <w:rsid w:val="00282699"/>
    <w:rsid w:val="00282780"/>
    <w:rsid w:val="00283519"/>
    <w:rsid w:val="002847AA"/>
    <w:rsid w:val="00290365"/>
    <w:rsid w:val="002926DF"/>
    <w:rsid w:val="00296697"/>
    <w:rsid w:val="002A179D"/>
    <w:rsid w:val="002A3214"/>
    <w:rsid w:val="002A58DE"/>
    <w:rsid w:val="002A5E02"/>
    <w:rsid w:val="002A7A55"/>
    <w:rsid w:val="002B046F"/>
    <w:rsid w:val="002B0472"/>
    <w:rsid w:val="002B195B"/>
    <w:rsid w:val="002B6B12"/>
    <w:rsid w:val="002B773C"/>
    <w:rsid w:val="002C2FF1"/>
    <w:rsid w:val="002C374C"/>
    <w:rsid w:val="002C4C4F"/>
    <w:rsid w:val="002C74FB"/>
    <w:rsid w:val="002D0E0C"/>
    <w:rsid w:val="002D469D"/>
    <w:rsid w:val="002D4E3D"/>
    <w:rsid w:val="002E0680"/>
    <w:rsid w:val="002E100A"/>
    <w:rsid w:val="002E1A89"/>
    <w:rsid w:val="002E6140"/>
    <w:rsid w:val="002E6985"/>
    <w:rsid w:val="002E6ABB"/>
    <w:rsid w:val="002E71B6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97A"/>
    <w:rsid w:val="003262A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3882"/>
    <w:rsid w:val="003739A6"/>
    <w:rsid w:val="00377CF6"/>
    <w:rsid w:val="00380E64"/>
    <w:rsid w:val="00381285"/>
    <w:rsid w:val="0038300B"/>
    <w:rsid w:val="003843DB"/>
    <w:rsid w:val="003852DF"/>
    <w:rsid w:val="00385FF0"/>
    <w:rsid w:val="003879CF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C2663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92C"/>
    <w:rsid w:val="007211B1"/>
    <w:rsid w:val="0072190E"/>
    <w:rsid w:val="00723382"/>
    <w:rsid w:val="00724E6C"/>
    <w:rsid w:val="00727085"/>
    <w:rsid w:val="0072712B"/>
    <w:rsid w:val="00727EB3"/>
    <w:rsid w:val="00730101"/>
    <w:rsid w:val="0073288E"/>
    <w:rsid w:val="00732B5E"/>
    <w:rsid w:val="00741770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70C58"/>
    <w:rsid w:val="00770DB7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6332"/>
    <w:rsid w:val="00886DCC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E2301"/>
    <w:rsid w:val="008E6266"/>
    <w:rsid w:val="008F08A0"/>
    <w:rsid w:val="008F1896"/>
    <w:rsid w:val="008F3638"/>
    <w:rsid w:val="008F38E3"/>
    <w:rsid w:val="008F4063"/>
    <w:rsid w:val="008F4AAF"/>
    <w:rsid w:val="008F5695"/>
    <w:rsid w:val="008F6F31"/>
    <w:rsid w:val="008F74DF"/>
    <w:rsid w:val="00900CD4"/>
    <w:rsid w:val="009014E9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4038"/>
    <w:rsid w:val="00954B4D"/>
    <w:rsid w:val="00955243"/>
    <w:rsid w:val="009552BE"/>
    <w:rsid w:val="009564A2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BA5"/>
    <w:rsid w:val="009E2E91"/>
    <w:rsid w:val="009E5123"/>
    <w:rsid w:val="009E5714"/>
    <w:rsid w:val="009E5C5B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3B46"/>
    <w:rsid w:val="00A7612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A0A"/>
    <w:rsid w:val="00B06BC2"/>
    <w:rsid w:val="00B1119A"/>
    <w:rsid w:val="00B131D2"/>
    <w:rsid w:val="00B132C3"/>
    <w:rsid w:val="00B14952"/>
    <w:rsid w:val="00B15AC0"/>
    <w:rsid w:val="00B15E8F"/>
    <w:rsid w:val="00B221AE"/>
    <w:rsid w:val="00B30960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56EE"/>
    <w:rsid w:val="00B97DB5"/>
    <w:rsid w:val="00BA2BA1"/>
    <w:rsid w:val="00BB1035"/>
    <w:rsid w:val="00BB36CB"/>
    <w:rsid w:val="00BB4E3C"/>
    <w:rsid w:val="00BB4F09"/>
    <w:rsid w:val="00BB4F9E"/>
    <w:rsid w:val="00BB74B8"/>
    <w:rsid w:val="00BB7E4D"/>
    <w:rsid w:val="00BC484C"/>
    <w:rsid w:val="00BC5EC2"/>
    <w:rsid w:val="00BD4E33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532B"/>
    <w:rsid w:val="00C16F4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41EF"/>
    <w:rsid w:val="00D872BD"/>
    <w:rsid w:val="00D87F34"/>
    <w:rsid w:val="00D91CC0"/>
    <w:rsid w:val="00D92F92"/>
    <w:rsid w:val="00D931A7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6708"/>
    <w:rsid w:val="00DC6E20"/>
    <w:rsid w:val="00DD2FE5"/>
    <w:rsid w:val="00DD4870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7836"/>
    <w:rsid w:val="00DF7D74"/>
    <w:rsid w:val="00E01436"/>
    <w:rsid w:val="00E019BF"/>
    <w:rsid w:val="00E045BD"/>
    <w:rsid w:val="00E04B83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2A37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C04A9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D0A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SitePagesDBW/Budownictwo.aspx" TargetMode="External"/><Relationship Id="rId33" Type="http://schemas.openxmlformats.org/officeDocument/2006/relationships/hyperlink" Target="https://stat.gov.pl/metainformacje/slownik-pojec/pojecia-stosowane-w-statystyce-publicznej/436,pojecie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701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s://stat.gov.pl/metainformacje/slownik-pojec/pojecia-stosowane-w-statystyce-publicznej/435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0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1170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488344"/>
        <c:axId val="110486384"/>
      </c:lineChart>
      <c:catAx>
        <c:axId val="11048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486384"/>
        <c:crossesAt val="100"/>
        <c:auto val="1"/>
        <c:lblAlgn val="ctr"/>
        <c:lblOffset val="100"/>
        <c:noMultiLvlLbl val="0"/>
      </c:catAx>
      <c:valAx>
        <c:axId val="11048638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48834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87C0-27DF-42C4-80F3-D13E0402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sierpniu 2019 roku</vt:lpstr>
    </vt:vector>
  </TitlesOfParts>
  <Company>Główny Urząd Statystyczny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sierpniu 2019 roku</dc:title>
  <dc:subject>Dynamika produkcji budowlano-montażowej w sierpniu 2019 roku</dc:subject>
  <dc:creator>Główny Urząd Statystyczny</dc:creator>
  <cp:keywords/>
  <dc:description>Dynamika produkcji budowlano-montażowej w sierpniu 2019 roku</dc:description>
  <cp:lastPrinted>2019-10-17T12:43:00Z</cp:lastPrinted>
  <dcterms:created xsi:type="dcterms:W3CDTF">2019-10-17T05:36:00Z</dcterms:created>
  <dcterms:modified xsi:type="dcterms:W3CDTF">2019-10-17T12:45:00Z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