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85" w:rsidRDefault="003F3148" w:rsidP="00984102">
      <w:pPr>
        <w:pStyle w:val="tytuinformacji"/>
        <w:spacing w:after="20"/>
        <w:rPr>
          <w:b/>
          <w:shd w:val="clear" w:color="auto" w:fill="FFFFFF"/>
        </w:rPr>
      </w:pPr>
      <w:r w:rsidRPr="003F3148">
        <w:rPr>
          <w:b/>
          <w:shd w:val="clear" w:color="auto" w:fill="FFFFFF"/>
        </w:rPr>
        <w:t>Dynamika produkcji budowl</w:t>
      </w:r>
      <w:r w:rsidR="00597A66">
        <w:rPr>
          <w:b/>
          <w:shd w:val="clear" w:color="auto" w:fill="FFFFFF"/>
        </w:rPr>
        <w:t>ano-</w:t>
      </w:r>
      <w:r w:rsidR="00D91CC0">
        <w:rPr>
          <w:b/>
          <w:shd w:val="clear" w:color="auto" w:fill="FFFFFF"/>
        </w:rPr>
        <w:t>montażowej</w:t>
      </w:r>
      <w:r w:rsidR="00EA397A">
        <w:rPr>
          <w:b/>
          <w:shd w:val="clear" w:color="auto" w:fill="FFFFFF"/>
        </w:rPr>
        <w:t xml:space="preserve">          </w:t>
      </w:r>
      <w:r w:rsidR="00D91CC0">
        <w:rPr>
          <w:b/>
          <w:shd w:val="clear" w:color="auto" w:fill="FFFFFF"/>
        </w:rPr>
        <w:t xml:space="preserve"> </w:t>
      </w:r>
    </w:p>
    <w:p w:rsidR="003F3148" w:rsidRPr="00844A39" w:rsidRDefault="00D91CC0" w:rsidP="00984102">
      <w:pPr>
        <w:pStyle w:val="tytuinformacji"/>
        <w:spacing w:after="20"/>
        <w:rPr>
          <w:shd w:val="clear" w:color="auto" w:fill="FFFFFF"/>
          <w:vertAlign w:val="superscript"/>
        </w:rPr>
      </w:pPr>
      <w:r>
        <w:rPr>
          <w:b/>
          <w:shd w:val="clear" w:color="auto" w:fill="FFFFFF"/>
        </w:rPr>
        <w:t>w</w:t>
      </w:r>
      <w:r w:rsidR="00F40CBD">
        <w:rPr>
          <w:b/>
          <w:shd w:val="clear" w:color="auto" w:fill="FFFFFF"/>
        </w:rPr>
        <w:t xml:space="preserve"> </w:t>
      </w:r>
      <w:r w:rsidR="0032688D">
        <w:rPr>
          <w:b/>
          <w:shd w:val="clear" w:color="auto" w:fill="FFFFFF"/>
        </w:rPr>
        <w:t>lutym</w:t>
      </w:r>
      <w:r>
        <w:rPr>
          <w:b/>
          <w:shd w:val="clear" w:color="auto" w:fill="FFFFFF"/>
        </w:rPr>
        <w:t xml:space="preserve"> </w:t>
      </w:r>
      <w:r w:rsidR="00C946B7">
        <w:rPr>
          <w:b/>
          <w:shd w:val="clear" w:color="auto" w:fill="FFFFFF"/>
        </w:rPr>
        <w:t>201</w:t>
      </w:r>
      <w:r w:rsidR="003A2E51">
        <w:rPr>
          <w:b/>
          <w:shd w:val="clear" w:color="auto" w:fill="FFFFFF"/>
        </w:rPr>
        <w:t>9</w:t>
      </w:r>
      <w:r w:rsidR="003F3148" w:rsidRPr="003F3148">
        <w:rPr>
          <w:b/>
          <w:shd w:val="clear" w:color="auto" w:fill="FFFFFF"/>
        </w:rPr>
        <w:t xml:space="preserve"> </w:t>
      </w:r>
      <w:proofErr w:type="spellStart"/>
      <w:r w:rsidR="003F3148" w:rsidRPr="003F3148">
        <w:rPr>
          <w:b/>
          <w:shd w:val="clear" w:color="auto" w:fill="FFFFFF"/>
        </w:rPr>
        <w:t>r.</w:t>
      </w:r>
      <w:r w:rsidR="00844A39">
        <w:rPr>
          <w:vertAlign w:val="superscript"/>
        </w:rPr>
        <w:t>a</w:t>
      </w:r>
      <w:proofErr w:type="spellEnd"/>
      <w:r w:rsidR="001F28C6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6B3384" w:rsidP="00C768AA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32688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15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2688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2D0E0C" w:rsidRPr="00C512EE" w:rsidRDefault="00D12BF4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produkcji </w:t>
                            </w:r>
                            <w:r w:rsidR="000846B6">
                              <w:t>budowlano-montażowej</w:t>
                            </w:r>
                            <w:r w:rsidR="002D0E0C">
                              <w:t xml:space="preserve"> w</w:t>
                            </w:r>
                            <w:r w:rsidR="00326F83">
                              <w:t xml:space="preserve"> porównaniu z </w:t>
                            </w:r>
                            <w:r w:rsidR="0032688D">
                              <w:t>lutym</w:t>
                            </w:r>
                            <w:r w:rsidR="00466F54">
                              <w:t xml:space="preserve"> </w:t>
                            </w:r>
                            <w:r w:rsidR="002D0E0C" w:rsidRPr="00C512EE">
                              <w:t xml:space="preserve">ub. </w:t>
                            </w:r>
                            <w:r w:rsidR="002D0E0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32688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15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2688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2D0E0C" w:rsidRPr="00C512EE" w:rsidRDefault="00D12BF4" w:rsidP="002D0E0C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produkcji </w:t>
                      </w:r>
                      <w:r w:rsidR="000846B6">
                        <w:t>budowlano-montażowej</w:t>
                      </w:r>
                      <w:r w:rsidR="002D0E0C">
                        <w:t xml:space="preserve"> w</w:t>
                      </w:r>
                      <w:r w:rsidR="00326F83">
                        <w:t xml:space="preserve"> porównaniu z </w:t>
                      </w:r>
                      <w:r w:rsidR="0032688D">
                        <w:t>lutym</w:t>
                      </w:r>
                      <w:r w:rsidR="00466F54">
                        <w:t xml:space="preserve"> </w:t>
                      </w:r>
                      <w:r w:rsidR="002D0E0C" w:rsidRPr="00C512EE">
                        <w:t xml:space="preserve">ub. </w:t>
                      </w:r>
                      <w:r w:rsidR="002D0E0C">
                        <w:t>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2D257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3pt;height:28.3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3C0C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8pt;height:28.2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32688D">
        <w:t>lutym</w:t>
      </w:r>
      <w:r w:rsidR="00C768AA">
        <w:t xml:space="preserve">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4B4A93">
        <w:t> </w:t>
      </w:r>
      <w:r w:rsidR="00C768AA">
        <w:t>cenach stałych</w:t>
      </w:r>
      <w:r w:rsidR="00886DCC" w:rsidRPr="00886DCC">
        <w:t xml:space="preserve"> </w:t>
      </w:r>
      <w:r w:rsidR="00886DCC">
        <w:t>wzrosła</w:t>
      </w:r>
      <w:r w:rsidR="00EB1576">
        <w:t>, zarówno w</w:t>
      </w:r>
      <w:r w:rsidR="00624F3C">
        <w:t> </w:t>
      </w:r>
      <w:r w:rsidR="00EB1576">
        <w:t>ujęciu miesięcznym jak i narastającym, w</w:t>
      </w:r>
      <w:r w:rsidR="00624F3C">
        <w:t> </w:t>
      </w:r>
      <w:r w:rsidR="00EB1576">
        <w:t xml:space="preserve">porównaniu do </w:t>
      </w:r>
      <w:r w:rsidR="00C4577F">
        <w:t>analogicznych okresów ubiegł</w:t>
      </w:r>
      <w:r w:rsidR="00C03FAA">
        <w:t>ego roku</w:t>
      </w:r>
      <w:bookmarkStart w:id="0" w:name="_GoBack"/>
      <w:bookmarkEnd w:id="0"/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639D3" w:rsidP="00C768AA">
      <w:pPr>
        <w:pStyle w:val="LID"/>
      </w:pPr>
      <w:r w:rsidRPr="00667960">
        <w:rPr>
          <w:b w:val="0"/>
          <w:color w:val="212492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B091ED" wp14:editId="491D1942">
                <wp:simplePos x="0" y="0"/>
                <wp:positionH relativeFrom="page">
                  <wp:posOffset>5669280</wp:posOffset>
                </wp:positionH>
                <wp:positionV relativeFrom="paragraph">
                  <wp:posOffset>123190</wp:posOffset>
                </wp:positionV>
                <wp:extent cx="1828800" cy="1915795"/>
                <wp:effectExtent l="0" t="0" r="0" b="0"/>
                <wp:wrapTight wrapText="bothSides">
                  <wp:wrapPolygon edited="0">
                    <wp:start x="675" y="0"/>
                    <wp:lineTo x="675" y="21264"/>
                    <wp:lineTo x="20700" y="21264"/>
                    <wp:lineTo x="20700" y="0"/>
                    <wp:lineTo x="67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1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E6" w:rsidRDefault="006D1E46" w:rsidP="009253E6">
                            <w:pPr>
                              <w:pStyle w:val="tekstzboku"/>
                              <w:suppressAutoHyphens/>
                            </w:pPr>
                            <w:r>
                              <w:t>W dwóch pierwszych miesiącach br.</w:t>
                            </w:r>
                            <w:r w:rsidR="00E639D3">
                              <w:t xml:space="preserve"> nastąpił wzrost produkcji budowlano-montażowej o 8,4% w stosunku do analogicznego okresu </w:t>
                            </w:r>
                            <w:r w:rsidR="00246C19">
                              <w:t>ubiegłego</w:t>
                            </w:r>
                            <w:r w:rsidR="00E639D3"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91ED" id="_x0000_s1028" type="#_x0000_t202" style="position:absolute;margin-left:446.4pt;margin-top:9.7pt;width:2in;height:150.8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" filled="f" stroked="f">
                <v:textbox>
                  <w:txbxContent>
                    <w:p w:rsidR="009253E6" w:rsidRDefault="006D1E46" w:rsidP="009253E6">
                      <w:pPr>
                        <w:pStyle w:val="tekstzboku"/>
                        <w:suppressAutoHyphens/>
                      </w:pPr>
                      <w:r>
                        <w:t>W dwóch pierwszych miesiącach br.</w:t>
                      </w:r>
                      <w:r w:rsidR="00E639D3">
                        <w:t xml:space="preserve"> nastąpił wzrost produkcji budowlano-montażowej o 8,4% w stosunku do analogicznego okresu </w:t>
                      </w:r>
                      <w:r w:rsidR="00246C19">
                        <w:t>ubiegłego</w:t>
                      </w:r>
                      <w:r w:rsidR="00E639D3">
                        <w:t xml:space="preserve">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BC484C" w:rsidRPr="00EB1576">
        <w:rPr>
          <w:noProof/>
          <w:spacing w:val="-2"/>
          <w:szCs w:val="19"/>
          <w:lang w:eastAsia="pl-PL"/>
        </w:rPr>
        <w:t xml:space="preserve">była </w:t>
      </w:r>
      <w:r w:rsidR="009E5123" w:rsidRPr="00EB1576">
        <w:rPr>
          <w:noProof/>
          <w:spacing w:val="-2"/>
          <w:szCs w:val="19"/>
          <w:lang w:eastAsia="pl-PL"/>
        </w:rPr>
        <w:t xml:space="preserve">wyższa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lutym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ze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styczniem br</w:t>
      </w:r>
      <w:r w:rsidR="001F4341">
        <w:rPr>
          <w:noProof/>
          <w:spacing w:val="-2"/>
          <w:szCs w:val="19"/>
          <w:lang w:eastAsia="pl-PL"/>
        </w:rPr>
        <w:t>.</w:t>
      </w:r>
      <w:r w:rsidR="00683404">
        <w:rPr>
          <w:noProof/>
          <w:spacing w:val="-2"/>
          <w:szCs w:val="19"/>
          <w:lang w:eastAsia="pl-PL"/>
        </w:rPr>
        <w:br/>
        <w:t xml:space="preserve">o </w:t>
      </w:r>
      <w:r w:rsidR="00683404" w:rsidRPr="00EB1576">
        <w:rPr>
          <w:noProof/>
          <w:spacing w:val="-2"/>
          <w:szCs w:val="19"/>
          <w:lang w:eastAsia="pl-PL"/>
        </w:rPr>
        <w:t xml:space="preserve">15,1% </w:t>
      </w:r>
      <w:r w:rsidRPr="00EB1576">
        <w:rPr>
          <w:noProof/>
          <w:spacing w:val="-2"/>
          <w:szCs w:val="19"/>
          <w:lang w:eastAsia="pl-PL"/>
        </w:rPr>
        <w:t>(przed rokiem 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odpowiednio</w:t>
      </w:r>
      <w:r w:rsidR="009E5123" w:rsidRPr="00EB1576">
        <w:rPr>
          <w:noProof/>
          <w:spacing w:val="-2"/>
          <w:szCs w:val="19"/>
          <w:lang w:eastAsia="pl-PL"/>
        </w:rPr>
        <w:t xml:space="preserve"> o </w:t>
      </w:r>
      <w:r w:rsidRPr="00EB1576">
        <w:rPr>
          <w:noProof/>
          <w:spacing w:val="-2"/>
          <w:szCs w:val="19"/>
          <w:lang w:eastAsia="pl-PL"/>
        </w:rPr>
        <w:t>3</w:t>
      </w:r>
      <w:r w:rsidR="006F458A" w:rsidRPr="00EB1576">
        <w:rPr>
          <w:noProof/>
          <w:spacing w:val="-2"/>
          <w:szCs w:val="19"/>
          <w:lang w:eastAsia="pl-PL"/>
        </w:rPr>
        <w:t>1</w:t>
      </w:r>
      <w:r w:rsidRPr="00EB1576">
        <w:rPr>
          <w:noProof/>
          <w:spacing w:val="-2"/>
          <w:szCs w:val="19"/>
          <w:lang w:eastAsia="pl-PL"/>
        </w:rPr>
        <w:t>,</w:t>
      </w:r>
      <w:r w:rsidR="006F458A" w:rsidRPr="00EB1576">
        <w:rPr>
          <w:noProof/>
          <w:spacing w:val="-2"/>
          <w:szCs w:val="19"/>
          <w:lang w:eastAsia="pl-PL"/>
        </w:rPr>
        <w:t>3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 xml:space="preserve">3,3%).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6F458A" w:rsidRPr="00EB1576">
        <w:rPr>
          <w:noProof/>
          <w:spacing w:val="-2"/>
          <w:szCs w:val="19"/>
          <w:lang w:eastAsia="pl-PL"/>
        </w:rPr>
        <w:t>luty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6F458A" w:rsidRPr="00EB1576">
        <w:rPr>
          <w:noProof/>
          <w:spacing w:val="-2"/>
          <w:szCs w:val="19"/>
          <w:lang w:eastAsia="pl-PL"/>
        </w:rPr>
        <w:t>8,4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 odniesieniu do te</w:t>
      </w:r>
      <w:r w:rsidR="004B4A93">
        <w:rPr>
          <w:noProof/>
          <w:spacing w:val="-2"/>
          <w:szCs w:val="19"/>
          <w:lang w:eastAsia="pl-PL"/>
        </w:rPr>
        <w:t xml:space="preserve">go samego </w:t>
      </w:r>
      <w:r w:rsidR="00683404">
        <w:rPr>
          <w:noProof/>
          <w:spacing w:val="-2"/>
          <w:szCs w:val="19"/>
          <w:lang w:eastAsia="pl-PL"/>
        </w:rPr>
        <w:br/>
      </w:r>
      <w:r w:rsidR="004B4A93">
        <w:rPr>
          <w:noProof/>
          <w:spacing w:val="-2"/>
          <w:szCs w:val="19"/>
          <w:lang w:eastAsia="pl-PL"/>
        </w:rPr>
        <w:t xml:space="preserve">okresu </w:t>
      </w:r>
      <w:r w:rsidR="00CF34F4">
        <w:rPr>
          <w:noProof/>
          <w:spacing w:val="-2"/>
          <w:szCs w:val="19"/>
          <w:lang w:eastAsia="pl-PL"/>
        </w:rPr>
        <w:t>ub</w:t>
      </w:r>
      <w:r w:rsidR="00C03FAA">
        <w:rPr>
          <w:noProof/>
          <w:spacing w:val="-2"/>
          <w:szCs w:val="19"/>
          <w:lang w:eastAsia="pl-PL"/>
        </w:rPr>
        <w:t>iegłego</w:t>
      </w:r>
      <w:r w:rsidR="00CF34F4">
        <w:rPr>
          <w:noProof/>
          <w:spacing w:val="-2"/>
          <w:szCs w:val="19"/>
          <w:lang w:eastAsia="pl-PL"/>
        </w:rPr>
        <w:t xml:space="preserve">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 xml:space="preserve">wzrost o </w:t>
      </w:r>
      <w:r w:rsidR="006F458A" w:rsidRPr="00EB1576">
        <w:rPr>
          <w:noProof/>
          <w:spacing w:val="-2"/>
          <w:szCs w:val="19"/>
          <w:lang w:eastAsia="pl-PL"/>
        </w:rPr>
        <w:t>3</w:t>
      </w:r>
      <w:r w:rsidR="0032688D" w:rsidRPr="00EB1576">
        <w:rPr>
          <w:noProof/>
          <w:spacing w:val="-2"/>
          <w:szCs w:val="19"/>
          <w:lang w:eastAsia="pl-PL"/>
        </w:rPr>
        <w:t>2,</w:t>
      </w:r>
      <w:r w:rsidR="006F458A" w:rsidRPr="00EB1576">
        <w:rPr>
          <w:noProof/>
          <w:spacing w:val="-2"/>
          <w:szCs w:val="19"/>
          <w:lang w:eastAsia="pl-PL"/>
        </w:rPr>
        <w:t>3</w:t>
      </w:r>
      <w:r w:rsidR="0032688D" w:rsidRPr="00EB1576">
        <w:rPr>
          <w:noProof/>
          <w:spacing w:val="-2"/>
          <w:szCs w:val="19"/>
          <w:lang w:eastAsia="pl-PL"/>
        </w:rPr>
        <w:t xml:space="preserve">%.   </w:t>
      </w:r>
    </w:p>
    <w:p w:rsidR="00667960" w:rsidRPr="00963C90" w:rsidRDefault="00667960" w:rsidP="0032688D">
      <w:pPr>
        <w:rPr>
          <w:noProof/>
          <w:spacing w:val="-2"/>
          <w:szCs w:val="19"/>
          <w:lang w:eastAsia="pl-PL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DD4870" w:rsidP="0000729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32688D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4F2DD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D4870" w:rsidP="00924AB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D4870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32688D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924AB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924AB5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b/>
                <w:sz w:val="16"/>
                <w:szCs w:val="18"/>
                <w:shd w:val="clear" w:color="auto" w:fill="FFFFFF"/>
              </w:rPr>
              <w:t>15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924AB5" w:rsidP="0000729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,1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924AB5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b/>
                <w:sz w:val="16"/>
                <w:szCs w:val="18"/>
                <w:shd w:val="clear" w:color="auto" w:fill="FFFFFF"/>
              </w:rPr>
              <w:t>08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24AB5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27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924AB5">
              <w:rPr>
                <w:sz w:val="16"/>
                <w:szCs w:val="18"/>
                <w:shd w:val="clear" w:color="auto" w:fill="FFFFFF"/>
              </w:rPr>
              <w:t>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32688D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20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16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12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32688D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12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="0032688D" w:rsidRPr="00263373" w:rsidRDefault="00924AB5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924AB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24AB5">
              <w:rPr>
                <w:sz w:val="16"/>
                <w:szCs w:val="18"/>
                <w:shd w:val="clear" w:color="auto" w:fill="FFFFFF"/>
              </w:rPr>
              <w:t>00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24AB5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1331CC">
        <w:rPr>
          <w:sz w:val="16"/>
          <w:szCs w:val="16"/>
          <w:shd w:val="clear" w:color="auto" w:fill="FFFFFF"/>
        </w:rPr>
        <w:t xml:space="preserve">Dane z uwzględnieniem </w:t>
      </w:r>
      <w:r w:rsidR="00140062" w:rsidRPr="001331CC">
        <w:rPr>
          <w:sz w:val="16"/>
          <w:szCs w:val="16"/>
          <w:shd w:val="clear" w:color="auto" w:fill="FFFFFF"/>
        </w:rPr>
        <w:t xml:space="preserve">informacji </w:t>
      </w:r>
      <w:r w:rsidR="0032688D" w:rsidRPr="001331CC">
        <w:rPr>
          <w:sz w:val="16"/>
          <w:szCs w:val="16"/>
          <w:shd w:val="clear" w:color="auto" w:fill="FFFFFF"/>
        </w:rPr>
        <w:t xml:space="preserve">ostatecznych o produkcji i cenach w </w:t>
      </w:r>
      <w:r w:rsidR="005361E5" w:rsidRPr="001331CC">
        <w:rPr>
          <w:sz w:val="16"/>
          <w:szCs w:val="16"/>
          <w:shd w:val="clear" w:color="auto" w:fill="FFFFFF"/>
        </w:rPr>
        <w:t>styczniu</w:t>
      </w:r>
      <w:r w:rsidR="0032688D" w:rsidRPr="001331CC">
        <w:rPr>
          <w:sz w:val="16"/>
          <w:szCs w:val="16"/>
          <w:shd w:val="clear" w:color="auto" w:fill="FFFFFF"/>
        </w:rPr>
        <w:t xml:space="preserve"> oraz</w:t>
      </w:r>
      <w:r w:rsidR="004F2DD3">
        <w:rPr>
          <w:sz w:val="16"/>
          <w:szCs w:val="16"/>
          <w:shd w:val="clear" w:color="auto" w:fill="FFFFFF"/>
        </w:rPr>
        <w:t xml:space="preserve"> meldunkowych </w:t>
      </w:r>
      <w:r w:rsidR="0032688D" w:rsidRPr="001331CC">
        <w:rPr>
          <w:sz w:val="16"/>
          <w:szCs w:val="16"/>
          <w:shd w:val="clear" w:color="auto" w:fill="FFFFFF"/>
        </w:rPr>
        <w:t xml:space="preserve">w </w:t>
      </w:r>
      <w:r w:rsidR="005361E5" w:rsidRPr="001331CC">
        <w:rPr>
          <w:sz w:val="16"/>
          <w:szCs w:val="16"/>
          <w:shd w:val="clear" w:color="auto" w:fill="FFFFFF"/>
        </w:rPr>
        <w:t>lutym.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768AA" w:rsidRPr="004E5AD4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311AA27" wp14:editId="75CA892A">
                <wp:simplePos x="0" y="0"/>
                <wp:positionH relativeFrom="page">
                  <wp:posOffset>5666154</wp:posOffset>
                </wp:positionH>
                <wp:positionV relativeFrom="paragraph">
                  <wp:posOffset>-105850</wp:posOffset>
                </wp:positionV>
                <wp:extent cx="1865376" cy="1618957"/>
                <wp:effectExtent l="0" t="0" r="0" b="635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376" cy="1618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D3" w:rsidRPr="003B6903" w:rsidRDefault="00115E16" w:rsidP="00E639D3">
                            <w:pPr>
                              <w:pStyle w:val="tekstzboku"/>
                              <w:suppressAutoHyphens/>
                            </w:pPr>
                            <w:r>
                              <w:t>W lutym br.</w:t>
                            </w:r>
                            <w:r w:rsidR="006D1E46">
                              <w:t xml:space="preserve"> największy</w:t>
                            </w:r>
                            <w:r>
                              <w:t xml:space="preserve"> w</w:t>
                            </w:r>
                            <w:r w:rsidR="00E639D3">
                              <w:t xml:space="preserve">zrost wartości produkcji budowlano-montażowej </w:t>
                            </w:r>
                            <w:r w:rsidR="003E42DC">
                              <w:t xml:space="preserve">w porównaniu z analogicznym okresem 2018 r. </w:t>
                            </w:r>
                            <w:r w:rsidR="00E639D3">
                              <w:t>odnotowano wśród jednostek, których podstawowym rodzajem działalności była</w:t>
                            </w:r>
                            <w:r w:rsidR="00E639D3" w:rsidRPr="001B388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639D3">
                              <w:t>budowa budynków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1AA2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6.15pt;margin-top:-8.35pt;width:146.9pt;height:127.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" filled="f" stroked="f">
                <v:textbox>
                  <w:txbxContent>
                    <w:p w:rsidR="00E639D3" w:rsidRPr="003B6903" w:rsidRDefault="00115E16" w:rsidP="00E639D3">
                      <w:pPr>
                        <w:pStyle w:val="tekstzboku"/>
                        <w:suppressAutoHyphens/>
                      </w:pPr>
                      <w:r>
                        <w:t>W lutym br.</w:t>
                      </w:r>
                      <w:r w:rsidR="006D1E46">
                        <w:t xml:space="preserve"> największy</w:t>
                      </w:r>
                      <w:r>
                        <w:t xml:space="preserve"> w</w:t>
                      </w:r>
                      <w:r w:rsidR="00E639D3">
                        <w:t xml:space="preserve">zrost wartości produkcji budowlano-montażowej </w:t>
                      </w:r>
                      <w:r w:rsidR="003E42DC">
                        <w:t xml:space="preserve">w porównaniu z analogicznym okresem 2018 r. </w:t>
                      </w:r>
                      <w:r w:rsidR="00E639D3">
                        <w:t>odnotowano wśród jednostek, których podstawowym rodzajem działalności była</w:t>
                      </w:r>
                      <w:r w:rsidR="00E639D3" w:rsidRPr="001B3881">
                        <w:rPr>
                          <w:color w:val="FF0000"/>
                        </w:rPr>
                        <w:t xml:space="preserve"> </w:t>
                      </w:r>
                      <w:r w:rsidR="00E639D3">
                        <w:t>budowa budynków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8A0FFA">
        <w:rPr>
          <w:noProof/>
          <w:spacing w:val="-2"/>
          <w:szCs w:val="19"/>
          <w:lang w:eastAsia="pl-PL"/>
        </w:rPr>
        <w:t>lutego</w:t>
      </w:r>
      <w:r w:rsidR="00C768AA" w:rsidRPr="004E5AD4">
        <w:rPr>
          <w:noProof/>
          <w:spacing w:val="-2"/>
          <w:szCs w:val="19"/>
          <w:lang w:eastAsia="pl-PL"/>
        </w:rPr>
        <w:t xml:space="preserve"> ub. roku wzrost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 xml:space="preserve">produkcji budowlano-montażowej odnotowano w jednostkach, których podstawowym rodzajem działalności </w:t>
      </w:r>
      <w:r w:rsidR="00EB1576">
        <w:rPr>
          <w:noProof/>
          <w:spacing w:val="-2"/>
          <w:szCs w:val="19"/>
          <w:lang w:eastAsia="pl-PL"/>
        </w:rPr>
        <w:t>była</w:t>
      </w:r>
      <w:r w:rsidR="00C768AA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C768AA" w:rsidRPr="004E5AD4">
        <w:rPr>
          <w:noProof/>
          <w:spacing w:val="-2"/>
          <w:szCs w:val="19"/>
          <w:lang w:eastAsia="pl-PL"/>
        </w:rPr>
        <w:t xml:space="preserve">budowa </w:t>
      </w:r>
      <w:r w:rsidR="008A0FFA">
        <w:rPr>
          <w:noProof/>
          <w:spacing w:val="-2"/>
          <w:szCs w:val="19"/>
          <w:lang w:eastAsia="pl-PL"/>
        </w:rPr>
        <w:t xml:space="preserve">budynków </w:t>
      </w:r>
      <w:r w:rsidR="008D2B32" w:rsidRPr="004E5AD4">
        <w:rPr>
          <w:noProof/>
          <w:spacing w:val="-2"/>
          <w:szCs w:val="19"/>
          <w:lang w:eastAsia="pl-PL"/>
        </w:rPr>
        <w:t>(</w:t>
      </w:r>
      <w:r w:rsidR="008A0FFA">
        <w:rPr>
          <w:noProof/>
          <w:spacing w:val="-2"/>
          <w:szCs w:val="19"/>
          <w:lang w:eastAsia="pl-PL"/>
        </w:rPr>
        <w:t>27</w:t>
      </w:r>
      <w:r w:rsidR="008D2B32">
        <w:rPr>
          <w:noProof/>
          <w:spacing w:val="-2"/>
          <w:szCs w:val="19"/>
          <w:lang w:eastAsia="pl-PL"/>
        </w:rPr>
        <w:t>,</w:t>
      </w:r>
      <w:r w:rsidR="008A0FFA">
        <w:rPr>
          <w:noProof/>
          <w:spacing w:val="-2"/>
          <w:szCs w:val="19"/>
          <w:lang w:eastAsia="pl-PL"/>
        </w:rPr>
        <w:t>9</w:t>
      </w:r>
      <w:r w:rsidR="008D2B32" w:rsidRPr="004E5AD4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 xml:space="preserve"> </w:t>
      </w:r>
      <w:r w:rsidR="00C768AA">
        <w:rPr>
          <w:noProof/>
          <w:spacing w:val="-2"/>
          <w:szCs w:val="19"/>
          <w:lang w:eastAsia="pl-PL"/>
        </w:rPr>
        <w:t xml:space="preserve">oraz budowa </w:t>
      </w:r>
      <w:r w:rsidR="008A0FFA">
        <w:rPr>
          <w:noProof/>
          <w:spacing w:val="-2"/>
          <w:szCs w:val="19"/>
          <w:lang w:eastAsia="pl-PL"/>
        </w:rPr>
        <w:t>obiektów inżynierii lądowej i wodnej</w:t>
      </w:r>
      <w:r w:rsidR="00C768AA">
        <w:rPr>
          <w:noProof/>
          <w:spacing w:val="-2"/>
          <w:szCs w:val="19"/>
          <w:lang w:eastAsia="pl-PL"/>
        </w:rPr>
        <w:t xml:space="preserve"> (</w:t>
      </w:r>
      <w:r w:rsidR="008A0FFA">
        <w:rPr>
          <w:noProof/>
          <w:spacing w:val="-2"/>
          <w:szCs w:val="19"/>
          <w:lang w:eastAsia="pl-PL"/>
        </w:rPr>
        <w:t>16</w:t>
      </w:r>
      <w:r w:rsidR="00C768AA">
        <w:rPr>
          <w:noProof/>
          <w:spacing w:val="-2"/>
          <w:szCs w:val="19"/>
          <w:lang w:eastAsia="pl-PL"/>
        </w:rPr>
        <w:t xml:space="preserve">,3%), natomiast spadek </w:t>
      </w:r>
      <w:r w:rsidR="00AA74DB" w:rsidRPr="00195207">
        <w:rPr>
          <w:noProof/>
          <w:spacing w:val="-2"/>
          <w:szCs w:val="19"/>
          <w:lang w:eastAsia="pl-PL"/>
        </w:rPr>
        <w:t>–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C768AA">
        <w:rPr>
          <w:noProof/>
          <w:spacing w:val="-2"/>
          <w:szCs w:val="19"/>
          <w:lang w:eastAsia="pl-PL"/>
        </w:rPr>
        <w:t xml:space="preserve">w jednostkach wykonujących głównie </w:t>
      </w:r>
      <w:r w:rsidR="00C768AA" w:rsidRPr="004E5AD4">
        <w:rPr>
          <w:noProof/>
          <w:spacing w:val="-2"/>
          <w:szCs w:val="19"/>
          <w:lang w:eastAsia="pl-PL"/>
        </w:rPr>
        <w:t>roboty budowlane specjalistyczne (</w:t>
      </w:r>
      <w:r w:rsidR="008A0FFA">
        <w:rPr>
          <w:noProof/>
          <w:spacing w:val="-2"/>
          <w:szCs w:val="19"/>
          <w:lang w:eastAsia="pl-PL"/>
        </w:rPr>
        <w:t>0</w:t>
      </w:r>
      <w:r w:rsidR="00C768AA" w:rsidRPr="004E5AD4">
        <w:rPr>
          <w:noProof/>
          <w:spacing w:val="-2"/>
          <w:szCs w:val="19"/>
          <w:lang w:eastAsia="pl-PL"/>
        </w:rPr>
        <w:t>,</w:t>
      </w:r>
      <w:r w:rsidR="008A0FFA">
        <w:rPr>
          <w:noProof/>
          <w:spacing w:val="-2"/>
          <w:szCs w:val="19"/>
          <w:lang w:eastAsia="pl-PL"/>
        </w:rPr>
        <w:t>8</w:t>
      </w:r>
      <w:r w:rsidR="00C768AA" w:rsidRPr="004E5AD4">
        <w:rPr>
          <w:noProof/>
          <w:spacing w:val="-2"/>
          <w:szCs w:val="19"/>
          <w:lang w:eastAsia="pl-PL"/>
        </w:rPr>
        <w:t>%)</w:t>
      </w:r>
      <w:r w:rsidR="00C768AA">
        <w:rPr>
          <w:noProof/>
          <w:spacing w:val="-2"/>
          <w:szCs w:val="19"/>
          <w:lang w:eastAsia="pl-PL"/>
        </w:rPr>
        <w:t>.</w:t>
      </w:r>
      <w:r w:rsidR="00C768AA" w:rsidRPr="004E5AD4">
        <w:rPr>
          <w:noProof/>
          <w:spacing w:val="-2"/>
          <w:szCs w:val="19"/>
          <w:lang w:eastAsia="pl-PL"/>
        </w:rPr>
        <w:t xml:space="preserve">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>W porównaniu z</w:t>
      </w:r>
      <w:r w:rsidR="004E4974">
        <w:rPr>
          <w:noProof/>
          <w:spacing w:val="-2"/>
          <w:szCs w:val="19"/>
          <w:lang w:eastAsia="pl-PL"/>
        </w:rPr>
        <w:t>e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4E4974">
        <w:rPr>
          <w:noProof/>
          <w:spacing w:val="-2"/>
          <w:szCs w:val="19"/>
          <w:lang w:eastAsia="pl-PL"/>
        </w:rPr>
        <w:t xml:space="preserve">styczniem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4E4974"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robót </w:t>
      </w:r>
      <w:r w:rsidR="00195207">
        <w:rPr>
          <w:noProof/>
          <w:spacing w:val="-2"/>
          <w:szCs w:val="19"/>
          <w:lang w:eastAsia="pl-PL"/>
        </w:rPr>
        <w:t>zaobserwowano</w:t>
      </w:r>
      <w:r w:rsidR="009E5123">
        <w:rPr>
          <w:noProof/>
          <w:spacing w:val="-2"/>
          <w:szCs w:val="19"/>
          <w:lang w:eastAsia="pl-PL"/>
        </w:rPr>
        <w:t xml:space="preserve"> we </w:t>
      </w:r>
      <w:r w:rsidRPr="005644F6">
        <w:rPr>
          <w:noProof/>
          <w:spacing w:val="-2"/>
          <w:szCs w:val="19"/>
          <w:lang w:eastAsia="pl-PL"/>
        </w:rPr>
        <w:t xml:space="preserve">wszystkich </w:t>
      </w:r>
      <w:r w:rsidR="00823857" w:rsidRPr="005644F6">
        <w:rPr>
          <w:noProof/>
          <w:spacing w:val="-2"/>
          <w:szCs w:val="19"/>
          <w:lang w:eastAsia="pl-PL"/>
        </w:rPr>
        <w:t>działach budownictwa, przy czym w</w:t>
      </w:r>
      <w:r w:rsidRPr="005644F6">
        <w:rPr>
          <w:noProof/>
          <w:spacing w:val="-2"/>
          <w:szCs w:val="19"/>
          <w:lang w:eastAsia="pl-PL"/>
        </w:rPr>
        <w:t xml:space="preserve"> przedsiębiorstwach, których podstawowym rodzajem działalności </w:t>
      </w:r>
      <w:r w:rsidR="006B6D28">
        <w:rPr>
          <w:noProof/>
          <w:spacing w:val="-2"/>
          <w:szCs w:val="19"/>
          <w:lang w:eastAsia="pl-PL"/>
        </w:rPr>
        <w:t>była</w:t>
      </w:r>
      <w:r w:rsidRPr="005644F6">
        <w:rPr>
          <w:noProof/>
          <w:spacing w:val="-2"/>
          <w:szCs w:val="19"/>
          <w:lang w:eastAsia="pl-PL"/>
        </w:rPr>
        <w:t xml:space="preserve"> budowa obiektów inżynierii lądowej i wodnej</w:t>
      </w:r>
      <w:r w:rsidR="00823857" w:rsidRPr="005644F6">
        <w:rPr>
          <w:noProof/>
          <w:spacing w:val="-2"/>
          <w:szCs w:val="19"/>
          <w:lang w:eastAsia="pl-PL"/>
        </w:rPr>
        <w:t xml:space="preserve"> </w:t>
      </w:r>
      <w:r w:rsidR="006810AB" w:rsidRPr="005644F6">
        <w:rPr>
          <w:noProof/>
          <w:spacing w:val="-2"/>
          <w:szCs w:val="19"/>
          <w:lang w:eastAsia="pl-PL"/>
        </w:rPr>
        <w:t>–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o</w:t>
      </w:r>
      <w:r w:rsidR="00A9044B" w:rsidRPr="005644F6">
        <w:rPr>
          <w:noProof/>
          <w:spacing w:val="-2"/>
          <w:szCs w:val="19"/>
          <w:lang w:eastAsia="pl-PL"/>
        </w:rPr>
        <w:t xml:space="preserve"> </w:t>
      </w:r>
      <w:r w:rsidR="004E4974">
        <w:rPr>
          <w:noProof/>
          <w:spacing w:val="-2"/>
          <w:szCs w:val="19"/>
          <w:lang w:eastAsia="pl-PL"/>
        </w:rPr>
        <w:t>20</w:t>
      </w:r>
      <w:r w:rsidRPr="005644F6">
        <w:rPr>
          <w:noProof/>
          <w:spacing w:val="-2"/>
          <w:szCs w:val="19"/>
          <w:lang w:eastAsia="pl-PL"/>
        </w:rPr>
        <w:t>,</w:t>
      </w:r>
      <w:r w:rsidR="004E4974">
        <w:rPr>
          <w:noProof/>
          <w:spacing w:val="-2"/>
          <w:szCs w:val="19"/>
          <w:lang w:eastAsia="pl-PL"/>
        </w:rPr>
        <w:t>0</w:t>
      </w:r>
      <w:r w:rsidRPr="005644F6">
        <w:rPr>
          <w:noProof/>
          <w:spacing w:val="-2"/>
          <w:szCs w:val="19"/>
          <w:lang w:eastAsia="pl-PL"/>
        </w:rPr>
        <w:t xml:space="preserve">%, </w:t>
      </w:r>
      <w:r w:rsidR="004E4974">
        <w:rPr>
          <w:noProof/>
          <w:spacing w:val="-2"/>
          <w:szCs w:val="19"/>
          <w:lang w:eastAsia="pl-PL"/>
        </w:rPr>
        <w:t xml:space="preserve">zajmujących się budową budynków </w:t>
      </w:r>
      <w:r w:rsidR="00823857" w:rsidRPr="005644F6">
        <w:rPr>
          <w:noProof/>
          <w:spacing w:val="-2"/>
          <w:szCs w:val="19"/>
          <w:lang w:eastAsia="pl-PL"/>
        </w:rPr>
        <w:t>–</w:t>
      </w:r>
      <w:r w:rsidR="0061150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 xml:space="preserve">o </w:t>
      </w:r>
      <w:r w:rsidRPr="005644F6">
        <w:rPr>
          <w:noProof/>
          <w:spacing w:val="-2"/>
          <w:szCs w:val="19"/>
          <w:lang w:eastAsia="pl-PL"/>
        </w:rPr>
        <w:t>1</w:t>
      </w:r>
      <w:r w:rsidR="006810AB">
        <w:rPr>
          <w:noProof/>
          <w:spacing w:val="-2"/>
          <w:szCs w:val="19"/>
          <w:lang w:eastAsia="pl-PL"/>
        </w:rPr>
        <w:t>3</w:t>
      </w:r>
      <w:r w:rsidRPr="005644F6">
        <w:rPr>
          <w:noProof/>
          <w:spacing w:val="-2"/>
          <w:szCs w:val="19"/>
          <w:lang w:eastAsia="pl-PL"/>
        </w:rPr>
        <w:t>,</w:t>
      </w:r>
      <w:r w:rsidR="006810AB">
        <w:rPr>
          <w:noProof/>
          <w:spacing w:val="-2"/>
          <w:szCs w:val="19"/>
          <w:lang w:eastAsia="pl-PL"/>
        </w:rPr>
        <w:t>3</w:t>
      </w:r>
      <w:r w:rsidRPr="005644F6">
        <w:rPr>
          <w:noProof/>
          <w:spacing w:val="-2"/>
          <w:szCs w:val="19"/>
          <w:lang w:eastAsia="pl-PL"/>
        </w:rPr>
        <w:t xml:space="preserve">%, a w jednostkach </w:t>
      </w:r>
      <w:r w:rsidR="004E4974" w:rsidRPr="005644F6">
        <w:rPr>
          <w:noProof/>
          <w:spacing w:val="-2"/>
          <w:szCs w:val="19"/>
          <w:lang w:eastAsia="pl-PL"/>
        </w:rPr>
        <w:t>wykonujących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4E4974">
        <w:rPr>
          <w:noProof/>
          <w:spacing w:val="-2"/>
          <w:szCs w:val="19"/>
          <w:lang w:eastAsia="pl-PL"/>
        </w:rPr>
        <w:t>roboty specjalistyczne</w:t>
      </w:r>
      <w:r w:rsidR="006810AB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–</w:t>
      </w:r>
      <w:r w:rsidR="0061150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o</w:t>
      </w:r>
      <w:r w:rsidR="00175867">
        <w:rPr>
          <w:noProof/>
          <w:spacing w:val="-2"/>
          <w:szCs w:val="19"/>
          <w:lang w:eastAsia="pl-PL"/>
        </w:rPr>
        <w:t xml:space="preserve"> </w:t>
      </w:r>
      <w:r w:rsidR="004E4974">
        <w:rPr>
          <w:noProof/>
          <w:spacing w:val="-2"/>
          <w:szCs w:val="19"/>
          <w:lang w:eastAsia="pl-PL"/>
        </w:rPr>
        <w:t>12</w:t>
      </w:r>
      <w:r w:rsidRPr="005644F6">
        <w:rPr>
          <w:noProof/>
          <w:spacing w:val="-2"/>
          <w:szCs w:val="19"/>
          <w:lang w:eastAsia="pl-PL"/>
        </w:rPr>
        <w:t>,7%.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BB7E4D">
        <w:rPr>
          <w:noProof/>
          <w:spacing w:val="-2"/>
          <w:szCs w:val="19"/>
          <w:lang w:eastAsia="pl-PL"/>
        </w:rPr>
        <w:t>luty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 xml:space="preserve">(12,3%)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>w jedn</w:t>
      </w:r>
      <w:r w:rsidR="00BB7E4D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stkach, których podstawowym rodzajem dzialalności </w:t>
      </w:r>
      <w:r w:rsidR="00EB1576">
        <w:rPr>
          <w:noProof/>
          <w:spacing w:val="-2"/>
          <w:szCs w:val="19"/>
          <w:lang w:eastAsia="pl-PL"/>
        </w:rPr>
        <w:t>była</w:t>
      </w:r>
      <w:r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budowa obiekt</w:t>
      </w:r>
      <w:r w:rsidR="00D50EE0">
        <w:rPr>
          <w:noProof/>
          <w:spacing w:val="-2"/>
          <w:szCs w:val="19"/>
          <w:lang w:eastAsia="pl-PL"/>
        </w:rPr>
        <w:t>ów in</w:t>
      </w:r>
      <w:r w:rsidR="00075D16">
        <w:rPr>
          <w:noProof/>
          <w:spacing w:val="-2"/>
          <w:szCs w:val="19"/>
          <w:lang w:eastAsia="pl-PL"/>
        </w:rPr>
        <w:t>ż</w:t>
      </w:r>
      <w:r w:rsidR="00D50EE0">
        <w:rPr>
          <w:noProof/>
          <w:spacing w:val="-2"/>
          <w:szCs w:val="19"/>
          <w:lang w:eastAsia="pl-PL"/>
        </w:rPr>
        <w:t>yn</w:t>
      </w:r>
      <w:r w:rsidR="00CE3526">
        <w:rPr>
          <w:noProof/>
          <w:spacing w:val="-2"/>
          <w:szCs w:val="19"/>
          <w:lang w:eastAsia="pl-PL"/>
        </w:rPr>
        <w:t>ierii lądowej i wodnej</w:t>
      </w:r>
      <w:r w:rsidR="00D50EE0">
        <w:rPr>
          <w:noProof/>
          <w:spacing w:val="-2"/>
          <w:szCs w:val="19"/>
          <w:lang w:eastAsia="pl-PL"/>
        </w:rPr>
        <w:t xml:space="preserve">. Wzrosty odnotowały również przedsiębiorstwa </w:t>
      </w:r>
      <w:r w:rsidR="006D1E46">
        <w:rPr>
          <w:noProof/>
          <w:spacing w:val="-2"/>
          <w:szCs w:val="19"/>
          <w:lang w:eastAsia="pl-PL"/>
        </w:rPr>
        <w:t>specjalizujące się w</w:t>
      </w:r>
      <w:r w:rsidR="00624F3C">
        <w:rPr>
          <w:noProof/>
          <w:spacing w:val="-2"/>
          <w:szCs w:val="19"/>
          <w:lang w:eastAsia="pl-PL"/>
        </w:rPr>
        <w:t> </w:t>
      </w:r>
      <w:r w:rsidR="00D50EE0">
        <w:rPr>
          <w:noProof/>
          <w:spacing w:val="-2"/>
          <w:szCs w:val="19"/>
          <w:lang w:eastAsia="pl-PL"/>
        </w:rPr>
        <w:t>budow</w:t>
      </w:r>
      <w:r w:rsidR="006D1E46">
        <w:rPr>
          <w:noProof/>
          <w:spacing w:val="-2"/>
          <w:szCs w:val="19"/>
          <w:lang w:eastAsia="pl-PL"/>
        </w:rPr>
        <w:t>ie</w:t>
      </w:r>
      <w:r w:rsidR="00D50EE0">
        <w:rPr>
          <w:noProof/>
          <w:spacing w:val="-2"/>
          <w:szCs w:val="19"/>
          <w:lang w:eastAsia="pl-PL"/>
        </w:rPr>
        <w:t xml:space="preserve"> budynków </w:t>
      </w:r>
      <w:r w:rsidR="00CE3526">
        <w:rPr>
          <w:noProof/>
          <w:spacing w:val="-2"/>
          <w:szCs w:val="19"/>
          <w:lang w:eastAsia="pl-PL"/>
        </w:rPr>
        <w:t>(</w:t>
      </w:r>
      <w:r w:rsidR="00D50EE0">
        <w:rPr>
          <w:noProof/>
          <w:spacing w:val="-2"/>
          <w:szCs w:val="19"/>
          <w:lang w:eastAsia="pl-PL"/>
        </w:rPr>
        <w:t>11,6%</w:t>
      </w:r>
      <w:r w:rsidR="00CE3526">
        <w:rPr>
          <w:noProof/>
          <w:spacing w:val="-2"/>
          <w:szCs w:val="19"/>
          <w:lang w:eastAsia="pl-PL"/>
        </w:rPr>
        <w:t>)</w:t>
      </w:r>
      <w:r w:rsidR="00D50EE0">
        <w:rPr>
          <w:noProof/>
          <w:spacing w:val="-2"/>
          <w:szCs w:val="19"/>
          <w:lang w:eastAsia="pl-PL"/>
        </w:rPr>
        <w:t xml:space="preserve"> oraz jednostki zajmujące się wykonywaniem robót specjali</w:t>
      </w:r>
      <w:r w:rsidR="00177D0B">
        <w:rPr>
          <w:noProof/>
          <w:spacing w:val="-2"/>
          <w:szCs w:val="19"/>
          <w:lang w:eastAsia="pl-PL"/>
        </w:rPr>
        <w:t>s</w:t>
      </w:r>
      <w:r w:rsidR="00D50EE0">
        <w:rPr>
          <w:noProof/>
          <w:spacing w:val="-2"/>
          <w:szCs w:val="19"/>
          <w:lang w:eastAsia="pl-PL"/>
        </w:rPr>
        <w:t xml:space="preserve">tycznych </w:t>
      </w:r>
      <w:r w:rsidR="00CE3526">
        <w:rPr>
          <w:noProof/>
          <w:spacing w:val="-2"/>
          <w:szCs w:val="19"/>
          <w:lang w:eastAsia="pl-PL"/>
        </w:rPr>
        <w:t>(</w:t>
      </w:r>
      <w:r w:rsidR="00D50EE0">
        <w:rPr>
          <w:noProof/>
          <w:spacing w:val="-2"/>
          <w:szCs w:val="19"/>
          <w:lang w:eastAsia="pl-PL"/>
        </w:rPr>
        <w:t>0,5%</w:t>
      </w:r>
      <w:r w:rsidR="00CE3526">
        <w:rPr>
          <w:noProof/>
          <w:spacing w:val="-2"/>
          <w:szCs w:val="19"/>
          <w:lang w:eastAsia="pl-PL"/>
        </w:rPr>
        <w:t>)</w:t>
      </w:r>
      <w:r w:rsidR="00D50EE0">
        <w:rPr>
          <w:noProof/>
          <w:spacing w:val="-2"/>
          <w:szCs w:val="19"/>
          <w:lang w:eastAsia="pl-PL"/>
        </w:rPr>
        <w:t>.</w:t>
      </w:r>
      <w:r>
        <w:rPr>
          <w:noProof/>
          <w:spacing w:val="-2"/>
          <w:szCs w:val="19"/>
          <w:lang w:eastAsia="pl-PL"/>
        </w:rPr>
        <w:t xml:space="preserve">  </w:t>
      </w:r>
    </w:p>
    <w:p w:rsidR="0058201E" w:rsidRPr="00337E20" w:rsidRDefault="00CF3DB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5686425</wp:posOffset>
                </wp:positionH>
                <wp:positionV relativeFrom="paragraph">
                  <wp:posOffset>554609</wp:posOffset>
                </wp:positionV>
                <wp:extent cx="1821180" cy="1667510"/>
                <wp:effectExtent l="0" t="0" r="0" b="0"/>
                <wp:wrapTight wrapText="bothSides">
                  <wp:wrapPolygon edited="0">
                    <wp:start x="678" y="0"/>
                    <wp:lineTo x="678" y="21222"/>
                    <wp:lineTo x="20787" y="21222"/>
                    <wp:lineTo x="20787" y="0"/>
                    <wp:lineTo x="678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3B6903" w:rsidRDefault="004A2807" w:rsidP="004A2807">
                            <w:pPr>
                              <w:pStyle w:val="tekstzboku"/>
                              <w:suppressAutoHyphens/>
                            </w:pPr>
                            <w:r>
                              <w:t>Wartość robót inwestycyjnych</w:t>
                            </w:r>
                            <w:r w:rsidR="004F0D67">
                              <w:t xml:space="preserve"> w dwóch pierwszych miesiącach 2019 r.</w:t>
                            </w:r>
                            <w:r>
                              <w:t xml:space="preserve"> wzrosła </w:t>
                            </w:r>
                            <w:r w:rsidR="003444D8">
                              <w:t xml:space="preserve">o 6,9% </w:t>
                            </w:r>
                            <w:r w:rsidR="004F0D67">
                              <w:t>r/r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30" type="#_x0000_t202" style="position:absolute;margin-left:447.75pt;margin-top:43.65pt;width:143.4pt;height:131.3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" filled="f" stroked="f">
                <v:textbox>
                  <w:txbxContent>
                    <w:p w:rsidR="004A2807" w:rsidRPr="003B6903" w:rsidRDefault="004A2807" w:rsidP="004A2807">
                      <w:pPr>
                        <w:pStyle w:val="tekstzboku"/>
                        <w:suppressAutoHyphens/>
                      </w:pPr>
                      <w:r>
                        <w:t>Wartość robót inwestycyjnych</w:t>
                      </w:r>
                      <w:r w:rsidR="004F0D67">
                        <w:t xml:space="preserve"> w dwóch pierwszych miesiącach 2019 r.</w:t>
                      </w:r>
                      <w:r>
                        <w:t xml:space="preserve"> wzrosła </w:t>
                      </w:r>
                      <w:r w:rsidR="003444D8">
                        <w:t xml:space="preserve">o 6,9% </w:t>
                      </w:r>
                      <w:r w:rsidR="004F0D67">
                        <w:t>r/r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 xml:space="preserve">oty inwestycyjne w </w:t>
      </w:r>
      <w:r w:rsidR="00D50EE0">
        <w:rPr>
          <w:noProof/>
          <w:spacing w:val="-2"/>
          <w:szCs w:val="19"/>
          <w:lang w:eastAsia="pl-PL"/>
        </w:rPr>
        <w:t>lutym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457C11">
        <w:rPr>
          <w:noProof/>
          <w:spacing w:val="-2"/>
          <w:szCs w:val="19"/>
          <w:lang w:eastAsia="pl-PL"/>
        </w:rPr>
        <w:t>wyższa</w:t>
      </w:r>
      <w:r w:rsidR="0058201E" w:rsidRPr="005644F6">
        <w:rPr>
          <w:noProof/>
          <w:spacing w:val="-2"/>
          <w:szCs w:val="19"/>
          <w:lang w:eastAsia="pl-PL"/>
        </w:rPr>
        <w:t xml:space="preserve"> o 1</w:t>
      </w:r>
      <w:r w:rsidR="00457C11">
        <w:rPr>
          <w:noProof/>
          <w:spacing w:val="-2"/>
          <w:szCs w:val="19"/>
          <w:lang w:eastAsia="pl-PL"/>
        </w:rPr>
        <w:t>8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457C11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58201E" w:rsidRPr="005644F6">
        <w:rPr>
          <w:noProof/>
          <w:spacing w:val="-2"/>
          <w:szCs w:val="19"/>
          <w:lang w:eastAsia="pl-PL"/>
        </w:rPr>
        <w:t xml:space="preserve"> wzrost o </w:t>
      </w:r>
      <w:r w:rsidR="00457C11">
        <w:rPr>
          <w:noProof/>
          <w:spacing w:val="-2"/>
          <w:szCs w:val="19"/>
          <w:lang w:eastAsia="pl-PL"/>
        </w:rPr>
        <w:t>33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457C11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457C11">
        <w:rPr>
          <w:noProof/>
          <w:spacing w:val="-2"/>
          <w:szCs w:val="19"/>
          <w:lang w:eastAsia="pl-PL"/>
        </w:rPr>
        <w:t>,</w:t>
      </w:r>
      <w:r w:rsidR="0058201E" w:rsidRPr="005644F6">
        <w:rPr>
          <w:noProof/>
          <w:spacing w:val="-2"/>
          <w:szCs w:val="19"/>
          <w:lang w:eastAsia="pl-PL"/>
        </w:rPr>
        <w:t xml:space="preserve"> natomiast wartość robót o char</w:t>
      </w:r>
      <w:r w:rsidR="00126EF2" w:rsidRPr="005644F6">
        <w:rPr>
          <w:noProof/>
          <w:spacing w:val="-2"/>
          <w:szCs w:val="19"/>
          <w:lang w:eastAsia="pl-PL"/>
        </w:rPr>
        <w:t>a</w:t>
      </w:r>
      <w:r w:rsidR="0058201E" w:rsidRPr="005644F6">
        <w:rPr>
          <w:noProof/>
          <w:spacing w:val="-2"/>
          <w:szCs w:val="19"/>
          <w:lang w:eastAsia="pl-PL"/>
        </w:rPr>
        <w:t xml:space="preserve">kterze remontowym </w:t>
      </w:r>
      <w:r w:rsidR="00AA74DB">
        <w:rPr>
          <w:noProof/>
          <w:spacing w:val="-2"/>
          <w:szCs w:val="19"/>
          <w:lang w:eastAsia="pl-PL"/>
        </w:rPr>
        <w:t>zwiększyła się</w:t>
      </w:r>
      <w:r w:rsidR="00AA74DB">
        <w:rPr>
          <w:noProof/>
          <w:spacing w:val="-2"/>
          <w:szCs w:val="19"/>
          <w:lang w:eastAsia="pl-PL"/>
        </w:rPr>
        <w:br/>
      </w:r>
      <w:r w:rsidR="0058201E" w:rsidRPr="005644F6">
        <w:rPr>
          <w:noProof/>
          <w:spacing w:val="-2"/>
          <w:szCs w:val="19"/>
          <w:lang w:eastAsia="pl-PL"/>
        </w:rPr>
        <w:t>o 1</w:t>
      </w:r>
      <w:r w:rsidR="00457C11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457C11">
        <w:rPr>
          <w:noProof/>
          <w:spacing w:val="-2"/>
          <w:szCs w:val="19"/>
          <w:lang w:eastAsia="pl-PL"/>
        </w:rPr>
        <w:t>1</w:t>
      </w:r>
      <w:r w:rsidR="0058201E" w:rsidRPr="005644F6">
        <w:rPr>
          <w:noProof/>
          <w:spacing w:val="-2"/>
          <w:szCs w:val="19"/>
          <w:lang w:eastAsia="pl-PL"/>
        </w:rPr>
        <w:t>% (przed rokiem o 2</w:t>
      </w:r>
      <w:r w:rsidR="00457C11">
        <w:rPr>
          <w:noProof/>
          <w:spacing w:val="-2"/>
          <w:szCs w:val="19"/>
          <w:lang w:eastAsia="pl-PL"/>
        </w:rPr>
        <w:t>7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457C11">
        <w:rPr>
          <w:noProof/>
          <w:spacing w:val="-2"/>
          <w:szCs w:val="19"/>
          <w:lang w:eastAsia="pl-PL"/>
        </w:rPr>
        <w:t>2</w:t>
      </w:r>
      <w:r w:rsidR="0058201E" w:rsidRPr="005644F6">
        <w:rPr>
          <w:noProof/>
          <w:spacing w:val="-2"/>
          <w:szCs w:val="19"/>
          <w:lang w:eastAsia="pl-PL"/>
        </w:rPr>
        <w:t>%).</w:t>
      </w:r>
      <w:r w:rsidR="0058201E">
        <w:rPr>
          <w:noProof/>
          <w:spacing w:val="-2"/>
          <w:szCs w:val="19"/>
          <w:lang w:eastAsia="pl-PL"/>
        </w:rPr>
        <w:t xml:space="preserve"> 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okresie styczeń-luty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>robót inwestycyjnych w porównani</w:t>
      </w:r>
      <w:r w:rsidR="000E465E">
        <w:rPr>
          <w:noProof/>
          <w:spacing w:val="-2"/>
          <w:szCs w:val="19"/>
          <w:lang w:eastAsia="pl-PL"/>
        </w:rPr>
        <w:t>u z analogicznym okresem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6,9%,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11,2% (wobec analogicznych wzrostów o</w:t>
      </w:r>
      <w:r w:rsidR="009C420D">
        <w:rPr>
          <w:noProof/>
          <w:spacing w:val="-2"/>
          <w:szCs w:val="19"/>
          <w:lang w:eastAsia="pl-PL"/>
        </w:rPr>
        <w:t> </w:t>
      </w:r>
      <w:r>
        <w:rPr>
          <w:noProof/>
          <w:spacing w:val="-2"/>
          <w:szCs w:val="19"/>
          <w:lang w:eastAsia="pl-PL"/>
        </w:rPr>
        <w:t xml:space="preserve">36,7% i 24,9% w 2018 r.).  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C768AA">
      <w:pPr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 2015=100</w:t>
      </w:r>
      <w:r w:rsidR="00E639D3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4A6CF1" w:rsidRPr="00E639D3">
        <w:rPr>
          <w:sz w:val="16"/>
          <w:szCs w:val="16"/>
        </w:rPr>
        <w:t>lutego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 xml:space="preserve">Dynamika produkcji budowlano-montażowej w lutym br. (w cenach stałych) w porównaniu do przeciętnej miesięcznej wartości z roku 2015 wyniosła 79,1. 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7E7ED5">
        <w:rPr>
          <w:noProof/>
          <w:spacing w:val="-2"/>
          <w:szCs w:val="19"/>
          <w:lang w:eastAsia="pl-PL"/>
        </w:rPr>
        <w:t>1</w:t>
      </w:r>
      <w:r w:rsidR="0070173D" w:rsidRPr="0070173D">
        <w:rPr>
          <w:noProof/>
          <w:spacing w:val="-2"/>
          <w:szCs w:val="19"/>
          <w:lang w:eastAsia="pl-PL"/>
        </w:rPr>
        <w:t>3,</w:t>
      </w:r>
      <w:r w:rsidR="007E7ED5">
        <w:rPr>
          <w:noProof/>
          <w:spacing w:val="-2"/>
          <w:szCs w:val="19"/>
          <w:lang w:eastAsia="pl-PL"/>
        </w:rPr>
        <w:t>0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7E7ED5">
        <w:rPr>
          <w:noProof/>
          <w:spacing w:val="-2"/>
          <w:szCs w:val="19"/>
          <w:lang w:eastAsia="pl-PL"/>
        </w:rPr>
        <w:t>7</w:t>
      </w:r>
      <w:r w:rsidRPr="005644F6">
        <w:rPr>
          <w:noProof/>
          <w:spacing w:val="-2"/>
          <w:szCs w:val="19"/>
          <w:lang w:eastAsia="pl-PL"/>
        </w:rPr>
        <w:t>,</w:t>
      </w:r>
      <w:r w:rsidR="007E7ED5">
        <w:rPr>
          <w:noProof/>
          <w:spacing w:val="-2"/>
          <w:szCs w:val="19"/>
          <w:lang w:eastAsia="pl-PL"/>
        </w:rPr>
        <w:t>0</w:t>
      </w:r>
      <w:r w:rsidRPr="005644F6">
        <w:rPr>
          <w:noProof/>
          <w:spacing w:val="-2"/>
          <w:szCs w:val="19"/>
          <w:lang w:eastAsia="pl-PL"/>
        </w:rPr>
        <w:t>% 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7E7ED5">
        <w:rPr>
          <w:noProof/>
          <w:spacing w:val="-2"/>
          <w:szCs w:val="19"/>
          <w:lang w:eastAsia="pl-PL"/>
        </w:rPr>
        <w:t>e</w:t>
      </w:r>
      <w:r w:rsidR="00175867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styczniem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  <w:r w:rsidR="00186D53">
        <w:rPr>
          <w:noProof/>
          <w:spacing w:val="-2"/>
          <w:szCs w:val="19"/>
          <w:lang w:eastAsia="pl-PL"/>
        </w:rPr>
        <w:t xml:space="preserve">  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03FAA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="002A485C">
              <w:rPr>
                <w:rFonts w:cs="Arial"/>
                <w:color w:val="000000" w:themeColor="text1"/>
                <w:sz w:val="20"/>
              </w:rPr>
              <w:t> 533 23</w:t>
            </w:r>
            <w:r w:rsidRPr="00BC484C">
              <w:rPr>
                <w:rFonts w:cs="Arial"/>
                <w:color w:val="000000" w:themeColor="text1"/>
                <w:sz w:val="20"/>
              </w:rPr>
              <w:t>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e-mail:</w:t>
            </w:r>
            <w:r w:rsidRPr="002A485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 </w:t>
            </w:r>
            <w:hyperlink r:id="rId19" w:history="1">
              <w:r w:rsidR="001C2FA1" w:rsidRPr="002A485C">
                <w:rPr>
                  <w:rStyle w:val="Hipercze"/>
                  <w:rFonts w:ascii="Fira Sans" w:eastAsiaTheme="minorHAnsi" w:hAnsi="Fira Sans" w:cs="Arial"/>
                  <w:b/>
                  <w:color w:val="000000" w:themeColor="text1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C03FAA" w:rsidRDefault="008F1896" w:rsidP="008F1896">
            <w:pPr>
              <w:rPr>
                <w:sz w:val="20"/>
              </w:rPr>
            </w:pPr>
            <w:r w:rsidRPr="00C03FAA">
              <w:rPr>
                <w:b/>
                <w:sz w:val="20"/>
              </w:rPr>
              <w:t xml:space="preserve">tel.: </w:t>
            </w:r>
            <w:r w:rsidRPr="00C03FAA">
              <w:rPr>
                <w:sz w:val="20"/>
              </w:rPr>
              <w:t xml:space="preserve"> 22 608 3491,  22</w:t>
            </w:r>
            <w:r w:rsidR="002A485C" w:rsidRPr="00C03FAA">
              <w:rPr>
                <w:sz w:val="20"/>
              </w:rPr>
              <w:t xml:space="preserve"> 608 38</w:t>
            </w:r>
            <w:r w:rsidRPr="00C03FAA">
              <w:rPr>
                <w:sz w:val="20"/>
              </w:rPr>
              <w:t xml:space="preserve">04 </w:t>
            </w:r>
          </w:p>
          <w:p w:rsidR="008F1896" w:rsidRPr="008679DB" w:rsidRDefault="002A485C" w:rsidP="008F1896">
            <w:pPr>
              <w:rPr>
                <w:sz w:val="20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e-mail:</w:t>
            </w:r>
            <w:r w:rsidRPr="00C275DE">
              <w:rPr>
                <w:sz w:val="20"/>
                <w:lang w:val="en-US"/>
              </w:rPr>
              <w:t xml:space="preserve"> </w:t>
            </w:r>
            <w:hyperlink r:id="rId21" w:history="1">
              <w:r w:rsidRPr="002A485C">
                <w:rPr>
                  <w:rStyle w:val="Hipercze"/>
                  <w:rFonts w:cstheme="minorBidi"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  <w:r w:rsidR="008F1896" w:rsidRPr="008679DB">
              <w:rPr>
                <w:sz w:val="20"/>
                <w:lang w:val="en-US"/>
              </w:rPr>
              <w:t xml:space="preserve">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174419" w:rsidRDefault="002D2574" w:rsidP="008F1896">
            <w:pPr>
              <w:rPr>
                <w:sz w:val="20"/>
                <w:szCs w:val="20"/>
              </w:rPr>
            </w:pPr>
            <w:hyperlink r:id="rId23" w:history="1">
              <w:r w:rsidR="008F1896" w:rsidRPr="002A485C">
                <w:rPr>
                  <w:rStyle w:val="Hipercze"/>
                  <w:rFonts w:cstheme="minorBidi"/>
                  <w:color w:val="000000" w:themeColor="text1"/>
                  <w:sz w:val="20"/>
                  <w:szCs w:val="20"/>
                </w:rPr>
                <w:t>http://stat.gov.pl/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2A485C" w:rsidRDefault="002D2574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D91CC0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Biuletyn Statystyczny</w:t>
                              </w:r>
                            </w:hyperlink>
                          </w:p>
                          <w:p w:rsidR="00D91CC0" w:rsidRPr="002A485C" w:rsidRDefault="002D2574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7" w:history="1">
                              <w:r w:rsidR="00D91CC0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673C26" w:rsidRPr="007C79C9" w:rsidRDefault="002D257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8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2A485C" w:rsidRDefault="002D2574" w:rsidP="00643957">
                            <w:pPr>
                              <w:rPr>
                                <w:color w:val="001D77"/>
                              </w:rPr>
                            </w:pPr>
                            <w:hyperlink r:id="rId29" w:history="1">
                              <w:r w:rsidR="00643957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2A485C" w:rsidRDefault="002D2574" w:rsidP="00643957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hyperlink r:id="rId30" w:history="1">
                              <w:r w:rsidR="00643957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2A485C" w:rsidRDefault="002D2574" w:rsidP="00643957">
                            <w:pPr>
                              <w:rPr>
                                <w:color w:val="001D77"/>
                              </w:rPr>
                            </w:pPr>
                            <w:hyperlink r:id="rId31" w:history="1">
                              <w:r w:rsidR="000B0A9C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Bank D</w:t>
                              </w:r>
                              <w:r w:rsidR="00575D28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2A485C" w:rsidRDefault="002D2574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643957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2A485C" w:rsidRDefault="002D2574" w:rsidP="00643957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hyperlink r:id="rId33" w:history="1">
                              <w:r w:rsidR="00643957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2A485C" w:rsidRDefault="002D2574" w:rsidP="00643957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hyperlink r:id="rId34" w:history="1">
                              <w:r w:rsidR="00643957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Default="002D2574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643957" w:rsidRPr="002A485C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Default="005142C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6959E8" w:rsidRPr="006959E8" w:rsidRDefault="006959E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31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QQ+L4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2A485C" w:rsidRDefault="005623BF" w:rsidP="00AB6D25">
                      <w:pPr>
                        <w:rPr>
                          <w:color w:val="001D77"/>
                        </w:rPr>
                      </w:pPr>
                      <w:hyperlink r:id="rId36" w:history="1">
                        <w:r w:rsidR="00D91CC0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Biuletyn Statystyczny</w:t>
                        </w:r>
                      </w:hyperlink>
                    </w:p>
                    <w:p w:rsidR="00D91CC0" w:rsidRPr="002A485C" w:rsidRDefault="005623BF" w:rsidP="00AB6D25">
                      <w:pPr>
                        <w:rPr>
                          <w:color w:val="001D77"/>
                        </w:rPr>
                      </w:pPr>
                      <w:hyperlink r:id="rId37" w:history="1">
                        <w:r w:rsidR="00D91CC0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Informacja o sytuacji społeczno-gospodarczej kraju</w:t>
                        </w:r>
                      </w:hyperlink>
                    </w:p>
                    <w:p w:rsidR="00673C26" w:rsidRPr="007C79C9" w:rsidRDefault="005623B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38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2A485C" w:rsidRDefault="005623BF" w:rsidP="00643957">
                      <w:pPr>
                        <w:rPr>
                          <w:color w:val="001D77"/>
                        </w:rPr>
                      </w:pPr>
                      <w:hyperlink r:id="rId39" w:history="1">
                        <w:r w:rsidR="00643957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Dziedzinowe Bazy Wiedzy - Budownictwo</w:t>
                        </w:r>
                      </w:hyperlink>
                    </w:p>
                    <w:p w:rsidR="00643957" w:rsidRPr="002A485C" w:rsidRDefault="005623BF" w:rsidP="00643957">
                      <w:pPr>
                        <w:rPr>
                          <w:color w:val="001D77"/>
                          <w:u w:val="single"/>
                        </w:rPr>
                      </w:pPr>
                      <w:hyperlink r:id="rId40" w:history="1">
                        <w:r w:rsidR="00643957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Wskaźniki makroekonomiczne</w:t>
                        </w:r>
                      </w:hyperlink>
                      <w:bookmarkStart w:id="1" w:name="_GoBack"/>
                      <w:bookmarkEnd w:id="1"/>
                    </w:p>
                    <w:p w:rsidR="00575D28" w:rsidRPr="002A485C" w:rsidRDefault="005623BF" w:rsidP="00643957">
                      <w:pPr>
                        <w:rPr>
                          <w:color w:val="001D77"/>
                        </w:rPr>
                      </w:pPr>
                      <w:hyperlink r:id="rId41" w:history="1">
                        <w:r w:rsidR="000B0A9C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Bank D</w:t>
                        </w:r>
                        <w:r w:rsidR="00575D28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anych Makroekonomicznych</w:t>
                        </w:r>
                      </w:hyperlink>
                    </w:p>
                    <w:p w:rsidR="00ED2F18" w:rsidRPr="002A485C" w:rsidRDefault="005623BF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643957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2A485C" w:rsidRDefault="005623BF" w:rsidP="00643957">
                      <w:pPr>
                        <w:rPr>
                          <w:color w:val="001D77"/>
                          <w:u w:val="single"/>
                        </w:rPr>
                      </w:pPr>
                      <w:hyperlink r:id="rId43" w:history="1">
                        <w:r w:rsidR="00643957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Sprzedaż produkcji budowlano-montażowej</w:t>
                        </w:r>
                      </w:hyperlink>
                    </w:p>
                    <w:p w:rsidR="00643957" w:rsidRPr="002A485C" w:rsidRDefault="005623BF" w:rsidP="00643957">
                      <w:pPr>
                        <w:rPr>
                          <w:color w:val="001D77"/>
                          <w:u w:val="single"/>
                        </w:rPr>
                      </w:pPr>
                      <w:hyperlink r:id="rId44" w:history="1">
                        <w:r w:rsidR="00643957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Default="005623BF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643957" w:rsidRPr="002A485C">
                          <w:rPr>
                            <w:rStyle w:val="Hipercze"/>
                            <w:rFonts w:cstheme="minorBidi"/>
                            <w:color w:val="001D77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Default="005142C6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6959E8" w:rsidRPr="006959E8" w:rsidRDefault="006959E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</w:p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6"/>
      <w:footerReference w:type="default" r:id="rId47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74" w:rsidRDefault="002D2574" w:rsidP="000662E2">
      <w:pPr>
        <w:spacing w:after="0" w:line="240" w:lineRule="auto"/>
      </w:pPr>
      <w:r>
        <w:separator/>
      </w:r>
    </w:p>
  </w:endnote>
  <w:endnote w:type="continuationSeparator" w:id="0">
    <w:p w:rsidR="002D2574" w:rsidRDefault="002D25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FAA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74" w:rsidRDefault="002D2574" w:rsidP="000662E2">
      <w:pPr>
        <w:spacing w:after="0" w:line="240" w:lineRule="auto"/>
      </w:pPr>
      <w:r>
        <w:separator/>
      </w:r>
    </w:p>
  </w:footnote>
  <w:footnote w:type="continuationSeparator" w:id="0">
    <w:p w:rsidR="002D2574" w:rsidRDefault="002D2574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5DB9B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3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3138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2688D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3138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2688D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45pt;height:123.1pt;visibility:visible;mso-wrap-style:square" o:bullet="t">
        <v:imagedata r:id="rId1" o:title=""/>
      </v:shape>
    </w:pict>
  </w:numPicBullet>
  <w:numPicBullet w:numPicBulletId="1">
    <w:pict>
      <v:shape id="_x0000_i1033" type="#_x0000_t75" style="width:122.45pt;height:123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82E"/>
    <w:rsid w:val="000470AA"/>
    <w:rsid w:val="0004727E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66D7F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242E"/>
    <w:rsid w:val="000934F7"/>
    <w:rsid w:val="0009394E"/>
    <w:rsid w:val="00097679"/>
    <w:rsid w:val="000A0B6C"/>
    <w:rsid w:val="000A1861"/>
    <w:rsid w:val="000A5EEA"/>
    <w:rsid w:val="000A7B6E"/>
    <w:rsid w:val="000B04D5"/>
    <w:rsid w:val="000B0727"/>
    <w:rsid w:val="000B0A9C"/>
    <w:rsid w:val="000B208F"/>
    <w:rsid w:val="000B3D5D"/>
    <w:rsid w:val="000C135D"/>
    <w:rsid w:val="000C1F25"/>
    <w:rsid w:val="000C2B07"/>
    <w:rsid w:val="000C5181"/>
    <w:rsid w:val="000C5358"/>
    <w:rsid w:val="000C5386"/>
    <w:rsid w:val="000C5397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5DD1"/>
    <w:rsid w:val="001011C3"/>
    <w:rsid w:val="00103447"/>
    <w:rsid w:val="001055A7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36AC"/>
    <w:rsid w:val="00126EF2"/>
    <w:rsid w:val="00130296"/>
    <w:rsid w:val="001331CC"/>
    <w:rsid w:val="00135CA6"/>
    <w:rsid w:val="00140062"/>
    <w:rsid w:val="001423B6"/>
    <w:rsid w:val="001448A7"/>
    <w:rsid w:val="00146621"/>
    <w:rsid w:val="00146E3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75867"/>
    <w:rsid w:val="00177D0B"/>
    <w:rsid w:val="001802BD"/>
    <w:rsid w:val="00180640"/>
    <w:rsid w:val="001834E2"/>
    <w:rsid w:val="00186D53"/>
    <w:rsid w:val="00190EA5"/>
    <w:rsid w:val="001951DA"/>
    <w:rsid w:val="00195207"/>
    <w:rsid w:val="001A013B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3959"/>
    <w:rsid w:val="00214694"/>
    <w:rsid w:val="00214731"/>
    <w:rsid w:val="00222567"/>
    <w:rsid w:val="00227724"/>
    <w:rsid w:val="00231107"/>
    <w:rsid w:val="002338F4"/>
    <w:rsid w:val="00233D39"/>
    <w:rsid w:val="002376C0"/>
    <w:rsid w:val="00246C19"/>
    <w:rsid w:val="00253A97"/>
    <w:rsid w:val="002568AB"/>
    <w:rsid w:val="002574F9"/>
    <w:rsid w:val="00263373"/>
    <w:rsid w:val="002635DF"/>
    <w:rsid w:val="00272778"/>
    <w:rsid w:val="00274B1D"/>
    <w:rsid w:val="002756B6"/>
    <w:rsid w:val="00276811"/>
    <w:rsid w:val="00282699"/>
    <w:rsid w:val="002847AA"/>
    <w:rsid w:val="00290365"/>
    <w:rsid w:val="002926DF"/>
    <w:rsid w:val="00296697"/>
    <w:rsid w:val="002A3214"/>
    <w:rsid w:val="002A485C"/>
    <w:rsid w:val="002A7A55"/>
    <w:rsid w:val="002B046F"/>
    <w:rsid w:val="002B0472"/>
    <w:rsid w:val="002B6B12"/>
    <w:rsid w:val="002C2FF1"/>
    <w:rsid w:val="002C374C"/>
    <w:rsid w:val="002C4C4F"/>
    <w:rsid w:val="002C74FB"/>
    <w:rsid w:val="002D0E0C"/>
    <w:rsid w:val="002D2574"/>
    <w:rsid w:val="002E1A89"/>
    <w:rsid w:val="002E6140"/>
    <w:rsid w:val="002E6985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397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7D72"/>
    <w:rsid w:val="003503F7"/>
    <w:rsid w:val="00357611"/>
    <w:rsid w:val="00357C47"/>
    <w:rsid w:val="00367237"/>
    <w:rsid w:val="00370091"/>
    <w:rsid w:val="0037077F"/>
    <w:rsid w:val="00373882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F3148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6F54"/>
    <w:rsid w:val="00473092"/>
    <w:rsid w:val="004733F6"/>
    <w:rsid w:val="00474E69"/>
    <w:rsid w:val="00475544"/>
    <w:rsid w:val="00480B84"/>
    <w:rsid w:val="0048597E"/>
    <w:rsid w:val="00485D27"/>
    <w:rsid w:val="00486816"/>
    <w:rsid w:val="0049621B"/>
    <w:rsid w:val="00496575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5BD"/>
    <w:rsid w:val="004F63FC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61E5"/>
    <w:rsid w:val="00536822"/>
    <w:rsid w:val="0054251F"/>
    <w:rsid w:val="00545165"/>
    <w:rsid w:val="005455BC"/>
    <w:rsid w:val="00547DD0"/>
    <w:rsid w:val="00550618"/>
    <w:rsid w:val="00550FFC"/>
    <w:rsid w:val="005520D8"/>
    <w:rsid w:val="00556CF1"/>
    <w:rsid w:val="005623BF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201E"/>
    <w:rsid w:val="00585E20"/>
    <w:rsid w:val="005871A3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C43CC"/>
    <w:rsid w:val="005C63F1"/>
    <w:rsid w:val="005D188C"/>
    <w:rsid w:val="005D4BBC"/>
    <w:rsid w:val="005E0799"/>
    <w:rsid w:val="005E444D"/>
    <w:rsid w:val="005E7AA5"/>
    <w:rsid w:val="005F1E67"/>
    <w:rsid w:val="005F39F3"/>
    <w:rsid w:val="005F5A80"/>
    <w:rsid w:val="0060323D"/>
    <w:rsid w:val="00603D6E"/>
    <w:rsid w:val="006044FF"/>
    <w:rsid w:val="006062CA"/>
    <w:rsid w:val="00607CC5"/>
    <w:rsid w:val="00611254"/>
    <w:rsid w:val="00611508"/>
    <w:rsid w:val="006129DF"/>
    <w:rsid w:val="00622B75"/>
    <w:rsid w:val="00624F3C"/>
    <w:rsid w:val="0063104C"/>
    <w:rsid w:val="00633014"/>
    <w:rsid w:val="00633EA6"/>
    <w:rsid w:val="0063437B"/>
    <w:rsid w:val="00643957"/>
    <w:rsid w:val="00644CFF"/>
    <w:rsid w:val="006460F8"/>
    <w:rsid w:val="0065120E"/>
    <w:rsid w:val="00657BEF"/>
    <w:rsid w:val="00660684"/>
    <w:rsid w:val="006618BD"/>
    <w:rsid w:val="00667289"/>
    <w:rsid w:val="006673CA"/>
    <w:rsid w:val="00667960"/>
    <w:rsid w:val="00673C26"/>
    <w:rsid w:val="00676552"/>
    <w:rsid w:val="006810AB"/>
    <w:rsid w:val="006812AF"/>
    <w:rsid w:val="0068185F"/>
    <w:rsid w:val="0068327D"/>
    <w:rsid w:val="00683404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D1E46"/>
    <w:rsid w:val="006D4054"/>
    <w:rsid w:val="006D46F9"/>
    <w:rsid w:val="006D7265"/>
    <w:rsid w:val="006E02EC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E1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41C70"/>
    <w:rsid w:val="00746187"/>
    <w:rsid w:val="0076135F"/>
    <w:rsid w:val="00761B1A"/>
    <w:rsid w:val="0076254F"/>
    <w:rsid w:val="00762624"/>
    <w:rsid w:val="00763370"/>
    <w:rsid w:val="007641BE"/>
    <w:rsid w:val="00770C58"/>
    <w:rsid w:val="0077217E"/>
    <w:rsid w:val="00773968"/>
    <w:rsid w:val="007801F5"/>
    <w:rsid w:val="00783CA4"/>
    <w:rsid w:val="007842FB"/>
    <w:rsid w:val="00786124"/>
    <w:rsid w:val="0078716F"/>
    <w:rsid w:val="00787CD9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1AE6"/>
    <w:rsid w:val="007E3314"/>
    <w:rsid w:val="007E4B03"/>
    <w:rsid w:val="007E7131"/>
    <w:rsid w:val="007E7ED5"/>
    <w:rsid w:val="007F0908"/>
    <w:rsid w:val="007F324B"/>
    <w:rsid w:val="00801E4E"/>
    <w:rsid w:val="0080553C"/>
    <w:rsid w:val="00805B46"/>
    <w:rsid w:val="008132D9"/>
    <w:rsid w:val="00823814"/>
    <w:rsid w:val="00823857"/>
    <w:rsid w:val="00825DC2"/>
    <w:rsid w:val="00825FBA"/>
    <w:rsid w:val="008301CC"/>
    <w:rsid w:val="00834AC9"/>
    <w:rsid w:val="00834AD3"/>
    <w:rsid w:val="008359F6"/>
    <w:rsid w:val="00843795"/>
    <w:rsid w:val="00844A39"/>
    <w:rsid w:val="00846562"/>
    <w:rsid w:val="00847909"/>
    <w:rsid w:val="00847F0F"/>
    <w:rsid w:val="00851A78"/>
    <w:rsid w:val="00852448"/>
    <w:rsid w:val="00853958"/>
    <w:rsid w:val="008569B2"/>
    <w:rsid w:val="00857C1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6DCC"/>
    <w:rsid w:val="008A0FFA"/>
    <w:rsid w:val="008A26D9"/>
    <w:rsid w:val="008A27C8"/>
    <w:rsid w:val="008A3724"/>
    <w:rsid w:val="008A4BEB"/>
    <w:rsid w:val="008B6A2F"/>
    <w:rsid w:val="008C0C29"/>
    <w:rsid w:val="008C431E"/>
    <w:rsid w:val="008C5E1E"/>
    <w:rsid w:val="008D2B32"/>
    <w:rsid w:val="008E2301"/>
    <w:rsid w:val="008E6266"/>
    <w:rsid w:val="008F08A0"/>
    <w:rsid w:val="008F1896"/>
    <w:rsid w:val="008F3638"/>
    <w:rsid w:val="008F4063"/>
    <w:rsid w:val="008F6F31"/>
    <w:rsid w:val="008F74DF"/>
    <w:rsid w:val="00900CD4"/>
    <w:rsid w:val="0090415A"/>
    <w:rsid w:val="00906035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720A"/>
    <w:rsid w:val="00930C81"/>
    <w:rsid w:val="00931A65"/>
    <w:rsid w:val="00933EC1"/>
    <w:rsid w:val="0093408D"/>
    <w:rsid w:val="00937881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635A5"/>
    <w:rsid w:val="00963C90"/>
    <w:rsid w:val="00967FD8"/>
    <w:rsid w:val="009705EE"/>
    <w:rsid w:val="009732EE"/>
    <w:rsid w:val="009734D1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A27F7"/>
    <w:rsid w:val="009A3F21"/>
    <w:rsid w:val="009A6EA0"/>
    <w:rsid w:val="009B0EB6"/>
    <w:rsid w:val="009B1C77"/>
    <w:rsid w:val="009B4A1B"/>
    <w:rsid w:val="009C0A9B"/>
    <w:rsid w:val="009C1335"/>
    <w:rsid w:val="009C164E"/>
    <w:rsid w:val="009C1AB2"/>
    <w:rsid w:val="009C420D"/>
    <w:rsid w:val="009C5AC9"/>
    <w:rsid w:val="009C6876"/>
    <w:rsid w:val="009C7251"/>
    <w:rsid w:val="009C7E69"/>
    <w:rsid w:val="009D07FE"/>
    <w:rsid w:val="009D3FCB"/>
    <w:rsid w:val="009D604E"/>
    <w:rsid w:val="009E1BA5"/>
    <w:rsid w:val="009E2E91"/>
    <w:rsid w:val="009E5123"/>
    <w:rsid w:val="009E5714"/>
    <w:rsid w:val="009E5C5B"/>
    <w:rsid w:val="009E7D61"/>
    <w:rsid w:val="009F23BA"/>
    <w:rsid w:val="009F4220"/>
    <w:rsid w:val="009F7D73"/>
    <w:rsid w:val="00A05838"/>
    <w:rsid w:val="00A072EE"/>
    <w:rsid w:val="00A139F5"/>
    <w:rsid w:val="00A2477B"/>
    <w:rsid w:val="00A24AC8"/>
    <w:rsid w:val="00A326FE"/>
    <w:rsid w:val="00A365F4"/>
    <w:rsid w:val="00A36F0A"/>
    <w:rsid w:val="00A375EE"/>
    <w:rsid w:val="00A40159"/>
    <w:rsid w:val="00A41DEF"/>
    <w:rsid w:val="00A43F34"/>
    <w:rsid w:val="00A47543"/>
    <w:rsid w:val="00A47D80"/>
    <w:rsid w:val="00A53132"/>
    <w:rsid w:val="00A5619B"/>
    <w:rsid w:val="00A563F2"/>
    <w:rsid w:val="00A566E8"/>
    <w:rsid w:val="00A61018"/>
    <w:rsid w:val="00A63D2E"/>
    <w:rsid w:val="00A644CB"/>
    <w:rsid w:val="00A66A5C"/>
    <w:rsid w:val="00A72AC4"/>
    <w:rsid w:val="00A76125"/>
    <w:rsid w:val="00A810F9"/>
    <w:rsid w:val="00A81451"/>
    <w:rsid w:val="00A8219A"/>
    <w:rsid w:val="00A86ECC"/>
    <w:rsid w:val="00A86FCC"/>
    <w:rsid w:val="00A87B85"/>
    <w:rsid w:val="00A9044B"/>
    <w:rsid w:val="00A9161C"/>
    <w:rsid w:val="00A928D6"/>
    <w:rsid w:val="00A9351A"/>
    <w:rsid w:val="00A969DB"/>
    <w:rsid w:val="00AA0BAD"/>
    <w:rsid w:val="00AA710D"/>
    <w:rsid w:val="00AA74DB"/>
    <w:rsid w:val="00AB1F02"/>
    <w:rsid w:val="00AB3023"/>
    <w:rsid w:val="00AB3A8D"/>
    <w:rsid w:val="00AB6D25"/>
    <w:rsid w:val="00AB710D"/>
    <w:rsid w:val="00AC144D"/>
    <w:rsid w:val="00AD6497"/>
    <w:rsid w:val="00AE02E0"/>
    <w:rsid w:val="00AE1CD1"/>
    <w:rsid w:val="00AE2D4B"/>
    <w:rsid w:val="00AE454D"/>
    <w:rsid w:val="00AE4F99"/>
    <w:rsid w:val="00B04E87"/>
    <w:rsid w:val="00B06A0A"/>
    <w:rsid w:val="00B06BC2"/>
    <w:rsid w:val="00B1119A"/>
    <w:rsid w:val="00B132C3"/>
    <w:rsid w:val="00B14952"/>
    <w:rsid w:val="00B15AC0"/>
    <w:rsid w:val="00B221AE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57A"/>
    <w:rsid w:val="00B73046"/>
    <w:rsid w:val="00B76497"/>
    <w:rsid w:val="00B914E9"/>
    <w:rsid w:val="00B956EE"/>
    <w:rsid w:val="00BA2BA1"/>
    <w:rsid w:val="00BB36CB"/>
    <w:rsid w:val="00BB4E3C"/>
    <w:rsid w:val="00BB4F09"/>
    <w:rsid w:val="00BB74B8"/>
    <w:rsid w:val="00BB7E4D"/>
    <w:rsid w:val="00BC484C"/>
    <w:rsid w:val="00BD4E33"/>
    <w:rsid w:val="00BD79BE"/>
    <w:rsid w:val="00BE3861"/>
    <w:rsid w:val="00BE3ABE"/>
    <w:rsid w:val="00BE4949"/>
    <w:rsid w:val="00BE6DE2"/>
    <w:rsid w:val="00BF0999"/>
    <w:rsid w:val="00BF2ECA"/>
    <w:rsid w:val="00C030DE"/>
    <w:rsid w:val="00C0314E"/>
    <w:rsid w:val="00C03CAC"/>
    <w:rsid w:val="00C03EDB"/>
    <w:rsid w:val="00C03FAA"/>
    <w:rsid w:val="00C05229"/>
    <w:rsid w:val="00C13062"/>
    <w:rsid w:val="00C22105"/>
    <w:rsid w:val="00C22167"/>
    <w:rsid w:val="00C244B6"/>
    <w:rsid w:val="00C2742C"/>
    <w:rsid w:val="00C275DE"/>
    <w:rsid w:val="00C313AB"/>
    <w:rsid w:val="00C31800"/>
    <w:rsid w:val="00C3702F"/>
    <w:rsid w:val="00C378F5"/>
    <w:rsid w:val="00C41253"/>
    <w:rsid w:val="00C414B5"/>
    <w:rsid w:val="00C4577F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284E"/>
    <w:rsid w:val="00CD43C2"/>
    <w:rsid w:val="00CD43C5"/>
    <w:rsid w:val="00CD544C"/>
    <w:rsid w:val="00CD58B7"/>
    <w:rsid w:val="00CE2C29"/>
    <w:rsid w:val="00CE3526"/>
    <w:rsid w:val="00CF1168"/>
    <w:rsid w:val="00CF34F4"/>
    <w:rsid w:val="00CF3DB6"/>
    <w:rsid w:val="00CF4099"/>
    <w:rsid w:val="00CF6077"/>
    <w:rsid w:val="00CF7C3B"/>
    <w:rsid w:val="00D00796"/>
    <w:rsid w:val="00D01E2E"/>
    <w:rsid w:val="00D0793C"/>
    <w:rsid w:val="00D12BF4"/>
    <w:rsid w:val="00D14A85"/>
    <w:rsid w:val="00D17A8D"/>
    <w:rsid w:val="00D20E52"/>
    <w:rsid w:val="00D231EB"/>
    <w:rsid w:val="00D256D6"/>
    <w:rsid w:val="00D25E71"/>
    <w:rsid w:val="00D261A2"/>
    <w:rsid w:val="00D41ABA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2658"/>
    <w:rsid w:val="00D82AEC"/>
    <w:rsid w:val="00D8397C"/>
    <w:rsid w:val="00D87F34"/>
    <w:rsid w:val="00D91CC0"/>
    <w:rsid w:val="00D93E5C"/>
    <w:rsid w:val="00D942BC"/>
    <w:rsid w:val="00D94AE6"/>
    <w:rsid w:val="00D94EED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4870"/>
    <w:rsid w:val="00DD52B0"/>
    <w:rsid w:val="00DD6CAE"/>
    <w:rsid w:val="00DE0973"/>
    <w:rsid w:val="00DE393E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6A6B"/>
    <w:rsid w:val="00E17B77"/>
    <w:rsid w:val="00E20DFD"/>
    <w:rsid w:val="00E22474"/>
    <w:rsid w:val="00E23337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FF9"/>
    <w:rsid w:val="00E45719"/>
    <w:rsid w:val="00E46147"/>
    <w:rsid w:val="00E4714C"/>
    <w:rsid w:val="00E51AEB"/>
    <w:rsid w:val="00E52002"/>
    <w:rsid w:val="00E522A7"/>
    <w:rsid w:val="00E54452"/>
    <w:rsid w:val="00E576E8"/>
    <w:rsid w:val="00E639D3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66AB"/>
    <w:rsid w:val="00E97E10"/>
    <w:rsid w:val="00EA2A04"/>
    <w:rsid w:val="00EA397A"/>
    <w:rsid w:val="00EB1390"/>
    <w:rsid w:val="00EB1576"/>
    <w:rsid w:val="00EB1C36"/>
    <w:rsid w:val="00EB2C71"/>
    <w:rsid w:val="00EB4340"/>
    <w:rsid w:val="00EB45A4"/>
    <w:rsid w:val="00EB556D"/>
    <w:rsid w:val="00EB5A7D"/>
    <w:rsid w:val="00EC2BAB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2A45"/>
    <w:rsid w:val="00EF2B7C"/>
    <w:rsid w:val="00EF7CA4"/>
    <w:rsid w:val="00F037A4"/>
    <w:rsid w:val="00F0451D"/>
    <w:rsid w:val="00F04CEF"/>
    <w:rsid w:val="00F05CB5"/>
    <w:rsid w:val="00F1007C"/>
    <w:rsid w:val="00F16178"/>
    <w:rsid w:val="00F16287"/>
    <w:rsid w:val="00F225DE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021"/>
    <w:rsid w:val="00F63470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3125"/>
    <w:rsid w:val="00F9454E"/>
    <w:rsid w:val="00F959E3"/>
    <w:rsid w:val="00F963CF"/>
    <w:rsid w:val="00F97DD1"/>
    <w:rsid w:val="00FA18F1"/>
    <w:rsid w:val="00FA374B"/>
    <w:rsid w:val="00FA414F"/>
    <w:rsid w:val="00FA45A6"/>
    <w:rsid w:val="00FA5128"/>
    <w:rsid w:val="00FB2497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inne-opracowania/informacje-o-sytuacji-spoleczno-gospodarczej/biuletyn-statystyczny-nr-102018,4,81.html" TargetMode="External"/><Relationship Id="rId39" Type="http://schemas.openxmlformats.org/officeDocument/2006/relationships/hyperlink" Target="http://swaid.stat.gov.pl/SitePagesDBW/Budownictwo.aspx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1170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waid.stat.gov.pl/SitePagesDBW/Budownictwo.aspx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pazdzierniku-2018-r-,1,78.html" TargetMode="External"/><Relationship Id="rId40" Type="http://schemas.openxmlformats.org/officeDocument/2006/relationships/hyperlink" Target="http://stat.gov.pl/wskazniki-makroekonomiczne/" TargetMode="External"/><Relationship Id="rId45" Type="http://schemas.openxmlformats.org/officeDocument/2006/relationships/hyperlink" Target="http://stat.gov.pl/metainformacje/slownik-pojec/pojecia-stosowane-w-statystyce-publicznej/1310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6" Type="http://schemas.openxmlformats.org/officeDocument/2006/relationships/hyperlink" Target="http://stat.gov.pl/obszary-tematyczne/inne-opracowania/informacje-o-sytuacji-spoleczno-gospodarczej/biuletyn-statystyczny-nr-102018,4,81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metainformacje/slownik-pojec/pojecia-stosowane-w-statystyce-publicznej/1170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tat.gov.pl/obszary-tematyczne/inne-opracowania/informacje-o-sytuacji-spoleczno-gospodarczej/informacja-o-sytuacji-spoleczno-gospodarczej-kraju-w-pazdzierniku-2018-r-,1,78.html" TargetMode="External"/><Relationship Id="rId30" Type="http://schemas.openxmlformats.org/officeDocument/2006/relationships/hyperlink" Target="http://stat.gov.pl/wskazniki-makroekonomiczne/" TargetMode="External"/><Relationship Id="rId35" Type="http://schemas.openxmlformats.org/officeDocument/2006/relationships/hyperlink" Target="http://stat.gov.pl/metainformacje/slownik-pojec/pojecia-stosowane-w-statystyce-publicznej/1310,pojecie.html" TargetMode="External"/><Relationship Id="rId43" Type="http://schemas.openxmlformats.org/officeDocument/2006/relationships/hyperlink" Target="http://stat.gov.pl/metainformacje/slownik-pojec/pojecia-stosowane-w-statystyce-publicznej/701,pojecie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701,pojecie.html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6" Type="http://schemas.openxmlformats.org/officeDocument/2006/relationships/header" Target="header3.xm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18451792"/>
        <c:axId val="-1618450160"/>
      </c:lineChart>
      <c:catAx>
        <c:axId val="-161845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8450160"/>
        <c:crossesAt val="100"/>
        <c:auto val="1"/>
        <c:lblAlgn val="ctr"/>
        <c:lblOffset val="100"/>
        <c:noMultiLvlLbl val="0"/>
      </c:catAx>
      <c:valAx>
        <c:axId val="-161845016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845179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EF037-1853-4805-9DED-EDCF7D03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przemysłowej i budowlano – montażowej w listopadzie 2018 r.</dc:title>
  <dc:subject/>
  <dc:creator>Łokietek Katarzyna</dc:creator>
  <cp:keywords/>
  <dc:description/>
  <cp:lastModifiedBy>Karczmarski Jacek</cp:lastModifiedBy>
  <cp:revision>3</cp:revision>
  <cp:lastPrinted>2019-03-21T07:29:00Z</cp:lastPrinted>
  <dcterms:created xsi:type="dcterms:W3CDTF">2019-03-21T07:27:00Z</dcterms:created>
  <dcterms:modified xsi:type="dcterms:W3CDTF">2019-03-21T07:33:00Z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