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662D82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Obrót nieruchomościami w</w:t>
      </w:r>
      <w:r w:rsidR="00CF3D9C">
        <w:rPr>
          <w:shd w:val="clear" w:color="auto" w:fill="FFFFFF"/>
        </w:rPr>
        <w:t xml:space="preserve"> 2018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C4141C" w:rsidP="00074DD8">
      <w:pPr>
        <w:pStyle w:val="tytuinformacji"/>
        <w:rPr>
          <w:sz w:val="32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Pr="00074DD8" w:rsidRDefault="00982393" w:rsidP="00907E1E">
                  <w:pPr>
                    <w:pStyle w:val="tekstzboku"/>
                  </w:pPr>
                  <w:r w:rsidRPr="00437162">
                    <w:t xml:space="preserve">Największy wzrost liczby </w:t>
                  </w:r>
                  <w:r>
                    <w:br/>
                  </w:r>
                  <w:r w:rsidRPr="00437162">
                    <w:t xml:space="preserve">aktów notarialnych odnotowano </w:t>
                  </w:r>
                  <w:r>
                    <w:t>w przypadku</w:t>
                  </w:r>
                  <w:r w:rsidRPr="00437162">
                    <w:t xml:space="preserve"> sprzedaży działek zabudowanych </w:t>
                  </w:r>
                  <w:r>
                    <w:br/>
                  </w:r>
                  <w:r w:rsidRPr="00437162">
                    <w:t xml:space="preserve">budynkiem mieszkalnym </w:t>
                  </w:r>
                  <w:r>
                    <w:br/>
                  </w:r>
                  <w:r w:rsidR="00B852C0">
                    <w:t>(o 12</w:t>
                  </w:r>
                  <w:r w:rsidRPr="00437162">
                    <w:t>,5%)</w:t>
                  </w:r>
                </w:p>
              </w:txbxContent>
            </v:textbox>
            <w10:wrap type="tight"/>
          </v:shape>
        </w:pict>
      </w:r>
    </w:p>
    <w:p w:rsidR="00BD5E55" w:rsidRPr="00662D82" w:rsidRDefault="00C4141C" w:rsidP="00662D82">
      <w:pPr>
        <w:pStyle w:val="LID"/>
        <w:rPr>
          <w:shd w:val="clear" w:color="auto" w:fill="FFFFFF"/>
        </w:rPr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662D82" w:rsidRPr="00B66B19" w:rsidRDefault="00F22BD7" w:rsidP="00662D82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F0760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7,6</w:t>
                  </w:r>
                  <w:r w:rsidR="00B67DAA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662D82" w:rsidRPr="00074DD8" w:rsidRDefault="00662D82" w:rsidP="00662D82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liczby aktów notarialnych dot. sprzedaży </w:t>
                  </w:r>
                  <w:r>
                    <w:br/>
                    <w:t>nieruchomości</w:t>
                  </w:r>
                </w:p>
                <w:p w:rsidR="00F22BD7" w:rsidRPr="00074DD8" w:rsidRDefault="00F22BD7" w:rsidP="00662D82">
                  <w:pPr>
                    <w:spacing w:after="0" w:line="240" w:lineRule="auto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7068CE" w:rsidRPr="007068CE">
        <w:t xml:space="preserve"> </w:t>
      </w:r>
      <w:r w:rsidR="00201F46">
        <w:t>W 2018 roku podpisano 525</w:t>
      </w:r>
      <w:r w:rsidR="00B87673">
        <w:t>,</w:t>
      </w:r>
      <w:r w:rsidR="00662D82" w:rsidRPr="007068CE">
        <w:t>1 tys. aktów notarialnych dotycząc</w:t>
      </w:r>
      <w:r w:rsidR="00201F46">
        <w:t>ych sprzedaży nieruchomości, o 7,6</w:t>
      </w:r>
      <w:r w:rsidR="001B3BD6">
        <w:t>% więcej niż rok wcześ</w:t>
      </w:r>
      <w:bookmarkStart w:id="0" w:name="_GoBack"/>
      <w:bookmarkEnd w:id="0"/>
      <w:r w:rsidR="00662D82" w:rsidRPr="007068CE">
        <w:t>niej.</w:t>
      </w:r>
      <w:r w:rsidR="00662D82">
        <w:t xml:space="preserve"> </w:t>
      </w:r>
      <w:r w:rsidR="00201F46">
        <w:rPr>
          <w:shd w:val="clear" w:color="auto" w:fill="FFFFFF"/>
        </w:rPr>
        <w:t>W porównaniu z 2017</w:t>
      </w:r>
      <w:r w:rsidR="00662D82" w:rsidRPr="007068CE">
        <w:rPr>
          <w:shd w:val="clear" w:color="auto" w:fill="FFFFFF"/>
        </w:rPr>
        <w:t xml:space="preserve"> rokiem największy wzrost liczby akt</w:t>
      </w:r>
      <w:r w:rsidR="00662D82">
        <w:rPr>
          <w:shd w:val="clear" w:color="auto" w:fill="FFFFFF"/>
        </w:rPr>
        <w:t>ów notarialnych wystąpił w przy</w:t>
      </w:r>
      <w:r w:rsidR="00662D82" w:rsidRPr="007068CE">
        <w:rPr>
          <w:shd w:val="clear" w:color="auto" w:fill="FFFFFF"/>
        </w:rPr>
        <w:t>padku sprzedaży działek zabudow</w:t>
      </w:r>
      <w:r w:rsidR="00201F46">
        <w:rPr>
          <w:shd w:val="clear" w:color="auto" w:fill="FFFFFF"/>
        </w:rPr>
        <w:t>anych budynkiem mieszkalnym (o 12</w:t>
      </w:r>
      <w:r w:rsidR="00662D82" w:rsidRPr="007068CE">
        <w:rPr>
          <w:shd w:val="clear" w:color="auto" w:fill="FFFFFF"/>
        </w:rPr>
        <w:t>,5%), sprzedaży lok</w:t>
      </w:r>
      <w:r w:rsidR="00662D82">
        <w:rPr>
          <w:shd w:val="clear" w:color="auto" w:fill="FFFFFF"/>
        </w:rPr>
        <w:t>a</w:t>
      </w:r>
      <w:r w:rsidR="00201F46">
        <w:rPr>
          <w:shd w:val="clear" w:color="auto" w:fill="FFFFFF"/>
        </w:rPr>
        <w:t>li (o 9,7</w:t>
      </w:r>
      <w:r w:rsidR="00662D82" w:rsidRPr="007068CE">
        <w:rPr>
          <w:shd w:val="clear" w:color="auto" w:fill="FFFFFF"/>
        </w:rPr>
        <w:t>%), sprzed</w:t>
      </w:r>
      <w:r w:rsidR="00201F46">
        <w:rPr>
          <w:shd w:val="clear" w:color="auto" w:fill="FFFFFF"/>
        </w:rPr>
        <w:t>aży działek niezabudowanych (o 9,7%) oraz sprzedaży nieruchomości innych (o 6,8</w:t>
      </w:r>
      <w:r w:rsidR="00662D82" w:rsidRPr="007068CE">
        <w:rPr>
          <w:shd w:val="clear" w:color="auto" w:fill="FFFFFF"/>
        </w:rPr>
        <w:t xml:space="preserve">%). Największy spadek odnotowano natomiast w przypadku aktów notarialnych dotyczących sprzedaży nieruchomości </w:t>
      </w:r>
      <w:r w:rsidR="00201F46">
        <w:rPr>
          <w:shd w:val="clear" w:color="auto" w:fill="FFFFFF"/>
        </w:rPr>
        <w:t>na rzecz Skarbu Państwa lub jednostki samorządu terytorialnego (o 9,9</w:t>
      </w:r>
      <w:r w:rsidR="00662D82">
        <w:rPr>
          <w:shd w:val="clear" w:color="auto" w:fill="FFFFFF"/>
        </w:rPr>
        <w:t xml:space="preserve">%) oraz </w:t>
      </w:r>
      <w:r w:rsidR="00201F46">
        <w:rPr>
          <w:shd w:val="clear" w:color="auto" w:fill="FFFFFF"/>
        </w:rPr>
        <w:t>oddania przez Skarb Państwa lub jednostki samorządu terytorialnego w użytkowanie wieczyste wraz ze sprzedażą budynku</w:t>
      </w:r>
      <w:r w:rsidR="00662D82">
        <w:rPr>
          <w:shd w:val="clear" w:color="auto" w:fill="FFFFFF"/>
        </w:rPr>
        <w:t xml:space="preserve"> (o </w:t>
      </w:r>
      <w:r w:rsidR="00201F46">
        <w:rPr>
          <w:shd w:val="clear" w:color="auto" w:fill="FFFFFF"/>
        </w:rPr>
        <w:t>8,4</w:t>
      </w:r>
      <w:r w:rsidR="00662D82" w:rsidRPr="007068CE">
        <w:rPr>
          <w:shd w:val="clear" w:color="auto" w:fill="FFFFFF"/>
        </w:rPr>
        <w:t>%).</w:t>
      </w:r>
    </w:p>
    <w:p w:rsidR="00ED54C1" w:rsidRDefault="00ED54C1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>Tablica 1. Akty notarialne dot. sprzed</w:t>
      </w:r>
      <w:r>
        <w:rPr>
          <w:rFonts w:ascii="Fira Sans" w:hAnsi="Fira Sans"/>
          <w:b/>
          <w:color w:val="auto"/>
          <w:sz w:val="18"/>
          <w:szCs w:val="18"/>
        </w:rPr>
        <w:t>aży nieruchomości zawarte w 2018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37"/>
        <w:gridCol w:w="1324"/>
        <w:gridCol w:w="1322"/>
      </w:tblGrid>
      <w:tr w:rsidR="00662D82" w:rsidRPr="00907E1E" w:rsidTr="00E20A7C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E779BA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2018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E779BA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2017</w:t>
            </w:r>
            <w:r w:rsidR="00662D82" w:rsidRPr="00907E1E">
              <w:rPr>
                <w:color w:val="000000" w:themeColor="text1"/>
                <w:sz w:val="16"/>
                <w:szCs w:val="18"/>
              </w:rPr>
              <w:t xml:space="preserve"> = 100</w:t>
            </w:r>
          </w:p>
        </w:tc>
      </w:tr>
      <w:tr w:rsidR="00F07602" w:rsidRPr="00907E1E" w:rsidTr="00D2431D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F07602" w:rsidRPr="00F07602" w:rsidRDefault="00F07602" w:rsidP="00F07602">
            <w:pPr>
              <w:jc w:val="right"/>
              <w:rPr>
                <w:b/>
                <w:sz w:val="16"/>
                <w:szCs w:val="16"/>
              </w:rPr>
            </w:pPr>
            <w:r w:rsidRPr="00F07602">
              <w:rPr>
                <w:b/>
                <w:sz w:val="16"/>
                <w:szCs w:val="16"/>
              </w:rPr>
              <w:t>525</w:t>
            </w:r>
            <w:r w:rsidR="00201F46">
              <w:rPr>
                <w:b/>
                <w:sz w:val="16"/>
                <w:szCs w:val="16"/>
              </w:rPr>
              <w:t xml:space="preserve"> </w:t>
            </w:r>
            <w:r w:rsidRPr="00F07602">
              <w:rPr>
                <w:b/>
                <w:sz w:val="16"/>
                <w:szCs w:val="16"/>
              </w:rPr>
              <w:t>082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F07602" w:rsidRPr="00F07602" w:rsidRDefault="00F07602" w:rsidP="00F07602">
            <w:pPr>
              <w:jc w:val="right"/>
              <w:rPr>
                <w:b/>
                <w:sz w:val="16"/>
                <w:szCs w:val="16"/>
              </w:rPr>
            </w:pPr>
            <w:r w:rsidRPr="00F07602">
              <w:rPr>
                <w:b/>
                <w:sz w:val="16"/>
                <w:szCs w:val="16"/>
              </w:rPr>
              <w:t>107,6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lokali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209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997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109,7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niezabudowanych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103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737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109,7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rolnych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57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780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100,5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mieszkalnym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53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871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112,5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spółdzielczego własnościowego prawa do lokalu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48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918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103,6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innych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24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153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106,8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o innym przeznaczeniu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15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853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102,9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prawa użytkowania wieczystego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6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573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95,4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na rzecz Skarbu Państwa lub JST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3</w:t>
            </w:r>
            <w:r w:rsidR="00201F46">
              <w:rPr>
                <w:sz w:val="16"/>
                <w:szCs w:val="16"/>
              </w:rPr>
              <w:t xml:space="preserve"> </w:t>
            </w:r>
            <w:r w:rsidRPr="00F07602">
              <w:rPr>
                <w:sz w:val="16"/>
                <w:szCs w:val="16"/>
              </w:rPr>
              <w:t>829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90,1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07602" w:rsidP="00F07602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Oddanie przez Skarb Państwa lub jedno</w:t>
            </w:r>
            <w:r>
              <w:rPr>
                <w:sz w:val="16"/>
                <w:szCs w:val="18"/>
              </w:rPr>
              <w:t>stki samorządu terytorialnego w </w:t>
            </w:r>
            <w:r w:rsidRPr="00907E1E">
              <w:rPr>
                <w:sz w:val="16"/>
                <w:szCs w:val="18"/>
              </w:rPr>
              <w:t>użytkowanie wieczyste wraz ze sprzedażą budynku</w:t>
            </w:r>
          </w:p>
        </w:tc>
        <w:tc>
          <w:tcPr>
            <w:tcW w:w="799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371</w:t>
            </w:r>
          </w:p>
        </w:tc>
        <w:tc>
          <w:tcPr>
            <w:tcW w:w="798" w:type="pct"/>
          </w:tcPr>
          <w:p w:rsidR="00F07602" w:rsidRPr="00F07602" w:rsidRDefault="00F07602" w:rsidP="00F07602">
            <w:pPr>
              <w:jc w:val="right"/>
              <w:rPr>
                <w:sz w:val="16"/>
                <w:szCs w:val="16"/>
              </w:rPr>
            </w:pPr>
            <w:r w:rsidRPr="00F07602">
              <w:rPr>
                <w:sz w:val="16"/>
                <w:szCs w:val="16"/>
              </w:rPr>
              <w:t>91,6</w:t>
            </w:r>
          </w:p>
        </w:tc>
      </w:tr>
    </w:tbl>
    <w:p w:rsidR="00662D82" w:rsidRPr="00EF5A95" w:rsidRDefault="00662D82" w:rsidP="00662D82">
      <w:pPr>
        <w:pStyle w:val="Akapitzlist"/>
        <w:spacing w:line="260" w:lineRule="exact"/>
        <w:ind w:left="0"/>
        <w:rPr>
          <w:sz w:val="16"/>
          <w:shd w:val="clear" w:color="auto" w:fill="FFFFFF"/>
        </w:rPr>
      </w:pPr>
      <w:r w:rsidRPr="00EF5A95">
        <w:rPr>
          <w:sz w:val="16"/>
          <w:shd w:val="clear" w:color="auto" w:fill="FFFFFF"/>
        </w:rPr>
        <w:t>Źródło: dane Ministerstwa Sprawiedliwości</w:t>
      </w:r>
    </w:p>
    <w:p w:rsidR="00ED54C1" w:rsidRDefault="00ED54C1" w:rsidP="00662D82">
      <w:pPr>
        <w:pStyle w:val="LID"/>
        <w:rPr>
          <w:b w:val="0"/>
        </w:rPr>
      </w:pPr>
    </w:p>
    <w:p w:rsidR="00ED54C1" w:rsidRDefault="00ED54C1" w:rsidP="00662D82">
      <w:pPr>
        <w:pStyle w:val="LID"/>
        <w:rPr>
          <w:b w:val="0"/>
        </w:rPr>
      </w:pPr>
    </w:p>
    <w:p w:rsidR="00662D82" w:rsidRDefault="00662D82" w:rsidP="00662D82">
      <w:pPr>
        <w:pStyle w:val="LID"/>
      </w:pPr>
      <w:r w:rsidRPr="00D9798A">
        <w:rPr>
          <w:b w:val="0"/>
        </w:rPr>
        <w:lastRenderedPageBreak/>
        <w:t>Według danych pozyskanych z Rejestru Cen i Wartości Nieruchomości</w:t>
      </w:r>
      <w:r w:rsidR="00ED54C1">
        <w:rPr>
          <w:b w:val="0"/>
        </w:rPr>
        <w:t xml:space="preserve"> (RCiWN), w 2018</w:t>
      </w:r>
      <w:r>
        <w:rPr>
          <w:b w:val="0"/>
        </w:rPr>
        <w:t xml:space="preserve"> roku zawarto</w:t>
      </w:r>
      <w:r w:rsidR="00BC3E8F">
        <w:rPr>
          <w:b w:val="0"/>
        </w:rPr>
        <w:t xml:space="preserve"> ponad</w:t>
      </w:r>
      <w:r>
        <w:rPr>
          <w:b w:val="0"/>
        </w:rPr>
        <w:t xml:space="preserve"> </w:t>
      </w:r>
      <w:r w:rsidR="00BC3E8F" w:rsidRPr="00BC3E8F">
        <w:rPr>
          <w:b w:val="0"/>
        </w:rPr>
        <w:t>470</w:t>
      </w:r>
      <w:r w:rsidRPr="00BC3E8F">
        <w:rPr>
          <w:b w:val="0"/>
        </w:rPr>
        <w:t xml:space="preserve"> tys.</w:t>
      </w:r>
      <w:r w:rsidRPr="00D9798A">
        <w:rPr>
          <w:b w:val="0"/>
        </w:rPr>
        <w:t xml:space="preserve"> transakcji kupna</w:t>
      </w:r>
      <w:r>
        <w:rPr>
          <w:b w:val="0"/>
        </w:rPr>
        <w:t xml:space="preserve">/sprzedaży nieuchomości tj. </w:t>
      </w:r>
      <w:r w:rsidR="00AE6760" w:rsidRPr="00AE6760">
        <w:rPr>
          <w:b w:val="0"/>
        </w:rPr>
        <w:t>o 11,2</w:t>
      </w:r>
      <w:r w:rsidRPr="00AE6760">
        <w:rPr>
          <w:b w:val="0"/>
        </w:rPr>
        <w:t>% więcej</w:t>
      </w:r>
      <w:r w:rsidRPr="00D9798A">
        <w:rPr>
          <w:b w:val="0"/>
        </w:rPr>
        <w:t xml:space="preserve"> niż przed rokiem. </w:t>
      </w:r>
      <w:r>
        <w:rPr>
          <w:b w:val="0"/>
        </w:rPr>
        <w:t xml:space="preserve">Wartość transakcji była </w:t>
      </w:r>
      <w:r w:rsidR="00AE6760" w:rsidRPr="00B4095C">
        <w:rPr>
          <w:b w:val="0"/>
        </w:rPr>
        <w:t>wyższa</w:t>
      </w:r>
      <w:r w:rsidR="00B4095C" w:rsidRPr="00B4095C">
        <w:rPr>
          <w:b w:val="0"/>
        </w:rPr>
        <w:t xml:space="preserve"> o 18,5</w:t>
      </w:r>
      <w:r w:rsidRPr="00B4095C">
        <w:rPr>
          <w:b w:val="0"/>
        </w:rPr>
        <w:t>%</w:t>
      </w:r>
      <w:r>
        <w:rPr>
          <w:b w:val="0"/>
        </w:rPr>
        <w:t xml:space="preserve"> i wyniosła </w:t>
      </w:r>
      <w:r w:rsidR="00AE6760" w:rsidRPr="00AE6760">
        <w:rPr>
          <w:b w:val="0"/>
        </w:rPr>
        <w:t>ponad 121</w:t>
      </w:r>
      <w:r w:rsidRPr="00AE6760">
        <w:rPr>
          <w:b w:val="0"/>
        </w:rPr>
        <w:t xml:space="preserve"> mld</w:t>
      </w:r>
      <w:r>
        <w:rPr>
          <w:b w:val="0"/>
        </w:rPr>
        <w:t xml:space="preserve"> zł. </w:t>
      </w:r>
    </w:p>
    <w:p w:rsidR="00ED54C1" w:rsidRDefault="00ED54C1" w:rsidP="00662D82">
      <w:pPr>
        <w:pStyle w:val="LID"/>
        <w:rPr>
          <w:sz w:val="18"/>
          <w:szCs w:val="18"/>
        </w:rPr>
      </w:pPr>
    </w:p>
    <w:p w:rsidR="00662D82" w:rsidRDefault="00ED54C1" w:rsidP="00662D82">
      <w:pPr>
        <w:pStyle w:val="LID"/>
        <w:rPr>
          <w:sz w:val="18"/>
          <w:szCs w:val="18"/>
        </w:rPr>
      </w:pPr>
      <w:r w:rsidRPr="0050294D">
        <w:rPr>
          <w:sz w:val="18"/>
          <w:szCs w:val="18"/>
        </w:rPr>
        <w:t>Tablica 2. Wielkość obrotu nieruchomoś</w:t>
      </w:r>
      <w:r>
        <w:rPr>
          <w:sz w:val="18"/>
          <w:szCs w:val="18"/>
        </w:rPr>
        <w:t xml:space="preserve">ciami (wg stanu RCiWN w dniu 25 </w:t>
      </w:r>
      <w:r w:rsidR="00C04B5B">
        <w:rPr>
          <w:sz w:val="18"/>
          <w:szCs w:val="18"/>
        </w:rPr>
        <w:t>kwietnia 2019</w:t>
      </w:r>
      <w:r w:rsidRPr="0050294D">
        <w:rPr>
          <w:sz w:val="18"/>
          <w:szCs w:val="18"/>
        </w:rPr>
        <w:t>)</w:t>
      </w:r>
    </w:p>
    <w:p w:rsidR="00662D82" w:rsidRDefault="00662D82" w:rsidP="00662D82">
      <w:pPr>
        <w:pStyle w:val="LID"/>
        <w:rPr>
          <w:b w:val="0"/>
        </w:rPr>
      </w:pP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662D82" w:rsidRPr="00263373" w:rsidTr="00E20A7C">
        <w:trPr>
          <w:trHeight w:val="57"/>
        </w:trPr>
        <w:tc>
          <w:tcPr>
            <w:tcW w:w="2552" w:type="dxa"/>
            <w:vMerge w:val="restart"/>
            <w:vAlign w:val="center"/>
          </w:tcPr>
          <w:p w:rsidR="00662D82" w:rsidRPr="00263373" w:rsidRDefault="00662D82" w:rsidP="00E20A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662D82" w:rsidRPr="00263373" w:rsidRDefault="00662D82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Liczba transakcji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662D82" w:rsidRPr="00263373" w:rsidRDefault="00B94454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Wartość transakcji</w:t>
            </w: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vMerge/>
            <w:vAlign w:val="center"/>
          </w:tcPr>
          <w:p w:rsidR="00662D82" w:rsidRPr="00263373" w:rsidRDefault="00662D82" w:rsidP="00E20A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62D82" w:rsidRPr="00C04B5B" w:rsidRDefault="007C475F" w:rsidP="00E20A7C">
            <w:pPr>
              <w:jc w:val="center"/>
              <w:rPr>
                <w:sz w:val="16"/>
                <w:szCs w:val="18"/>
                <w:highlight w:val="yellow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62D82" w:rsidRPr="00C04B5B" w:rsidRDefault="007C475F" w:rsidP="00E20A7C">
            <w:pPr>
              <w:jc w:val="center"/>
              <w:rPr>
                <w:sz w:val="16"/>
                <w:szCs w:val="18"/>
                <w:highlight w:val="yellow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662D82" w:rsidRPr="00C04B5B" w:rsidRDefault="007C475F" w:rsidP="00E20A7C">
            <w:pPr>
              <w:spacing w:before="0" w:after="0"/>
              <w:jc w:val="center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2017</w:t>
            </w:r>
            <w:r w:rsidR="00662D82" w:rsidRPr="007C475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62D82" w:rsidRPr="007C475F" w:rsidRDefault="007C475F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62D82" w:rsidRPr="007C475F" w:rsidRDefault="007C475F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2018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662D82" w:rsidRPr="00C04B5B" w:rsidRDefault="007C475F" w:rsidP="00E20A7C">
            <w:pPr>
              <w:jc w:val="center"/>
              <w:rPr>
                <w:sz w:val="16"/>
                <w:szCs w:val="18"/>
                <w:highlight w:val="yellow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  <w:r w:rsidR="00662D82" w:rsidRPr="007C475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662D82" w:rsidRPr="00263373" w:rsidRDefault="00662D82" w:rsidP="00E20A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662D82" w:rsidRDefault="00662D82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 szt.</w:t>
            </w:r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662D82" w:rsidRPr="00263373" w:rsidRDefault="00662D82" w:rsidP="00E20A7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662D82" w:rsidRDefault="00662D82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 mln zł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662D82" w:rsidRDefault="00662D82" w:rsidP="00E20A7C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662D82" w:rsidRPr="00263373" w:rsidRDefault="00662D82" w:rsidP="00E20A7C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662D82" w:rsidRPr="007C475F" w:rsidRDefault="007C475F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7C475F">
              <w:rPr>
                <w:b/>
                <w:sz w:val="16"/>
                <w:szCs w:val="18"/>
                <w:shd w:val="clear" w:color="auto" w:fill="FFFFFF"/>
              </w:rPr>
              <w:t>422950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662D82" w:rsidRPr="00BC3E8F" w:rsidRDefault="00BC3E8F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BC3E8F">
              <w:rPr>
                <w:b/>
                <w:sz w:val="16"/>
                <w:szCs w:val="18"/>
                <w:shd w:val="clear" w:color="auto" w:fill="FFFFFF"/>
              </w:rPr>
              <w:t>470214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662D82" w:rsidRPr="00BC3E8F" w:rsidRDefault="00BC3E8F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BC3E8F">
              <w:rPr>
                <w:b/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850" w:type="dxa"/>
            <w:tcBorders>
              <w:top w:val="single" w:sz="12" w:space="0" w:color="212492"/>
            </w:tcBorders>
            <w:vAlign w:val="center"/>
          </w:tcPr>
          <w:p w:rsidR="00662D82" w:rsidRPr="007C475F" w:rsidRDefault="007C475F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7C475F">
              <w:rPr>
                <w:b/>
                <w:sz w:val="16"/>
                <w:szCs w:val="18"/>
                <w:shd w:val="clear" w:color="auto" w:fill="FFFFFF"/>
              </w:rPr>
              <w:t>102234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662D82" w:rsidRPr="00AE6760" w:rsidRDefault="00AE6760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AE6760">
              <w:rPr>
                <w:b/>
                <w:sz w:val="16"/>
                <w:szCs w:val="18"/>
                <w:shd w:val="clear" w:color="auto" w:fill="FFFFFF"/>
              </w:rPr>
              <w:t>121136</w:t>
            </w:r>
          </w:p>
        </w:tc>
        <w:tc>
          <w:tcPr>
            <w:tcW w:w="1002" w:type="dxa"/>
            <w:tcBorders>
              <w:top w:val="single" w:sz="12" w:space="0" w:color="212492"/>
            </w:tcBorders>
            <w:vAlign w:val="center"/>
          </w:tcPr>
          <w:p w:rsidR="00662D82" w:rsidRPr="00B4095C" w:rsidRDefault="00B4095C" w:rsidP="00E20A7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B4095C">
              <w:rPr>
                <w:b/>
                <w:sz w:val="16"/>
                <w:szCs w:val="18"/>
                <w:shd w:val="clear" w:color="auto" w:fill="FFFFFF"/>
              </w:rPr>
              <w:t>118,5</w:t>
            </w: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vAlign w:val="center"/>
          </w:tcPr>
          <w:p w:rsidR="00662D82" w:rsidRPr="00263373" w:rsidRDefault="00662D82" w:rsidP="00E20A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Nieruchomości lokalowe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2D82" w:rsidRPr="007C475F" w:rsidRDefault="007C475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204396</w:t>
            </w:r>
          </w:p>
        </w:tc>
        <w:tc>
          <w:tcPr>
            <w:tcW w:w="851" w:type="dxa"/>
            <w:vAlign w:val="center"/>
          </w:tcPr>
          <w:p w:rsidR="00662D82" w:rsidRPr="00BC3E8F" w:rsidRDefault="00BC3E8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229776</w:t>
            </w:r>
          </w:p>
        </w:tc>
        <w:tc>
          <w:tcPr>
            <w:tcW w:w="992" w:type="dxa"/>
            <w:vAlign w:val="center"/>
          </w:tcPr>
          <w:p w:rsidR="00662D82" w:rsidRPr="00C04B5B" w:rsidRDefault="00BC3E8F" w:rsidP="00E20A7C">
            <w:pPr>
              <w:jc w:val="right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112,4</w:t>
            </w:r>
          </w:p>
        </w:tc>
        <w:tc>
          <w:tcPr>
            <w:tcW w:w="850" w:type="dxa"/>
            <w:vAlign w:val="center"/>
          </w:tcPr>
          <w:p w:rsidR="00662D82" w:rsidRPr="007C475F" w:rsidRDefault="007C475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50124</w:t>
            </w:r>
          </w:p>
        </w:tc>
        <w:tc>
          <w:tcPr>
            <w:tcW w:w="851" w:type="dxa"/>
            <w:vAlign w:val="center"/>
          </w:tcPr>
          <w:p w:rsidR="00662D82" w:rsidRPr="00AE6760" w:rsidRDefault="00BC3E8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AE6760">
              <w:rPr>
                <w:sz w:val="16"/>
                <w:szCs w:val="18"/>
                <w:shd w:val="clear" w:color="auto" w:fill="FFFFFF"/>
              </w:rPr>
              <w:t>59564</w:t>
            </w:r>
          </w:p>
        </w:tc>
        <w:tc>
          <w:tcPr>
            <w:tcW w:w="1002" w:type="dxa"/>
            <w:vAlign w:val="center"/>
          </w:tcPr>
          <w:p w:rsidR="00662D82" w:rsidRPr="00B4095C" w:rsidRDefault="00B4095C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B4095C">
              <w:rPr>
                <w:sz w:val="16"/>
                <w:szCs w:val="18"/>
                <w:shd w:val="clear" w:color="auto" w:fill="FFFFFF"/>
              </w:rPr>
              <w:t>118,8</w:t>
            </w: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vAlign w:val="center"/>
          </w:tcPr>
          <w:p w:rsidR="00662D82" w:rsidRPr="00263373" w:rsidRDefault="00662D82" w:rsidP="00E20A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 xml:space="preserve">Nieruchomości zabudowane </w:t>
            </w:r>
            <w:r w:rsidR="00B94454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992" w:type="dxa"/>
            <w:vAlign w:val="center"/>
          </w:tcPr>
          <w:p w:rsidR="00662D82" w:rsidRPr="007C475F" w:rsidRDefault="007C475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71314</w:t>
            </w:r>
          </w:p>
        </w:tc>
        <w:tc>
          <w:tcPr>
            <w:tcW w:w="851" w:type="dxa"/>
            <w:vAlign w:val="center"/>
          </w:tcPr>
          <w:p w:rsidR="00662D82" w:rsidRPr="00C04B5B" w:rsidRDefault="00BC3E8F" w:rsidP="00E20A7C">
            <w:pPr>
              <w:jc w:val="right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79947</w:t>
            </w:r>
          </w:p>
        </w:tc>
        <w:tc>
          <w:tcPr>
            <w:tcW w:w="992" w:type="dxa"/>
            <w:vAlign w:val="center"/>
          </w:tcPr>
          <w:p w:rsidR="00662D82" w:rsidRPr="00C04B5B" w:rsidRDefault="00BC3E8F" w:rsidP="00E20A7C">
            <w:pPr>
              <w:jc w:val="right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112,1</w:t>
            </w:r>
          </w:p>
        </w:tc>
        <w:tc>
          <w:tcPr>
            <w:tcW w:w="850" w:type="dxa"/>
            <w:vAlign w:val="center"/>
          </w:tcPr>
          <w:p w:rsidR="00662D82" w:rsidRPr="007C475F" w:rsidRDefault="007C475F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30010</w:t>
            </w:r>
          </w:p>
        </w:tc>
        <w:tc>
          <w:tcPr>
            <w:tcW w:w="851" w:type="dxa"/>
            <w:vAlign w:val="center"/>
          </w:tcPr>
          <w:p w:rsidR="00662D82" w:rsidRPr="00AE6760" w:rsidRDefault="00AE6760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AE6760">
              <w:rPr>
                <w:sz w:val="16"/>
                <w:szCs w:val="18"/>
                <w:shd w:val="clear" w:color="auto" w:fill="FFFFFF"/>
              </w:rPr>
              <w:t>35212</w:t>
            </w:r>
          </w:p>
        </w:tc>
        <w:tc>
          <w:tcPr>
            <w:tcW w:w="1002" w:type="dxa"/>
            <w:vAlign w:val="center"/>
          </w:tcPr>
          <w:p w:rsidR="00662D82" w:rsidRPr="00B4095C" w:rsidRDefault="00B4095C" w:rsidP="00E20A7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 w:rsidRPr="00B4095C">
              <w:rPr>
                <w:sz w:val="16"/>
                <w:szCs w:val="18"/>
                <w:shd w:val="clear" w:color="auto" w:fill="FFFFFF"/>
              </w:rPr>
              <w:t>117,3</w:t>
            </w:r>
          </w:p>
        </w:tc>
      </w:tr>
      <w:tr w:rsidR="00662D82" w:rsidRPr="00263373" w:rsidTr="00E20A7C">
        <w:trPr>
          <w:trHeight w:val="57"/>
        </w:trPr>
        <w:tc>
          <w:tcPr>
            <w:tcW w:w="2552" w:type="dxa"/>
            <w:vAlign w:val="center"/>
          </w:tcPr>
          <w:p w:rsidR="00662D82" w:rsidRPr="00263373" w:rsidRDefault="00662D82" w:rsidP="00E20A7C">
            <w:pPr>
              <w:spacing w:after="0" w:line="240" w:lineRule="auto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Nieruchomości niezabudowane</w:t>
            </w:r>
          </w:p>
        </w:tc>
        <w:tc>
          <w:tcPr>
            <w:tcW w:w="992" w:type="dxa"/>
            <w:vAlign w:val="center"/>
          </w:tcPr>
          <w:p w:rsidR="00662D82" w:rsidRPr="007C475F" w:rsidRDefault="007C475F" w:rsidP="00E20A7C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147240</w:t>
            </w:r>
          </w:p>
        </w:tc>
        <w:tc>
          <w:tcPr>
            <w:tcW w:w="851" w:type="dxa"/>
            <w:vAlign w:val="center"/>
          </w:tcPr>
          <w:p w:rsidR="00662D82" w:rsidRPr="00C04B5B" w:rsidRDefault="00BC3E8F" w:rsidP="00E20A7C">
            <w:pPr>
              <w:spacing w:line="240" w:lineRule="auto"/>
              <w:jc w:val="right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160491</w:t>
            </w:r>
          </w:p>
        </w:tc>
        <w:tc>
          <w:tcPr>
            <w:tcW w:w="992" w:type="dxa"/>
            <w:vAlign w:val="center"/>
          </w:tcPr>
          <w:p w:rsidR="00662D82" w:rsidRPr="00C04B5B" w:rsidRDefault="00BC3E8F" w:rsidP="00E20A7C">
            <w:pPr>
              <w:spacing w:line="240" w:lineRule="auto"/>
              <w:jc w:val="right"/>
              <w:rPr>
                <w:sz w:val="16"/>
                <w:szCs w:val="18"/>
                <w:highlight w:val="yellow"/>
                <w:shd w:val="clear" w:color="auto" w:fill="FFFFFF"/>
              </w:rPr>
            </w:pPr>
            <w:r w:rsidRPr="00BC3E8F">
              <w:rPr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850" w:type="dxa"/>
            <w:vAlign w:val="center"/>
          </w:tcPr>
          <w:p w:rsidR="00662D82" w:rsidRPr="007C475F" w:rsidRDefault="007C475F" w:rsidP="00E20A7C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 w:rsidRPr="007C475F">
              <w:rPr>
                <w:sz w:val="16"/>
                <w:szCs w:val="18"/>
                <w:shd w:val="clear" w:color="auto" w:fill="FFFFFF"/>
              </w:rPr>
              <w:t>22100</w:t>
            </w:r>
          </w:p>
        </w:tc>
        <w:tc>
          <w:tcPr>
            <w:tcW w:w="851" w:type="dxa"/>
            <w:vAlign w:val="center"/>
          </w:tcPr>
          <w:p w:rsidR="00662D82" w:rsidRPr="00AE6760" w:rsidRDefault="00AE6760" w:rsidP="00E20A7C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 w:rsidRPr="00AE6760">
              <w:rPr>
                <w:sz w:val="16"/>
                <w:szCs w:val="18"/>
                <w:shd w:val="clear" w:color="auto" w:fill="FFFFFF"/>
              </w:rPr>
              <w:t>26360</w:t>
            </w:r>
          </w:p>
        </w:tc>
        <w:tc>
          <w:tcPr>
            <w:tcW w:w="1002" w:type="dxa"/>
            <w:vAlign w:val="center"/>
          </w:tcPr>
          <w:p w:rsidR="00662D82" w:rsidRPr="00B4095C" w:rsidRDefault="00B4095C" w:rsidP="00E20A7C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 w:rsidRPr="00B4095C">
              <w:rPr>
                <w:sz w:val="16"/>
                <w:szCs w:val="18"/>
                <w:shd w:val="clear" w:color="auto" w:fill="FFFFFF"/>
              </w:rPr>
              <w:t>119,3</w:t>
            </w:r>
          </w:p>
        </w:tc>
      </w:tr>
    </w:tbl>
    <w:p w:rsidR="00662D82" w:rsidRDefault="00C4141C" w:rsidP="00662D82">
      <w:pPr>
        <w:pStyle w:val="Tekstprzypisudolnego"/>
        <w:rPr>
          <w:sz w:val="16"/>
          <w:szCs w:val="18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8.6pt;margin-top:21.3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982393" w:rsidRPr="00074DD8" w:rsidRDefault="007C475F" w:rsidP="00982393">
                  <w:pPr>
                    <w:pStyle w:val="tekstzboku"/>
                  </w:pPr>
                  <w:r w:rsidRPr="007C475F">
                    <w:t>W 2018</w:t>
                  </w:r>
                  <w:r w:rsidR="00982393" w:rsidRPr="007C475F">
                    <w:t xml:space="preserve"> roku największa część transakcji kupna/sprzedaży nieruchomości dotyczyła sprzedaży n</w:t>
                  </w:r>
                  <w:r w:rsidRPr="007C475F">
                    <w:t xml:space="preserve">ieruchomości lokalowych </w:t>
                  </w:r>
                  <w:r w:rsidR="00B4095C" w:rsidRPr="00B4095C">
                    <w:t>(48,9</w:t>
                  </w:r>
                  <w:r w:rsidRPr="00B4095C">
                    <w:t>%)</w:t>
                  </w:r>
                </w:p>
                <w:p w:rsidR="00F22BD7" w:rsidRPr="00074DD8" w:rsidRDefault="00F22BD7" w:rsidP="00F364DD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B94454">
        <w:rPr>
          <w:sz w:val="16"/>
          <w:szCs w:val="18"/>
          <w:vertAlign w:val="superscript"/>
        </w:rPr>
        <w:t>1</w:t>
      </w:r>
      <w:r w:rsidR="00662D82">
        <w:rPr>
          <w:sz w:val="16"/>
          <w:szCs w:val="18"/>
        </w:rPr>
        <w:t xml:space="preserve"> </w:t>
      </w:r>
      <w:r w:rsidR="00662D82"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 w:rsidR="00662D82">
        <w:rPr>
          <w:sz w:val="16"/>
          <w:szCs w:val="18"/>
        </w:rPr>
        <w:t>.</w:t>
      </w:r>
    </w:p>
    <w:p w:rsidR="00662D82" w:rsidRPr="006B0714" w:rsidRDefault="00662D82" w:rsidP="00662D82">
      <w:pPr>
        <w:rPr>
          <w:szCs w:val="19"/>
        </w:rPr>
      </w:pPr>
      <w:r w:rsidRPr="007C475F">
        <w:rPr>
          <w:szCs w:val="19"/>
        </w:rPr>
        <w:t xml:space="preserve">Największy udział nieruchomości lokalowych w ogólnej liczbie transakcji kupna/sprzedaży nieruchomości odnotowano w województwie </w:t>
      </w:r>
      <w:r w:rsidR="00964D92" w:rsidRPr="00964D92">
        <w:rPr>
          <w:szCs w:val="19"/>
        </w:rPr>
        <w:t xml:space="preserve">pomorskim, </w:t>
      </w:r>
      <w:r w:rsidRPr="00964D92">
        <w:rPr>
          <w:szCs w:val="19"/>
        </w:rPr>
        <w:t xml:space="preserve">dolnośląskim, </w:t>
      </w:r>
      <w:r w:rsidR="00964D92" w:rsidRPr="00964D92">
        <w:rPr>
          <w:szCs w:val="19"/>
        </w:rPr>
        <w:t>mazowiecki</w:t>
      </w:r>
      <w:r w:rsidRPr="00964D92">
        <w:rPr>
          <w:szCs w:val="19"/>
        </w:rPr>
        <w:t xml:space="preserve">m </w:t>
      </w:r>
      <w:r w:rsidRPr="00964D92">
        <w:rPr>
          <w:szCs w:val="19"/>
        </w:rPr>
        <w:br/>
        <w:t xml:space="preserve">i zachodniopomorskim. </w:t>
      </w:r>
      <w:r w:rsidRPr="007C475F">
        <w:rPr>
          <w:szCs w:val="19"/>
        </w:rPr>
        <w:t xml:space="preserve">Największy udział nieruchomości niezabudowanych odnotowano </w:t>
      </w:r>
      <w:r w:rsidRPr="007C475F">
        <w:rPr>
          <w:szCs w:val="19"/>
        </w:rPr>
        <w:br/>
        <w:t xml:space="preserve">w województwie </w:t>
      </w:r>
      <w:r w:rsidRPr="00964D92">
        <w:rPr>
          <w:szCs w:val="19"/>
        </w:rPr>
        <w:t xml:space="preserve">podkarpackim, </w:t>
      </w:r>
      <w:r w:rsidR="00964D92" w:rsidRPr="00964D92">
        <w:rPr>
          <w:szCs w:val="19"/>
        </w:rPr>
        <w:t>lubelskim i świętokrzyskim</w:t>
      </w:r>
      <w:r w:rsidRPr="00964D92">
        <w:rPr>
          <w:szCs w:val="19"/>
        </w:rPr>
        <w:t>.</w:t>
      </w:r>
    </w:p>
    <w:p w:rsidR="00662D82" w:rsidRPr="00662D82" w:rsidRDefault="00662D82" w:rsidP="00662D82">
      <w:pPr>
        <w:rPr>
          <w:lang w:eastAsia="pl-PL"/>
        </w:rPr>
      </w:pPr>
    </w:p>
    <w:p w:rsidR="00662D82" w:rsidRDefault="00E95A74" w:rsidP="00EF5A95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5945505</wp:posOffset>
            </wp:positionV>
            <wp:extent cx="5040000" cy="342000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D82" w:rsidRPr="007C475F">
        <w:rPr>
          <w:b/>
          <w:sz w:val="18"/>
          <w:szCs w:val="18"/>
        </w:rPr>
        <w:t>Wykres 1.</w:t>
      </w:r>
      <w:r w:rsidR="00B94454">
        <w:rPr>
          <w:b/>
          <w:sz w:val="18"/>
          <w:szCs w:val="18"/>
          <w:shd w:val="clear" w:color="auto" w:fill="FFFFFF"/>
        </w:rPr>
        <w:t xml:space="preserve"> </w:t>
      </w:r>
      <w:r w:rsidR="00EF5A95">
        <w:rPr>
          <w:b/>
          <w:sz w:val="18"/>
          <w:szCs w:val="18"/>
          <w:shd w:val="clear" w:color="auto" w:fill="FFFFFF"/>
        </w:rPr>
        <w:t xml:space="preserve"> </w:t>
      </w:r>
      <w:r w:rsidR="00B94454">
        <w:rPr>
          <w:b/>
          <w:sz w:val="18"/>
          <w:szCs w:val="18"/>
          <w:shd w:val="clear" w:color="auto" w:fill="FFFFFF"/>
        </w:rPr>
        <w:t>Struktura liczby</w:t>
      </w:r>
      <w:r w:rsidR="00662D82" w:rsidRPr="007C475F">
        <w:rPr>
          <w:b/>
          <w:sz w:val="18"/>
          <w:szCs w:val="18"/>
          <w:shd w:val="clear" w:color="auto" w:fill="FFFFFF"/>
        </w:rPr>
        <w:t xml:space="preserve"> transakcji kupna/sprzedaży nieruchomości w</w:t>
      </w:r>
      <w:r w:rsidR="007C475F">
        <w:rPr>
          <w:b/>
          <w:sz w:val="18"/>
          <w:szCs w:val="18"/>
          <w:shd w:val="clear" w:color="auto" w:fill="FFFFFF"/>
        </w:rPr>
        <w:t>g rodzaju w województwach w 2018</w:t>
      </w:r>
      <w:r w:rsidR="00662D82" w:rsidRPr="007C475F">
        <w:rPr>
          <w:b/>
          <w:sz w:val="18"/>
          <w:szCs w:val="18"/>
          <w:shd w:val="clear" w:color="auto" w:fill="FFFFFF"/>
        </w:rPr>
        <w:t xml:space="preserve"> roku</w:t>
      </w:r>
    </w:p>
    <w:p w:rsidR="00C44EB3" w:rsidRDefault="00C4141C" w:rsidP="005E3B8D">
      <w:pPr>
        <w:spacing w:before="240"/>
        <w:rPr>
          <w:b/>
          <w:spacing w:val="-2"/>
          <w:sz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shape id="_x0000_s1033" type="#_x0000_t202" style="position:absolute;margin-left:418.05pt;margin-top:-12.95pt;width:135.85pt;height:91.9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33">
              <w:txbxContent>
                <w:p w:rsidR="00F22BD7" w:rsidRPr="00074DD8" w:rsidRDefault="00982393" w:rsidP="00885566">
                  <w:pPr>
                    <w:pStyle w:val="tekstzboku"/>
                  </w:pPr>
                  <w:r w:rsidRPr="00907E1E">
                    <w:t xml:space="preserve">Ceny lokali mieszkalnych </w:t>
                  </w:r>
                  <w:r w:rsidR="001A0E04">
                    <w:br/>
                    <w:t>w 201</w:t>
                  </w:r>
                  <w:r w:rsidR="00701DD8">
                    <w:t>8</w:t>
                  </w:r>
                  <w:r>
                    <w:t xml:space="preserve"> roku</w:t>
                  </w:r>
                  <w:r w:rsidRPr="00907E1E">
                    <w:t xml:space="preserve"> w stosunku do </w:t>
                  </w:r>
                  <w:r>
                    <w:br/>
                  </w:r>
                  <w:r w:rsidRPr="00907E1E">
                    <w:t xml:space="preserve">poprzedniego roku wzrosły </w:t>
                  </w:r>
                  <w:r>
                    <w:br/>
                  </w:r>
                  <w:r w:rsidR="001A0E04">
                    <w:t>o 6,5</w:t>
                  </w:r>
                  <w:r w:rsidRPr="00907E1E">
                    <w:t xml:space="preserve">% </w:t>
                  </w:r>
                  <w:r w:rsidR="001A0E04">
                    <w:t>(w tym na rynku pierwotnym – o 5,5% i na rynku wtórnym – o 7,6</w:t>
                  </w:r>
                  <w:r w:rsidR="00765022">
                    <w:t>%)</w:t>
                  </w:r>
                </w:p>
              </w:txbxContent>
            </v:textbox>
            <w10:wrap type="tight"/>
          </v:shape>
        </w:pict>
      </w:r>
      <w:r w:rsidR="00662D82">
        <w:rPr>
          <w:b/>
          <w:spacing w:val="-2"/>
          <w:sz w:val="18"/>
          <w:shd w:val="clear" w:color="auto" w:fill="FFFFFF"/>
        </w:rPr>
        <w:t>Tablica 3</w:t>
      </w:r>
      <w:r w:rsidR="00662D82" w:rsidRPr="00BA3562">
        <w:rPr>
          <w:b/>
          <w:spacing w:val="-2"/>
          <w:sz w:val="18"/>
          <w:shd w:val="clear" w:color="auto" w:fill="FFFFFF"/>
        </w:rPr>
        <w:t xml:space="preserve">. </w:t>
      </w:r>
      <w:r w:rsidR="00662D82">
        <w:rPr>
          <w:b/>
          <w:spacing w:val="-2"/>
          <w:sz w:val="18"/>
          <w:shd w:val="clear" w:color="auto" w:fill="FFFFFF"/>
        </w:rPr>
        <w:t>Wskaźnik</w:t>
      </w:r>
      <w:r w:rsidR="004F03CF">
        <w:rPr>
          <w:b/>
          <w:spacing w:val="-2"/>
          <w:sz w:val="18"/>
          <w:shd w:val="clear" w:color="auto" w:fill="FFFFFF"/>
        </w:rPr>
        <w:t>i cen lokali mieszkalnych w 2018</w:t>
      </w:r>
    </w:p>
    <w:tbl>
      <w:tblPr>
        <w:tblStyle w:val="Siatkatabelijasna11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31"/>
        <w:gridCol w:w="2306"/>
        <w:gridCol w:w="2126"/>
      </w:tblGrid>
      <w:tr w:rsidR="009513E0" w:rsidRPr="00BA474D" w:rsidTr="009513E0">
        <w:trPr>
          <w:trHeight w:val="57"/>
        </w:trPr>
        <w:tc>
          <w:tcPr>
            <w:tcW w:w="3331" w:type="dxa"/>
            <w:vMerge w:val="restart"/>
            <w:vAlign w:val="center"/>
          </w:tcPr>
          <w:p w:rsidR="009513E0" w:rsidRPr="00437A70" w:rsidRDefault="009513E0" w:rsidP="00E20A7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="009513E0" w:rsidRPr="00437A70" w:rsidRDefault="009513E0" w:rsidP="00E20A7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2018</w:t>
            </w:r>
          </w:p>
        </w:tc>
      </w:tr>
      <w:tr w:rsidR="009513E0" w:rsidRPr="001A0E04" w:rsidTr="009513E0">
        <w:trPr>
          <w:trHeight w:val="57"/>
        </w:trPr>
        <w:tc>
          <w:tcPr>
            <w:tcW w:w="3331" w:type="dxa"/>
            <w:vMerge/>
            <w:tcBorders>
              <w:bottom w:val="single" w:sz="12" w:space="0" w:color="212492"/>
            </w:tcBorders>
            <w:vAlign w:val="center"/>
          </w:tcPr>
          <w:p w:rsidR="009513E0" w:rsidRPr="00437A70" w:rsidRDefault="009513E0" w:rsidP="009513E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tcBorders>
              <w:bottom w:val="single" w:sz="12" w:space="0" w:color="212492"/>
            </w:tcBorders>
            <w:vAlign w:val="center"/>
          </w:tcPr>
          <w:p w:rsidR="009513E0" w:rsidRPr="00437A70" w:rsidRDefault="009513E0" w:rsidP="009513E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rok poprzedni=100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vAlign w:val="center"/>
          </w:tcPr>
          <w:p w:rsidR="009513E0" w:rsidRPr="00437A70" w:rsidRDefault="009513E0" w:rsidP="009513E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9513E0" w:rsidRPr="00437A70" w:rsidTr="009513E0">
        <w:trPr>
          <w:trHeight w:val="57"/>
        </w:trPr>
        <w:tc>
          <w:tcPr>
            <w:tcW w:w="3331" w:type="dxa"/>
            <w:vAlign w:val="center"/>
          </w:tcPr>
          <w:p w:rsidR="009513E0" w:rsidRPr="00437A70" w:rsidRDefault="009513E0" w:rsidP="009513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 w:rsidRPr="00437A70"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OGÓŁEM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9513E0" w:rsidRPr="00437A70" w:rsidTr="009513E0">
        <w:trPr>
          <w:trHeight w:val="57"/>
        </w:trPr>
        <w:tc>
          <w:tcPr>
            <w:tcW w:w="3331" w:type="dxa"/>
            <w:vAlign w:val="center"/>
          </w:tcPr>
          <w:p w:rsidR="009513E0" w:rsidRPr="00437A70" w:rsidRDefault="009513E0" w:rsidP="009513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9513E0" w:rsidRPr="00437A70" w:rsidTr="009513E0">
        <w:trPr>
          <w:trHeight w:val="57"/>
        </w:trPr>
        <w:tc>
          <w:tcPr>
            <w:tcW w:w="3331" w:type="dxa"/>
            <w:vAlign w:val="center"/>
          </w:tcPr>
          <w:p w:rsidR="009513E0" w:rsidRPr="00437A70" w:rsidRDefault="009513E0" w:rsidP="009513E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13E0" w:rsidRPr="00F11C03" w:rsidRDefault="009513E0" w:rsidP="009513E0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11C03"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</w:tr>
    </w:tbl>
    <w:p w:rsidR="00B60E83" w:rsidRDefault="00B60E83" w:rsidP="00662D82">
      <w:pPr>
        <w:rPr>
          <w:b/>
          <w:sz w:val="18"/>
        </w:rPr>
      </w:pPr>
    </w:p>
    <w:p w:rsidR="00E67040" w:rsidRDefault="00B94454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-14605</wp:posOffset>
            </wp:positionH>
            <wp:positionV relativeFrom="margin">
              <wp:posOffset>2571750</wp:posOffset>
            </wp:positionV>
            <wp:extent cx="5122545" cy="25632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662D82">
        <w:rPr>
          <w:b/>
          <w:sz w:val="18"/>
        </w:rPr>
        <w:t>Wykres 2</w:t>
      </w:r>
      <w:r w:rsidR="00662D82" w:rsidRPr="00853416">
        <w:rPr>
          <w:b/>
          <w:sz w:val="18"/>
        </w:rPr>
        <w:t xml:space="preserve">. Ceny lokali mieszkalnych (zmiana w % w stosunku do </w:t>
      </w:r>
      <w:r w:rsidR="00662D82">
        <w:rPr>
          <w:b/>
          <w:sz w:val="18"/>
        </w:rPr>
        <w:t>roku</w:t>
      </w:r>
      <w:r w:rsidR="00662D82" w:rsidRPr="00853416">
        <w:rPr>
          <w:b/>
          <w:sz w:val="18"/>
        </w:rPr>
        <w:t xml:space="preserve"> poprzedniego)</w:t>
      </w:r>
    </w:p>
    <w:p w:rsidR="00B63618" w:rsidRDefault="00B63618" w:rsidP="00662D82">
      <w:pPr>
        <w:rPr>
          <w:b/>
          <w:sz w:val="18"/>
        </w:rPr>
      </w:pPr>
    </w:p>
    <w:p w:rsidR="00662D82" w:rsidRDefault="00B94454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287655</wp:posOffset>
            </wp:positionV>
            <wp:extent cx="5122545" cy="251396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D82">
        <w:rPr>
          <w:b/>
          <w:sz w:val="18"/>
        </w:rPr>
        <w:t>Wykres 3</w:t>
      </w:r>
      <w:r w:rsidR="00662D82" w:rsidRPr="00853416">
        <w:rPr>
          <w:b/>
          <w:sz w:val="18"/>
        </w:rPr>
        <w:t>. Ceny lokali mieszkalnych (zmiana w % w stosunku do 201</w:t>
      </w:r>
      <w:r w:rsidR="009513E0">
        <w:rPr>
          <w:b/>
          <w:sz w:val="18"/>
        </w:rPr>
        <w:t>5</w:t>
      </w:r>
      <w:r w:rsidR="00662D82" w:rsidRPr="00853416">
        <w:rPr>
          <w:b/>
          <w:sz w:val="18"/>
        </w:rPr>
        <w:t xml:space="preserve"> r.)</w:t>
      </w:r>
    </w:p>
    <w:p w:rsidR="00CE1B60" w:rsidRDefault="00CE1B60" w:rsidP="00662D82">
      <w:pPr>
        <w:rPr>
          <w:b/>
          <w:sz w:val="18"/>
        </w:rPr>
      </w:pPr>
    </w:p>
    <w:p w:rsidR="00662D82" w:rsidRDefault="00662D82" w:rsidP="00E67040">
      <w:pPr>
        <w:spacing w:before="240" w:after="0" w:line="259" w:lineRule="auto"/>
        <w:rPr>
          <w:b/>
          <w:sz w:val="18"/>
        </w:rPr>
      </w:pP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1B3BD6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Renata Rechnio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</w:t>
            </w:r>
            <w:r w:rsidR="00EF5A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</w:p>
          <w:p w:rsidR="00CA7351" w:rsidRPr="009513E0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9513E0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9513E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</w:rPr>
              <w:t>R.Rechnio@stat.gov.pl</w:t>
            </w:r>
          </w:p>
        </w:tc>
        <w:tc>
          <w:tcPr>
            <w:tcW w:w="3942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9E4D54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EF5A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EF5A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D50D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rzecznik@stat.gov.pl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C4141C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120.2pt;width:516.5pt;height:298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F22BD7" w:rsidRDefault="00F22BD7" w:rsidP="00AB6D25">
                  <w:pPr>
                    <w:rPr>
                      <w:b/>
                    </w:rPr>
                  </w:pPr>
                </w:p>
                <w:p w:rsidR="00F22BD7" w:rsidRPr="00EE456A" w:rsidRDefault="00F22BD7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F22BD7" w:rsidRPr="00D50D9F" w:rsidRDefault="00C4141C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2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2B382F" w:rsidRPr="00D50D9F" w:rsidRDefault="00C4141C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B151BA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Główny Urząd Statystyczny / Opracowania sygnalne / Komunikaty i Obwieszczenia / Lista komunikatów i obwieszczeń / Komunikat w sprawie ceny 1 m2 powierzchni użytkowej budynku mieszkalnego za I kwartał 2019 r.</w:t>
                    </w:r>
                  </w:hyperlink>
                </w:p>
                <w:p w:rsidR="00F22BD7" w:rsidRPr="00D50D9F" w:rsidRDefault="00C4141C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4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 w 2017 r.</w:t>
                    </w:r>
                  </w:hyperlink>
                </w:p>
                <w:p w:rsidR="00F22BD7" w:rsidRPr="00EE456A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Pr="002940EF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22BD7" w:rsidRPr="00D50D9F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begin"/>
                  </w:r>
                  <w:r w:rsidR="00F22BD7" w:rsidRPr="00D50D9F">
                    <w:rPr>
                      <w:color w:val="001D77"/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separate"/>
                  </w:r>
                  <w:r w:rsidR="00F22BD7" w:rsidRPr="00D50D9F"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  <w:t>Dziedzinowa Baza Wiedzy (DBW) Ceny</w:t>
                  </w:r>
                </w:p>
                <w:p w:rsidR="00F22BD7" w:rsidRPr="002940EF" w:rsidRDefault="00093D2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D50D9F">
                    <w:rPr>
                      <w:color w:val="001D77"/>
                      <w:sz w:val="18"/>
                      <w:szCs w:val="18"/>
                    </w:rPr>
                    <w:fldChar w:fldCharType="end"/>
                  </w:r>
                </w:p>
                <w:p w:rsidR="00F22BD7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22BD7" w:rsidRPr="00D50D9F" w:rsidRDefault="00C4141C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F22BD7" w:rsidRPr="00D50D9F" w:rsidRDefault="00C4141C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F22BD7" w:rsidRPr="00D50D9F" w:rsidRDefault="00C4141C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7" w:history="1">
                    <w:r w:rsidR="00F22BD7" w:rsidRPr="00D50D9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41C" w:rsidRDefault="00C4141C" w:rsidP="000662E2">
      <w:pPr>
        <w:spacing w:after="0" w:line="240" w:lineRule="auto"/>
      </w:pPr>
      <w:r>
        <w:separator/>
      </w:r>
    </w:p>
  </w:endnote>
  <w:endnote w:type="continuationSeparator" w:id="0">
    <w:p w:rsidR="00C4141C" w:rsidRDefault="00C414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3B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3B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3B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41C" w:rsidRDefault="00C4141C" w:rsidP="000662E2">
      <w:pPr>
        <w:spacing w:after="0" w:line="240" w:lineRule="auto"/>
      </w:pPr>
      <w:r>
        <w:separator/>
      </w:r>
    </w:p>
  </w:footnote>
  <w:footnote w:type="continuationSeparator" w:id="0">
    <w:p w:rsidR="00C4141C" w:rsidRDefault="00C4141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C4141C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C4141C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pt;margin-top:62.1pt;width:112.8pt;height:2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60">
            <w:txbxContent>
              <w:p w:rsidR="00FB16F3" w:rsidRPr="00C97596" w:rsidRDefault="009E2B14" w:rsidP="00FB16F3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31.07</w:t>
                </w:r>
                <w:r w:rsidR="00FB16F3">
                  <w:rPr>
                    <w:rFonts w:ascii="Fira Sans SemiBold" w:hAnsi="Fira Sans SemiBold"/>
                    <w:color w:val="001D77"/>
                  </w:rPr>
                  <w:t>.2019</w:t>
                </w:r>
                <w:r w:rsidR="00FB16F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22BD7" w:rsidRPr="003C6C8D" w:rsidRDefault="00F22B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6" style="position:absolute;margin-left:411.1pt;margin-top:40.3pt;width:147.4pt;height:1803.55pt;z-index:251666432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  <w:r>
      <w:rPr>
        <w:noProof/>
        <w:lang w:eastAsia="pl-PL"/>
      </w:rPr>
      <w:pict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F22BD7" w:rsidRPr="00C97596" w:rsidRDefault="00F22BD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6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3D69"/>
    <w:rsid w:val="001951DA"/>
    <w:rsid w:val="001A0E04"/>
    <w:rsid w:val="001A297A"/>
    <w:rsid w:val="001A3839"/>
    <w:rsid w:val="001B12D0"/>
    <w:rsid w:val="001B3BD6"/>
    <w:rsid w:val="001B3DA3"/>
    <w:rsid w:val="001C2309"/>
    <w:rsid w:val="001C3269"/>
    <w:rsid w:val="001D1DB4"/>
    <w:rsid w:val="001E1388"/>
    <w:rsid w:val="001F043B"/>
    <w:rsid w:val="001F32F0"/>
    <w:rsid w:val="00201F46"/>
    <w:rsid w:val="00213227"/>
    <w:rsid w:val="0021361D"/>
    <w:rsid w:val="002535A3"/>
    <w:rsid w:val="002574F1"/>
    <w:rsid w:val="002574F9"/>
    <w:rsid w:val="00262B61"/>
    <w:rsid w:val="00266F56"/>
    <w:rsid w:val="00276811"/>
    <w:rsid w:val="00282699"/>
    <w:rsid w:val="00283604"/>
    <w:rsid w:val="0028505D"/>
    <w:rsid w:val="00287AF2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BEB"/>
    <w:rsid w:val="002D5D8C"/>
    <w:rsid w:val="002E46B7"/>
    <w:rsid w:val="002E6140"/>
    <w:rsid w:val="002E6985"/>
    <w:rsid w:val="002E71B6"/>
    <w:rsid w:val="002F77C8"/>
    <w:rsid w:val="0030246A"/>
    <w:rsid w:val="00304F22"/>
    <w:rsid w:val="00306C7C"/>
    <w:rsid w:val="00322EDD"/>
    <w:rsid w:val="0033216B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F4C97"/>
    <w:rsid w:val="003F7FE6"/>
    <w:rsid w:val="00400193"/>
    <w:rsid w:val="00403C1A"/>
    <w:rsid w:val="00413B8C"/>
    <w:rsid w:val="00417054"/>
    <w:rsid w:val="004178B0"/>
    <w:rsid w:val="004212E7"/>
    <w:rsid w:val="00422990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D40"/>
    <w:rsid w:val="004D4E8A"/>
    <w:rsid w:val="004E0A1B"/>
    <w:rsid w:val="004F03CF"/>
    <w:rsid w:val="004F0C3C"/>
    <w:rsid w:val="004F407F"/>
    <w:rsid w:val="004F5944"/>
    <w:rsid w:val="004F63FC"/>
    <w:rsid w:val="004F7947"/>
    <w:rsid w:val="00505A92"/>
    <w:rsid w:val="0051704F"/>
    <w:rsid w:val="005175E9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3A09"/>
    <w:rsid w:val="005649A4"/>
    <w:rsid w:val="00566558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B370F"/>
    <w:rsid w:val="005B4788"/>
    <w:rsid w:val="005D03A6"/>
    <w:rsid w:val="005E0799"/>
    <w:rsid w:val="005E2468"/>
    <w:rsid w:val="005E3B8D"/>
    <w:rsid w:val="005E5199"/>
    <w:rsid w:val="005F5A80"/>
    <w:rsid w:val="005F65FB"/>
    <w:rsid w:val="006044FF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2D82"/>
    <w:rsid w:val="00663083"/>
    <w:rsid w:val="006673CA"/>
    <w:rsid w:val="00672450"/>
    <w:rsid w:val="00673C26"/>
    <w:rsid w:val="006812AF"/>
    <w:rsid w:val="0068327D"/>
    <w:rsid w:val="00687D91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57E5"/>
    <w:rsid w:val="0070110C"/>
    <w:rsid w:val="00701DD8"/>
    <w:rsid w:val="007068CE"/>
    <w:rsid w:val="00713D6B"/>
    <w:rsid w:val="007211B1"/>
    <w:rsid w:val="007343FA"/>
    <w:rsid w:val="00746187"/>
    <w:rsid w:val="00746E58"/>
    <w:rsid w:val="0076254F"/>
    <w:rsid w:val="00765022"/>
    <w:rsid w:val="00773983"/>
    <w:rsid w:val="007801F5"/>
    <w:rsid w:val="00783415"/>
    <w:rsid w:val="00783CA4"/>
    <w:rsid w:val="007842FB"/>
    <w:rsid w:val="00784C6A"/>
    <w:rsid w:val="00785DE5"/>
    <w:rsid w:val="00786124"/>
    <w:rsid w:val="00793B6E"/>
    <w:rsid w:val="0079514B"/>
    <w:rsid w:val="007A2DC1"/>
    <w:rsid w:val="007B0DC0"/>
    <w:rsid w:val="007B0E88"/>
    <w:rsid w:val="007C36C0"/>
    <w:rsid w:val="007C475F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720D"/>
    <w:rsid w:val="0082084A"/>
    <w:rsid w:val="00825DC2"/>
    <w:rsid w:val="00834AD3"/>
    <w:rsid w:val="00836A8E"/>
    <w:rsid w:val="00843795"/>
    <w:rsid w:val="008464A2"/>
    <w:rsid w:val="008468D8"/>
    <w:rsid w:val="00847F0F"/>
    <w:rsid w:val="00852448"/>
    <w:rsid w:val="00855753"/>
    <w:rsid w:val="0087115A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3C3"/>
    <w:rsid w:val="008B6C72"/>
    <w:rsid w:val="008C0C29"/>
    <w:rsid w:val="008C3AD3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13E0"/>
    <w:rsid w:val="009530DB"/>
    <w:rsid w:val="00953676"/>
    <w:rsid w:val="00964D92"/>
    <w:rsid w:val="0096551C"/>
    <w:rsid w:val="009705EE"/>
    <w:rsid w:val="00977927"/>
    <w:rsid w:val="0098135C"/>
    <w:rsid w:val="0098156A"/>
    <w:rsid w:val="00982393"/>
    <w:rsid w:val="009866EF"/>
    <w:rsid w:val="00990C87"/>
    <w:rsid w:val="00991BAC"/>
    <w:rsid w:val="00996EC5"/>
    <w:rsid w:val="009A6EA0"/>
    <w:rsid w:val="009C1335"/>
    <w:rsid w:val="009C1AB2"/>
    <w:rsid w:val="009C2EB1"/>
    <w:rsid w:val="009C7251"/>
    <w:rsid w:val="009D7EA7"/>
    <w:rsid w:val="009E09D9"/>
    <w:rsid w:val="009E181A"/>
    <w:rsid w:val="009E2B14"/>
    <w:rsid w:val="009E2E91"/>
    <w:rsid w:val="009E4D54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3132"/>
    <w:rsid w:val="00A563F2"/>
    <w:rsid w:val="00A566E8"/>
    <w:rsid w:val="00A6355F"/>
    <w:rsid w:val="00A665AD"/>
    <w:rsid w:val="00A66CBC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BB5"/>
    <w:rsid w:val="00AE2D4B"/>
    <w:rsid w:val="00AE3070"/>
    <w:rsid w:val="00AE4F99"/>
    <w:rsid w:val="00AE6760"/>
    <w:rsid w:val="00AF2A58"/>
    <w:rsid w:val="00B0437F"/>
    <w:rsid w:val="00B05AE7"/>
    <w:rsid w:val="00B0739B"/>
    <w:rsid w:val="00B11B69"/>
    <w:rsid w:val="00B14952"/>
    <w:rsid w:val="00B151BA"/>
    <w:rsid w:val="00B31E5A"/>
    <w:rsid w:val="00B4095C"/>
    <w:rsid w:val="00B60E83"/>
    <w:rsid w:val="00B63618"/>
    <w:rsid w:val="00B653AB"/>
    <w:rsid w:val="00B65F9E"/>
    <w:rsid w:val="00B66B19"/>
    <w:rsid w:val="00B67DAA"/>
    <w:rsid w:val="00B73097"/>
    <w:rsid w:val="00B76A98"/>
    <w:rsid w:val="00B7755D"/>
    <w:rsid w:val="00B852C0"/>
    <w:rsid w:val="00B86DF8"/>
    <w:rsid w:val="00B870B3"/>
    <w:rsid w:val="00B87673"/>
    <w:rsid w:val="00B914E9"/>
    <w:rsid w:val="00B93B29"/>
    <w:rsid w:val="00B94454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E8F"/>
    <w:rsid w:val="00BD4E33"/>
    <w:rsid w:val="00BD5E55"/>
    <w:rsid w:val="00BF0C5F"/>
    <w:rsid w:val="00BF5920"/>
    <w:rsid w:val="00C030DE"/>
    <w:rsid w:val="00C04B5B"/>
    <w:rsid w:val="00C1695A"/>
    <w:rsid w:val="00C22105"/>
    <w:rsid w:val="00C244B6"/>
    <w:rsid w:val="00C25A0A"/>
    <w:rsid w:val="00C26D70"/>
    <w:rsid w:val="00C3032C"/>
    <w:rsid w:val="00C33B6A"/>
    <w:rsid w:val="00C356C0"/>
    <w:rsid w:val="00C366D2"/>
    <w:rsid w:val="00C3702F"/>
    <w:rsid w:val="00C4141C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1B60"/>
    <w:rsid w:val="00CF3D9C"/>
    <w:rsid w:val="00CF4099"/>
    <w:rsid w:val="00D00796"/>
    <w:rsid w:val="00D24CF3"/>
    <w:rsid w:val="00D261A2"/>
    <w:rsid w:val="00D30B17"/>
    <w:rsid w:val="00D340FA"/>
    <w:rsid w:val="00D346A4"/>
    <w:rsid w:val="00D347CE"/>
    <w:rsid w:val="00D434D0"/>
    <w:rsid w:val="00D44661"/>
    <w:rsid w:val="00D50D9F"/>
    <w:rsid w:val="00D616D2"/>
    <w:rsid w:val="00D63B5F"/>
    <w:rsid w:val="00D70EF7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2B02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42FF9"/>
    <w:rsid w:val="00E4714C"/>
    <w:rsid w:val="00E47437"/>
    <w:rsid w:val="00E51AEB"/>
    <w:rsid w:val="00E522A7"/>
    <w:rsid w:val="00E54452"/>
    <w:rsid w:val="00E56DF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407E"/>
    <w:rsid w:val="00E945B7"/>
    <w:rsid w:val="00E95A74"/>
    <w:rsid w:val="00E970BA"/>
    <w:rsid w:val="00EA11F2"/>
    <w:rsid w:val="00EA485C"/>
    <w:rsid w:val="00EA5966"/>
    <w:rsid w:val="00EA6148"/>
    <w:rsid w:val="00EA78B2"/>
    <w:rsid w:val="00EB1390"/>
    <w:rsid w:val="00EB2C71"/>
    <w:rsid w:val="00EB4340"/>
    <w:rsid w:val="00EB556D"/>
    <w:rsid w:val="00EB5A7D"/>
    <w:rsid w:val="00EB780E"/>
    <w:rsid w:val="00EB7EE4"/>
    <w:rsid w:val="00ED5044"/>
    <w:rsid w:val="00ED54C1"/>
    <w:rsid w:val="00ED55C0"/>
    <w:rsid w:val="00ED682B"/>
    <w:rsid w:val="00EE41D5"/>
    <w:rsid w:val="00EE456A"/>
    <w:rsid w:val="00EE4611"/>
    <w:rsid w:val="00EF3DC7"/>
    <w:rsid w:val="00EF5A95"/>
    <w:rsid w:val="00F037A4"/>
    <w:rsid w:val="00F07602"/>
    <w:rsid w:val="00F111EF"/>
    <w:rsid w:val="00F11C03"/>
    <w:rsid w:val="00F11DE6"/>
    <w:rsid w:val="00F140E4"/>
    <w:rsid w:val="00F22BD7"/>
    <w:rsid w:val="00F27C8F"/>
    <w:rsid w:val="00F31DFD"/>
    <w:rsid w:val="00F32749"/>
    <w:rsid w:val="00F352F0"/>
    <w:rsid w:val="00F364DD"/>
    <w:rsid w:val="00F37172"/>
    <w:rsid w:val="00F413E7"/>
    <w:rsid w:val="00F4477E"/>
    <w:rsid w:val="00F626FF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0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96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sygnalne/komunikaty-i-obwieszczenia/lista-komunikatow-i-obwieszczen/komunikat-w-sprawie-ceny-1-m2-powierzchni-uzytkowej-budynku-mieszkalnego-za-iv-kwartal-2018-r-,265,21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http://stat.gov.pl/sygnalne/komunikaty-i-obwieszczenia/8,2019,kategoria.html" TargetMode="External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Ela\Desktop\2019_06_14\Info_syg\Obr&#243;t_nieruchomo&#347;ciami_w_2018r\Dane_do_info_syg_obr&#243;t_2018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nieruchomości lokalowe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wykres_1!$B$3:$B$19</c:f>
              <c:numCache>
                <c:formatCode>[$-1010409]General</c:formatCode>
                <c:ptCount val="17"/>
                <c:pt idx="0">
                  <c:v>48.9</c:v>
                </c:pt>
                <c:pt idx="1">
                  <c:v>58.9</c:v>
                </c:pt>
                <c:pt idx="2">
                  <c:v>46.4</c:v>
                </c:pt>
                <c:pt idx="3">
                  <c:v>32.9</c:v>
                </c:pt>
                <c:pt idx="4">
                  <c:v>48.6</c:v>
                </c:pt>
                <c:pt idx="5">
                  <c:v>44.3</c:v>
                </c:pt>
                <c:pt idx="6">
                  <c:v>44.6</c:v>
                </c:pt>
                <c:pt idx="7">
                  <c:v>58</c:v>
                </c:pt>
                <c:pt idx="8">
                  <c:v>41.9</c:v>
                </c:pt>
                <c:pt idx="9">
                  <c:v>27.6</c:v>
                </c:pt>
                <c:pt idx="10">
                  <c:v>39.299999999999997</c:v>
                </c:pt>
                <c:pt idx="11">
                  <c:v>61.9</c:v>
                </c:pt>
                <c:pt idx="12">
                  <c:v>46.3</c:v>
                </c:pt>
                <c:pt idx="13">
                  <c:v>29</c:v>
                </c:pt>
                <c:pt idx="14">
                  <c:v>49.9</c:v>
                </c:pt>
                <c:pt idx="15">
                  <c:v>45.6</c:v>
                </c:pt>
                <c:pt idx="16">
                  <c:v>56.4</c:v>
                </c:pt>
              </c:numCache>
            </c:numRef>
          </c:val>
        </c:ser>
        <c:ser>
          <c:idx val="1"/>
          <c:order val="1"/>
          <c:tx>
            <c:strRef>
              <c:f>wykres_1!$C$2</c:f>
              <c:strCache>
                <c:ptCount val="1"/>
                <c:pt idx="0">
                  <c:v>nieruchomości zabudowane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wykres_1!$C$3:$C$19</c:f>
              <c:numCache>
                <c:formatCode>[$-1010409]General</c:formatCode>
                <c:ptCount val="17"/>
                <c:pt idx="0">
                  <c:v>17</c:v>
                </c:pt>
                <c:pt idx="1">
                  <c:v>17.899999999999999</c:v>
                </c:pt>
                <c:pt idx="2">
                  <c:v>18.600000000000001</c:v>
                </c:pt>
                <c:pt idx="3">
                  <c:v>16.7</c:v>
                </c:pt>
                <c:pt idx="4">
                  <c:v>17.8</c:v>
                </c:pt>
                <c:pt idx="5">
                  <c:v>18.100000000000001</c:v>
                </c:pt>
                <c:pt idx="6">
                  <c:v>14.8</c:v>
                </c:pt>
                <c:pt idx="7">
                  <c:v>13.9</c:v>
                </c:pt>
                <c:pt idx="8">
                  <c:v>20.100000000000001</c:v>
                </c:pt>
                <c:pt idx="9">
                  <c:v>17</c:v>
                </c:pt>
                <c:pt idx="10">
                  <c:v>18.8</c:v>
                </c:pt>
                <c:pt idx="11">
                  <c:v>12.2</c:v>
                </c:pt>
                <c:pt idx="12">
                  <c:v>22.8</c:v>
                </c:pt>
                <c:pt idx="13">
                  <c:v>21.4</c:v>
                </c:pt>
                <c:pt idx="14">
                  <c:v>16.7</c:v>
                </c:pt>
                <c:pt idx="15">
                  <c:v>18</c:v>
                </c:pt>
                <c:pt idx="16">
                  <c:v>15.6</c:v>
                </c:pt>
              </c:numCache>
            </c:numRef>
          </c:val>
        </c:ser>
        <c:ser>
          <c:idx val="2"/>
          <c:order val="2"/>
          <c:tx>
            <c:strRef>
              <c:f>wykres_1!$D$2</c:f>
              <c:strCache>
                <c:ptCount val="1"/>
                <c:pt idx="0">
                  <c:v>nieruchomości niezabudowane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</c:dPt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wykres_1!$D$3:$D$19</c:f>
              <c:numCache>
                <c:formatCode>[$-1010409]General</c:formatCode>
                <c:ptCount val="17"/>
                <c:pt idx="0">
                  <c:v>34.1</c:v>
                </c:pt>
                <c:pt idx="1">
                  <c:v>23.2</c:v>
                </c:pt>
                <c:pt idx="2">
                  <c:v>35</c:v>
                </c:pt>
                <c:pt idx="3">
                  <c:v>50.4</c:v>
                </c:pt>
                <c:pt idx="4">
                  <c:v>33.6</c:v>
                </c:pt>
                <c:pt idx="5">
                  <c:v>37.6</c:v>
                </c:pt>
                <c:pt idx="6">
                  <c:v>40.6</c:v>
                </c:pt>
                <c:pt idx="7">
                  <c:v>28.1</c:v>
                </c:pt>
                <c:pt idx="8">
                  <c:v>38</c:v>
                </c:pt>
                <c:pt idx="9">
                  <c:v>55.4</c:v>
                </c:pt>
                <c:pt idx="10">
                  <c:v>41.9</c:v>
                </c:pt>
                <c:pt idx="11">
                  <c:v>25.9</c:v>
                </c:pt>
                <c:pt idx="12">
                  <c:v>30.9</c:v>
                </c:pt>
                <c:pt idx="13">
                  <c:v>49.6</c:v>
                </c:pt>
                <c:pt idx="14">
                  <c:v>33.4</c:v>
                </c:pt>
                <c:pt idx="15">
                  <c:v>36.4</c:v>
                </c:pt>
                <c:pt idx="16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981207520"/>
        <c:axId val="-981206976"/>
      </c:barChart>
      <c:catAx>
        <c:axId val="-98120752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81206976"/>
        <c:crosses val="autoZero"/>
        <c:auto val="1"/>
        <c:lblAlgn val="ctr"/>
        <c:lblOffset val="100"/>
        <c:noMultiLvlLbl val="0"/>
      </c:catAx>
      <c:valAx>
        <c:axId val="-9812069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20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wykres_2!$B$7:$I$7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wykres_2!$B$8:$I$8</c:f>
              <c:numCache>
                <c:formatCode>General</c:formatCode>
                <c:ptCount val="8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wykres_2!$B$7:$I$7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wykres_2!$B$9:$I$9</c:f>
              <c:numCache>
                <c:formatCode>General</c:formatCode>
                <c:ptCount val="8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numRef>
              <c:f>wykres_2!$B$7:$I$7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wykres_2!$B$10:$I$10</c:f>
              <c:numCache>
                <c:formatCode>General</c:formatCode>
                <c:ptCount val="8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81200992"/>
        <c:axId val="-981200448"/>
      </c:lineChart>
      <c:catAx>
        <c:axId val="-98120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200448"/>
        <c:crosses val="autoZero"/>
        <c:auto val="0"/>
        <c:lblAlgn val="ctr"/>
        <c:lblOffset val="100"/>
        <c:noMultiLvlLbl val="0"/>
      </c:catAx>
      <c:valAx>
        <c:axId val="-981200448"/>
        <c:scaling>
          <c:orientation val="minMax"/>
          <c:max val="1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2009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numRef>
              <c:f>wykres_3!$B$7:$J$7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wykres_3!$B$8:$J$8</c:f>
              <c:numCache>
                <c:formatCode>General</c:formatCode>
                <c:ptCount val="9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wykres_3!$B$7:$J$7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wykres_3!$B$9:$J$9</c:f>
              <c:numCache>
                <c:formatCode>General</c:formatCode>
                <c:ptCount val="9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numRef>
              <c:f>wykres_3!$B$7:$J$7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wykres_3!$B$10:$J$10</c:f>
              <c:numCache>
                <c:formatCode>General</c:formatCode>
                <c:ptCount val="9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76685920"/>
        <c:axId val="-976685376"/>
      </c:lineChart>
      <c:catAx>
        <c:axId val="-97668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76685376"/>
        <c:crosses val="autoZero"/>
        <c:auto val="0"/>
        <c:lblAlgn val="ctr"/>
        <c:lblOffset val="100"/>
        <c:noMultiLvlLbl val="0"/>
      </c:catAx>
      <c:valAx>
        <c:axId val="-976685376"/>
        <c:scaling>
          <c:orientation val="minMax"/>
          <c:max val="1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7668592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BE316-1533-410F-AC78-2F5F6F45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Obrót nieruchomościami w 2018 roku</dc:title>
  <dc:subject>Obrót nieruchomościami w 2018 roku</dc:subject>
  <dc:creator>Główny Urząd Statystyczny</dc:creator>
  <cp:keywords>obrót nieruchomościami; sprzedaż nieruchomości; rynek nieruchomości; transakcje kupna sprzedaży nieruchomości; akty notarialne; wskaźniki cen lokali mieszkalnych</cp:keywords>
  <dc:description>Obrót nieruchomościami w 2018 roku</dc:description>
  <cp:lastPrinted>2019-07-29T11:48:00Z</cp:lastPrinted>
  <dcterms:created xsi:type="dcterms:W3CDTF">2019-07-30T08:03:00Z</dcterms:created>
  <dcterms:modified xsi:type="dcterms:W3CDTF">2019-07-30T11:02:00Z</dcterms:modified>
  <cp:category>Obrót nieruchomościami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