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Default="00CF3D9C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>
        <w:rPr>
          <w:shd w:val="clear" w:color="auto" w:fill="FFFFFF"/>
        </w:rPr>
        <w:t>III kwartale 2018</w:t>
      </w:r>
      <w:r w:rsidR="00BF0C5F" w:rsidRPr="00BF0C5F">
        <w:rPr>
          <w:shd w:val="clear" w:color="auto" w:fill="FFFFFF"/>
        </w:rPr>
        <w:t xml:space="preserve"> r.</w:t>
      </w:r>
    </w:p>
    <w:p w:rsidR="00393761" w:rsidRPr="00001C5B" w:rsidRDefault="00FB1D12" w:rsidP="00074DD8">
      <w:pPr>
        <w:pStyle w:val="tytuinformacji"/>
        <w:rPr>
          <w:sz w:val="32"/>
        </w:rPr>
      </w:pPr>
      <w:r>
        <w:rPr>
          <w:noProof/>
          <w:sz w:val="19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1028" type="#_x0000_t202" style="position:absolute;margin-left:417.55pt;margin-top:19.35pt;width:135.85pt;height:102.4pt;z-index:-25153126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907E1E" w:rsidRPr="00074DD8" w:rsidRDefault="00F413E7" w:rsidP="00907E1E">
                  <w:pPr>
                    <w:pStyle w:val="tekstzboku"/>
                  </w:pPr>
                  <w:r>
                    <w:t>W III kwartale 2018 r. w</w:t>
                  </w:r>
                  <w:r w:rsidR="00F94B6A">
                    <w:t>zrost cen lokali mieszkalnych w </w:t>
                  </w:r>
                  <w:r>
                    <w:t>stosunku do poprzedniego kwartału był silniejszy na rynku wtórnym niż na rynku pierwotnym</w:t>
                  </w:r>
                  <w:r w:rsidR="00F140E4">
                    <w:t>.</w:t>
                  </w:r>
                </w:p>
              </w:txbxContent>
            </v:textbox>
            <w10:wrap type="tight"/>
          </v:shape>
        </w:pict>
      </w:r>
    </w:p>
    <w:p w:rsidR="00437162" w:rsidRDefault="00FB1D12" w:rsidP="00BD5E55">
      <w:pPr>
        <w:pStyle w:val="LID"/>
        <w:spacing w:after="0"/>
      </w:pPr>
      <w:r>
        <w:pict>
          <v:shape id="_x0000_s1027" type="#_x0000_t202" style="position:absolute;margin-left:0;margin-top:6.5pt;width:2in;height:93.4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28KQIAACo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" fillcolor="#001d77" stroked="f">
            <v:textbox>
              <w:txbxContent>
                <w:p w:rsidR="00933EC1" w:rsidRPr="00B66B19" w:rsidRDefault="007B0E88" w:rsidP="0063301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3375" cy="333375"/>
                        <wp:effectExtent l="0" t="0" r="9525" b="9525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1F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7068CE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1</w:t>
                  </w:r>
                  <w:r w:rsidR="00074DD8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 w:rsidR="008D1A46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3</w:t>
                  </w:r>
                  <w:r w:rsidR="00EB7EE4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933EC1" w:rsidRPr="00074DD8" w:rsidRDefault="007068CE" w:rsidP="007068CE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 xml:space="preserve">Wzrost </w:t>
                  </w:r>
                  <w:r w:rsidR="008D1A46">
                    <w:t xml:space="preserve">cen lokali mieszkalnych w </w:t>
                  </w:r>
                  <w:r w:rsidR="00F413E7">
                    <w:t>porównaniu z</w:t>
                  </w:r>
                  <w:r w:rsidR="008D1A46">
                    <w:t xml:space="preserve"> poprzedni</w:t>
                  </w:r>
                  <w:r w:rsidR="00F413E7">
                    <w:t>m kwartałem</w:t>
                  </w:r>
                </w:p>
              </w:txbxContent>
            </v:textbox>
            <w10:wrap type="square" anchorx="margin"/>
          </v:shape>
        </w:pict>
      </w:r>
      <w:r w:rsidR="007068CE" w:rsidRPr="007068CE">
        <w:t xml:space="preserve"> </w:t>
      </w:r>
      <w:r w:rsidR="008B15C2">
        <w:t>Ceny lokali mieszkalnych w</w:t>
      </w:r>
      <w:r w:rsidR="007068CE" w:rsidRPr="007068CE">
        <w:t xml:space="preserve"> </w:t>
      </w:r>
      <w:r w:rsidR="00B73097">
        <w:t>III kwartale 2018 r.</w:t>
      </w:r>
      <w:r w:rsidR="007068CE" w:rsidRPr="007068CE">
        <w:t xml:space="preserve"> </w:t>
      </w:r>
      <w:r w:rsidR="00BD5E55">
        <w:t>wzrosły o </w:t>
      </w:r>
      <w:r w:rsidR="008B15C2">
        <w:t xml:space="preserve">1,3% w stosunku do poprzedniego kwartału (w tym na rynku pierwotnym – o 0,3% i na rynku wtórnym – o 2,1%). W porównaniu z analogicznym </w:t>
      </w:r>
      <w:r w:rsidR="00F413E7">
        <w:t>okresem 2017 r.</w:t>
      </w:r>
      <w:r w:rsidR="008B15C2">
        <w:t xml:space="preserve"> </w:t>
      </w:r>
      <w:r w:rsidR="00F140E4">
        <w:t>ceny lokali m</w:t>
      </w:r>
      <w:r w:rsidR="00F413E7">
        <w:t>i</w:t>
      </w:r>
      <w:r w:rsidR="00F140E4">
        <w:t>eszkalnych wzrosły o 6,6% (w tym na rynku pierwotnym – o 4,7% i na rynku wtórnym – o 7,9%).</w:t>
      </w:r>
    </w:p>
    <w:p w:rsidR="00BD5E55" w:rsidRPr="00BD5E55" w:rsidRDefault="00BD5E55" w:rsidP="00CC7C9C">
      <w:pPr>
        <w:pStyle w:val="Nagwek1"/>
        <w:rPr>
          <w:rFonts w:ascii="Fira Sans" w:eastAsiaTheme="minorHAnsi" w:hAnsi="Fira Sans" w:cstheme="minorBidi"/>
          <w:b/>
          <w:bCs w:val="0"/>
          <w:noProof/>
          <w:color w:val="auto"/>
          <w:szCs w:val="19"/>
        </w:rPr>
      </w:pPr>
    </w:p>
    <w:p w:rsidR="00CC7C9C" w:rsidRPr="00BD5E55" w:rsidRDefault="007068CE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</w:pPr>
      <w:r w:rsidRPr="00BD5E55">
        <w:rPr>
          <w:rFonts w:ascii="Fira Sans" w:hAnsi="Fira Sans"/>
          <w:b/>
          <w:color w:val="auto"/>
          <w:sz w:val="18"/>
          <w:szCs w:val="18"/>
        </w:rPr>
        <w:t xml:space="preserve">Tablica 1. 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Wskaźniki cen lokali mieszkalnych w III kwartale 2018 r.</w:t>
      </w:r>
    </w:p>
    <w:tbl>
      <w:tblPr>
        <w:tblStyle w:val="Siatkatabelijasna11"/>
        <w:tblW w:w="82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68"/>
        <w:gridCol w:w="1653"/>
        <w:gridCol w:w="1654"/>
        <w:gridCol w:w="1654"/>
        <w:gridCol w:w="1654"/>
      </w:tblGrid>
      <w:tr w:rsidR="0064699F" w:rsidRPr="00BA474D" w:rsidTr="0064699F">
        <w:trPr>
          <w:trHeight w:val="57"/>
          <w:jc w:val="center"/>
        </w:trPr>
        <w:tc>
          <w:tcPr>
            <w:tcW w:w="1668" w:type="dxa"/>
            <w:vMerge w:val="restart"/>
            <w:vAlign w:val="center"/>
          </w:tcPr>
          <w:p w:rsidR="0064699F" w:rsidRPr="00437A70" w:rsidRDefault="0064699F" w:rsidP="000E27C8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437A7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961" w:type="dxa"/>
            <w:gridSpan w:val="3"/>
            <w:vAlign w:val="center"/>
          </w:tcPr>
          <w:p w:rsidR="0064699F" w:rsidRPr="00437A70" w:rsidRDefault="0064699F" w:rsidP="00417054">
            <w:pPr>
              <w:keepNext/>
              <w:keepLines/>
              <w:spacing w:before="0" w:after="0" w:line="276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III kwartał 2018</w:t>
            </w:r>
          </w:p>
        </w:tc>
        <w:tc>
          <w:tcPr>
            <w:tcW w:w="1654" w:type="dxa"/>
          </w:tcPr>
          <w:p w:rsidR="0064699F" w:rsidRPr="00437A70" w:rsidRDefault="0064699F" w:rsidP="00417054">
            <w:pPr>
              <w:keepNext/>
              <w:keepLines/>
              <w:spacing w:before="0" w:after="0" w:line="276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I-III kwartał 2018 </w:t>
            </w:r>
          </w:p>
        </w:tc>
      </w:tr>
      <w:tr w:rsidR="0064699F" w:rsidRPr="00437A70" w:rsidTr="0051704F">
        <w:trPr>
          <w:trHeight w:val="57"/>
          <w:jc w:val="center"/>
        </w:trPr>
        <w:tc>
          <w:tcPr>
            <w:tcW w:w="1668" w:type="dxa"/>
            <w:vMerge/>
            <w:tcBorders>
              <w:bottom w:val="single" w:sz="12" w:space="0" w:color="212492"/>
            </w:tcBorders>
            <w:vAlign w:val="center"/>
          </w:tcPr>
          <w:p w:rsidR="0064699F" w:rsidRPr="00437A70" w:rsidRDefault="0064699F" w:rsidP="000E27C8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53" w:type="dxa"/>
            <w:tcBorders>
              <w:bottom w:val="single" w:sz="12" w:space="0" w:color="212492"/>
            </w:tcBorders>
          </w:tcPr>
          <w:p w:rsidR="00417054" w:rsidRDefault="00F413E7" w:rsidP="0041705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 2018</w:t>
            </w:r>
          </w:p>
          <w:p w:rsidR="0064699F" w:rsidRDefault="00417054" w:rsidP="0041705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:rsidR="00417054" w:rsidRDefault="00F413E7" w:rsidP="0041705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 2017</w:t>
            </w:r>
          </w:p>
          <w:p w:rsidR="0064699F" w:rsidRPr="00437A70" w:rsidRDefault="00417054" w:rsidP="0041705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:rsidR="0064699F" w:rsidRPr="00437A70" w:rsidRDefault="0064699F" w:rsidP="0041705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:rsidR="00417054" w:rsidRDefault="00F413E7" w:rsidP="0041705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I-III kwartał 2017</w:t>
            </w:r>
          </w:p>
          <w:p w:rsidR="0064699F" w:rsidRPr="00437A70" w:rsidRDefault="00417054" w:rsidP="0041705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64699F" w:rsidRPr="00437A70" w:rsidTr="0051704F">
        <w:trPr>
          <w:trHeight w:val="57"/>
          <w:jc w:val="center"/>
        </w:trPr>
        <w:tc>
          <w:tcPr>
            <w:tcW w:w="1668" w:type="dxa"/>
            <w:vAlign w:val="center"/>
          </w:tcPr>
          <w:p w:rsidR="0064699F" w:rsidRPr="0051704F" w:rsidRDefault="0064699F" w:rsidP="004178B0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</w:pPr>
            <w:r w:rsidRPr="0051704F"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165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4699F" w:rsidRPr="0051704F" w:rsidRDefault="0064699F" w:rsidP="00BD5E55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704F">
              <w:rPr>
                <w:rFonts w:cs="Arial"/>
                <w:b/>
                <w:bCs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4699F" w:rsidRPr="0051704F" w:rsidRDefault="0064699F" w:rsidP="00BD5E55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704F">
              <w:rPr>
                <w:rFonts w:cs="Arial"/>
                <w:b/>
                <w:bCs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4699F" w:rsidRPr="0051704F" w:rsidRDefault="0064699F" w:rsidP="00CA6F34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704F">
              <w:rPr>
                <w:rFonts w:cs="Arial"/>
                <w:b/>
                <w:bCs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699F" w:rsidRPr="0051704F" w:rsidRDefault="0064699F" w:rsidP="00BD5E55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106,2</w:t>
            </w:r>
          </w:p>
        </w:tc>
      </w:tr>
      <w:tr w:rsidR="0064699F" w:rsidRPr="00437A70" w:rsidTr="0051704F">
        <w:trPr>
          <w:trHeight w:val="57"/>
          <w:jc w:val="center"/>
        </w:trPr>
        <w:tc>
          <w:tcPr>
            <w:tcW w:w="1668" w:type="dxa"/>
            <w:vAlign w:val="center"/>
          </w:tcPr>
          <w:p w:rsidR="0064699F" w:rsidRPr="00437A70" w:rsidRDefault="0064699F" w:rsidP="00BD5E55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37A7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Rynek pierwotny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4699F" w:rsidRPr="0051704F" w:rsidRDefault="0064699F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1704F"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4699F" w:rsidRPr="0051704F" w:rsidRDefault="0064699F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1704F">
              <w:rPr>
                <w:rFonts w:cs="Arial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4699F" w:rsidRPr="0051704F" w:rsidRDefault="0064699F" w:rsidP="00CA6F34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1704F">
              <w:rPr>
                <w:rFonts w:cs="Arial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699F" w:rsidRPr="0051704F" w:rsidRDefault="0064699F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105,2</w:t>
            </w:r>
          </w:p>
        </w:tc>
      </w:tr>
      <w:tr w:rsidR="0064699F" w:rsidRPr="00437A70" w:rsidTr="0051704F">
        <w:trPr>
          <w:trHeight w:val="57"/>
          <w:jc w:val="center"/>
        </w:trPr>
        <w:tc>
          <w:tcPr>
            <w:tcW w:w="1668" w:type="dxa"/>
            <w:vAlign w:val="center"/>
          </w:tcPr>
          <w:p w:rsidR="0064699F" w:rsidRPr="00437A70" w:rsidRDefault="0064699F" w:rsidP="00BD5E55">
            <w:pPr>
              <w:tabs>
                <w:tab w:val="right" w:leader="dot" w:pos="4156"/>
              </w:tabs>
              <w:spacing w:line="24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Rynek wtórny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4699F" w:rsidRPr="0051704F" w:rsidRDefault="0064699F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1704F"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4699F" w:rsidRPr="0051704F" w:rsidRDefault="0064699F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1704F">
              <w:rPr>
                <w:rFonts w:cs="Arial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4699F" w:rsidRPr="0051704F" w:rsidRDefault="0064699F" w:rsidP="00CA6F34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1704F">
              <w:rPr>
                <w:rFonts w:cs="Arial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699F" w:rsidRPr="0051704F" w:rsidRDefault="0064699F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107,1</w:t>
            </w:r>
          </w:p>
        </w:tc>
      </w:tr>
    </w:tbl>
    <w:p w:rsidR="00C44EB3" w:rsidRDefault="00D9167F" w:rsidP="005E3B8D">
      <w:pPr>
        <w:spacing w:before="240"/>
        <w:rPr>
          <w:b/>
          <w:sz w:val="18"/>
        </w:rPr>
      </w:pPr>
      <w:r>
        <w:rPr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4686935</wp:posOffset>
            </wp:positionV>
            <wp:extent cx="5072380" cy="874395"/>
            <wp:effectExtent l="0" t="0" r="0" b="0"/>
            <wp:wrapSquare wrapText="bothSides"/>
            <wp:docPr id="8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FB1D12">
        <w:rPr>
          <w:b/>
          <w:noProof/>
          <w:sz w:val="18"/>
          <w:szCs w:val="18"/>
        </w:rPr>
        <w:pict>
          <v:shape id="_x0000_s1041" type="#_x0000_t202" style="position:absolute;margin-left:417.55pt;margin-top:1.55pt;width:126.85pt;height:102.4pt;z-index:-251528192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 style="mso-next-textbox:#_x0000_s1041">
              <w:txbxContent>
                <w:p w:rsidR="00F364DD" w:rsidRPr="00074DD8" w:rsidRDefault="00F413E7" w:rsidP="00F364DD">
                  <w:pPr>
                    <w:pStyle w:val="tekstzboku"/>
                  </w:pPr>
                  <w:r>
                    <w:t>Przy obliczaniu wskaźników cen lokali mieszkalnych za 2018 r. rynkowi wtórnemu przypisuje się wagę 54,5%, a rynkowi pierwotnemu – 45,5%.</w:t>
                  </w:r>
                </w:p>
              </w:txbxContent>
            </v:textbox>
            <w10:wrap type="tight"/>
          </v:shape>
        </w:pict>
      </w:r>
      <w:r w:rsidR="00C44EB3">
        <w:rPr>
          <w:b/>
          <w:sz w:val="18"/>
        </w:rPr>
        <w:t>Wykres 1</w:t>
      </w:r>
      <w:r w:rsidR="00C44EB3" w:rsidRPr="00853416">
        <w:rPr>
          <w:b/>
          <w:sz w:val="18"/>
        </w:rPr>
        <w:t xml:space="preserve">. </w:t>
      </w:r>
      <w:r w:rsidR="00C44EB3">
        <w:rPr>
          <w:b/>
          <w:sz w:val="18"/>
        </w:rPr>
        <w:t xml:space="preserve">System wag stosowany w obliczeniach wskaźników cen </w:t>
      </w:r>
      <w:r w:rsidR="005E3B8D">
        <w:rPr>
          <w:b/>
          <w:sz w:val="18"/>
        </w:rPr>
        <w:t>lokali mieszkalnych w 2018 r.</w:t>
      </w:r>
    </w:p>
    <w:p w:rsidR="006E095C" w:rsidRDefault="00AA6B32" w:rsidP="000E27C8">
      <w:pPr>
        <w:spacing w:before="240"/>
        <w:rPr>
          <w:b/>
          <w:sz w:val="18"/>
        </w:rPr>
      </w:pPr>
      <w:r>
        <w:rPr>
          <w:b/>
          <w:sz w:val="18"/>
        </w:rPr>
        <w:t>Wykres 2</w:t>
      </w:r>
      <w:r w:rsidR="00D24CF3" w:rsidRPr="00853416">
        <w:rPr>
          <w:b/>
          <w:sz w:val="18"/>
        </w:rPr>
        <w:t xml:space="preserve">. Ceny lokali mieszkalnych (zmiana w % w stosunku do </w:t>
      </w:r>
      <w:r w:rsidR="00D24CF3">
        <w:rPr>
          <w:b/>
          <w:sz w:val="18"/>
        </w:rPr>
        <w:t>okresu</w:t>
      </w:r>
      <w:r w:rsidR="00D24CF3" w:rsidRPr="00853416">
        <w:rPr>
          <w:b/>
          <w:sz w:val="18"/>
        </w:rPr>
        <w:t xml:space="preserve"> poprzedniego)</w:t>
      </w:r>
    </w:p>
    <w:p w:rsidR="0087115A" w:rsidRDefault="00D9167F" w:rsidP="006E095C">
      <w:pPr>
        <w:spacing w:before="0" w:after="160" w:line="259" w:lineRule="auto"/>
        <w:rPr>
          <w:b/>
          <w:sz w:val="18"/>
        </w:rPr>
      </w:pPr>
      <w:r w:rsidRPr="00D9167F">
        <w:rPr>
          <w:noProof/>
          <w:lang w:eastAsia="pl-PL"/>
        </w:rPr>
        <w:drawing>
          <wp:inline distT="0" distB="0" distL="0" distR="0">
            <wp:extent cx="5216055" cy="2880000"/>
            <wp:effectExtent l="0" t="0" r="0" b="0"/>
            <wp:docPr id="9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67040" w:rsidRDefault="00E67040" w:rsidP="000E27C8">
      <w:pPr>
        <w:spacing w:before="240" w:after="160" w:line="259" w:lineRule="auto"/>
        <w:rPr>
          <w:b/>
          <w:sz w:val="18"/>
        </w:rPr>
      </w:pPr>
    </w:p>
    <w:p w:rsidR="00E67040" w:rsidRDefault="006E095C" w:rsidP="00E67040">
      <w:pPr>
        <w:spacing w:before="240" w:after="0" w:line="259" w:lineRule="auto"/>
        <w:rPr>
          <w:b/>
          <w:sz w:val="18"/>
        </w:rPr>
      </w:pPr>
      <w:r>
        <w:rPr>
          <w:b/>
          <w:sz w:val="18"/>
        </w:rPr>
        <w:lastRenderedPageBreak/>
        <w:t>Wykres 3</w:t>
      </w:r>
      <w:r w:rsidRPr="00853416">
        <w:rPr>
          <w:b/>
          <w:sz w:val="18"/>
        </w:rPr>
        <w:t>. Ceny lokali mieszkalnych (</w:t>
      </w:r>
      <w:r>
        <w:rPr>
          <w:b/>
          <w:sz w:val="18"/>
        </w:rPr>
        <w:t>zmiana w % w s</w:t>
      </w:r>
      <w:r w:rsidR="00E67040">
        <w:rPr>
          <w:b/>
          <w:sz w:val="18"/>
        </w:rPr>
        <w:t>tosunku do analogicznego okresu</w:t>
      </w:r>
    </w:p>
    <w:p w:rsidR="006E095C" w:rsidRDefault="00F413E7" w:rsidP="00E67040">
      <w:pPr>
        <w:spacing w:before="0" w:after="160" w:line="259" w:lineRule="auto"/>
        <w:ind w:left="794"/>
        <w:rPr>
          <w:b/>
          <w:sz w:val="18"/>
        </w:rPr>
      </w:pPr>
      <w:r>
        <w:rPr>
          <w:b/>
          <w:sz w:val="18"/>
        </w:rPr>
        <w:t>poprze</w:t>
      </w:r>
      <w:r w:rsidR="00E67040">
        <w:rPr>
          <w:b/>
          <w:sz w:val="18"/>
        </w:rPr>
        <w:t>d</w:t>
      </w:r>
      <w:r>
        <w:rPr>
          <w:b/>
          <w:sz w:val="18"/>
        </w:rPr>
        <w:t>niego roku</w:t>
      </w:r>
      <w:r w:rsidR="006E095C" w:rsidRPr="00853416">
        <w:rPr>
          <w:b/>
          <w:sz w:val="18"/>
        </w:rPr>
        <w:t>)</w:t>
      </w:r>
    </w:p>
    <w:p w:rsidR="006E095C" w:rsidRDefault="00FB1D12" w:rsidP="005A45AB">
      <w:pPr>
        <w:spacing w:before="0" w:after="160" w:line="259" w:lineRule="auto"/>
        <w:rPr>
          <w:b/>
          <w:sz w:val="18"/>
        </w:rPr>
      </w:pPr>
      <w:r>
        <w:rPr>
          <w:b/>
          <w:noProof/>
          <w:sz w:val="18"/>
          <w:szCs w:val="18"/>
          <w:lang w:eastAsia="pl-PL"/>
        </w:rPr>
        <w:pict>
          <v:shape id="_x0000_s1042" type="#_x0000_t202" style="position:absolute;margin-left:415.3pt;margin-top:224pt;width:135.85pt;height:99.15pt;z-index:-25152716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6F46FF" w:rsidRDefault="00F413E7" w:rsidP="006F46FF">
                  <w:pPr>
                    <w:pStyle w:val="tekstzboku"/>
                  </w:pPr>
                  <w:r>
                    <w:t>W III kwartale 2018 r. ceny lokali mieszkalny</w:t>
                  </w:r>
                  <w:r w:rsidR="00EA11F2">
                    <w:t>ch były o </w:t>
                  </w:r>
                  <w:r>
                    <w:t>13,4% wyższe w porównaniu</w:t>
                  </w:r>
                  <w:r w:rsidR="00EA11F2">
                    <w:t xml:space="preserve"> ze średnią ceną dla 2015 r. (w </w:t>
                  </w:r>
                  <w:r>
                    <w:t>tym na rynku pierwotnym – o 9,8%, a na rynku wtórnym – o 16,7%)</w:t>
                  </w:r>
                </w:p>
                <w:p w:rsidR="006F46FF" w:rsidRPr="00074DD8" w:rsidRDefault="006F46FF" w:rsidP="006F46FF">
                  <w:pPr>
                    <w:pStyle w:val="tekstzboku"/>
                  </w:pPr>
                </w:p>
              </w:txbxContent>
            </v:textbox>
            <w10:wrap type="tight"/>
          </v:shape>
        </w:pict>
      </w:r>
      <w:r w:rsidR="00D9167F" w:rsidRPr="00D9167F">
        <w:rPr>
          <w:noProof/>
          <w:lang w:eastAsia="pl-PL"/>
        </w:rPr>
        <w:drawing>
          <wp:inline distT="0" distB="0" distL="0" distR="0">
            <wp:extent cx="5220000" cy="2878372"/>
            <wp:effectExtent l="0" t="0" r="0" b="0"/>
            <wp:docPr id="10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7115A" w:rsidRDefault="0087115A" w:rsidP="0087115A">
      <w:pPr>
        <w:spacing w:before="0" w:after="160" w:line="259" w:lineRule="auto"/>
        <w:rPr>
          <w:b/>
          <w:sz w:val="18"/>
        </w:rPr>
      </w:pPr>
      <w:r>
        <w:rPr>
          <w:b/>
          <w:sz w:val="18"/>
        </w:rPr>
        <w:t>Wykres 4</w:t>
      </w:r>
      <w:r w:rsidRPr="00853416">
        <w:rPr>
          <w:b/>
          <w:sz w:val="18"/>
        </w:rPr>
        <w:t>. Ceny lokali mieszkalnych (zmiana w % w stosunku do 201</w:t>
      </w:r>
      <w:r w:rsidR="00C7541C">
        <w:rPr>
          <w:b/>
          <w:sz w:val="18"/>
        </w:rPr>
        <w:t>5</w:t>
      </w:r>
      <w:r w:rsidRPr="00853416">
        <w:rPr>
          <w:b/>
          <w:sz w:val="18"/>
        </w:rPr>
        <w:t xml:space="preserve"> r</w:t>
      </w:r>
      <w:r w:rsidR="00C7541C">
        <w:rPr>
          <w:b/>
          <w:sz w:val="18"/>
        </w:rPr>
        <w:t>.</w:t>
      </w:r>
      <w:r w:rsidRPr="00853416">
        <w:rPr>
          <w:b/>
          <w:sz w:val="18"/>
        </w:rPr>
        <w:t>)</w:t>
      </w:r>
    </w:p>
    <w:p w:rsidR="0087115A" w:rsidRDefault="00FB1D12" w:rsidP="005A45AB">
      <w:pPr>
        <w:spacing w:before="0" w:after="160" w:line="259" w:lineRule="auto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pict>
          <v:shape id="_x0000_s1033" type="#_x0000_t202" style="position:absolute;margin-left:410.85pt;margin-top:226.8pt;width:135.85pt;height:127.95pt;z-index:-25153024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885566" w:rsidRPr="00074DD8" w:rsidRDefault="00F413E7" w:rsidP="00885566">
                  <w:pPr>
                    <w:pStyle w:val="tekstzboku"/>
                  </w:pPr>
                  <w:r>
                    <w:t>W III kwartale 2018 r. n</w:t>
                  </w:r>
                  <w:r w:rsidR="00885566">
                    <w:t>ajwiększy wzrost cen</w:t>
                  </w:r>
                  <w:r w:rsidR="00885566" w:rsidRPr="00907E1E">
                    <w:t xml:space="preserve"> lokali mieszkalnych </w:t>
                  </w:r>
                  <w:r w:rsidR="00885566">
                    <w:t>w stosunku do poprzedniego kwartału odnotowano w województwie dolnośląskim (o 5,3%).</w:t>
                  </w:r>
                  <w:r w:rsidR="003B46F7">
                    <w:t xml:space="preserve"> Spadki cen odnotowa</w:t>
                  </w:r>
                  <w:r w:rsidR="00BD5E55">
                    <w:t>no w województwie małopolskim i </w:t>
                  </w:r>
                  <w:r w:rsidR="003B46F7">
                    <w:t>pomorskim.</w:t>
                  </w:r>
                </w:p>
              </w:txbxContent>
            </v:textbox>
            <w10:wrap type="tight"/>
          </v:shape>
        </w:pict>
      </w:r>
      <w:r w:rsidR="00D9167F" w:rsidRPr="00D9167F">
        <w:rPr>
          <w:b/>
          <w:noProof/>
          <w:sz w:val="18"/>
          <w:szCs w:val="18"/>
          <w:lang w:eastAsia="pl-PL"/>
        </w:rPr>
        <w:drawing>
          <wp:inline distT="0" distB="0" distL="0" distR="0">
            <wp:extent cx="5220000" cy="2878372"/>
            <wp:effectExtent l="0" t="0" r="0" b="0"/>
            <wp:docPr id="11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352F0" w:rsidRPr="009F7474" w:rsidRDefault="009E181A" w:rsidP="005A45AB">
      <w:pPr>
        <w:spacing w:before="0"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Tablica 2</w:t>
      </w:r>
      <w:r w:rsidRPr="007068CE">
        <w:rPr>
          <w:b/>
          <w:sz w:val="18"/>
          <w:szCs w:val="18"/>
        </w:rPr>
        <w:t xml:space="preserve">. </w:t>
      </w:r>
      <w:r w:rsidRPr="00F140E4">
        <w:rPr>
          <w:b/>
          <w:spacing w:val="-2"/>
          <w:sz w:val="18"/>
          <w:shd w:val="clear" w:color="auto" w:fill="FFFFFF"/>
        </w:rPr>
        <w:t>Wskaźnik</w:t>
      </w:r>
      <w:r>
        <w:rPr>
          <w:b/>
          <w:spacing w:val="-2"/>
          <w:sz w:val="18"/>
          <w:shd w:val="clear" w:color="auto" w:fill="FFFFFF"/>
        </w:rPr>
        <w:t>i cen lokali mieszkalnych w</w:t>
      </w:r>
      <w:r w:rsidR="00F95B4F">
        <w:rPr>
          <w:b/>
          <w:spacing w:val="-2"/>
          <w:sz w:val="18"/>
          <w:shd w:val="clear" w:color="auto" w:fill="FFFFFF"/>
        </w:rPr>
        <w:t>edłu</w:t>
      </w:r>
      <w:r>
        <w:rPr>
          <w:b/>
          <w:spacing w:val="-2"/>
          <w:sz w:val="18"/>
          <w:shd w:val="clear" w:color="auto" w:fill="FFFFFF"/>
        </w:rPr>
        <w:t>g województw w III kwartale 2018 r.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:rsidTr="007D5B15">
        <w:trPr>
          <w:trHeight w:val="57"/>
        </w:trPr>
        <w:tc>
          <w:tcPr>
            <w:tcW w:w="3494" w:type="dxa"/>
            <w:vMerge w:val="restart"/>
            <w:vAlign w:val="center"/>
          </w:tcPr>
          <w:p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F95B4F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574" w:type="dxa"/>
            <w:gridSpan w:val="3"/>
            <w:vAlign w:val="center"/>
          </w:tcPr>
          <w:p w:rsidR="00F95B4F" w:rsidRPr="00F95B4F" w:rsidRDefault="00F95B4F" w:rsidP="00E945B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95B4F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III kwartał 2018</w:t>
            </w:r>
          </w:p>
        </w:tc>
      </w:tr>
      <w:tr w:rsidR="00F95B4F" w:rsidRPr="00F95B4F" w:rsidTr="007D5B15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:rsidR="00F95B4F" w:rsidRDefault="00F413E7" w:rsidP="00E945B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 2018</w:t>
            </w:r>
          </w:p>
          <w:p w:rsidR="0018393E" w:rsidRPr="00F95B4F" w:rsidRDefault="0018393E" w:rsidP="00E945B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78" w:type="dxa"/>
            <w:vAlign w:val="center"/>
          </w:tcPr>
          <w:p w:rsidR="00F95B4F" w:rsidRDefault="00F413E7" w:rsidP="00E945B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 2017</w:t>
            </w:r>
          </w:p>
          <w:p w:rsidR="0018393E" w:rsidRPr="00F95B4F" w:rsidRDefault="0018393E" w:rsidP="00E945B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95B4F" w:rsidRPr="00F95B4F" w:rsidTr="00C97096">
        <w:trPr>
          <w:trHeight w:val="57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:rsidR="00F95B4F" w:rsidRPr="00F95B4F" w:rsidRDefault="00F95B4F" w:rsidP="00E945B7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F95B4F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:rsidR="00F95B4F" w:rsidRPr="00E945B7" w:rsidRDefault="00F95B4F" w:rsidP="00E945B7">
            <w:pPr>
              <w:spacing w:before="0" w:after="0"/>
              <w:jc w:val="right"/>
              <w:rPr>
                <w:b/>
                <w:sz w:val="16"/>
                <w:szCs w:val="16"/>
              </w:rPr>
            </w:pPr>
            <w:r w:rsidRPr="00E945B7">
              <w:rPr>
                <w:b/>
                <w:sz w:val="16"/>
                <w:szCs w:val="16"/>
              </w:rPr>
              <w:t>101,3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:rsidR="00F95B4F" w:rsidRPr="00E945B7" w:rsidRDefault="00F95B4F" w:rsidP="00E945B7">
            <w:pPr>
              <w:spacing w:before="0" w:after="0"/>
              <w:jc w:val="right"/>
              <w:rPr>
                <w:b/>
                <w:sz w:val="16"/>
                <w:szCs w:val="16"/>
              </w:rPr>
            </w:pPr>
            <w:r w:rsidRPr="00E945B7">
              <w:rPr>
                <w:b/>
                <w:sz w:val="16"/>
                <w:szCs w:val="16"/>
              </w:rPr>
              <w:t>106,6</w:t>
            </w:r>
          </w:p>
        </w:tc>
      </w:tr>
      <w:tr w:rsidR="00F95B4F" w:rsidRPr="00F95B4F" w:rsidTr="00C97096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105,3</w:t>
            </w:r>
          </w:p>
        </w:tc>
        <w:tc>
          <w:tcPr>
            <w:tcW w:w="2296" w:type="dxa"/>
            <w:gridSpan w:val="2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103,4</w:t>
            </w:r>
          </w:p>
        </w:tc>
      </w:tr>
      <w:tr w:rsidR="00F95B4F" w:rsidRPr="00F95B4F" w:rsidTr="00C97096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102,1</w:t>
            </w:r>
          </w:p>
        </w:tc>
        <w:tc>
          <w:tcPr>
            <w:tcW w:w="2296" w:type="dxa"/>
            <w:gridSpan w:val="2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108,5</w:t>
            </w:r>
          </w:p>
        </w:tc>
      </w:tr>
      <w:tr w:rsidR="00F95B4F" w:rsidRPr="00F95B4F" w:rsidTr="00C97096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103,6</w:t>
            </w:r>
          </w:p>
        </w:tc>
        <w:tc>
          <w:tcPr>
            <w:tcW w:w="2296" w:type="dxa"/>
            <w:gridSpan w:val="2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104,3</w:t>
            </w:r>
          </w:p>
        </w:tc>
      </w:tr>
      <w:tr w:rsidR="00F95B4F" w:rsidRPr="00F95B4F" w:rsidTr="00C97096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100,6</w:t>
            </w:r>
          </w:p>
        </w:tc>
        <w:tc>
          <w:tcPr>
            <w:tcW w:w="2296" w:type="dxa"/>
            <w:gridSpan w:val="2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105,3</w:t>
            </w:r>
          </w:p>
        </w:tc>
      </w:tr>
      <w:tr w:rsidR="00F95B4F" w:rsidRPr="00F95B4F" w:rsidTr="00C97096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104,6</w:t>
            </w:r>
          </w:p>
        </w:tc>
        <w:tc>
          <w:tcPr>
            <w:tcW w:w="2296" w:type="dxa"/>
            <w:gridSpan w:val="2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109,9</w:t>
            </w:r>
          </w:p>
        </w:tc>
      </w:tr>
      <w:tr w:rsidR="00F95B4F" w:rsidRPr="00F95B4F" w:rsidTr="00C97096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96,2</w:t>
            </w:r>
          </w:p>
        </w:tc>
        <w:tc>
          <w:tcPr>
            <w:tcW w:w="2296" w:type="dxa"/>
            <w:gridSpan w:val="2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101,3</w:t>
            </w:r>
          </w:p>
        </w:tc>
      </w:tr>
      <w:tr w:rsidR="00F95B4F" w:rsidRPr="00F95B4F" w:rsidTr="00C97096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101,4</w:t>
            </w:r>
          </w:p>
        </w:tc>
        <w:tc>
          <w:tcPr>
            <w:tcW w:w="2296" w:type="dxa"/>
            <w:gridSpan w:val="2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106,4</w:t>
            </w:r>
          </w:p>
        </w:tc>
      </w:tr>
      <w:tr w:rsidR="00F95B4F" w:rsidRPr="00F95B4F" w:rsidTr="00C97096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100,1</w:t>
            </w:r>
          </w:p>
        </w:tc>
        <w:tc>
          <w:tcPr>
            <w:tcW w:w="2296" w:type="dxa"/>
            <w:gridSpan w:val="2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110,9</w:t>
            </w:r>
          </w:p>
        </w:tc>
      </w:tr>
      <w:tr w:rsidR="00F95B4F" w:rsidRPr="00F95B4F" w:rsidTr="00C97096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lastRenderedPageBreak/>
              <w:t xml:space="preserve">podkarpackie </w:t>
            </w:r>
          </w:p>
        </w:tc>
        <w:tc>
          <w:tcPr>
            <w:tcW w:w="2278" w:type="dxa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100,3</w:t>
            </w:r>
          </w:p>
        </w:tc>
        <w:tc>
          <w:tcPr>
            <w:tcW w:w="2296" w:type="dxa"/>
            <w:gridSpan w:val="2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105,9</w:t>
            </w:r>
          </w:p>
        </w:tc>
      </w:tr>
      <w:tr w:rsidR="00F95B4F" w:rsidRPr="00F95B4F" w:rsidTr="00C97096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103,2</w:t>
            </w:r>
          </w:p>
        </w:tc>
        <w:tc>
          <w:tcPr>
            <w:tcW w:w="2296" w:type="dxa"/>
            <w:gridSpan w:val="2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107,6</w:t>
            </w:r>
          </w:p>
        </w:tc>
      </w:tr>
      <w:tr w:rsidR="00F95B4F" w:rsidRPr="00F95B4F" w:rsidTr="00C97096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98,2</w:t>
            </w:r>
          </w:p>
        </w:tc>
        <w:tc>
          <w:tcPr>
            <w:tcW w:w="2296" w:type="dxa"/>
            <w:gridSpan w:val="2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107,1</w:t>
            </w:r>
          </w:p>
        </w:tc>
      </w:tr>
      <w:tr w:rsidR="00F95B4F" w:rsidRPr="00F95B4F" w:rsidTr="00C97096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103,4</w:t>
            </w:r>
          </w:p>
        </w:tc>
        <w:tc>
          <w:tcPr>
            <w:tcW w:w="2296" w:type="dxa"/>
            <w:gridSpan w:val="2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112,5</w:t>
            </w:r>
          </w:p>
        </w:tc>
      </w:tr>
      <w:tr w:rsidR="00F95B4F" w:rsidRPr="00F95B4F" w:rsidTr="00C97096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102,1</w:t>
            </w:r>
          </w:p>
        </w:tc>
        <w:tc>
          <w:tcPr>
            <w:tcW w:w="2296" w:type="dxa"/>
            <w:gridSpan w:val="2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106,2</w:t>
            </w:r>
          </w:p>
        </w:tc>
      </w:tr>
      <w:tr w:rsidR="00F95B4F" w:rsidRPr="00F95B4F" w:rsidTr="00C97096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102,4</w:t>
            </w:r>
          </w:p>
        </w:tc>
        <w:tc>
          <w:tcPr>
            <w:tcW w:w="2296" w:type="dxa"/>
            <w:gridSpan w:val="2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107,9</w:t>
            </w:r>
          </w:p>
        </w:tc>
      </w:tr>
      <w:tr w:rsidR="00F95B4F" w:rsidRPr="00F95B4F" w:rsidTr="00C97096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101</w:t>
            </w:r>
            <w:r w:rsidR="00E945B7">
              <w:rPr>
                <w:sz w:val="16"/>
                <w:szCs w:val="16"/>
              </w:rPr>
              <w:t>,0</w:t>
            </w:r>
          </w:p>
        </w:tc>
        <w:tc>
          <w:tcPr>
            <w:tcW w:w="2296" w:type="dxa"/>
            <w:gridSpan w:val="2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107,6</w:t>
            </w:r>
          </w:p>
        </w:tc>
      </w:tr>
      <w:tr w:rsidR="00F95B4F" w:rsidRPr="00F95B4F" w:rsidTr="00C97096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103,4</w:t>
            </w:r>
          </w:p>
        </w:tc>
        <w:tc>
          <w:tcPr>
            <w:tcW w:w="2296" w:type="dxa"/>
            <w:gridSpan w:val="2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111,3</w:t>
            </w:r>
          </w:p>
        </w:tc>
      </w:tr>
    </w:tbl>
    <w:p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:rsidR="0059548E" w:rsidRPr="00001C5B" w:rsidRDefault="0059548E" w:rsidP="00E76D26">
      <w:pPr>
        <w:rPr>
          <w:sz w:val="18"/>
        </w:rPr>
        <w:sectPr w:rsidR="0059548E" w:rsidRPr="00001C5B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CA7351" w:rsidRPr="00D9167F" w:rsidTr="00C677E0">
        <w:trPr>
          <w:trHeight w:val="1912"/>
        </w:trPr>
        <w:tc>
          <w:tcPr>
            <w:tcW w:w="4379" w:type="dxa"/>
          </w:tcPr>
          <w:p w:rsidR="00CA7351" w:rsidRPr="008F3638" w:rsidRDefault="00CA7351" w:rsidP="00CA7351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CA7351" w:rsidRPr="008F3638" w:rsidRDefault="00CA7351" w:rsidP="00CA7351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CA7351" w:rsidRPr="00BB4F09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Renata Rechnio</w:t>
            </w:r>
          </w:p>
          <w:p w:rsidR="00CA7351" w:rsidRPr="008F3638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608 3802</w:t>
            </w:r>
          </w:p>
          <w:p w:rsidR="00CA7351" w:rsidRPr="00072575" w:rsidRDefault="00CA7351" w:rsidP="00CA735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072575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e-mail: R.Rechnio@s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tat.gov.pl</w:t>
            </w:r>
          </w:p>
        </w:tc>
        <w:tc>
          <w:tcPr>
            <w:tcW w:w="3942" w:type="dxa"/>
          </w:tcPr>
          <w:p w:rsidR="00CA7351" w:rsidRPr="008F3638" w:rsidRDefault="00CA7351" w:rsidP="00CA735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A7351" w:rsidRPr="008F3638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CA7351" w:rsidRPr="008F3638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CA7351" w:rsidRPr="008F3638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907E1E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rzecznik@stat.gov.pl</w:t>
            </w:r>
          </w:p>
        </w:tc>
      </w:tr>
    </w:tbl>
    <w:p w:rsidR="00CA7351" w:rsidRPr="00EE456A" w:rsidRDefault="00CA7351" w:rsidP="00CA7351">
      <w:pPr>
        <w:rPr>
          <w:sz w:val="20"/>
          <w:lang w:val="en-US"/>
        </w:rPr>
      </w:pPr>
    </w:p>
    <w:p w:rsidR="00CA7351" w:rsidRPr="00EE456A" w:rsidRDefault="00CA7351" w:rsidP="00CA7351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CA7351" w:rsidTr="00C677E0">
        <w:trPr>
          <w:trHeight w:val="610"/>
        </w:trPr>
        <w:tc>
          <w:tcPr>
            <w:tcW w:w="2721" w:type="pct"/>
            <w:vMerge w:val="restart"/>
            <w:vAlign w:val="center"/>
          </w:tcPr>
          <w:p w:rsidR="00CA7351" w:rsidRPr="00C91687" w:rsidRDefault="00CA7351" w:rsidP="00CA7351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CA7351" w:rsidRPr="00C91687" w:rsidRDefault="00CA7351" w:rsidP="00CA7351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CA7351" w:rsidRPr="00EE456A" w:rsidRDefault="00CA7351" w:rsidP="00CA7351">
            <w:pPr>
              <w:rPr>
                <w:sz w:val="20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faks:</w:t>
            </w:r>
            <w:r w:rsidRPr="00EE456A">
              <w:rPr>
                <w:sz w:val="20"/>
                <w:lang w:val="en-US"/>
              </w:rPr>
              <w:t xml:space="preserve"> 22 608 38 86 </w:t>
            </w:r>
          </w:p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907E1E">
              <w:rPr>
                <w:sz w:val="20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Default="00CA7351" w:rsidP="00CA7351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CA7351" w:rsidTr="00C677E0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CA7351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CA7351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CA7351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CA7351" w:rsidTr="00C677E0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CA7351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CA7351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CA7351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FB1D12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29" type="#_x0000_t202" style="position:absolute;margin-left:1.5pt;margin-top:33.5pt;width:516.5pt;height:349.85pt;z-index:25169100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<v:textbox>
              <w:txbxContent>
                <w:p w:rsidR="00AB6D25" w:rsidRDefault="00AB6D25" w:rsidP="00AB6D25">
                  <w:pPr>
                    <w:rPr>
                      <w:b/>
                    </w:rPr>
                  </w:pPr>
                </w:p>
                <w:p w:rsidR="00CA7351" w:rsidRPr="00EE456A" w:rsidRDefault="00CA7351" w:rsidP="00CA7351">
                  <w:pPr>
                    <w:rPr>
                      <w:b/>
                    </w:rPr>
                  </w:pPr>
                  <w:r w:rsidRPr="00EE456A">
                    <w:rPr>
                      <w:b/>
                    </w:rPr>
                    <w:t>Powiązane opracowania</w:t>
                  </w:r>
                </w:p>
                <w:p w:rsidR="00CA7351" w:rsidRPr="00EE456A" w:rsidRDefault="00FB1D12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CA7351" w:rsidRPr="004922E6">
                      <w:rPr>
                        <w:rStyle w:val="Hipercze"/>
                        <w:rFonts w:cs="Arial"/>
                        <w:sz w:val="18"/>
                        <w:szCs w:val="30"/>
                        <w:shd w:val="clear" w:color="auto" w:fill="F0F0F0"/>
                      </w:rPr>
                      <w:t>Obwieszczenie w sprawie wskaźników zmian cen dla lokali mieszkalnych z podziałem na województwa</w:t>
                    </w:r>
                  </w:hyperlink>
                </w:p>
                <w:p w:rsidR="00CA7351" w:rsidRDefault="00FB1D12" w:rsidP="00CA7351">
                  <w:pPr>
                    <w:rPr>
                      <w:rStyle w:val="Hipercze"/>
                      <w:rFonts w:cs="Arial"/>
                      <w:sz w:val="18"/>
                      <w:szCs w:val="30"/>
                      <w:shd w:val="clear" w:color="auto" w:fill="F0F0F0"/>
                    </w:rPr>
                  </w:pPr>
                  <w:hyperlink r:id="rId24" w:history="1">
                    <w:r w:rsidR="00CA7351" w:rsidRPr="00DE1907">
                      <w:rPr>
                        <w:rStyle w:val="Hipercze"/>
                        <w:rFonts w:cs="Arial"/>
                        <w:sz w:val="18"/>
                        <w:szCs w:val="30"/>
                        <w:shd w:val="clear" w:color="auto" w:fill="F0F0F0"/>
                      </w:rPr>
                      <w:t>Komunikat w sprawie ceny 1 m</w:t>
                    </w:r>
                    <w:r w:rsidR="00CA7351" w:rsidRPr="00DE1907">
                      <w:rPr>
                        <w:rStyle w:val="Hipercze"/>
                        <w:rFonts w:cs="Arial"/>
                        <w:sz w:val="18"/>
                        <w:szCs w:val="30"/>
                        <w:shd w:val="clear" w:color="auto" w:fill="F0F0F0"/>
                        <w:vertAlign w:val="superscript"/>
                      </w:rPr>
                      <w:t>2</w:t>
                    </w:r>
                    <w:r w:rsidR="00CA7351" w:rsidRPr="00DE1907">
                      <w:rPr>
                        <w:rStyle w:val="Hipercze"/>
                        <w:rFonts w:cs="Arial"/>
                        <w:sz w:val="18"/>
                        <w:szCs w:val="30"/>
                        <w:shd w:val="clear" w:color="auto" w:fill="F0F0F0"/>
                      </w:rPr>
                      <w:t xml:space="preserve"> powierzchni użytkowej budynku mieszkalnego</w:t>
                    </w:r>
                  </w:hyperlink>
                </w:p>
                <w:p w:rsidR="00AB2FF4" w:rsidRDefault="00FB1D12" w:rsidP="00CA7351">
                  <w:pPr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</w:rPr>
                  </w:pPr>
                  <w:hyperlink r:id="rId25" w:history="1">
                    <w:r w:rsidR="00AB2FF4" w:rsidRPr="00AB2FF4">
                      <w:rPr>
                        <w:rStyle w:val="Hipercze"/>
                        <w:rFonts w:cs="Arial"/>
                        <w:sz w:val="18"/>
                        <w:szCs w:val="30"/>
                        <w:shd w:val="clear" w:color="auto" w:fill="F0F0F0"/>
                      </w:rPr>
                      <w:t>Obrót nieruchomościami w 2017 r.</w:t>
                    </w:r>
                  </w:hyperlink>
                </w:p>
                <w:p w:rsidR="00CA7351" w:rsidRPr="00EE456A" w:rsidRDefault="00CA7351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CA7351" w:rsidRPr="002940EF" w:rsidRDefault="00CA7351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2940EF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CA7351" w:rsidRPr="00AB2FF4" w:rsidRDefault="001F32F0" w:rsidP="00CA7351">
                  <w:pPr>
                    <w:rPr>
                      <w:rStyle w:val="Hipercze"/>
                      <w:rFonts w:cstheme="minorBid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/>
                  </w:r>
                  <w:r w:rsidR="00AB2FF4">
                    <w:rPr>
                      <w:sz w:val="18"/>
                      <w:szCs w:val="18"/>
                    </w:rPr>
                    <w:instrText xml:space="preserve"> HYPERLINK "http://swaid.stat.gov.pl/SitePagesDBW/Ceny.aspx" </w:instrText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5A45AB" w:rsidRPr="00AB2FF4">
                    <w:rPr>
                      <w:rStyle w:val="Hipercze"/>
                      <w:rFonts w:cstheme="minorBidi"/>
                      <w:sz w:val="18"/>
                      <w:szCs w:val="18"/>
                    </w:rPr>
                    <w:t>Dziedzinowa Baza Wiedzy (DBW) Ceny</w:t>
                  </w:r>
                </w:p>
                <w:p w:rsidR="005A45AB" w:rsidRPr="002940EF" w:rsidRDefault="001F32F0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  <w:p w:rsidR="00CA7351" w:rsidRDefault="00CA7351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CA7351" w:rsidRPr="00673C26" w:rsidRDefault="00FB1D12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CA7351" w:rsidRPr="00DE1907">
                      <w:rPr>
                        <w:rStyle w:val="Hipercze"/>
                        <w:rFonts w:cs="Arial"/>
                        <w:sz w:val="18"/>
                        <w:szCs w:val="30"/>
                        <w:shd w:val="clear" w:color="auto" w:fill="F0F0F0"/>
                      </w:rPr>
                      <w:t>Obrót nieruchomościami</w:t>
                    </w:r>
                  </w:hyperlink>
                </w:p>
                <w:p w:rsidR="00CA7351" w:rsidRPr="00EE456A" w:rsidRDefault="00FB1D12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CA7351" w:rsidRPr="00EE456A">
                      <w:rPr>
                        <w:rStyle w:val="Hipercze"/>
                        <w:rFonts w:cs="Arial"/>
                        <w:sz w:val="18"/>
                        <w:szCs w:val="30"/>
                        <w:shd w:val="clear" w:color="auto" w:fill="F0F0F0"/>
                      </w:rPr>
                      <w:t>Rejestr Cen i Wartości Nieruchomości</w:t>
                    </w:r>
                  </w:hyperlink>
                </w:p>
                <w:p w:rsidR="00AB6D25" w:rsidRPr="00B86DF8" w:rsidRDefault="00FB1D12" w:rsidP="00AB6D25">
                  <w:pPr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  <w:lang w:val="en-US"/>
                    </w:rPr>
                  </w:pPr>
                  <w:hyperlink r:id="rId28" w:history="1">
                    <w:r w:rsidR="00CA7351" w:rsidRPr="00DE1907">
                      <w:rPr>
                        <w:rStyle w:val="Hipercze"/>
                        <w:rFonts w:cs="Arial"/>
                        <w:sz w:val="18"/>
                        <w:szCs w:val="30"/>
                        <w:shd w:val="clear" w:color="auto" w:fill="F0F0F0"/>
                        <w:lang w:val="en-US"/>
                      </w:rPr>
                      <w:t>Lokal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D12" w:rsidRDefault="00FB1D12" w:rsidP="000662E2">
      <w:pPr>
        <w:spacing w:after="0" w:line="240" w:lineRule="auto"/>
      </w:pPr>
      <w:r>
        <w:separator/>
      </w:r>
    </w:p>
  </w:endnote>
  <w:endnote w:type="continuationSeparator" w:id="0">
    <w:p w:rsidR="00FB1D12" w:rsidRDefault="00FB1D1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EB556D" w:rsidRDefault="001F32F0" w:rsidP="003B18B6">
        <w:pPr>
          <w:pStyle w:val="Stopka"/>
          <w:jc w:val="center"/>
        </w:pPr>
        <w:r>
          <w:fldChar w:fldCharType="begin"/>
        </w:r>
        <w:r w:rsidR="00541E6E">
          <w:instrText>PAGE   \* MERGEFORMAT</w:instrText>
        </w:r>
        <w:r>
          <w:fldChar w:fldCharType="separate"/>
        </w:r>
        <w:r w:rsidR="0041497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EB556D" w:rsidRDefault="001F32F0" w:rsidP="003B18B6">
        <w:pPr>
          <w:pStyle w:val="Stopka"/>
          <w:jc w:val="center"/>
        </w:pPr>
        <w:r>
          <w:fldChar w:fldCharType="begin"/>
        </w:r>
        <w:r w:rsidR="00541E6E">
          <w:instrText>PAGE   \* MERGEFORMAT</w:instrText>
        </w:r>
        <w:r>
          <w:fldChar w:fldCharType="separate"/>
        </w:r>
        <w:r w:rsidR="0041497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1F32F0" w:rsidP="003B18B6">
        <w:pPr>
          <w:pStyle w:val="Stopka"/>
          <w:jc w:val="center"/>
        </w:pPr>
        <w:r>
          <w:fldChar w:fldCharType="begin"/>
        </w:r>
        <w:r w:rsidR="003B18B6">
          <w:instrText>PAGE   \* MERGEFORMAT</w:instrText>
        </w:r>
        <w:r>
          <w:fldChar w:fldCharType="separate"/>
        </w:r>
        <w:r w:rsidR="0041497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D12" w:rsidRDefault="00FB1D12" w:rsidP="000662E2">
      <w:pPr>
        <w:spacing w:after="0" w:line="240" w:lineRule="auto"/>
      </w:pPr>
      <w:r>
        <w:separator/>
      </w:r>
    </w:p>
  </w:footnote>
  <w:footnote w:type="continuationSeparator" w:id="0">
    <w:p w:rsidR="00FB1D12" w:rsidRDefault="00FB1D1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FB1D12">
    <w:pPr>
      <w:pStyle w:val="Nagwek"/>
    </w:pPr>
    <w:r>
      <w:rPr>
        <w:noProof/>
        <w:lang w:eastAsia="pl-PL"/>
      </w:rPr>
      <w:pict>
        <v:rect id="Prostokąt 24" o:spid="_x0000_s2058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49" w:rsidRDefault="00FE1D60">
    <w:pPr>
      <w:pStyle w:val="Nagwek"/>
      <w:rPr>
        <w:noProof/>
        <w:lang w:eastAsia="pl-PL"/>
      </w:rPr>
    </w:pPr>
    <w:r w:rsidRPr="00FE1D60">
      <w:rPr>
        <w:noProof/>
        <w:lang w:eastAsia="pl-PL"/>
      </w:rPr>
      <w:drawing>
        <wp:inline distT="0" distB="0" distL="0" distR="0">
          <wp:extent cx="1219200" cy="67738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1D12">
      <w:rPr>
        <w:noProof/>
        <w:lang w:eastAsia="pl-PL"/>
      </w:rPr>
      <w:pict>
        <v:shape id="Schemat blokowy: opóźnienie 6" o:spid="_x0000_s2057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F37172" w:rsidRPr="003C6C8D" w:rsidRDefault="00F37172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 w:rsidR="00FB1D12">
      <w:rPr>
        <w:noProof/>
        <w:lang w:eastAsia="pl-PL"/>
      </w:rPr>
      <w:pict>
        <v:rect id="Prostokąt 10" o:spid="_x0000_s2056" style="position:absolute;margin-left:410.95pt;margin-top:40.3pt;width:147.4pt;height:1803.55pt;z-index:-251650048;visibility:visible;mso-position-horizontal-relative:text;mso-position-vertical-relative:text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<v:path arrowok="t"/>
          <w10:wrap type="tight"/>
        </v:rect>
      </w:pict>
    </w:r>
    <w:r w:rsidR="00FB1D1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1pt;margin-top:20.95pt;width:112.8pt;height:26.5pt;z-index:2516695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F37172" w:rsidRPr="00C97596" w:rsidRDefault="00CF3D9C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09.01.2019</w:t>
                </w:r>
                <w:r w:rsidR="00F37172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E2"/>
    <w:rsid w:val="00001C5B"/>
    <w:rsid w:val="00003437"/>
    <w:rsid w:val="0000709F"/>
    <w:rsid w:val="000108B8"/>
    <w:rsid w:val="00015039"/>
    <w:rsid w:val="000152F5"/>
    <w:rsid w:val="000359A8"/>
    <w:rsid w:val="0004582E"/>
    <w:rsid w:val="000470AA"/>
    <w:rsid w:val="00053CA1"/>
    <w:rsid w:val="00057CA1"/>
    <w:rsid w:val="00057DB8"/>
    <w:rsid w:val="000662E2"/>
    <w:rsid w:val="00066883"/>
    <w:rsid w:val="00074DD8"/>
    <w:rsid w:val="000806F7"/>
    <w:rsid w:val="00087F0A"/>
    <w:rsid w:val="000904CB"/>
    <w:rsid w:val="00097840"/>
    <w:rsid w:val="000A2B95"/>
    <w:rsid w:val="000B0727"/>
    <w:rsid w:val="000B670C"/>
    <w:rsid w:val="000C03C0"/>
    <w:rsid w:val="000C135D"/>
    <w:rsid w:val="000D1D43"/>
    <w:rsid w:val="000D225C"/>
    <w:rsid w:val="000D2A5C"/>
    <w:rsid w:val="000D6F7D"/>
    <w:rsid w:val="000E0918"/>
    <w:rsid w:val="000E27C8"/>
    <w:rsid w:val="000E50CD"/>
    <w:rsid w:val="000F4033"/>
    <w:rsid w:val="000F6D5A"/>
    <w:rsid w:val="001011C3"/>
    <w:rsid w:val="001034CE"/>
    <w:rsid w:val="00110D87"/>
    <w:rsid w:val="00114DB9"/>
    <w:rsid w:val="00116087"/>
    <w:rsid w:val="00116B3F"/>
    <w:rsid w:val="001250C6"/>
    <w:rsid w:val="00126565"/>
    <w:rsid w:val="00130296"/>
    <w:rsid w:val="00140AD8"/>
    <w:rsid w:val="001423B6"/>
    <w:rsid w:val="00144766"/>
    <w:rsid w:val="001448A7"/>
    <w:rsid w:val="001461CC"/>
    <w:rsid w:val="00146621"/>
    <w:rsid w:val="0015664B"/>
    <w:rsid w:val="00162325"/>
    <w:rsid w:val="00171C8A"/>
    <w:rsid w:val="001829BB"/>
    <w:rsid w:val="0018393E"/>
    <w:rsid w:val="001951DA"/>
    <w:rsid w:val="001A297A"/>
    <w:rsid w:val="001A3839"/>
    <w:rsid w:val="001B12D0"/>
    <w:rsid w:val="001C3269"/>
    <w:rsid w:val="001D1DB4"/>
    <w:rsid w:val="001E1388"/>
    <w:rsid w:val="001F043B"/>
    <w:rsid w:val="001F32F0"/>
    <w:rsid w:val="00213227"/>
    <w:rsid w:val="002535A3"/>
    <w:rsid w:val="002574F1"/>
    <w:rsid w:val="002574F9"/>
    <w:rsid w:val="00262B61"/>
    <w:rsid w:val="00266F56"/>
    <w:rsid w:val="00276811"/>
    <w:rsid w:val="00282699"/>
    <w:rsid w:val="0028505D"/>
    <w:rsid w:val="00287AF2"/>
    <w:rsid w:val="002926DF"/>
    <w:rsid w:val="002940EF"/>
    <w:rsid w:val="00296697"/>
    <w:rsid w:val="002A160D"/>
    <w:rsid w:val="002A453B"/>
    <w:rsid w:val="002B0472"/>
    <w:rsid w:val="002B3B27"/>
    <w:rsid w:val="002B6B12"/>
    <w:rsid w:val="002D2BEB"/>
    <w:rsid w:val="002D5D8C"/>
    <w:rsid w:val="002E46B7"/>
    <w:rsid w:val="002E6140"/>
    <w:rsid w:val="002E6985"/>
    <w:rsid w:val="002E71B6"/>
    <w:rsid w:val="002F77C8"/>
    <w:rsid w:val="0030246A"/>
    <w:rsid w:val="00304F22"/>
    <w:rsid w:val="00306C7C"/>
    <w:rsid w:val="00322EDD"/>
    <w:rsid w:val="00332320"/>
    <w:rsid w:val="00333542"/>
    <w:rsid w:val="00344C07"/>
    <w:rsid w:val="00347D72"/>
    <w:rsid w:val="003563F6"/>
    <w:rsid w:val="00357611"/>
    <w:rsid w:val="003601A9"/>
    <w:rsid w:val="0036562A"/>
    <w:rsid w:val="00367237"/>
    <w:rsid w:val="0037077F"/>
    <w:rsid w:val="00371102"/>
    <w:rsid w:val="00372411"/>
    <w:rsid w:val="00373882"/>
    <w:rsid w:val="003843DB"/>
    <w:rsid w:val="00393761"/>
    <w:rsid w:val="00397D18"/>
    <w:rsid w:val="003A1B36"/>
    <w:rsid w:val="003B1454"/>
    <w:rsid w:val="003B18B6"/>
    <w:rsid w:val="003B46F7"/>
    <w:rsid w:val="003B56C8"/>
    <w:rsid w:val="003C59E0"/>
    <w:rsid w:val="003C6C8D"/>
    <w:rsid w:val="003D4F95"/>
    <w:rsid w:val="003D5F42"/>
    <w:rsid w:val="003D60A9"/>
    <w:rsid w:val="003D6185"/>
    <w:rsid w:val="003F4C97"/>
    <w:rsid w:val="003F7FE6"/>
    <w:rsid w:val="00400193"/>
    <w:rsid w:val="00403C1A"/>
    <w:rsid w:val="00413B8C"/>
    <w:rsid w:val="0041497D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5047"/>
    <w:rsid w:val="00462BE1"/>
    <w:rsid w:val="00463E39"/>
    <w:rsid w:val="004657FC"/>
    <w:rsid w:val="004733F6"/>
    <w:rsid w:val="00474E69"/>
    <w:rsid w:val="00480C23"/>
    <w:rsid w:val="004922E6"/>
    <w:rsid w:val="0049621B"/>
    <w:rsid w:val="004A3D09"/>
    <w:rsid w:val="004A5625"/>
    <w:rsid w:val="004C03B9"/>
    <w:rsid w:val="004C1895"/>
    <w:rsid w:val="004C6D40"/>
    <w:rsid w:val="004D4E8A"/>
    <w:rsid w:val="004E0A1B"/>
    <w:rsid w:val="004F0C3C"/>
    <w:rsid w:val="004F407F"/>
    <w:rsid w:val="004F5944"/>
    <w:rsid w:val="004F63FC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20D8"/>
    <w:rsid w:val="00556CF1"/>
    <w:rsid w:val="00563A09"/>
    <w:rsid w:val="00573E8B"/>
    <w:rsid w:val="005762A7"/>
    <w:rsid w:val="00577E69"/>
    <w:rsid w:val="005916D7"/>
    <w:rsid w:val="0059548E"/>
    <w:rsid w:val="005A45AB"/>
    <w:rsid w:val="005A4B04"/>
    <w:rsid w:val="005A698C"/>
    <w:rsid w:val="005B370F"/>
    <w:rsid w:val="005B4788"/>
    <w:rsid w:val="005E0799"/>
    <w:rsid w:val="005E2468"/>
    <w:rsid w:val="005E3B8D"/>
    <w:rsid w:val="005F5A80"/>
    <w:rsid w:val="005F65FB"/>
    <w:rsid w:val="006044FF"/>
    <w:rsid w:val="00607CC5"/>
    <w:rsid w:val="0061700A"/>
    <w:rsid w:val="00633014"/>
    <w:rsid w:val="0063437B"/>
    <w:rsid w:val="0064699F"/>
    <w:rsid w:val="00652F27"/>
    <w:rsid w:val="00653B61"/>
    <w:rsid w:val="00663083"/>
    <w:rsid w:val="006673CA"/>
    <w:rsid w:val="00672450"/>
    <w:rsid w:val="00673C26"/>
    <w:rsid w:val="006812AF"/>
    <w:rsid w:val="0068327D"/>
    <w:rsid w:val="00694AF0"/>
    <w:rsid w:val="006A2E32"/>
    <w:rsid w:val="006A4686"/>
    <w:rsid w:val="006B0714"/>
    <w:rsid w:val="006B0E9E"/>
    <w:rsid w:val="006B20B0"/>
    <w:rsid w:val="006B5AE4"/>
    <w:rsid w:val="006C24D2"/>
    <w:rsid w:val="006D1507"/>
    <w:rsid w:val="006D245B"/>
    <w:rsid w:val="006D4054"/>
    <w:rsid w:val="006E01B6"/>
    <w:rsid w:val="006E02EC"/>
    <w:rsid w:val="006E095C"/>
    <w:rsid w:val="006F46FF"/>
    <w:rsid w:val="006F57E5"/>
    <w:rsid w:val="0070110C"/>
    <w:rsid w:val="007068CE"/>
    <w:rsid w:val="00713D6B"/>
    <w:rsid w:val="007211B1"/>
    <w:rsid w:val="007343FA"/>
    <w:rsid w:val="00746187"/>
    <w:rsid w:val="00746E58"/>
    <w:rsid w:val="0076254F"/>
    <w:rsid w:val="00773983"/>
    <w:rsid w:val="007801F5"/>
    <w:rsid w:val="00783415"/>
    <w:rsid w:val="00783CA4"/>
    <w:rsid w:val="007842FB"/>
    <w:rsid w:val="00785DE5"/>
    <w:rsid w:val="00786124"/>
    <w:rsid w:val="00793B6E"/>
    <w:rsid w:val="0079514B"/>
    <w:rsid w:val="007A2DC1"/>
    <w:rsid w:val="007B0DC0"/>
    <w:rsid w:val="007B0E88"/>
    <w:rsid w:val="007C36C0"/>
    <w:rsid w:val="007D3319"/>
    <w:rsid w:val="007D335D"/>
    <w:rsid w:val="007E2C09"/>
    <w:rsid w:val="007E3314"/>
    <w:rsid w:val="007E4B03"/>
    <w:rsid w:val="007F324B"/>
    <w:rsid w:val="0080553C"/>
    <w:rsid w:val="00805B46"/>
    <w:rsid w:val="008115B1"/>
    <w:rsid w:val="0081720D"/>
    <w:rsid w:val="0082084A"/>
    <w:rsid w:val="00825DC2"/>
    <w:rsid w:val="00834AD3"/>
    <w:rsid w:val="00836A8E"/>
    <w:rsid w:val="00843795"/>
    <w:rsid w:val="008464A2"/>
    <w:rsid w:val="00847F0F"/>
    <w:rsid w:val="00852448"/>
    <w:rsid w:val="00855753"/>
    <w:rsid w:val="0087115A"/>
    <w:rsid w:val="0088088D"/>
    <w:rsid w:val="0088258A"/>
    <w:rsid w:val="0088490C"/>
    <w:rsid w:val="00885566"/>
    <w:rsid w:val="00886332"/>
    <w:rsid w:val="008A080B"/>
    <w:rsid w:val="008A26D9"/>
    <w:rsid w:val="008A6DEF"/>
    <w:rsid w:val="008B15C2"/>
    <w:rsid w:val="008B63C3"/>
    <w:rsid w:val="008B6C72"/>
    <w:rsid w:val="008C0C29"/>
    <w:rsid w:val="008C3AD3"/>
    <w:rsid w:val="008D0769"/>
    <w:rsid w:val="008D1A46"/>
    <w:rsid w:val="008F3638"/>
    <w:rsid w:val="008F4441"/>
    <w:rsid w:val="008F6F31"/>
    <w:rsid w:val="008F74DF"/>
    <w:rsid w:val="0090392A"/>
    <w:rsid w:val="00907E1E"/>
    <w:rsid w:val="009127BA"/>
    <w:rsid w:val="00921153"/>
    <w:rsid w:val="009227A6"/>
    <w:rsid w:val="00923C49"/>
    <w:rsid w:val="00933EC1"/>
    <w:rsid w:val="009530DB"/>
    <w:rsid w:val="00953676"/>
    <w:rsid w:val="0096551C"/>
    <w:rsid w:val="009705EE"/>
    <w:rsid w:val="00977927"/>
    <w:rsid w:val="0098135C"/>
    <w:rsid w:val="0098156A"/>
    <w:rsid w:val="009866EF"/>
    <w:rsid w:val="00990C87"/>
    <w:rsid w:val="00991BAC"/>
    <w:rsid w:val="00996EC5"/>
    <w:rsid w:val="009A6EA0"/>
    <w:rsid w:val="009C1335"/>
    <w:rsid w:val="009C1AB2"/>
    <w:rsid w:val="009C7251"/>
    <w:rsid w:val="009D7EA7"/>
    <w:rsid w:val="009E09D9"/>
    <w:rsid w:val="009E181A"/>
    <w:rsid w:val="009E2E91"/>
    <w:rsid w:val="009F7474"/>
    <w:rsid w:val="009F7E34"/>
    <w:rsid w:val="00A1305E"/>
    <w:rsid w:val="00A139F5"/>
    <w:rsid w:val="00A32458"/>
    <w:rsid w:val="00A365F4"/>
    <w:rsid w:val="00A36A68"/>
    <w:rsid w:val="00A42229"/>
    <w:rsid w:val="00A42BEF"/>
    <w:rsid w:val="00A47D80"/>
    <w:rsid w:val="00A53132"/>
    <w:rsid w:val="00A563F2"/>
    <w:rsid w:val="00A566E8"/>
    <w:rsid w:val="00A665AD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25B8"/>
    <w:rsid w:val="00AD3EDF"/>
    <w:rsid w:val="00AD70D1"/>
    <w:rsid w:val="00AE2D4B"/>
    <w:rsid w:val="00AE3070"/>
    <w:rsid w:val="00AE4F99"/>
    <w:rsid w:val="00B0437F"/>
    <w:rsid w:val="00B05AE7"/>
    <w:rsid w:val="00B0739B"/>
    <w:rsid w:val="00B11B69"/>
    <w:rsid w:val="00B14952"/>
    <w:rsid w:val="00B31E5A"/>
    <w:rsid w:val="00B653AB"/>
    <w:rsid w:val="00B65F9E"/>
    <w:rsid w:val="00B66B19"/>
    <w:rsid w:val="00B73097"/>
    <w:rsid w:val="00B76A98"/>
    <w:rsid w:val="00B7755D"/>
    <w:rsid w:val="00B86DF8"/>
    <w:rsid w:val="00B870B3"/>
    <w:rsid w:val="00B914E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D4E33"/>
    <w:rsid w:val="00BD5E55"/>
    <w:rsid w:val="00BF0C5F"/>
    <w:rsid w:val="00BF5920"/>
    <w:rsid w:val="00C030DE"/>
    <w:rsid w:val="00C1695A"/>
    <w:rsid w:val="00C22105"/>
    <w:rsid w:val="00C244B6"/>
    <w:rsid w:val="00C25A0A"/>
    <w:rsid w:val="00C3032C"/>
    <w:rsid w:val="00C33B6A"/>
    <w:rsid w:val="00C356C0"/>
    <w:rsid w:val="00C366D2"/>
    <w:rsid w:val="00C3702F"/>
    <w:rsid w:val="00C44EB3"/>
    <w:rsid w:val="00C4500A"/>
    <w:rsid w:val="00C45AAB"/>
    <w:rsid w:val="00C47F04"/>
    <w:rsid w:val="00C64A37"/>
    <w:rsid w:val="00C7158E"/>
    <w:rsid w:val="00C7250B"/>
    <w:rsid w:val="00C72FC4"/>
    <w:rsid w:val="00C7346B"/>
    <w:rsid w:val="00C7541C"/>
    <w:rsid w:val="00C77C0E"/>
    <w:rsid w:val="00C85CE7"/>
    <w:rsid w:val="00C90318"/>
    <w:rsid w:val="00C91687"/>
    <w:rsid w:val="00C924A8"/>
    <w:rsid w:val="00C945FE"/>
    <w:rsid w:val="00C96FAA"/>
    <w:rsid w:val="00C97A04"/>
    <w:rsid w:val="00CA107B"/>
    <w:rsid w:val="00CA484D"/>
    <w:rsid w:val="00CA4FB6"/>
    <w:rsid w:val="00CA7351"/>
    <w:rsid w:val="00CC20A6"/>
    <w:rsid w:val="00CC739E"/>
    <w:rsid w:val="00CC7C9C"/>
    <w:rsid w:val="00CD1D82"/>
    <w:rsid w:val="00CD5410"/>
    <w:rsid w:val="00CD58B7"/>
    <w:rsid w:val="00CD75A6"/>
    <w:rsid w:val="00CF3D9C"/>
    <w:rsid w:val="00CF4099"/>
    <w:rsid w:val="00D00796"/>
    <w:rsid w:val="00D24CF3"/>
    <w:rsid w:val="00D261A2"/>
    <w:rsid w:val="00D30B17"/>
    <w:rsid w:val="00D340FA"/>
    <w:rsid w:val="00D346A4"/>
    <w:rsid w:val="00D434D0"/>
    <w:rsid w:val="00D44661"/>
    <w:rsid w:val="00D616D2"/>
    <w:rsid w:val="00D63B5F"/>
    <w:rsid w:val="00D70EF7"/>
    <w:rsid w:val="00D74B00"/>
    <w:rsid w:val="00D8397C"/>
    <w:rsid w:val="00D84AB9"/>
    <w:rsid w:val="00D9167F"/>
    <w:rsid w:val="00D94EED"/>
    <w:rsid w:val="00D96026"/>
    <w:rsid w:val="00DA399D"/>
    <w:rsid w:val="00DA7A12"/>
    <w:rsid w:val="00DA7C1C"/>
    <w:rsid w:val="00DB147A"/>
    <w:rsid w:val="00DB1B7A"/>
    <w:rsid w:val="00DC1228"/>
    <w:rsid w:val="00DC6708"/>
    <w:rsid w:val="00DE0F55"/>
    <w:rsid w:val="00DE5CD1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42FF9"/>
    <w:rsid w:val="00E4714C"/>
    <w:rsid w:val="00E47437"/>
    <w:rsid w:val="00E51AEB"/>
    <w:rsid w:val="00E522A7"/>
    <w:rsid w:val="00E54452"/>
    <w:rsid w:val="00E56DF4"/>
    <w:rsid w:val="00E664C5"/>
    <w:rsid w:val="00E67040"/>
    <w:rsid w:val="00E671A2"/>
    <w:rsid w:val="00E728B9"/>
    <w:rsid w:val="00E75984"/>
    <w:rsid w:val="00E76D26"/>
    <w:rsid w:val="00E80DC2"/>
    <w:rsid w:val="00E866C0"/>
    <w:rsid w:val="00E9407E"/>
    <w:rsid w:val="00E945B7"/>
    <w:rsid w:val="00E970BA"/>
    <w:rsid w:val="00EA11F2"/>
    <w:rsid w:val="00EA485C"/>
    <w:rsid w:val="00EA5966"/>
    <w:rsid w:val="00EA6148"/>
    <w:rsid w:val="00EB1390"/>
    <w:rsid w:val="00EB2C71"/>
    <w:rsid w:val="00EB4340"/>
    <w:rsid w:val="00EB556D"/>
    <w:rsid w:val="00EB5A7D"/>
    <w:rsid w:val="00EB780E"/>
    <w:rsid w:val="00EB7EE4"/>
    <w:rsid w:val="00ED5044"/>
    <w:rsid w:val="00ED55C0"/>
    <w:rsid w:val="00ED682B"/>
    <w:rsid w:val="00EE41D5"/>
    <w:rsid w:val="00EE456A"/>
    <w:rsid w:val="00EE4611"/>
    <w:rsid w:val="00EF3DC7"/>
    <w:rsid w:val="00F037A4"/>
    <w:rsid w:val="00F111EF"/>
    <w:rsid w:val="00F11DE6"/>
    <w:rsid w:val="00F140E4"/>
    <w:rsid w:val="00F27C8F"/>
    <w:rsid w:val="00F31DFD"/>
    <w:rsid w:val="00F32749"/>
    <w:rsid w:val="00F352F0"/>
    <w:rsid w:val="00F364DD"/>
    <w:rsid w:val="00F37172"/>
    <w:rsid w:val="00F413E7"/>
    <w:rsid w:val="00F4477E"/>
    <w:rsid w:val="00F655C8"/>
    <w:rsid w:val="00F6670A"/>
    <w:rsid w:val="00F67D8F"/>
    <w:rsid w:val="00F70A90"/>
    <w:rsid w:val="00F802BE"/>
    <w:rsid w:val="00F80E93"/>
    <w:rsid w:val="00F83BF4"/>
    <w:rsid w:val="00F86024"/>
    <w:rsid w:val="00F8611A"/>
    <w:rsid w:val="00F94B6A"/>
    <w:rsid w:val="00F95B4F"/>
    <w:rsid w:val="00FA5128"/>
    <w:rsid w:val="00FA6812"/>
    <w:rsid w:val="00FB1D12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A8A6DE68-63A3-44C0-85EB-2AA2C6BB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tat.gov.pl/metainformacje/slownik-pojec/pojecia-stosowane-w-statystyce-publicznej/966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://stat.gov.pl/obszary-tematyczne/infrastruktura-komunalna-nieruchomosci/nieruchomosci-budynki-infrastruktura-komunalna/obrot-nieruchomosciami-w-2017-r-,4,15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5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komunikaty-i-obwieszczenia/lista-komunikatow-i-obwieszczen/komunikat-w-sprawie-ceny-1-m2-powierzchni-uzytkowej-budynku-mieszkalnego-za-iii-kwartal-2018-roku,265,20.htm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http://stat.gov.pl/sygnalne/komunikaty-i-obwieszczenia/8,2019,kategoria.html" TargetMode="External"/><Relationship Id="rId28" Type="http://schemas.openxmlformats.org/officeDocument/2006/relationships/hyperlink" Target="http://stat.gov.pl/metainformacje/slownik-pojec/pojecia-stosowane-w-statystyce-publicznej/1984,pojecie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3015,pojecie.html" TargetMode="Externa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farae\Desktop\Ela_GUS\Obrot_Nieruchomosciami\Informacje_sygnalne\Wska&#378;niki_cen_lokali_mieszkalnych\III_kw_2018\Wykresy_do_info_syg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afarae\Desktop\Ela_GUS\Obrot_Nieruchomosciami\Informacje_sygnalne\Wska&#378;niki_cen_lokali_mieszkalnych\III_kw_2018\Wykresy_do_info_syg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afarae\Desktop\Ela_GUS\Obrot_Nieruchomosciami\Informacje_sygnalne\Wska&#378;niki_cen_lokali_mieszkalnych\III_kw_2018\Wykresy_do_info_syg.xlsx" TargetMode="External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afarae\Desktop\Ela_GUS\Obrot_Nieruchomosciami\Informacje_sygnalne\Wska&#378;niki_cen_lokali_mieszkalnych\III_kw_2018\Wykresy_do_info_syg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rynek pierwotny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wykres_1!$B$3</c:f>
              <c:numCache>
                <c:formatCode>0.0%</c:formatCode>
                <c:ptCount val="1"/>
                <c:pt idx="0">
                  <c:v>0.45500000000000002</c:v>
                </c:pt>
              </c:numCache>
            </c:numRef>
          </c:val>
        </c:ser>
        <c:ser>
          <c:idx val="2"/>
          <c:order val="1"/>
          <c:tx>
            <c:strRef>
              <c:f>wykres_1!$C$2</c:f>
              <c:strCache>
                <c:ptCount val="1"/>
                <c:pt idx="0">
                  <c:v>rynek wtórny</c:v>
                </c:pt>
              </c:strCache>
            </c:strRef>
          </c:tx>
          <c:spPr>
            <a:solidFill>
              <a:srgbClr val="BED6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wykres_1!$C$3</c:f>
              <c:numCache>
                <c:formatCode>0.0%</c:formatCode>
                <c:ptCount val="1"/>
                <c:pt idx="0">
                  <c:v>0.54500000000000004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679020688"/>
        <c:axId val="-679019600"/>
      </c:barChart>
      <c:catAx>
        <c:axId val="-67902068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679019600"/>
        <c:crosses val="autoZero"/>
        <c:auto val="1"/>
        <c:lblAlgn val="ctr"/>
        <c:lblOffset val="100"/>
        <c:noMultiLvlLbl val="0"/>
      </c:catAx>
      <c:valAx>
        <c:axId val="-679019600"/>
        <c:scaling>
          <c:orientation val="minMax"/>
        </c:scaling>
        <c:delete val="1"/>
        <c:axPos val="t"/>
        <c:majorGridlines>
          <c:spPr>
            <a:ln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-6790206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wykres_2!$A$9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multiLvlStrRef>
              <c:f>wykres_2!$B$7:$AI$8</c:f>
              <c:multiLvlStrCache>
                <c:ptCount val="34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</c:lvl>
              </c:multiLvlStrCache>
            </c:multiLvlStrRef>
          </c:cat>
          <c:val>
            <c:numRef>
              <c:f>wykres_2!$B$9:$AI$9</c:f>
              <c:numCache>
                <c:formatCode>General</c:formatCode>
                <c:ptCount val="34"/>
                <c:pt idx="0">
                  <c:v>1.2000000000000028</c:v>
                </c:pt>
                <c:pt idx="1">
                  <c:v>9.9999999999994343E-2</c:v>
                </c:pt>
                <c:pt idx="2">
                  <c:v>-9.9999999999994343E-2</c:v>
                </c:pt>
                <c:pt idx="3">
                  <c:v>-9.9999999999994343E-2</c:v>
                </c:pt>
                <c:pt idx="4">
                  <c:v>0.70000000000000284</c:v>
                </c:pt>
                <c:pt idx="5">
                  <c:v>-1.0999999999999939</c:v>
                </c:pt>
                <c:pt idx="6">
                  <c:v>-0.5</c:v>
                </c:pt>
                <c:pt idx="7">
                  <c:v>-1.4000000000000057</c:v>
                </c:pt>
                <c:pt idx="8">
                  <c:v>-0.70000000000000284</c:v>
                </c:pt>
                <c:pt idx="9">
                  <c:v>-1.4000000000000057</c:v>
                </c:pt>
                <c:pt idx="10">
                  <c:v>-1.0999999999999939</c:v>
                </c:pt>
                <c:pt idx="11">
                  <c:v>-2.5999999999999943</c:v>
                </c:pt>
                <c:pt idx="12">
                  <c:v>-0.20000000000000284</c:v>
                </c:pt>
                <c:pt idx="13">
                  <c:v>-9.9999999999994343E-2</c:v>
                </c:pt>
                <c:pt idx="14">
                  <c:v>9.9999999999994343E-2</c:v>
                </c:pt>
                <c:pt idx="15">
                  <c:v>-0.29999999999999727</c:v>
                </c:pt>
                <c:pt idx="16">
                  <c:v>2.2000000000000033</c:v>
                </c:pt>
                <c:pt idx="17">
                  <c:v>-0.59999999999999432</c:v>
                </c:pt>
                <c:pt idx="18">
                  <c:v>0.20000000000000284</c:v>
                </c:pt>
                <c:pt idx="19">
                  <c:v>0.20000000000000284</c:v>
                </c:pt>
                <c:pt idx="20">
                  <c:v>1.4000000000000057</c:v>
                </c:pt>
                <c:pt idx="21">
                  <c:v>0.20000000000000284</c:v>
                </c:pt>
                <c:pt idx="22">
                  <c:v>-0.70000000000000284</c:v>
                </c:pt>
                <c:pt idx="23">
                  <c:v>9.9999999999994343E-2</c:v>
                </c:pt>
                <c:pt idx="24">
                  <c:v>0.79999999999999727</c:v>
                </c:pt>
                <c:pt idx="25">
                  <c:v>1.9000000000000059</c:v>
                </c:pt>
                <c:pt idx="26">
                  <c:v>1.0999999999999939</c:v>
                </c:pt>
                <c:pt idx="27">
                  <c:v>-0.5</c:v>
                </c:pt>
                <c:pt idx="28">
                  <c:v>2</c:v>
                </c:pt>
                <c:pt idx="29">
                  <c:v>1</c:v>
                </c:pt>
                <c:pt idx="30">
                  <c:v>1.2999999999999969</c:v>
                </c:pt>
                <c:pt idx="31">
                  <c:v>1.5</c:v>
                </c:pt>
                <c:pt idx="32">
                  <c:v>2.2999999999999972</c:v>
                </c:pt>
                <c:pt idx="33">
                  <c:v>1.2999999999999969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wykres_2!$B$7:$AI$8</c:f>
              <c:multiLvlStrCache>
                <c:ptCount val="34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</c:lvl>
              </c:multiLvlStrCache>
            </c:multiLvlStrRef>
          </c:cat>
          <c:val>
            <c:numRef>
              <c:f>wykres_2!$B$10:$AI$10</c:f>
              <c:numCache>
                <c:formatCode>General</c:formatCode>
                <c:ptCount val="34"/>
                <c:pt idx="0">
                  <c:v>-0.59999999999999432</c:v>
                </c:pt>
                <c:pt idx="1">
                  <c:v>1.0999999999999939</c:v>
                </c:pt>
                <c:pt idx="2">
                  <c:v>1.7999999999999969</c:v>
                </c:pt>
                <c:pt idx="3">
                  <c:v>-0.59999999999999432</c:v>
                </c:pt>
                <c:pt idx="4">
                  <c:v>-0.20000000000000284</c:v>
                </c:pt>
                <c:pt idx="5">
                  <c:v>-0.29999999999999727</c:v>
                </c:pt>
                <c:pt idx="6">
                  <c:v>1.0999999999999939</c:v>
                </c:pt>
                <c:pt idx="7">
                  <c:v>-0.20000000000000284</c:v>
                </c:pt>
                <c:pt idx="8">
                  <c:v>-0.59999999999999432</c:v>
                </c:pt>
                <c:pt idx="9">
                  <c:v>-0.79999999999999727</c:v>
                </c:pt>
                <c:pt idx="10">
                  <c:v>9.9999999999994343E-2</c:v>
                </c:pt>
                <c:pt idx="11">
                  <c:v>-3.2000000000000033</c:v>
                </c:pt>
                <c:pt idx="12">
                  <c:v>-0.90000000000000568</c:v>
                </c:pt>
                <c:pt idx="13">
                  <c:v>-1.2999999999999969</c:v>
                </c:pt>
                <c:pt idx="14">
                  <c:v>-9.9999999999994343E-2</c:v>
                </c:pt>
                <c:pt idx="15">
                  <c:v>-0.79999999999999727</c:v>
                </c:pt>
                <c:pt idx="16">
                  <c:v>3.2000000000000033</c:v>
                </c:pt>
                <c:pt idx="17">
                  <c:v>-0.70000000000000284</c:v>
                </c:pt>
                <c:pt idx="18">
                  <c:v>0.79999999999999727</c:v>
                </c:pt>
                <c:pt idx="19">
                  <c:v>0.5</c:v>
                </c:pt>
                <c:pt idx="20">
                  <c:v>1.5</c:v>
                </c:pt>
                <c:pt idx="21">
                  <c:v>0.40000000000000568</c:v>
                </c:pt>
                <c:pt idx="22">
                  <c:v>-1</c:v>
                </c:pt>
                <c:pt idx="23">
                  <c:v>0.59999999999999432</c:v>
                </c:pt>
                <c:pt idx="24">
                  <c:v>-1</c:v>
                </c:pt>
                <c:pt idx="25">
                  <c:v>1.9000000000000059</c:v>
                </c:pt>
                <c:pt idx="26">
                  <c:v>1.9000000000000059</c:v>
                </c:pt>
                <c:pt idx="27">
                  <c:v>-0.90000000000000568</c:v>
                </c:pt>
                <c:pt idx="28">
                  <c:v>1.5</c:v>
                </c:pt>
                <c:pt idx="29">
                  <c:v>1</c:v>
                </c:pt>
                <c:pt idx="30">
                  <c:v>1.4000000000000057</c:v>
                </c:pt>
                <c:pt idx="31">
                  <c:v>1.4000000000000057</c:v>
                </c:pt>
                <c:pt idx="32">
                  <c:v>1.5</c:v>
                </c:pt>
                <c:pt idx="33">
                  <c:v>0.29999999999999727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wykres_2!$B$7:$AI$8</c:f>
              <c:multiLvlStrCache>
                <c:ptCount val="34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</c:lvl>
              </c:multiLvlStrCache>
            </c:multiLvlStrRef>
          </c:cat>
          <c:val>
            <c:numRef>
              <c:f>wykres_2!$B$11:$AI$11</c:f>
              <c:numCache>
                <c:formatCode>General</c:formatCode>
                <c:ptCount val="34"/>
                <c:pt idx="0">
                  <c:v>2.0999999999999943</c:v>
                </c:pt>
                <c:pt idx="1">
                  <c:v>-0.29999999999999727</c:v>
                </c:pt>
                <c:pt idx="2">
                  <c:v>-1</c:v>
                </c:pt>
                <c:pt idx="3">
                  <c:v>0.20000000000000284</c:v>
                </c:pt>
                <c:pt idx="4">
                  <c:v>1.0999999999999939</c:v>
                </c:pt>
                <c:pt idx="5">
                  <c:v>-1.5</c:v>
                </c:pt>
                <c:pt idx="6">
                  <c:v>-1.2000000000000028</c:v>
                </c:pt>
                <c:pt idx="7">
                  <c:v>-1.9000000000000059</c:v>
                </c:pt>
                <c:pt idx="8">
                  <c:v>-0.70000000000000284</c:v>
                </c:pt>
                <c:pt idx="9">
                  <c:v>-1.7000000000000028</c:v>
                </c:pt>
                <c:pt idx="10">
                  <c:v>-1.7999999999999969</c:v>
                </c:pt>
                <c:pt idx="11">
                  <c:v>-2.0999999999999943</c:v>
                </c:pt>
                <c:pt idx="12">
                  <c:v>0.29999999999999727</c:v>
                </c:pt>
                <c:pt idx="13">
                  <c:v>0.79999999999999727</c:v>
                </c:pt>
                <c:pt idx="14">
                  <c:v>9.9999999999994343E-2</c:v>
                </c:pt>
                <c:pt idx="15">
                  <c:v>0</c:v>
                </c:pt>
                <c:pt idx="16">
                  <c:v>1.4000000000000057</c:v>
                </c:pt>
                <c:pt idx="17">
                  <c:v>-0.59999999999999432</c:v>
                </c:pt>
                <c:pt idx="18">
                  <c:v>-0.29999999999999727</c:v>
                </c:pt>
                <c:pt idx="19">
                  <c:v>-9.9999999999994343E-2</c:v>
                </c:pt>
                <c:pt idx="20">
                  <c:v>1.2999999999999969</c:v>
                </c:pt>
                <c:pt idx="21">
                  <c:v>9.9999999999994343E-2</c:v>
                </c:pt>
                <c:pt idx="22">
                  <c:v>-0.5</c:v>
                </c:pt>
                <c:pt idx="23">
                  <c:v>-0.29999999999999727</c:v>
                </c:pt>
                <c:pt idx="24">
                  <c:v>2.5</c:v>
                </c:pt>
                <c:pt idx="25">
                  <c:v>1.7999999999999969</c:v>
                </c:pt>
                <c:pt idx="26">
                  <c:v>0.40000000000000568</c:v>
                </c:pt>
                <c:pt idx="27">
                  <c:v>-9.9999999999994343E-2</c:v>
                </c:pt>
                <c:pt idx="28">
                  <c:v>2.5</c:v>
                </c:pt>
                <c:pt idx="29">
                  <c:v>1</c:v>
                </c:pt>
                <c:pt idx="30">
                  <c:v>1.0999999999999939</c:v>
                </c:pt>
                <c:pt idx="31">
                  <c:v>1.5999999999999939</c:v>
                </c:pt>
                <c:pt idx="32">
                  <c:v>2.9000000000000057</c:v>
                </c:pt>
                <c:pt idx="33">
                  <c:v>2.0999999999999943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679021776"/>
        <c:axId val="-679020144"/>
      </c:lineChart>
      <c:catAx>
        <c:axId val="-679021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79020144"/>
        <c:crosses val="autoZero"/>
        <c:auto val="0"/>
        <c:lblAlgn val="ctr"/>
        <c:lblOffset val="100"/>
        <c:noMultiLvlLbl val="0"/>
      </c:catAx>
      <c:valAx>
        <c:axId val="-679020144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7902177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wykres_3!$A$9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multiLvlStrRef>
              <c:f>wykres_3!$B$7:$AF$8</c:f>
              <c:multiLvlStrCache>
                <c:ptCount val="3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</c:lvl>
              </c:multiLvlStrCache>
            </c:multiLvlStrRef>
          </c:cat>
          <c:val>
            <c:numRef>
              <c:f>wykres_3!$B$9:$AF$9</c:f>
              <c:numCache>
                <c:formatCode>General</c:formatCode>
                <c:ptCount val="31"/>
                <c:pt idx="0">
                  <c:v>1.0999999999999939</c:v>
                </c:pt>
                <c:pt idx="1">
                  <c:v>0.59999999999999432</c:v>
                </c:pt>
                <c:pt idx="2">
                  <c:v>-0.59999999999999432</c:v>
                </c:pt>
                <c:pt idx="3">
                  <c:v>-1</c:v>
                </c:pt>
                <c:pt idx="4">
                  <c:v>-2.2999999999999972</c:v>
                </c:pt>
                <c:pt idx="5">
                  <c:v>-3.7000000000000033</c:v>
                </c:pt>
                <c:pt idx="6">
                  <c:v>-3.9000000000000057</c:v>
                </c:pt>
                <c:pt idx="7">
                  <c:v>-4.5</c:v>
                </c:pt>
                <c:pt idx="8">
                  <c:v>-5.7000000000000028</c:v>
                </c:pt>
                <c:pt idx="9">
                  <c:v>-5.2000000000000028</c:v>
                </c:pt>
                <c:pt idx="10">
                  <c:v>-4</c:v>
                </c:pt>
                <c:pt idx="11">
                  <c:v>-2.7999999999999972</c:v>
                </c:pt>
                <c:pt idx="12">
                  <c:v>-0.5</c:v>
                </c:pt>
                <c:pt idx="13">
                  <c:v>1.9000000000000059</c:v>
                </c:pt>
                <c:pt idx="14">
                  <c:v>1.4000000000000057</c:v>
                </c:pt>
                <c:pt idx="15">
                  <c:v>1.5</c:v>
                </c:pt>
                <c:pt idx="16">
                  <c:v>2</c:v>
                </c:pt>
                <c:pt idx="17">
                  <c:v>1.2000000000000028</c:v>
                </c:pt>
                <c:pt idx="18">
                  <c:v>2</c:v>
                </c:pt>
                <c:pt idx="19">
                  <c:v>1.0999999999999939</c:v>
                </c:pt>
                <c:pt idx="20">
                  <c:v>1</c:v>
                </c:pt>
                <c:pt idx="21">
                  <c:v>0.40000000000000568</c:v>
                </c:pt>
                <c:pt idx="22">
                  <c:v>2.0999999999999943</c:v>
                </c:pt>
                <c:pt idx="23">
                  <c:v>3.9000000000000057</c:v>
                </c:pt>
                <c:pt idx="24">
                  <c:v>3.2999999999999972</c:v>
                </c:pt>
                <c:pt idx="25">
                  <c:v>4.5999999999999943</c:v>
                </c:pt>
                <c:pt idx="26">
                  <c:v>3.5999999999999943</c:v>
                </c:pt>
                <c:pt idx="27">
                  <c:v>3.7999999999999972</c:v>
                </c:pt>
                <c:pt idx="28">
                  <c:v>5.9000000000000066</c:v>
                </c:pt>
                <c:pt idx="29">
                  <c:v>6.2000000000000028</c:v>
                </c:pt>
                <c:pt idx="30">
                  <c:v>6.5999999999999943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wykres_3!$B$7:$AF$8</c:f>
              <c:multiLvlStrCache>
                <c:ptCount val="3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</c:lvl>
              </c:multiLvlStrCache>
            </c:multiLvlStrRef>
          </c:cat>
          <c:val>
            <c:numRef>
              <c:f>wykres_3!$B$10:$AF$10</c:f>
              <c:numCache>
                <c:formatCode>General</c:formatCode>
                <c:ptCount val="31"/>
                <c:pt idx="0">
                  <c:v>1.7000000000000028</c:v>
                </c:pt>
                <c:pt idx="1">
                  <c:v>2.0999999999999943</c:v>
                </c:pt>
                <c:pt idx="2">
                  <c:v>0.70000000000000284</c:v>
                </c:pt>
                <c:pt idx="3">
                  <c:v>0</c:v>
                </c:pt>
                <c:pt idx="4">
                  <c:v>0.40000000000000568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-4.7000000000000028</c:v>
                </c:pt>
                <c:pt idx="10">
                  <c:v>-5.2000000000000028</c:v>
                </c:pt>
                <c:pt idx="11">
                  <c:v>-5.4000000000000066</c:v>
                </c:pt>
                <c:pt idx="12">
                  <c:v>-3.0999999999999943</c:v>
                </c:pt>
                <c:pt idx="13">
                  <c:v>0.90000000000000568</c:v>
                </c:pt>
                <c:pt idx="14">
                  <c:v>1.5999999999999939</c:v>
                </c:pt>
                <c:pt idx="15">
                  <c:v>2.5</c:v>
                </c:pt>
                <c:pt idx="16">
                  <c:v>3.7999999999999972</c:v>
                </c:pt>
                <c:pt idx="17">
                  <c:v>2.0999999999999943</c:v>
                </c:pt>
                <c:pt idx="18">
                  <c:v>3.2000000000000033</c:v>
                </c:pt>
                <c:pt idx="19">
                  <c:v>1.4000000000000057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3.4000000000000057</c:v>
                </c:pt>
                <c:pt idx="24">
                  <c:v>1.9000000000000059</c:v>
                </c:pt>
                <c:pt idx="25">
                  <c:v>4.4000000000000066</c:v>
                </c:pt>
                <c:pt idx="26">
                  <c:v>3.5</c:v>
                </c:pt>
                <c:pt idx="27">
                  <c:v>3</c:v>
                </c:pt>
                <c:pt idx="28">
                  <c:v>5.4000000000000066</c:v>
                </c:pt>
                <c:pt idx="29">
                  <c:v>5.4000000000000066</c:v>
                </c:pt>
                <c:pt idx="30">
                  <c:v>4.7000000000000028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wykres_3!$B$7:$AF$8</c:f>
              <c:multiLvlStrCache>
                <c:ptCount val="3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</c:lvl>
              </c:multiLvlStrCache>
            </c:multiLvlStrRef>
          </c:cat>
          <c:val>
            <c:numRef>
              <c:f>wykres_3!$B$11:$AF$11</c:f>
              <c:numCache>
                <c:formatCode>General</c:formatCode>
                <c:ptCount val="31"/>
                <c:pt idx="0">
                  <c:v>1</c:v>
                </c:pt>
                <c:pt idx="1">
                  <c:v>0</c:v>
                </c:pt>
                <c:pt idx="2">
                  <c:v>-1.2000000000000028</c:v>
                </c:pt>
                <c:pt idx="3">
                  <c:v>-1.4000000000000057</c:v>
                </c:pt>
                <c:pt idx="4">
                  <c:v>-3.5</c:v>
                </c:pt>
                <c:pt idx="5">
                  <c:v>-5.2000000000000028</c:v>
                </c:pt>
                <c:pt idx="6">
                  <c:v>-5.4000000000000066</c:v>
                </c:pt>
                <c:pt idx="7">
                  <c:v>-6</c:v>
                </c:pt>
                <c:pt idx="8">
                  <c:v>-6.2000000000000028</c:v>
                </c:pt>
                <c:pt idx="9">
                  <c:v>-5.2000000000000028</c:v>
                </c:pt>
                <c:pt idx="10">
                  <c:v>-2.7999999999999972</c:v>
                </c:pt>
                <c:pt idx="11">
                  <c:v>-0.90000000000000568</c:v>
                </c:pt>
                <c:pt idx="12">
                  <c:v>1.2000000000000028</c:v>
                </c:pt>
                <c:pt idx="13">
                  <c:v>2.2999999999999972</c:v>
                </c:pt>
                <c:pt idx="14">
                  <c:v>0.90000000000000568</c:v>
                </c:pt>
                <c:pt idx="15">
                  <c:v>0.5</c:v>
                </c:pt>
                <c:pt idx="16">
                  <c:v>0.40000000000000568</c:v>
                </c:pt>
                <c:pt idx="17">
                  <c:v>0.29999999999999727</c:v>
                </c:pt>
                <c:pt idx="18">
                  <c:v>1</c:v>
                </c:pt>
                <c:pt idx="19">
                  <c:v>0.79999999999999727</c:v>
                </c:pt>
                <c:pt idx="20">
                  <c:v>0.59999999999999432</c:v>
                </c:pt>
                <c:pt idx="21">
                  <c:v>1.7999999999999969</c:v>
                </c:pt>
                <c:pt idx="22">
                  <c:v>3.5</c:v>
                </c:pt>
                <c:pt idx="23">
                  <c:v>4.4000000000000066</c:v>
                </c:pt>
                <c:pt idx="24">
                  <c:v>4.7000000000000028</c:v>
                </c:pt>
                <c:pt idx="25">
                  <c:v>4.7000000000000028</c:v>
                </c:pt>
                <c:pt idx="26">
                  <c:v>3.7999999999999972</c:v>
                </c:pt>
                <c:pt idx="27">
                  <c:v>4.5999999999999943</c:v>
                </c:pt>
                <c:pt idx="28">
                  <c:v>6.2999999999999972</c:v>
                </c:pt>
                <c:pt idx="29">
                  <c:v>6.7999999999999972</c:v>
                </c:pt>
                <c:pt idx="30">
                  <c:v>7.9000000000000066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679019056"/>
        <c:axId val="-678791184"/>
      </c:lineChart>
      <c:catAx>
        <c:axId val="-67901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78791184"/>
        <c:crosses val="autoZero"/>
        <c:auto val="0"/>
        <c:lblAlgn val="ctr"/>
        <c:lblOffset val="100"/>
        <c:noMultiLvlLbl val="0"/>
      </c:catAx>
      <c:valAx>
        <c:axId val="-678791184"/>
        <c:scaling>
          <c:orientation val="minMax"/>
          <c:max val="8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79019056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wykres_4!$A$9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multiLvlStrRef>
              <c:f>wykres_4!$B$7:$AJ$8</c:f>
              <c:multiLvlStrCache>
                <c:ptCount val="3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</c:lvl>
              </c:multiLvlStrCache>
            </c:multiLvlStrRef>
          </c:cat>
          <c:val>
            <c:numRef>
              <c:f>wykres_4!$B$9:$AJ$9</c:f>
              <c:numCache>
                <c:formatCode>0.0</c:formatCode>
                <c:ptCount val="35"/>
                <c:pt idx="0">
                  <c:v>4.5999999999999943</c:v>
                </c:pt>
                <c:pt idx="1">
                  <c:v>5.9000000000000066</c:v>
                </c:pt>
                <c:pt idx="2">
                  <c:v>6</c:v>
                </c:pt>
                <c:pt idx="3">
                  <c:v>5.9000000000000066</c:v>
                </c:pt>
                <c:pt idx="4">
                  <c:v>5.9000000000000066</c:v>
                </c:pt>
                <c:pt idx="5">
                  <c:v>6.5999999999999943</c:v>
                </c:pt>
                <c:pt idx="6">
                  <c:v>5.4000000000000066</c:v>
                </c:pt>
                <c:pt idx="7">
                  <c:v>4.9000000000000066</c:v>
                </c:pt>
                <c:pt idx="8">
                  <c:v>3.5</c:v>
                </c:pt>
                <c:pt idx="9">
                  <c:v>2.7999999999999972</c:v>
                </c:pt>
                <c:pt idx="10">
                  <c:v>1.4000000000000057</c:v>
                </c:pt>
                <c:pt idx="11">
                  <c:v>0.29999999999999727</c:v>
                </c:pt>
                <c:pt idx="12">
                  <c:v>-2.2999999999999972</c:v>
                </c:pt>
                <c:pt idx="13">
                  <c:v>-2.5</c:v>
                </c:pt>
                <c:pt idx="14">
                  <c:v>-2.5999999999999943</c:v>
                </c:pt>
                <c:pt idx="15">
                  <c:v>-2.5</c:v>
                </c:pt>
                <c:pt idx="16">
                  <c:v>-2.7999999999999972</c:v>
                </c:pt>
                <c:pt idx="17">
                  <c:v>-0.70000000000000284</c:v>
                </c:pt>
                <c:pt idx="18">
                  <c:v>-1.2999999999999969</c:v>
                </c:pt>
                <c:pt idx="19">
                  <c:v>-1.0999999999999939</c:v>
                </c:pt>
                <c:pt idx="20">
                  <c:v>-0.90000000000000568</c:v>
                </c:pt>
                <c:pt idx="21">
                  <c:v>0.40000000000000568</c:v>
                </c:pt>
                <c:pt idx="22">
                  <c:v>0.59999999999999432</c:v>
                </c:pt>
                <c:pt idx="23">
                  <c:v>-9.9999999999994343E-2</c:v>
                </c:pt>
                <c:pt idx="24">
                  <c:v>0</c:v>
                </c:pt>
                <c:pt idx="25">
                  <c:v>0.79999999999999727</c:v>
                </c:pt>
                <c:pt idx="26">
                  <c:v>2.7000000000000033</c:v>
                </c:pt>
                <c:pt idx="27">
                  <c:v>3.9000000000000057</c:v>
                </c:pt>
                <c:pt idx="28">
                  <c:v>3.2999999999999972</c:v>
                </c:pt>
                <c:pt idx="29">
                  <c:v>5.4000000000000066</c:v>
                </c:pt>
                <c:pt idx="30">
                  <c:v>6.5</c:v>
                </c:pt>
                <c:pt idx="31">
                  <c:v>7.9000000000000066</c:v>
                </c:pt>
                <c:pt idx="32">
                  <c:v>9.5</c:v>
                </c:pt>
                <c:pt idx="33">
                  <c:v>12</c:v>
                </c:pt>
                <c:pt idx="34">
                  <c:v>13.400000000000006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wykres_4!$A$10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wykres_4!$B$7:$AJ$8</c:f>
              <c:multiLvlStrCache>
                <c:ptCount val="3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</c:lvl>
              </c:multiLvlStrCache>
            </c:multiLvlStrRef>
          </c:cat>
          <c:val>
            <c:numRef>
              <c:f>wykres_4!$B$10:$AJ$10</c:f>
              <c:numCache>
                <c:formatCode>0.0</c:formatCode>
                <c:ptCount val="35"/>
                <c:pt idx="0">
                  <c:v>0.70000000000000284</c:v>
                </c:pt>
                <c:pt idx="1">
                  <c:v>9.9999999999994343E-2</c:v>
                </c:pt>
                <c:pt idx="2">
                  <c:v>1.2000000000000028</c:v>
                </c:pt>
                <c:pt idx="3">
                  <c:v>3</c:v>
                </c:pt>
                <c:pt idx="4">
                  <c:v>2.4000000000000057</c:v>
                </c:pt>
                <c:pt idx="5">
                  <c:v>2.2000000000000033</c:v>
                </c:pt>
                <c:pt idx="6">
                  <c:v>1.9000000000000059</c:v>
                </c:pt>
                <c:pt idx="7">
                  <c:v>3</c:v>
                </c:pt>
                <c:pt idx="8">
                  <c:v>2.7999999999999972</c:v>
                </c:pt>
                <c:pt idx="9">
                  <c:v>2.0999999999999943</c:v>
                </c:pt>
                <c:pt idx="10">
                  <c:v>1.4000000000000057</c:v>
                </c:pt>
                <c:pt idx="11">
                  <c:v>1.5</c:v>
                </c:pt>
                <c:pt idx="12">
                  <c:v>-1.7999999999999969</c:v>
                </c:pt>
                <c:pt idx="13">
                  <c:v>-2.5999999999999943</c:v>
                </c:pt>
                <c:pt idx="14">
                  <c:v>-3.9000000000000057</c:v>
                </c:pt>
                <c:pt idx="15">
                  <c:v>-3.9000000000000057</c:v>
                </c:pt>
                <c:pt idx="16">
                  <c:v>-4.7000000000000028</c:v>
                </c:pt>
                <c:pt idx="17">
                  <c:v>-1.5999999999999939</c:v>
                </c:pt>
                <c:pt idx="18">
                  <c:v>-2.2999999999999972</c:v>
                </c:pt>
                <c:pt idx="19">
                  <c:v>-1.5</c:v>
                </c:pt>
                <c:pt idx="20">
                  <c:v>-1</c:v>
                </c:pt>
                <c:pt idx="21">
                  <c:v>0.5</c:v>
                </c:pt>
                <c:pt idx="22">
                  <c:v>0.79999999999999727</c:v>
                </c:pt>
                <c:pt idx="23">
                  <c:v>-0.20000000000000284</c:v>
                </c:pt>
                <c:pt idx="24">
                  <c:v>0.40000000000000568</c:v>
                </c:pt>
                <c:pt idx="25">
                  <c:v>-0.59999999999999432</c:v>
                </c:pt>
                <c:pt idx="26">
                  <c:v>1.2999999999999969</c:v>
                </c:pt>
                <c:pt idx="27">
                  <c:v>3.2000000000000033</c:v>
                </c:pt>
                <c:pt idx="28">
                  <c:v>2.2999999999999972</c:v>
                </c:pt>
                <c:pt idx="29">
                  <c:v>3.7999999999999972</c:v>
                </c:pt>
                <c:pt idx="30">
                  <c:v>4.9000000000000066</c:v>
                </c:pt>
                <c:pt idx="31">
                  <c:v>6.2999999999999972</c:v>
                </c:pt>
                <c:pt idx="32">
                  <c:v>7.7999999999999972</c:v>
                </c:pt>
                <c:pt idx="33">
                  <c:v>9.4000000000000057</c:v>
                </c:pt>
                <c:pt idx="34">
                  <c:v>9.7999999999999989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wykres_4!$A$11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wykres_4!$B$7:$AJ$8</c:f>
              <c:multiLvlStrCache>
                <c:ptCount val="3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</c:lvl>
              </c:multiLvlStrCache>
            </c:multiLvlStrRef>
          </c:cat>
          <c:val>
            <c:numRef>
              <c:f>wykres_4!$B$11:$AJ$11</c:f>
              <c:numCache>
                <c:formatCode>0.0</c:formatCode>
                <c:ptCount val="35"/>
                <c:pt idx="0">
                  <c:v>6.5</c:v>
                </c:pt>
                <c:pt idx="1">
                  <c:v>8.7000000000000011</c:v>
                </c:pt>
                <c:pt idx="2">
                  <c:v>8.4000000000000057</c:v>
                </c:pt>
                <c:pt idx="3">
                  <c:v>7.2999999999999972</c:v>
                </c:pt>
                <c:pt idx="4">
                  <c:v>7.5999999999999943</c:v>
                </c:pt>
                <c:pt idx="5">
                  <c:v>8.7000000000000011</c:v>
                </c:pt>
                <c:pt idx="6">
                  <c:v>7.0999999999999943</c:v>
                </c:pt>
                <c:pt idx="7">
                  <c:v>5.7999999999999972</c:v>
                </c:pt>
                <c:pt idx="8">
                  <c:v>3.7000000000000033</c:v>
                </c:pt>
                <c:pt idx="9">
                  <c:v>3</c:v>
                </c:pt>
                <c:pt idx="10">
                  <c:v>1.2999999999999969</c:v>
                </c:pt>
                <c:pt idx="11">
                  <c:v>-0.59999999999999432</c:v>
                </c:pt>
                <c:pt idx="12">
                  <c:v>-2.5999999999999943</c:v>
                </c:pt>
                <c:pt idx="13">
                  <c:v>-2.2999999999999972</c:v>
                </c:pt>
                <c:pt idx="14">
                  <c:v>-1.5</c:v>
                </c:pt>
                <c:pt idx="15">
                  <c:v>-1.2999999999999969</c:v>
                </c:pt>
                <c:pt idx="16">
                  <c:v>-1.4000000000000057</c:v>
                </c:pt>
                <c:pt idx="17">
                  <c:v>9.9999999999994343E-2</c:v>
                </c:pt>
                <c:pt idx="18">
                  <c:v>-0.5</c:v>
                </c:pt>
                <c:pt idx="19">
                  <c:v>-0.79999999999999727</c:v>
                </c:pt>
                <c:pt idx="20">
                  <c:v>-0.90000000000000568</c:v>
                </c:pt>
                <c:pt idx="21">
                  <c:v>0.40000000000000568</c:v>
                </c:pt>
                <c:pt idx="22">
                  <c:v>0.5</c:v>
                </c:pt>
                <c:pt idx="23">
                  <c:v>0</c:v>
                </c:pt>
                <c:pt idx="24">
                  <c:v>-0.40000000000000568</c:v>
                </c:pt>
                <c:pt idx="25">
                  <c:v>2.0999999999999943</c:v>
                </c:pt>
                <c:pt idx="26">
                  <c:v>4</c:v>
                </c:pt>
                <c:pt idx="27">
                  <c:v>4.4000000000000066</c:v>
                </c:pt>
                <c:pt idx="28">
                  <c:v>4.2999999999999972</c:v>
                </c:pt>
                <c:pt idx="29">
                  <c:v>7</c:v>
                </c:pt>
                <c:pt idx="30">
                  <c:v>8</c:v>
                </c:pt>
                <c:pt idx="31">
                  <c:v>9.2000000000000011</c:v>
                </c:pt>
                <c:pt idx="32">
                  <c:v>11</c:v>
                </c:pt>
                <c:pt idx="33">
                  <c:v>14.200000000000003</c:v>
                </c:pt>
                <c:pt idx="34">
                  <c:v>16.700000000000003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678790096"/>
        <c:axId val="-678789008"/>
      </c:lineChart>
      <c:catAx>
        <c:axId val="-67879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78789008"/>
        <c:crosses val="autoZero"/>
        <c:auto val="0"/>
        <c:lblAlgn val="ctr"/>
        <c:lblOffset val="100"/>
        <c:noMultiLvlLbl val="0"/>
      </c:catAx>
      <c:valAx>
        <c:axId val="-678789008"/>
        <c:scaling>
          <c:orientation val="minMax"/>
          <c:max val="1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78790096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88822-9277-4878-996F-23245304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lokali mieszkalnych w trzecim kwartale 2018 roku</dc:title>
  <cp:revision>3</cp:revision>
  <cp:lastPrinted>2019-01-07T08:53:00Z</cp:lastPrinted>
  <dcterms:created xsi:type="dcterms:W3CDTF">2019-01-09T08:45:00Z</dcterms:created>
  <dcterms:modified xsi:type="dcterms:W3CDTF">2019-01-09T08:45:00Z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