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50A" w14:textId="32553F8F" w:rsidR="000F1CBC" w:rsidRPr="00596D0D" w:rsidRDefault="000F1CBC" w:rsidP="000F1CBC">
      <w:pPr>
        <w:pStyle w:val="tytuinformacji"/>
        <w:spacing w:before="160"/>
        <w:rPr>
          <w:szCs w:val="40"/>
          <w:shd w:val="clear" w:color="auto" w:fill="FFFFFF"/>
        </w:rPr>
      </w:pPr>
      <w:r w:rsidRPr="00FC72BB">
        <w:rPr>
          <w:szCs w:val="40"/>
        </w:rPr>
        <w:t>Budownictwo w</w:t>
      </w:r>
      <w:r w:rsidRPr="00FC72BB">
        <w:rPr>
          <w:color w:val="auto"/>
          <w:szCs w:val="40"/>
        </w:rPr>
        <w:t xml:space="preserve"> </w:t>
      </w:r>
      <w:r w:rsidR="00B54D52" w:rsidRPr="00596D0D">
        <w:rPr>
          <w:color w:val="auto"/>
          <w:szCs w:val="40"/>
        </w:rPr>
        <w:t xml:space="preserve">I kwartale </w:t>
      </w:r>
      <w:r w:rsidRPr="00596D0D">
        <w:rPr>
          <w:color w:val="auto"/>
          <w:szCs w:val="40"/>
          <w:shd w:val="clear" w:color="auto" w:fill="FFFFFF"/>
        </w:rPr>
        <w:t>201</w:t>
      </w:r>
      <w:r w:rsidR="005E1366" w:rsidRPr="00596D0D">
        <w:rPr>
          <w:color w:val="auto"/>
          <w:szCs w:val="40"/>
          <w:shd w:val="clear" w:color="auto" w:fill="FFFFFF"/>
        </w:rPr>
        <w:t>9</w:t>
      </w:r>
      <w:r w:rsidR="00B37BB7">
        <w:rPr>
          <w:szCs w:val="40"/>
          <w:shd w:val="clear" w:color="auto" w:fill="FFFFFF"/>
        </w:rPr>
        <w:t xml:space="preserve"> roku</w:t>
      </w:r>
    </w:p>
    <w:p w14:paraId="40592E09" w14:textId="3AB8CA24" w:rsidR="000F1CBC" w:rsidRPr="00740172" w:rsidRDefault="000F1CBC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14:paraId="3847DB19" w14:textId="459ECC74" w:rsidR="000F1CBC" w:rsidRPr="00E212A6" w:rsidRDefault="000F1CBC" w:rsidP="000F1CBC">
      <w:pPr>
        <w:pStyle w:val="LID"/>
      </w:pPr>
      <w:r w:rsidRPr="00596D0D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833856" behindDoc="0" locked="0" layoutInCell="1" allowOverlap="1" wp14:anchorId="2708133B" wp14:editId="1ABD7969">
                <wp:simplePos x="0" y="0"/>
                <wp:positionH relativeFrom="margin">
                  <wp:posOffset>20320</wp:posOffset>
                </wp:positionH>
                <wp:positionV relativeFrom="paragraph">
                  <wp:posOffset>107315</wp:posOffset>
                </wp:positionV>
                <wp:extent cx="1828800" cy="968375"/>
                <wp:effectExtent l="0" t="0" r="0" b="317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83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F225" w14:textId="7B0AEB1F" w:rsidR="00217E1A" w:rsidRPr="001A5784" w:rsidRDefault="00217E1A" w:rsidP="000F1CB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1F497D" w:themeColor="text2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2060"/>
                                <w:sz w:val="22"/>
                                <w:shd w:val="clear" w:color="auto" w:fill="001D77"/>
                                <w:lang w:eastAsia="pl-PL"/>
                              </w:rPr>
                              <w:t xml:space="preserve">             </w:t>
                            </w:r>
                            <w:r w:rsidRPr="00A029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Pr="000312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</w:p>
                          <w:p w14:paraId="1AEB3FC6" w14:textId="77777777" w:rsidR="00217E1A" w:rsidRPr="0050555C" w:rsidRDefault="00217E1A" w:rsidP="000F1CBC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58132F">
                              <w:t xml:space="preserve">Dynamika </w:t>
                            </w:r>
                            <w:r>
                              <w:t>liczby mieszkań</w:t>
                            </w:r>
                            <w:r w:rsidRPr="0058132F">
                              <w:t xml:space="preserve"> </w:t>
                            </w:r>
                            <w:r>
                              <w:t>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813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8.45pt;width:2in;height:76.25pt;z-index:25183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" fillcolor="#001d77" stroked="f">
                <v:textbox>
                  <w:txbxContent>
                    <w:p w14:paraId="4699F225" w14:textId="7B0AEB1F" w:rsidR="00217E1A" w:rsidRPr="001A5784" w:rsidRDefault="00217E1A" w:rsidP="000F1CB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1F497D" w:themeColor="text2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2060"/>
                          <w:sz w:val="22"/>
                          <w:shd w:val="clear" w:color="auto" w:fill="001D77"/>
                          <w:lang w:eastAsia="pl-PL"/>
                        </w:rPr>
                        <w:t xml:space="preserve">             </w:t>
                      </w:r>
                      <w:r w:rsidRPr="00A029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Pr="000312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</w:p>
                    <w:p w14:paraId="1AEB3FC6" w14:textId="77777777" w:rsidR="00217E1A" w:rsidRPr="0050555C" w:rsidRDefault="00217E1A" w:rsidP="000F1CBC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58132F">
                        <w:t xml:space="preserve">Dynamika </w:t>
                      </w:r>
                      <w:r>
                        <w:t>liczby mieszkań</w:t>
                      </w:r>
                      <w:r w:rsidRPr="0058132F">
                        <w:t xml:space="preserve"> </w:t>
                      </w:r>
                      <w:r>
                        <w:t>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6D0D">
        <w:rPr>
          <w:rFonts w:asciiTheme="minorHAnsi" w:hAnsiTheme="minorHAnsi"/>
          <w:b w:val="0"/>
          <w:color w:val="000000" w:themeColor="text1"/>
          <w:sz w:val="22"/>
        </w:rPr>
        <w:drawing>
          <wp:anchor distT="0" distB="0" distL="114300" distR="114300" simplePos="0" relativeHeight="251834880" behindDoc="0" locked="0" layoutInCell="1" allowOverlap="1" wp14:anchorId="7174746B" wp14:editId="1E50667C">
            <wp:simplePos x="0" y="0"/>
            <wp:positionH relativeFrom="column">
              <wp:posOffset>118555</wp:posOffset>
            </wp:positionH>
            <wp:positionV relativeFrom="paragraph">
              <wp:posOffset>246347</wp:posOffset>
            </wp:positionV>
            <wp:extent cx="367200" cy="3672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F67">
        <w:rPr>
          <w:color w:val="000000" w:themeColor="text1"/>
        </w:rPr>
        <w:t>W I kwartale 2019 roku</w:t>
      </w:r>
      <w:r w:rsidR="00D14246" w:rsidRPr="00D14246">
        <w:rPr>
          <w:color w:val="000000" w:themeColor="text1"/>
        </w:rPr>
        <w:t xml:space="preserve"> odnotowano wzrost liczby oraz powierzchni użytkowej zarówno mieszkań jak i nowych budynków niemieszklanych oddanych do użytkowania, w</w:t>
      </w:r>
      <w:r w:rsidR="00D14246">
        <w:rPr>
          <w:color w:val="000000" w:themeColor="text1"/>
        </w:rPr>
        <w:t> </w:t>
      </w:r>
      <w:r w:rsidR="00D14246" w:rsidRPr="00D14246">
        <w:rPr>
          <w:color w:val="000000" w:themeColor="text1"/>
        </w:rPr>
        <w:t>stosunku do analogicznego okresu roku poprzedniego</w:t>
      </w:r>
      <w:r w:rsidR="00A8598E">
        <w:rPr>
          <w:color w:val="000000" w:themeColor="text1"/>
        </w:rPr>
        <w:t>.</w:t>
      </w:r>
    </w:p>
    <w:p w14:paraId="6F772441" w14:textId="77777777" w:rsidR="00D14246" w:rsidRDefault="00D14246" w:rsidP="000F1CBC">
      <w:pPr>
        <w:spacing w:before="360"/>
        <w:rPr>
          <w:rFonts w:ascii="Fira Sans SemiBold" w:hAnsi="Fira Sans SemiBold"/>
          <w:color w:val="001D77"/>
          <w:sz w:val="20"/>
          <w:shd w:val="clear" w:color="auto" w:fill="FFFFFF"/>
        </w:rPr>
      </w:pPr>
    </w:p>
    <w:p w14:paraId="07D8E64F" w14:textId="765DB85D" w:rsidR="000F1CBC" w:rsidRDefault="000F1CBC" w:rsidP="000F1CBC">
      <w:pPr>
        <w:spacing w:before="360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65CC6">
        <w:rPr>
          <w:rFonts w:ascii="Fira Sans SemiBold" w:hAnsi="Fira Sans SemiBold"/>
          <w:noProof/>
          <w:sz w:val="24"/>
          <w:highlight w:val="green"/>
          <w:lang w:eastAsia="pl-PL"/>
        </w:rPr>
        <mc:AlternateContent>
          <mc:Choice Requires="wps">
            <w:drawing>
              <wp:anchor distT="45720" distB="45720" distL="114300" distR="114300" simplePos="0" relativeHeight="251835904" behindDoc="0" locked="0" layoutInCell="1" allowOverlap="1" wp14:anchorId="5E558007" wp14:editId="15B4D8CF">
                <wp:simplePos x="0" y="0"/>
                <wp:positionH relativeFrom="column">
                  <wp:posOffset>5245100</wp:posOffset>
                </wp:positionH>
                <wp:positionV relativeFrom="paragraph">
                  <wp:posOffset>233045</wp:posOffset>
                </wp:positionV>
                <wp:extent cx="1748155" cy="885825"/>
                <wp:effectExtent l="0" t="0" r="0" b="0"/>
                <wp:wrapNone/>
                <wp:docPr id="19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1A1D0A88" w:rsidR="00217E1A" w:rsidRPr="00743623" w:rsidRDefault="00217E1A" w:rsidP="000F1CBC">
                            <w:pPr>
                              <w:pStyle w:val="tekstzboku"/>
                              <w:spacing w:after="120"/>
                              <w:rPr>
                                <w:color w:val="FF0000"/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>Liczba mieszkań oddanych do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EE77C6">
                              <w:rPr>
                                <w:szCs w:val="19"/>
                              </w:rPr>
                              <w:t>użytkowania wzrosła w</w:t>
                            </w:r>
                            <w:r>
                              <w:rPr>
                                <w:szCs w:val="19"/>
                              </w:rPr>
                              <w:t> I kwartale 2019 roku o</w:t>
                            </w:r>
                            <w:r w:rsidR="00A1742D">
                              <w:rPr>
                                <w:szCs w:val="19"/>
                              </w:rPr>
                              <w:t> </w:t>
                            </w:r>
                            <w:r>
                              <w:rPr>
                                <w:szCs w:val="19"/>
                              </w:rPr>
                              <w:t>6,3%</w:t>
                            </w:r>
                            <w:r w:rsidR="00A1742D">
                              <w:rPr>
                                <w:szCs w:val="19"/>
                              </w:rPr>
                              <w:t> </w:t>
                            </w:r>
                            <w:r w:rsidR="007036B9" w:rsidRPr="008350FF">
                              <w:rPr>
                                <w:szCs w:val="19"/>
                              </w:rP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8007" id="Pole tekstowe 16" o:spid="_x0000_s1027" type="#_x0000_t202" style="position:absolute;margin-left:413pt;margin-top:18.35pt;width:137.65pt;height:69.75pt;z-index:25183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" filled="f" stroked="f">
                <v:textbox>
                  <w:txbxContent>
                    <w:p w14:paraId="4DFA4999" w14:textId="1A1D0A88" w:rsidR="00217E1A" w:rsidRPr="00743623" w:rsidRDefault="00217E1A" w:rsidP="000F1CBC">
                      <w:pPr>
                        <w:pStyle w:val="tekstzboku"/>
                        <w:spacing w:after="120"/>
                        <w:rPr>
                          <w:color w:val="FF0000"/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>Liczba mieszkań oddanych do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EE77C6">
                        <w:rPr>
                          <w:szCs w:val="19"/>
                        </w:rPr>
                        <w:t>użytkowania wzrosła w</w:t>
                      </w:r>
                      <w:r>
                        <w:rPr>
                          <w:szCs w:val="19"/>
                        </w:rPr>
                        <w:t> I kwartale 2019 roku o</w:t>
                      </w:r>
                      <w:r w:rsidR="00A1742D">
                        <w:rPr>
                          <w:szCs w:val="19"/>
                        </w:rPr>
                        <w:t> </w:t>
                      </w:r>
                      <w:r>
                        <w:rPr>
                          <w:szCs w:val="19"/>
                        </w:rPr>
                        <w:t>6,3%</w:t>
                      </w:r>
                      <w:r w:rsidR="00A1742D">
                        <w:rPr>
                          <w:szCs w:val="19"/>
                        </w:rPr>
                        <w:t> </w:t>
                      </w:r>
                      <w:r w:rsidR="007036B9" w:rsidRPr="008350FF">
                        <w:rPr>
                          <w:szCs w:val="19"/>
                        </w:rPr>
                        <w:t>r/r</w:t>
                      </w:r>
                    </w:p>
                  </w:txbxContent>
                </v:textbox>
              </v:shape>
            </w:pict>
          </mc:Fallback>
        </mc:AlternateContent>
      </w:r>
      <w:r w:rsidRPr="00D31EF5">
        <w:rPr>
          <w:rFonts w:ascii="Fira Sans SemiBold" w:hAnsi="Fira Sans SemiBold"/>
          <w:color w:val="001D77"/>
          <w:sz w:val="24"/>
          <w:shd w:val="clear" w:color="auto" w:fill="FFFFFF"/>
        </w:rPr>
        <w:t>Efekty rzeczowe bu</w:t>
      </w:r>
      <w:r w:rsidRPr="0003129D">
        <w:rPr>
          <w:rFonts w:ascii="Fira Sans SemiBold" w:hAnsi="Fira Sans SemiBold"/>
          <w:color w:val="001D77"/>
          <w:sz w:val="24"/>
          <w:shd w:val="clear" w:color="auto" w:fill="FFFFFF"/>
        </w:rPr>
        <w:t>downictwa</w:t>
      </w:r>
      <w:r w:rsidRPr="00D31EF5">
        <w:rPr>
          <w:rFonts w:ascii="Fira Sans SemiBold" w:hAnsi="Fira Sans SemiBold"/>
          <w:color w:val="001D77"/>
          <w:sz w:val="24"/>
          <w:shd w:val="clear" w:color="auto" w:fill="FFFFFF"/>
        </w:rPr>
        <w:t xml:space="preserve"> mieszka</w:t>
      </w:r>
      <w:r>
        <w:rPr>
          <w:rFonts w:ascii="Fira Sans SemiBold" w:hAnsi="Fira Sans SemiBold"/>
          <w:color w:val="001D77"/>
          <w:sz w:val="24"/>
          <w:shd w:val="clear" w:color="auto" w:fill="FFFFFF"/>
        </w:rPr>
        <w:t>niowego</w:t>
      </w:r>
      <w:r>
        <w:rPr>
          <w:rStyle w:val="Odwoanieprzypisudolnego"/>
          <w:rFonts w:ascii="Fira Sans SemiBold" w:hAnsi="Fira Sans SemiBold"/>
          <w:color w:val="001D77"/>
          <w:sz w:val="24"/>
          <w:shd w:val="clear" w:color="auto" w:fill="FFFFFF"/>
        </w:rPr>
        <w:footnoteReference w:id="1"/>
      </w:r>
    </w:p>
    <w:p w14:paraId="33E55497" w14:textId="638659A6" w:rsidR="002543F3" w:rsidRPr="00596D0D" w:rsidRDefault="008D3C36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96D0D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27712" behindDoc="0" locked="0" layoutInCell="1" allowOverlap="1" wp14:anchorId="2B3646B3" wp14:editId="1E57485F">
                <wp:simplePos x="0" y="0"/>
                <wp:positionH relativeFrom="column">
                  <wp:posOffset>5262880</wp:posOffset>
                </wp:positionH>
                <wp:positionV relativeFrom="paragraph">
                  <wp:posOffset>541020</wp:posOffset>
                </wp:positionV>
                <wp:extent cx="1733550" cy="923925"/>
                <wp:effectExtent l="0" t="0" r="0" b="0"/>
                <wp:wrapNone/>
                <wp:docPr id="20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8336B" w14:textId="11ABB589" w:rsidR="00217E1A" w:rsidRPr="00E83E5B" w:rsidRDefault="00217E1A" w:rsidP="002543F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>Przeciętna powierzchnia użytkowa</w:t>
                            </w:r>
                            <w:r>
                              <w:rPr>
                                <w:szCs w:val="19"/>
                              </w:rPr>
                              <w:t xml:space="preserve"> nowo oddanego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mieszkania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EE77C6">
                              <w:rPr>
                                <w:szCs w:val="19"/>
                              </w:rPr>
                              <w:t>wyniosła 90,</w:t>
                            </w:r>
                            <w:r>
                              <w:rPr>
                                <w:szCs w:val="19"/>
                              </w:rPr>
                              <w:t>4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m</w:t>
                            </w:r>
                            <w:r w:rsidRPr="00E83E5B">
                              <w:rPr>
                                <w:szCs w:val="19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646B3" id="_x0000_s1028" type="#_x0000_t202" style="position:absolute;margin-left:414.4pt;margin-top:42.6pt;width:136.5pt;height:72.75pt;z-index:25182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" filled="f" stroked="f">
                <v:textbox>
                  <w:txbxContent>
                    <w:p w14:paraId="7BC8336B" w14:textId="11ABB589" w:rsidR="00217E1A" w:rsidRPr="00E83E5B" w:rsidRDefault="00217E1A" w:rsidP="002543F3">
                      <w:pPr>
                        <w:pStyle w:val="tekstzboku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>Przeciętna powierzchnia użytkowa</w:t>
                      </w:r>
                      <w:r>
                        <w:rPr>
                          <w:szCs w:val="19"/>
                        </w:rPr>
                        <w:t xml:space="preserve"> nowo oddanego</w:t>
                      </w:r>
                      <w:r w:rsidRPr="00EE77C6">
                        <w:rPr>
                          <w:szCs w:val="19"/>
                        </w:rPr>
                        <w:t xml:space="preserve"> mieszkania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EE77C6">
                        <w:rPr>
                          <w:szCs w:val="19"/>
                        </w:rPr>
                        <w:t>wyniosła 90,</w:t>
                      </w:r>
                      <w:r>
                        <w:rPr>
                          <w:szCs w:val="19"/>
                        </w:rPr>
                        <w:t>4</w:t>
                      </w:r>
                      <w:r w:rsidRPr="00EE77C6">
                        <w:rPr>
                          <w:szCs w:val="19"/>
                        </w:rPr>
                        <w:t xml:space="preserve"> m</w:t>
                      </w:r>
                      <w:r w:rsidRPr="00E83E5B">
                        <w:rPr>
                          <w:szCs w:val="19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43F3" w:rsidRPr="00596D0D">
        <w:rPr>
          <w:rFonts w:cs="Fira Sans"/>
          <w:szCs w:val="19"/>
        </w:rPr>
        <w:t>W</w:t>
      </w:r>
      <w:r w:rsidR="004B29AE" w:rsidRPr="00596D0D">
        <w:rPr>
          <w:rFonts w:cs="Fira Sans"/>
          <w:szCs w:val="19"/>
        </w:rPr>
        <w:t xml:space="preserve"> </w:t>
      </w:r>
      <w:r w:rsidRPr="00596D0D">
        <w:rPr>
          <w:rFonts w:cs="Fira Sans"/>
          <w:szCs w:val="19"/>
        </w:rPr>
        <w:t>I</w:t>
      </w:r>
      <w:r w:rsidR="004B29AE" w:rsidRPr="00596D0D">
        <w:rPr>
          <w:rFonts w:cs="Fira Sans"/>
          <w:szCs w:val="19"/>
        </w:rPr>
        <w:t xml:space="preserve"> kwartale</w:t>
      </w:r>
      <w:r w:rsidR="002543F3" w:rsidRPr="00596D0D">
        <w:rPr>
          <w:rFonts w:cs="Fira Sans"/>
          <w:szCs w:val="19"/>
        </w:rPr>
        <w:t xml:space="preserve"> 201</w:t>
      </w:r>
      <w:r w:rsidR="00313708" w:rsidRPr="00596D0D">
        <w:rPr>
          <w:rFonts w:cs="Fira Sans"/>
          <w:szCs w:val="19"/>
        </w:rPr>
        <w:t>9</w:t>
      </w:r>
      <w:r w:rsidR="002543F3" w:rsidRPr="00596D0D">
        <w:rPr>
          <w:rFonts w:cs="Fira Sans"/>
          <w:szCs w:val="19"/>
        </w:rPr>
        <w:t xml:space="preserve"> roku oddano do użytkowania </w:t>
      </w:r>
      <w:r w:rsidR="00313708" w:rsidRPr="00596D0D">
        <w:rPr>
          <w:rFonts w:cs="Fira Sans"/>
          <w:szCs w:val="19"/>
        </w:rPr>
        <w:t>47 425</w:t>
      </w:r>
      <w:r w:rsidR="002543F3" w:rsidRPr="00596D0D">
        <w:rPr>
          <w:rFonts w:cs="Fira Sans"/>
          <w:szCs w:val="19"/>
        </w:rPr>
        <w:t xml:space="preserve"> </w:t>
      </w:r>
      <w:r w:rsidR="002543F3" w:rsidRPr="00596D0D">
        <w:rPr>
          <w:rFonts w:cs="Fira Sans"/>
          <w:b/>
          <w:szCs w:val="19"/>
        </w:rPr>
        <w:t>mieszkań</w:t>
      </w:r>
      <w:r w:rsidR="002543F3" w:rsidRPr="00596D0D">
        <w:rPr>
          <w:rFonts w:cs="Fira Sans"/>
          <w:szCs w:val="19"/>
        </w:rPr>
        <w:t xml:space="preserve"> o łącznej powierzchni użytkowej </w:t>
      </w:r>
      <w:r w:rsidR="00313708" w:rsidRPr="00596D0D">
        <w:rPr>
          <w:rFonts w:cs="Fira Sans"/>
          <w:szCs w:val="19"/>
        </w:rPr>
        <w:t>4 289,1</w:t>
      </w:r>
      <w:r w:rsidR="002543F3" w:rsidRPr="00596D0D">
        <w:rPr>
          <w:rFonts w:cs="Fira Sans"/>
          <w:szCs w:val="19"/>
        </w:rPr>
        <w:t> tys. m</w:t>
      </w:r>
      <w:r w:rsidR="002543F3" w:rsidRPr="00596D0D">
        <w:rPr>
          <w:rFonts w:cs="Fira Sans"/>
          <w:szCs w:val="19"/>
          <w:vertAlign w:val="superscript"/>
        </w:rPr>
        <w:t>2</w:t>
      </w:r>
      <w:r w:rsidR="002543F3" w:rsidRPr="00596D0D">
        <w:rPr>
          <w:rFonts w:cs="Fira Sans"/>
          <w:szCs w:val="19"/>
        </w:rPr>
        <w:t xml:space="preserve"> oraz liczbie izb równej </w:t>
      </w:r>
      <w:r w:rsidR="00313708" w:rsidRPr="00596D0D">
        <w:rPr>
          <w:rFonts w:cs="Fira Sans"/>
          <w:szCs w:val="19"/>
        </w:rPr>
        <w:t>181 125</w:t>
      </w:r>
      <w:r w:rsidR="002543F3" w:rsidRPr="00596D0D">
        <w:rPr>
          <w:rFonts w:cs="Fira Sans"/>
          <w:szCs w:val="19"/>
        </w:rPr>
        <w:t xml:space="preserve">. W porównaniu z </w:t>
      </w:r>
      <w:r w:rsidR="00683AC0" w:rsidRPr="00596D0D">
        <w:rPr>
          <w:rFonts w:cs="Fira Sans"/>
          <w:szCs w:val="19"/>
        </w:rPr>
        <w:t>analogicznym okresem poprzedniego</w:t>
      </w:r>
      <w:r w:rsidR="002543F3" w:rsidRPr="00596D0D">
        <w:rPr>
          <w:rFonts w:cs="Fira Sans"/>
          <w:szCs w:val="19"/>
        </w:rPr>
        <w:t xml:space="preserve"> rok</w:t>
      </w:r>
      <w:r w:rsidR="00683AC0" w:rsidRPr="00596D0D">
        <w:rPr>
          <w:rFonts w:cs="Fira Sans"/>
          <w:szCs w:val="19"/>
        </w:rPr>
        <w:t>u</w:t>
      </w:r>
      <w:r w:rsidR="002543F3" w:rsidRPr="00596D0D">
        <w:rPr>
          <w:rFonts w:cs="Fira Sans"/>
          <w:szCs w:val="19"/>
        </w:rPr>
        <w:t xml:space="preserve"> odnotowano wzrosty: liczby mieszkań o </w:t>
      </w:r>
      <w:r w:rsidR="00FC3A72" w:rsidRPr="00596D0D">
        <w:rPr>
          <w:rFonts w:cs="Fira Sans"/>
          <w:szCs w:val="19"/>
        </w:rPr>
        <w:t>2 791</w:t>
      </w:r>
      <w:r w:rsidR="002543F3" w:rsidRPr="00596D0D">
        <w:rPr>
          <w:rFonts w:cs="Fira Sans"/>
          <w:szCs w:val="19"/>
        </w:rPr>
        <w:t xml:space="preserve"> (</w:t>
      </w:r>
      <w:r w:rsidR="00FC3A72" w:rsidRPr="00596D0D">
        <w:rPr>
          <w:rFonts w:cs="Fira Sans"/>
          <w:szCs w:val="19"/>
        </w:rPr>
        <w:t>6,3</w:t>
      </w:r>
      <w:r w:rsidR="002543F3" w:rsidRPr="00596D0D">
        <w:rPr>
          <w:rFonts w:cs="Fira Sans"/>
          <w:szCs w:val="19"/>
        </w:rPr>
        <w:t xml:space="preserve">%), powierzchni </w:t>
      </w:r>
      <w:r w:rsidR="007C173F">
        <w:rPr>
          <w:rFonts w:cs="Fira Sans"/>
          <w:szCs w:val="19"/>
        </w:rPr>
        <w:t xml:space="preserve">użytkowej mieszkań </w:t>
      </w:r>
      <w:r w:rsidR="002543F3" w:rsidRPr="00596D0D">
        <w:rPr>
          <w:rFonts w:cs="Fira Sans"/>
          <w:szCs w:val="19"/>
        </w:rPr>
        <w:t xml:space="preserve">– o </w:t>
      </w:r>
      <w:r w:rsidR="00056571" w:rsidRPr="00596D0D">
        <w:rPr>
          <w:rFonts w:cs="Fira Sans"/>
          <w:szCs w:val="19"/>
        </w:rPr>
        <w:t>74,3</w:t>
      </w:r>
      <w:r w:rsidR="002543F3" w:rsidRPr="00596D0D">
        <w:rPr>
          <w:rFonts w:cs="Fira Sans"/>
          <w:szCs w:val="19"/>
        </w:rPr>
        <w:t xml:space="preserve"> tys. m</w:t>
      </w:r>
      <w:r w:rsidR="002543F3" w:rsidRPr="00596D0D">
        <w:rPr>
          <w:rFonts w:cs="Fira Sans"/>
          <w:szCs w:val="19"/>
          <w:vertAlign w:val="superscript"/>
        </w:rPr>
        <w:t>2</w:t>
      </w:r>
      <w:r w:rsidR="002543F3" w:rsidRPr="00596D0D">
        <w:rPr>
          <w:rFonts w:cs="Fira Sans"/>
          <w:szCs w:val="19"/>
        </w:rPr>
        <w:t xml:space="preserve"> (</w:t>
      </w:r>
      <w:r w:rsidR="00953FC1" w:rsidRPr="00596D0D">
        <w:rPr>
          <w:rFonts w:cs="Fira Sans"/>
          <w:szCs w:val="19"/>
        </w:rPr>
        <w:t>1,8%</w:t>
      </w:r>
      <w:r w:rsidR="002543F3" w:rsidRPr="00596D0D">
        <w:rPr>
          <w:rFonts w:cs="Fira Sans"/>
          <w:szCs w:val="19"/>
        </w:rPr>
        <w:t xml:space="preserve">) oraz liczby izb – o </w:t>
      </w:r>
      <w:r w:rsidR="00FB7D0A" w:rsidRPr="00596D0D">
        <w:rPr>
          <w:rFonts w:cs="Fira Sans"/>
          <w:szCs w:val="19"/>
        </w:rPr>
        <w:t>3 730</w:t>
      </w:r>
      <w:r w:rsidR="002543F3" w:rsidRPr="00596D0D">
        <w:rPr>
          <w:rFonts w:cs="Fira Sans"/>
          <w:szCs w:val="19"/>
        </w:rPr>
        <w:t xml:space="preserve"> (2,</w:t>
      </w:r>
      <w:r w:rsidR="00FB7D0A" w:rsidRPr="00596D0D">
        <w:rPr>
          <w:rFonts w:cs="Fira Sans"/>
          <w:szCs w:val="19"/>
        </w:rPr>
        <w:t>1</w:t>
      </w:r>
      <w:r w:rsidR="002543F3" w:rsidRPr="00596D0D">
        <w:rPr>
          <w:rFonts w:cs="Fira Sans"/>
          <w:szCs w:val="19"/>
        </w:rPr>
        <w:t>%).</w:t>
      </w:r>
    </w:p>
    <w:p w14:paraId="7FEAE25E" w14:textId="34CEBCA6" w:rsidR="002543F3" w:rsidRPr="004A6F58" w:rsidRDefault="005C5C2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4A6F58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44096" behindDoc="0" locked="0" layoutInCell="1" allowOverlap="1" wp14:anchorId="7FDC2CB8" wp14:editId="489EB6A3">
                <wp:simplePos x="0" y="0"/>
                <wp:positionH relativeFrom="rightMargin">
                  <wp:posOffset>154305</wp:posOffset>
                </wp:positionH>
                <wp:positionV relativeFrom="paragraph">
                  <wp:posOffset>866775</wp:posOffset>
                </wp:positionV>
                <wp:extent cx="1637969" cy="930302"/>
                <wp:effectExtent l="0" t="0" r="0" b="3175"/>
                <wp:wrapNone/>
                <wp:docPr id="5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969" cy="9303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8424" w14:textId="121E436D" w:rsidR="00217E1A" w:rsidRPr="00E83E5B" w:rsidRDefault="00217E1A" w:rsidP="009224B6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8350FF">
                              <w:rPr>
                                <w:szCs w:val="19"/>
                              </w:rPr>
                              <w:t xml:space="preserve">Wskaźnik nasilenia budownictwa </w:t>
                            </w:r>
                            <w:r w:rsidR="00A1742D">
                              <w:rPr>
                                <w:szCs w:val="19"/>
                              </w:rPr>
                              <w:t xml:space="preserve">w I kwartale 2019 roku </w:t>
                            </w:r>
                            <w:r w:rsidR="00E51E6D">
                              <w:rPr>
                                <w:szCs w:val="19"/>
                              </w:rPr>
                              <w:t xml:space="preserve">wyniósł </w:t>
                            </w:r>
                            <w:r w:rsidRPr="00D14246">
                              <w:rPr>
                                <w:szCs w:val="19"/>
                              </w:rPr>
                              <w:t xml:space="preserve">1,2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C2CB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.15pt;margin-top:68.25pt;width:128.95pt;height:73.25pt;z-index:2518440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" filled="f" stroked="f">
                <v:textbox>
                  <w:txbxContent>
                    <w:p w14:paraId="200E8424" w14:textId="121E436D" w:rsidR="00217E1A" w:rsidRPr="00E83E5B" w:rsidRDefault="00217E1A" w:rsidP="009224B6">
                      <w:pPr>
                        <w:pStyle w:val="tekstzboku"/>
                        <w:rPr>
                          <w:szCs w:val="19"/>
                        </w:rPr>
                      </w:pPr>
                      <w:r w:rsidRPr="008350FF">
                        <w:rPr>
                          <w:szCs w:val="19"/>
                        </w:rPr>
                        <w:t xml:space="preserve">Wskaźnik nasilenia budownictwa </w:t>
                      </w:r>
                      <w:r w:rsidR="00A1742D">
                        <w:rPr>
                          <w:szCs w:val="19"/>
                        </w:rPr>
                        <w:t xml:space="preserve">w I kwartale 2019 roku </w:t>
                      </w:r>
                      <w:r w:rsidR="00E51E6D">
                        <w:rPr>
                          <w:szCs w:val="19"/>
                        </w:rPr>
                        <w:t xml:space="preserve">wyniósł </w:t>
                      </w:r>
                      <w:r w:rsidRPr="00D14246">
                        <w:rPr>
                          <w:szCs w:val="19"/>
                        </w:rPr>
                        <w:t xml:space="preserve">1,2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3F3" w:rsidRPr="004A6F58">
        <w:rPr>
          <w:rFonts w:cs="Fira Sans"/>
          <w:b/>
          <w:szCs w:val="19"/>
        </w:rPr>
        <w:t xml:space="preserve">Przeciętna powierzchnia użytkowa </w:t>
      </w:r>
      <w:r w:rsidR="002543F3" w:rsidRPr="004A6F58">
        <w:rPr>
          <w:rFonts w:cs="Fira Sans"/>
          <w:szCs w:val="19"/>
        </w:rPr>
        <w:t>wybudowanego mieszkania wyniosła 90,</w:t>
      </w:r>
      <w:r w:rsidR="00FB7D0A" w:rsidRPr="004A6F58">
        <w:rPr>
          <w:rFonts w:cs="Fira Sans"/>
          <w:szCs w:val="19"/>
        </w:rPr>
        <w:t>4</w:t>
      </w:r>
      <w:r w:rsidR="002543F3" w:rsidRPr="004A6F58">
        <w:rPr>
          <w:rFonts w:cs="Fira Sans"/>
          <w:szCs w:val="19"/>
        </w:rPr>
        <w:t xml:space="preserve"> m</w:t>
      </w:r>
      <w:r w:rsidR="002543F3" w:rsidRPr="004A6F58">
        <w:rPr>
          <w:rFonts w:cs="Fira Sans"/>
          <w:szCs w:val="19"/>
          <w:vertAlign w:val="superscript"/>
        </w:rPr>
        <w:t>2</w:t>
      </w:r>
      <w:r w:rsidR="001E2609" w:rsidRPr="004A6F58">
        <w:rPr>
          <w:rFonts w:cs="Fira Sans"/>
          <w:szCs w:val="19"/>
        </w:rPr>
        <w:t xml:space="preserve"> </w:t>
      </w:r>
      <w:r w:rsidR="002543F3" w:rsidRPr="004A6F58">
        <w:rPr>
          <w:rFonts w:cs="Fira Sans"/>
          <w:szCs w:val="19"/>
        </w:rPr>
        <w:t xml:space="preserve">i w porównaniu do </w:t>
      </w:r>
      <w:r w:rsidR="008D3C36" w:rsidRPr="004A6F58">
        <w:rPr>
          <w:rFonts w:cs="Fira Sans"/>
          <w:szCs w:val="19"/>
        </w:rPr>
        <w:t>I</w:t>
      </w:r>
      <w:r w:rsidR="00FB7D0A" w:rsidRPr="004A6F58">
        <w:rPr>
          <w:rFonts w:cs="Fira Sans"/>
          <w:szCs w:val="19"/>
        </w:rPr>
        <w:t xml:space="preserve"> kwartału roku 2018</w:t>
      </w:r>
      <w:r w:rsidR="002543F3" w:rsidRPr="004A6F58">
        <w:rPr>
          <w:rFonts w:cs="Fira Sans"/>
          <w:szCs w:val="19"/>
        </w:rPr>
        <w:t xml:space="preserve"> zmniejszyła się o </w:t>
      </w:r>
      <w:r w:rsidR="00FB7D0A" w:rsidRPr="004A6F58">
        <w:rPr>
          <w:rFonts w:cs="Fira Sans"/>
          <w:szCs w:val="19"/>
        </w:rPr>
        <w:t>4,0</w:t>
      </w:r>
      <w:r w:rsidR="002543F3" w:rsidRPr="004A6F58">
        <w:rPr>
          <w:rFonts w:cs="Fira Sans"/>
          <w:szCs w:val="19"/>
        </w:rPr>
        <w:t xml:space="preserve"> m</w:t>
      </w:r>
      <w:r w:rsidR="002543F3" w:rsidRPr="004A6F58">
        <w:rPr>
          <w:rFonts w:cs="Fira Sans"/>
          <w:szCs w:val="19"/>
          <w:vertAlign w:val="superscript"/>
        </w:rPr>
        <w:t>2</w:t>
      </w:r>
      <w:r w:rsidR="002543F3" w:rsidRPr="004A6F58">
        <w:rPr>
          <w:rFonts w:cs="Fira Sans"/>
          <w:szCs w:val="19"/>
        </w:rPr>
        <w:t>. Średnia powierzchnia mieszkania</w:t>
      </w:r>
      <w:r w:rsidR="001E2609" w:rsidRPr="004A6F58">
        <w:rPr>
          <w:rFonts w:cs="Fira Sans"/>
          <w:szCs w:val="19"/>
        </w:rPr>
        <w:t xml:space="preserve"> </w:t>
      </w:r>
      <w:r w:rsidR="002543F3" w:rsidRPr="004A6F58">
        <w:rPr>
          <w:rFonts w:cs="Fira Sans"/>
          <w:szCs w:val="19"/>
        </w:rPr>
        <w:t>w</w:t>
      </w:r>
      <w:r w:rsidR="001E2609" w:rsidRPr="004A6F58">
        <w:rPr>
          <w:rFonts w:cs="Fira Sans"/>
          <w:szCs w:val="19"/>
        </w:rPr>
        <w:t> </w:t>
      </w:r>
      <w:r w:rsidR="002543F3" w:rsidRPr="004A6F58">
        <w:rPr>
          <w:rFonts w:cs="Fira Sans"/>
          <w:szCs w:val="19"/>
        </w:rPr>
        <w:t xml:space="preserve"> budynkach jednorodzinnych wyniosła</w:t>
      </w:r>
      <w:r w:rsidR="004A6F58" w:rsidRPr="004A6F58">
        <w:rPr>
          <w:rFonts w:cs="Fira Sans"/>
          <w:szCs w:val="19"/>
        </w:rPr>
        <w:t xml:space="preserve"> 135</w:t>
      </w:r>
      <w:r w:rsidR="002543F3" w:rsidRPr="004A6F58">
        <w:rPr>
          <w:rFonts w:cs="Fira Sans"/>
          <w:szCs w:val="19"/>
        </w:rPr>
        <w:t>,</w:t>
      </w:r>
      <w:r w:rsidR="004A6F58" w:rsidRPr="004A6F58">
        <w:rPr>
          <w:rFonts w:cs="Fira Sans"/>
          <w:szCs w:val="19"/>
        </w:rPr>
        <w:t>8</w:t>
      </w:r>
      <w:r w:rsidR="002543F3" w:rsidRPr="004A6F58">
        <w:rPr>
          <w:rFonts w:cs="Fira Sans"/>
          <w:szCs w:val="19"/>
        </w:rPr>
        <w:t xml:space="preserve"> m</w:t>
      </w:r>
      <w:r w:rsidR="002543F3" w:rsidRPr="004A6F58">
        <w:rPr>
          <w:rFonts w:cs="Fira Sans"/>
          <w:szCs w:val="19"/>
          <w:vertAlign w:val="superscript"/>
        </w:rPr>
        <w:t>2</w:t>
      </w:r>
      <w:r w:rsidR="002543F3" w:rsidRPr="004A6F58">
        <w:rPr>
          <w:rFonts w:cs="Fira Sans"/>
          <w:szCs w:val="19"/>
        </w:rPr>
        <w:t>, natomiast w budynkach wielorodzinnych – 53,</w:t>
      </w:r>
      <w:r w:rsidR="004A6F58" w:rsidRPr="004A6F58">
        <w:rPr>
          <w:rFonts w:cs="Fira Sans"/>
          <w:szCs w:val="19"/>
        </w:rPr>
        <w:t>3</w:t>
      </w:r>
      <w:r w:rsidR="002543F3" w:rsidRPr="004A6F58">
        <w:rPr>
          <w:rFonts w:cs="Fira Sans"/>
          <w:szCs w:val="19"/>
        </w:rPr>
        <w:t xml:space="preserve"> m</w:t>
      </w:r>
      <w:r w:rsidR="002543F3" w:rsidRPr="004A6F58">
        <w:rPr>
          <w:rFonts w:cs="Fira Sans"/>
          <w:szCs w:val="19"/>
          <w:vertAlign w:val="superscript"/>
        </w:rPr>
        <w:t>2</w:t>
      </w:r>
      <w:r w:rsidR="002543F3" w:rsidRPr="004A6F58">
        <w:rPr>
          <w:rFonts w:cs="Fira Sans"/>
          <w:szCs w:val="19"/>
        </w:rPr>
        <w:t>. Rozpatrując przeciętną powierzchnię</w:t>
      </w:r>
      <w:r w:rsidR="00EF2EF3" w:rsidRPr="004A6F58">
        <w:rPr>
          <w:rFonts w:cs="Fira Sans"/>
          <w:szCs w:val="19"/>
        </w:rPr>
        <w:t xml:space="preserve"> użytkową</w:t>
      </w:r>
      <w:r w:rsidR="002543F3" w:rsidRPr="004A6F58">
        <w:rPr>
          <w:rFonts w:cs="Fira Sans"/>
          <w:szCs w:val="19"/>
        </w:rPr>
        <w:t xml:space="preserve"> mieszkania według form budownictwa, największe mieszkania odnotowano w budownictwie indywidualnym (14</w:t>
      </w:r>
      <w:r w:rsidR="00AA3569" w:rsidRPr="004A6F58">
        <w:rPr>
          <w:rFonts w:cs="Fira Sans"/>
          <w:szCs w:val="19"/>
        </w:rPr>
        <w:t>3</w:t>
      </w:r>
      <w:r w:rsidR="002543F3" w:rsidRPr="004A6F58">
        <w:rPr>
          <w:rFonts w:cs="Fira Sans"/>
          <w:szCs w:val="19"/>
        </w:rPr>
        <w:t>,</w:t>
      </w:r>
      <w:r w:rsidR="00FB7D0A" w:rsidRPr="004A6F58">
        <w:rPr>
          <w:rFonts w:cs="Fira Sans"/>
          <w:szCs w:val="19"/>
        </w:rPr>
        <w:t>3</w:t>
      </w:r>
      <w:r w:rsidR="001E2609" w:rsidRPr="004A6F58">
        <w:rPr>
          <w:rFonts w:cs="Fira Sans"/>
          <w:szCs w:val="19"/>
        </w:rPr>
        <w:t> </w:t>
      </w:r>
      <w:r w:rsidR="002543F3" w:rsidRPr="004A6F58">
        <w:rPr>
          <w:rFonts w:cs="Fira Sans"/>
          <w:szCs w:val="19"/>
        </w:rPr>
        <w:t>m</w:t>
      </w:r>
      <w:r w:rsidR="002543F3" w:rsidRPr="004A6F58">
        <w:rPr>
          <w:rFonts w:cs="Fira Sans"/>
          <w:szCs w:val="19"/>
          <w:vertAlign w:val="superscript"/>
        </w:rPr>
        <w:t>2</w:t>
      </w:r>
      <w:r w:rsidR="002543F3" w:rsidRPr="004A6F58">
        <w:rPr>
          <w:rFonts w:cs="Fira Sans"/>
          <w:szCs w:val="19"/>
        </w:rPr>
        <w:t>)</w:t>
      </w:r>
      <w:r w:rsidR="00DA2545" w:rsidRPr="004A6F58">
        <w:rPr>
          <w:rFonts w:cs="Fira Sans"/>
          <w:szCs w:val="19"/>
        </w:rPr>
        <w:t>,</w:t>
      </w:r>
      <w:r w:rsidR="002543F3" w:rsidRPr="004A6F58">
        <w:rPr>
          <w:rFonts w:cs="Fira Sans"/>
          <w:szCs w:val="19"/>
        </w:rPr>
        <w:t xml:space="preserve"> najmniejsze w komunalnym (4</w:t>
      </w:r>
      <w:r w:rsidR="00FB7D0A" w:rsidRPr="004A6F58">
        <w:rPr>
          <w:rFonts w:cs="Fira Sans"/>
          <w:szCs w:val="19"/>
        </w:rPr>
        <w:t>5,</w:t>
      </w:r>
      <w:r w:rsidR="00AA3569" w:rsidRPr="004A6F58">
        <w:rPr>
          <w:rFonts w:cs="Fira Sans"/>
          <w:szCs w:val="19"/>
        </w:rPr>
        <w:t>5</w:t>
      </w:r>
      <w:r w:rsidR="002543F3" w:rsidRPr="004A6F58">
        <w:rPr>
          <w:rFonts w:cs="Fira Sans"/>
          <w:szCs w:val="19"/>
        </w:rPr>
        <w:t xml:space="preserve"> m</w:t>
      </w:r>
      <w:r w:rsidR="002543F3" w:rsidRPr="004A6F58">
        <w:rPr>
          <w:rFonts w:cs="Fira Sans"/>
          <w:szCs w:val="19"/>
          <w:vertAlign w:val="superscript"/>
        </w:rPr>
        <w:t>2</w:t>
      </w:r>
      <w:r w:rsidR="00B66FFF">
        <w:rPr>
          <w:rFonts w:cs="Fira Sans"/>
          <w:szCs w:val="19"/>
        </w:rPr>
        <w:t>).</w:t>
      </w:r>
    </w:p>
    <w:p w14:paraId="5636964D" w14:textId="2A57FAF0" w:rsidR="002543F3" w:rsidRPr="00596D0D" w:rsidRDefault="002543F3" w:rsidP="00E260BD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z w:val="18"/>
          <w:szCs w:val="19"/>
        </w:rPr>
      </w:pPr>
      <w:r w:rsidRPr="00596D0D">
        <w:rPr>
          <w:rFonts w:cs="Fira Sans"/>
          <w:szCs w:val="19"/>
        </w:rPr>
        <w:t>Porównanie danych dla poszczególnych województw w ujęciu bezwzględnym wskazuje, że</w:t>
      </w:r>
      <w:r w:rsidR="001403E8">
        <w:rPr>
          <w:rFonts w:cs="Fira Sans"/>
          <w:szCs w:val="19"/>
        </w:rPr>
        <w:t> </w:t>
      </w:r>
      <w:r w:rsidRPr="00596D0D">
        <w:rPr>
          <w:rFonts w:cs="Fira Sans"/>
          <w:szCs w:val="19"/>
        </w:rPr>
        <w:t xml:space="preserve">najwięcej nowych </w:t>
      </w:r>
      <w:r w:rsidRPr="005F29E0">
        <w:rPr>
          <w:rFonts w:cs="Fira Sans"/>
          <w:szCs w:val="19"/>
        </w:rPr>
        <w:t xml:space="preserve">mieszkań wybudowano </w:t>
      </w:r>
      <w:r w:rsidR="00DA2545" w:rsidRPr="005F29E0">
        <w:rPr>
          <w:rFonts w:cs="Fira Sans"/>
          <w:szCs w:val="19"/>
        </w:rPr>
        <w:t xml:space="preserve">w </w:t>
      </w:r>
      <w:r w:rsidRPr="005F29E0">
        <w:rPr>
          <w:rFonts w:cs="Fira Sans"/>
          <w:szCs w:val="19"/>
        </w:rPr>
        <w:t xml:space="preserve">mazowieckim </w:t>
      </w:r>
      <w:r w:rsidRPr="00596D0D">
        <w:rPr>
          <w:rFonts w:cs="Fira Sans"/>
          <w:szCs w:val="19"/>
        </w:rPr>
        <w:t>(2</w:t>
      </w:r>
      <w:r w:rsidR="00FB7D0A" w:rsidRPr="00596D0D">
        <w:rPr>
          <w:rFonts w:cs="Fira Sans"/>
          <w:szCs w:val="19"/>
        </w:rPr>
        <w:t>0</w:t>
      </w:r>
      <w:r w:rsidRPr="00596D0D">
        <w:rPr>
          <w:rFonts w:cs="Fira Sans"/>
          <w:szCs w:val="19"/>
        </w:rPr>
        <w:t>,</w:t>
      </w:r>
      <w:r w:rsidR="00FB7D0A" w:rsidRPr="00596D0D">
        <w:rPr>
          <w:rFonts w:cs="Fira Sans"/>
          <w:szCs w:val="19"/>
        </w:rPr>
        <w:t>3</w:t>
      </w:r>
      <w:r w:rsidRPr="00596D0D">
        <w:rPr>
          <w:rFonts w:cs="Fira Sans"/>
          <w:szCs w:val="19"/>
        </w:rPr>
        <w:t xml:space="preserve">% wartości krajowej), </w:t>
      </w:r>
      <w:r w:rsidR="005D7AC0" w:rsidRPr="00596D0D">
        <w:rPr>
          <w:rFonts w:cs="Fira Sans"/>
          <w:szCs w:val="19"/>
        </w:rPr>
        <w:t>małopolskim</w:t>
      </w:r>
      <w:r w:rsidRPr="00596D0D">
        <w:rPr>
          <w:rFonts w:cs="Fira Sans"/>
          <w:szCs w:val="19"/>
        </w:rPr>
        <w:t xml:space="preserve"> (</w:t>
      </w:r>
      <w:r w:rsidR="005D7AC0" w:rsidRPr="00596D0D">
        <w:rPr>
          <w:rFonts w:cs="Fira Sans"/>
          <w:szCs w:val="19"/>
        </w:rPr>
        <w:t>11,8</w:t>
      </w:r>
      <w:r w:rsidRPr="00596D0D">
        <w:rPr>
          <w:rFonts w:cs="Fira Sans"/>
          <w:szCs w:val="19"/>
        </w:rPr>
        <w:t>%) i dolnośląskim (1</w:t>
      </w:r>
      <w:r w:rsidR="005D7AC0" w:rsidRPr="00596D0D">
        <w:rPr>
          <w:rFonts w:cs="Fira Sans"/>
          <w:szCs w:val="19"/>
        </w:rPr>
        <w:t>1,2</w:t>
      </w:r>
      <w:r w:rsidRPr="00596D0D">
        <w:rPr>
          <w:rFonts w:cs="Fira Sans"/>
          <w:szCs w:val="19"/>
        </w:rPr>
        <w:t>%). Analizując wskaźnik nasilenia budownictwa mieszkaniowego wyrażony liczbą mieszkań oddanych do użytkowania w</w:t>
      </w:r>
      <w:r w:rsidR="00D57B57" w:rsidRPr="00596D0D">
        <w:rPr>
          <w:rFonts w:cs="Fira Sans"/>
          <w:szCs w:val="19"/>
        </w:rPr>
        <w:t> </w:t>
      </w:r>
      <w:r w:rsidRPr="00596D0D">
        <w:rPr>
          <w:rFonts w:cs="Fira Sans"/>
          <w:szCs w:val="19"/>
        </w:rPr>
        <w:t>przeliczeniu na 1</w:t>
      </w:r>
      <w:r w:rsidR="00F02404" w:rsidRPr="00596D0D">
        <w:rPr>
          <w:rFonts w:cs="Fira Sans"/>
          <w:szCs w:val="19"/>
        </w:rPr>
        <w:t> </w:t>
      </w:r>
      <w:r w:rsidRPr="00596D0D">
        <w:rPr>
          <w:rFonts w:cs="Fira Sans"/>
          <w:szCs w:val="19"/>
        </w:rPr>
        <w:t>tys</w:t>
      </w:r>
      <w:r w:rsidRPr="008350FF">
        <w:rPr>
          <w:rFonts w:cs="Fira Sans"/>
          <w:szCs w:val="19"/>
        </w:rPr>
        <w:t>.</w:t>
      </w:r>
      <w:r w:rsidR="00F02404" w:rsidRPr="008350FF">
        <w:rPr>
          <w:rFonts w:cs="Fira Sans"/>
          <w:szCs w:val="19"/>
        </w:rPr>
        <w:t> </w:t>
      </w:r>
      <w:r w:rsidR="008350FF" w:rsidRPr="005F29E0">
        <w:rPr>
          <w:rFonts w:cs="Fira Sans"/>
          <w:szCs w:val="19"/>
        </w:rPr>
        <w:t>ludności</w:t>
      </w:r>
      <w:r w:rsidR="00A75B17" w:rsidRPr="00596D0D">
        <w:rPr>
          <w:rStyle w:val="Odwoanieprzypisudolnego"/>
          <w:szCs w:val="19"/>
        </w:rPr>
        <w:footnoteReference w:id="2"/>
      </w:r>
      <w:r w:rsidRPr="00596D0D">
        <w:rPr>
          <w:rFonts w:cs="Fira Sans"/>
          <w:szCs w:val="19"/>
        </w:rPr>
        <w:t xml:space="preserve">, </w:t>
      </w:r>
      <w:r w:rsidRPr="008350FF">
        <w:rPr>
          <w:rFonts w:cs="Fira Sans"/>
          <w:szCs w:val="19"/>
        </w:rPr>
        <w:t xml:space="preserve">największe wartości odnotowano w województwach: </w:t>
      </w:r>
      <w:r w:rsidR="00957412" w:rsidRPr="008350FF">
        <w:rPr>
          <w:rFonts w:cs="Fira Sans"/>
          <w:szCs w:val="19"/>
        </w:rPr>
        <w:t>dolnośląskim i</w:t>
      </w:r>
      <w:r w:rsidR="001403E8">
        <w:rPr>
          <w:rFonts w:cs="Fira Sans"/>
          <w:szCs w:val="19"/>
        </w:rPr>
        <w:t> </w:t>
      </w:r>
      <w:r w:rsidRPr="008350FF">
        <w:rPr>
          <w:rFonts w:cs="Fira Sans"/>
          <w:szCs w:val="19"/>
        </w:rPr>
        <w:t>mazowieckim</w:t>
      </w:r>
      <w:r w:rsidR="003D4B0E" w:rsidRPr="008350FF">
        <w:rPr>
          <w:rFonts w:cs="Fira Sans"/>
          <w:szCs w:val="19"/>
        </w:rPr>
        <w:t xml:space="preserve"> </w:t>
      </w:r>
      <w:r w:rsidR="00957412" w:rsidRPr="008350FF">
        <w:rPr>
          <w:rFonts w:cs="Fira Sans"/>
          <w:szCs w:val="19"/>
        </w:rPr>
        <w:t>(po 1,8),</w:t>
      </w:r>
      <w:r w:rsidRPr="008350FF">
        <w:rPr>
          <w:rFonts w:cs="Fira Sans"/>
          <w:szCs w:val="19"/>
        </w:rPr>
        <w:t xml:space="preserve"> </w:t>
      </w:r>
      <w:r w:rsidR="0019070D" w:rsidRPr="008350FF">
        <w:rPr>
          <w:rFonts w:cs="Fira Sans"/>
          <w:szCs w:val="19"/>
        </w:rPr>
        <w:t>małopolskim</w:t>
      </w:r>
      <w:r w:rsidRPr="008350FF">
        <w:rPr>
          <w:rFonts w:cs="Fira Sans"/>
          <w:szCs w:val="19"/>
        </w:rPr>
        <w:t xml:space="preserve"> </w:t>
      </w:r>
      <w:r w:rsidR="0019070D" w:rsidRPr="008350FF">
        <w:rPr>
          <w:rFonts w:cs="Fira Sans"/>
          <w:szCs w:val="19"/>
        </w:rPr>
        <w:t xml:space="preserve">i pomorskim </w:t>
      </w:r>
      <w:r w:rsidRPr="008350FF">
        <w:rPr>
          <w:rFonts w:cs="Fira Sans"/>
          <w:szCs w:val="19"/>
        </w:rPr>
        <w:t>(</w:t>
      </w:r>
      <w:r w:rsidR="00957412" w:rsidRPr="008350FF">
        <w:rPr>
          <w:rFonts w:cs="Fira Sans"/>
          <w:szCs w:val="19"/>
        </w:rPr>
        <w:t>po 1,6</w:t>
      </w:r>
      <w:r w:rsidRPr="008350FF">
        <w:rPr>
          <w:rFonts w:cs="Fira Sans"/>
          <w:szCs w:val="19"/>
        </w:rPr>
        <w:t>); najmniejsze w opolskim (</w:t>
      </w:r>
      <w:r w:rsidR="009224B6" w:rsidRPr="008350FF">
        <w:rPr>
          <w:rFonts w:cs="Fira Sans"/>
          <w:szCs w:val="19"/>
        </w:rPr>
        <w:t>0,6</w:t>
      </w:r>
      <w:r w:rsidRPr="008350FF">
        <w:rPr>
          <w:rFonts w:cs="Fira Sans"/>
          <w:szCs w:val="19"/>
        </w:rPr>
        <w:t>),</w:t>
      </w:r>
      <w:r w:rsidR="001E2609" w:rsidRPr="008350FF">
        <w:rPr>
          <w:rFonts w:cs="Fira Sans"/>
          <w:szCs w:val="19"/>
        </w:rPr>
        <w:t xml:space="preserve"> </w:t>
      </w:r>
      <w:r w:rsidR="009224B6" w:rsidRPr="008350FF">
        <w:rPr>
          <w:rFonts w:cs="Fira Sans"/>
          <w:szCs w:val="19"/>
        </w:rPr>
        <w:t xml:space="preserve">świętokrzyskim </w:t>
      </w:r>
      <w:r w:rsidRPr="008350FF">
        <w:rPr>
          <w:rFonts w:cs="Fira Sans"/>
          <w:szCs w:val="19"/>
        </w:rPr>
        <w:t>i</w:t>
      </w:r>
      <w:r w:rsidR="00F02404" w:rsidRPr="008350FF">
        <w:rPr>
          <w:rFonts w:cs="Fira Sans"/>
          <w:szCs w:val="19"/>
        </w:rPr>
        <w:t> </w:t>
      </w:r>
      <w:r w:rsidR="009224B6" w:rsidRPr="008350FF">
        <w:rPr>
          <w:rFonts w:cs="Fira Sans"/>
          <w:szCs w:val="19"/>
        </w:rPr>
        <w:t>śląskim (po 0</w:t>
      </w:r>
      <w:r w:rsidRPr="008350FF">
        <w:rPr>
          <w:rFonts w:cs="Fira Sans"/>
          <w:szCs w:val="19"/>
        </w:rPr>
        <w:t>,7).</w:t>
      </w:r>
    </w:p>
    <w:p w14:paraId="703595F5" w14:textId="6F86AFA0" w:rsidR="002543F3" w:rsidRPr="00FC72BB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3D4DC6">
        <w:rPr>
          <w:rFonts w:cs="Fira Sans"/>
          <w:b/>
          <w:sz w:val="18"/>
          <w:szCs w:val="19"/>
        </w:rPr>
        <w:t xml:space="preserve">Wykres 1. Mieszkania oddane do użytkowania </w:t>
      </w:r>
      <w:r>
        <w:rPr>
          <w:rFonts w:cs="Fira Sans"/>
          <w:b/>
          <w:sz w:val="18"/>
          <w:szCs w:val="19"/>
        </w:rPr>
        <w:t xml:space="preserve">w przeliczeniu </w:t>
      </w:r>
      <w:r w:rsidRPr="008350FF">
        <w:rPr>
          <w:rFonts w:cs="Fira Sans"/>
          <w:b/>
          <w:sz w:val="18"/>
          <w:szCs w:val="19"/>
        </w:rPr>
        <w:t xml:space="preserve">na 1 tys. </w:t>
      </w:r>
      <w:r w:rsidR="008350FF" w:rsidRPr="005F29E0">
        <w:rPr>
          <w:rFonts w:cs="Fira Sans"/>
          <w:b/>
          <w:sz w:val="18"/>
          <w:szCs w:val="19"/>
        </w:rPr>
        <w:t>ludności</w:t>
      </w:r>
    </w:p>
    <w:p w14:paraId="52C6D881" w14:textId="1D0C81DE" w:rsidR="002543F3" w:rsidRDefault="006011AD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  <w:r>
        <w:rPr>
          <w:noProof/>
          <w:lang w:eastAsia="pl-PL"/>
        </w:rPr>
        <w:drawing>
          <wp:anchor distT="0" distB="0" distL="114300" distR="114300" simplePos="0" relativeHeight="251862528" behindDoc="1" locked="0" layoutInCell="1" allowOverlap="1" wp14:anchorId="2E19F48D" wp14:editId="77029C26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084445" cy="3343275"/>
            <wp:effectExtent l="0" t="0" r="0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34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E73AF" w14:textId="5881B859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628BCD1" w14:textId="77777777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3E07944" w14:textId="77777777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598E949" w14:textId="77777777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063A8F95" w14:textId="77777777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0FA2F690" w14:textId="77777777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9D9A4F6" w14:textId="77777777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D9A697B" w14:textId="77777777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7CD4DC1" w14:textId="77777777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A2CB630" w14:textId="77777777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0561771" w14:textId="77777777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1CE393E" w14:textId="77777777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F76EEA4" w14:textId="77777777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50ADF1BA" w14:textId="77777777" w:rsidR="005F29E0" w:rsidRDefault="005F29E0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ADDA347" w14:textId="729FA275" w:rsidR="002543F3" w:rsidRPr="00596D0D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96D0D">
        <w:rPr>
          <w:rFonts w:cs="Fira Sans"/>
          <w:szCs w:val="19"/>
        </w:rPr>
        <w:lastRenderedPageBreak/>
        <w:t xml:space="preserve">Prawie 61% nowo oddanych mieszkań w </w:t>
      </w:r>
      <w:r w:rsidR="0006404B">
        <w:rPr>
          <w:rFonts w:cs="Fira Sans"/>
          <w:szCs w:val="19"/>
        </w:rPr>
        <w:t xml:space="preserve">I kwartale </w:t>
      </w:r>
      <w:r w:rsidRPr="00596D0D">
        <w:rPr>
          <w:rFonts w:cs="Fira Sans"/>
          <w:szCs w:val="19"/>
        </w:rPr>
        <w:t>201</w:t>
      </w:r>
      <w:r w:rsidR="001C5A46" w:rsidRPr="00596D0D">
        <w:rPr>
          <w:rFonts w:cs="Fira Sans"/>
          <w:szCs w:val="19"/>
        </w:rPr>
        <w:t>9</w:t>
      </w:r>
      <w:r w:rsidRPr="00596D0D">
        <w:rPr>
          <w:rFonts w:cs="Fira Sans"/>
          <w:szCs w:val="19"/>
        </w:rPr>
        <w:t xml:space="preserve"> </w:t>
      </w:r>
      <w:r w:rsidR="0006404B">
        <w:rPr>
          <w:rFonts w:cs="Fira Sans"/>
          <w:szCs w:val="19"/>
        </w:rPr>
        <w:t>roku</w:t>
      </w:r>
      <w:r w:rsidRPr="00596D0D">
        <w:rPr>
          <w:rFonts w:cs="Fira Sans"/>
          <w:szCs w:val="19"/>
        </w:rPr>
        <w:t xml:space="preserve"> wybudow</w:t>
      </w:r>
      <w:r w:rsidR="00DA2545" w:rsidRPr="00596D0D">
        <w:rPr>
          <w:rFonts w:cs="Fira Sans"/>
          <w:szCs w:val="19"/>
        </w:rPr>
        <w:t>a</w:t>
      </w:r>
      <w:r w:rsidR="00AF1B3A" w:rsidRPr="00596D0D">
        <w:rPr>
          <w:rFonts w:cs="Fira Sans"/>
          <w:szCs w:val="19"/>
        </w:rPr>
        <w:t>li</w:t>
      </w:r>
      <w:r w:rsidR="00DA2545" w:rsidRPr="00596D0D">
        <w:rPr>
          <w:rFonts w:cs="Fira Sans"/>
          <w:szCs w:val="19"/>
        </w:rPr>
        <w:t xml:space="preserve"> </w:t>
      </w:r>
      <w:r w:rsidRPr="00596D0D">
        <w:rPr>
          <w:rFonts w:cs="Fira Sans"/>
          <w:szCs w:val="19"/>
        </w:rPr>
        <w:t>deweloperzy</w:t>
      </w:r>
      <w:r w:rsidR="00217E1A">
        <w:rPr>
          <w:rFonts w:cs="Fira Sans"/>
          <w:szCs w:val="19"/>
        </w:rPr>
        <w:t>;</w:t>
      </w:r>
      <w:r w:rsidR="00D57B57" w:rsidRPr="00596D0D">
        <w:rPr>
          <w:rFonts w:cs="Fira Sans"/>
          <w:szCs w:val="19"/>
        </w:rPr>
        <w:t xml:space="preserve"> </w:t>
      </w:r>
      <w:r w:rsidR="001E2609" w:rsidRPr="00596D0D">
        <w:rPr>
          <w:rFonts w:cs="Fira Sans"/>
          <w:szCs w:val="19"/>
        </w:rPr>
        <w:t>inwestorzy i</w:t>
      </w:r>
      <w:r w:rsidRPr="00596D0D">
        <w:rPr>
          <w:rFonts w:cs="Fira Sans"/>
          <w:szCs w:val="19"/>
        </w:rPr>
        <w:t>ndywidualni – 3</w:t>
      </w:r>
      <w:r w:rsidR="001C5A46" w:rsidRPr="00596D0D">
        <w:rPr>
          <w:rFonts w:cs="Fira Sans"/>
          <w:szCs w:val="19"/>
        </w:rPr>
        <w:t>6</w:t>
      </w:r>
      <w:r w:rsidRPr="00596D0D">
        <w:rPr>
          <w:rFonts w:cs="Fira Sans"/>
          <w:szCs w:val="19"/>
        </w:rPr>
        <w:t>,</w:t>
      </w:r>
      <w:r w:rsidR="001C5A46" w:rsidRPr="00596D0D">
        <w:rPr>
          <w:rFonts w:cs="Fira Sans"/>
          <w:szCs w:val="19"/>
        </w:rPr>
        <w:t>4</w:t>
      </w:r>
      <w:r w:rsidRPr="00596D0D">
        <w:rPr>
          <w:rFonts w:cs="Fira Sans"/>
          <w:szCs w:val="19"/>
        </w:rPr>
        <w:t>%; pozostałe mieszkania powstały w spółdzielczej, komunalnej, społecznej czynszowej oraz zakładowej formie budownictwa (odpowiednio: 1,</w:t>
      </w:r>
      <w:r w:rsidR="001C5A46" w:rsidRPr="00596D0D">
        <w:rPr>
          <w:rFonts w:cs="Fira Sans"/>
          <w:szCs w:val="19"/>
        </w:rPr>
        <w:t>4</w:t>
      </w:r>
      <w:r w:rsidRPr="00596D0D">
        <w:rPr>
          <w:rFonts w:cs="Fira Sans"/>
          <w:szCs w:val="19"/>
        </w:rPr>
        <w:t xml:space="preserve">%, </w:t>
      </w:r>
      <w:r w:rsidR="001C5A46" w:rsidRPr="00596D0D">
        <w:rPr>
          <w:rFonts w:cs="Fira Sans"/>
          <w:szCs w:val="19"/>
        </w:rPr>
        <w:t>0</w:t>
      </w:r>
      <w:r w:rsidRPr="00596D0D">
        <w:rPr>
          <w:rFonts w:cs="Fira Sans"/>
          <w:szCs w:val="19"/>
        </w:rPr>
        <w:t>,</w:t>
      </w:r>
      <w:r w:rsidR="001C5A46" w:rsidRPr="00596D0D">
        <w:rPr>
          <w:rFonts w:cs="Fira Sans"/>
          <w:szCs w:val="19"/>
        </w:rPr>
        <w:t>8</w:t>
      </w:r>
      <w:r w:rsidRPr="00596D0D">
        <w:rPr>
          <w:rFonts w:cs="Fira Sans"/>
          <w:szCs w:val="19"/>
        </w:rPr>
        <w:t>%, 0,</w:t>
      </w:r>
      <w:r w:rsidR="001C5A46" w:rsidRPr="00596D0D">
        <w:rPr>
          <w:rFonts w:cs="Fira Sans"/>
          <w:szCs w:val="19"/>
        </w:rPr>
        <w:t>6</w:t>
      </w:r>
      <w:r w:rsidRPr="00596D0D">
        <w:rPr>
          <w:rFonts w:cs="Fira Sans"/>
          <w:szCs w:val="19"/>
        </w:rPr>
        <w:t>% i 0,1% wartości ogółem).</w:t>
      </w:r>
    </w:p>
    <w:p w14:paraId="33CDCAE3" w14:textId="68A802E8" w:rsidR="002543F3" w:rsidRPr="00596D0D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96D0D">
        <w:rPr>
          <w:rFonts w:cs="Fira Sans"/>
          <w:szCs w:val="19"/>
        </w:rPr>
        <w:t>W porównaniu z rokiem poprzednim zwiększył się udział mieszkań przeznaczonych na</w:t>
      </w:r>
      <w:r w:rsidR="001E2609" w:rsidRPr="00596D0D">
        <w:rPr>
          <w:rFonts w:cs="Fira Sans"/>
          <w:szCs w:val="19"/>
        </w:rPr>
        <w:t> </w:t>
      </w:r>
      <w:r w:rsidRPr="00596D0D">
        <w:rPr>
          <w:rFonts w:cs="Fira Sans"/>
          <w:szCs w:val="19"/>
        </w:rPr>
        <w:t>sprzedaż lub wynajem (o</w:t>
      </w:r>
      <w:r w:rsidR="001222DD" w:rsidRPr="00596D0D">
        <w:rPr>
          <w:rFonts w:cs="Fira Sans"/>
          <w:szCs w:val="19"/>
        </w:rPr>
        <w:t xml:space="preserve"> </w:t>
      </w:r>
      <w:r w:rsidR="00F84706" w:rsidRPr="00596D0D">
        <w:rPr>
          <w:rFonts w:cs="Fira Sans"/>
          <w:szCs w:val="19"/>
        </w:rPr>
        <w:t>3,5</w:t>
      </w:r>
      <w:r w:rsidRPr="00596D0D">
        <w:rPr>
          <w:rFonts w:cs="Fira Sans"/>
          <w:szCs w:val="19"/>
        </w:rPr>
        <w:t xml:space="preserve"> p. proc.), natomiast udział mieszkań wybudowanych przez </w:t>
      </w:r>
      <w:r w:rsidRPr="00BA6D5B">
        <w:rPr>
          <w:rFonts w:cs="Fira Sans"/>
          <w:szCs w:val="19"/>
        </w:rPr>
        <w:t>inwestorów indywidualnych zmniejszył</w:t>
      </w:r>
      <w:r w:rsidRPr="00596D0D">
        <w:rPr>
          <w:rFonts w:cs="Fira Sans"/>
          <w:szCs w:val="19"/>
        </w:rPr>
        <w:t xml:space="preserve"> się o </w:t>
      </w:r>
      <w:r w:rsidR="001222DD" w:rsidRPr="00596D0D">
        <w:rPr>
          <w:rFonts w:cs="Fira Sans"/>
          <w:szCs w:val="19"/>
        </w:rPr>
        <w:t>4,0</w:t>
      </w:r>
      <w:r w:rsidRPr="00596D0D">
        <w:rPr>
          <w:rFonts w:cs="Fira Sans"/>
          <w:szCs w:val="19"/>
        </w:rPr>
        <w:t xml:space="preserve"> p. proc. Udziały pozostałych form budownictwa p</w:t>
      </w:r>
      <w:r w:rsidR="008510DF" w:rsidRPr="00596D0D">
        <w:rPr>
          <w:rFonts w:cs="Fira Sans"/>
          <w:szCs w:val="19"/>
        </w:rPr>
        <w:t>ozostały na zbliżonym poziomie.</w:t>
      </w:r>
    </w:p>
    <w:p w14:paraId="78ED361C" w14:textId="77777777" w:rsidR="002543F3" w:rsidRPr="00FC72BB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3D4DC6">
        <w:rPr>
          <w:rFonts w:cs="Fira Sans"/>
          <w:b/>
          <w:sz w:val="18"/>
          <w:szCs w:val="19"/>
        </w:rPr>
        <w:t>Tablica 1. Mieszkania oddane do użytkowania 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3010EC" w14:paraId="3FFD97F7" w14:textId="77777777" w:rsidTr="00853904">
        <w:trPr>
          <w:trHeight w:val="182"/>
        </w:trPr>
        <w:tc>
          <w:tcPr>
            <w:tcW w:w="2137" w:type="dxa"/>
            <w:gridSpan w:val="2"/>
            <w:vMerge w:val="restart"/>
            <w:tcBorders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551828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551828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1CA45C61" w:rsidR="002543F3" w:rsidRPr="00551828" w:rsidRDefault="002543F3" w:rsidP="00AD05CA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b </w:t>
            </w:r>
            <w:r w:rsidRPr="00596D0D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― </w:t>
            </w:r>
            <w:r w:rsidR="003D4B0E" w:rsidRPr="00596D0D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I kw. </w:t>
            </w:r>
            <w:r w:rsidRPr="00596D0D">
              <w:rPr>
                <w:rFonts w:cs="Fira Sans"/>
                <w:color w:val="000000"/>
                <w:sz w:val="16"/>
                <w:szCs w:val="16"/>
                <w:lang w:val="en-US"/>
              </w:rPr>
              <w:t>201</w:t>
            </w:r>
            <w:r w:rsidR="00AD05CA" w:rsidRPr="00596D0D">
              <w:rPr>
                <w:rFonts w:cs="Fira Sans"/>
                <w:color w:val="000000"/>
                <w:sz w:val="16"/>
                <w:szCs w:val="16"/>
                <w:lang w:val="en-US"/>
              </w:rPr>
              <w:t>8</w:t>
            </w:r>
            <w:r w:rsidRPr="00551828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551828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r w:rsidRPr="00F02404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55182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3010EC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t>rzeciętn</w:t>
            </w:r>
            <w:r>
              <w:rPr>
                <w:rFonts w:cs="Fira Sans"/>
                <w:color w:val="000000"/>
                <w:sz w:val="16"/>
                <w:szCs w:val="16"/>
              </w:rPr>
              <w:t>ie na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t xml:space="preserve"> 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334837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596D0D" w:rsidRPr="00596D0D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227EAD57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96D0D">
              <w:rPr>
                <w:b/>
                <w:sz w:val="16"/>
                <w:szCs w:val="16"/>
              </w:rPr>
              <w:t>47 425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1AEEFD93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96D0D">
              <w:rPr>
                <w:rFonts w:cs="Fira Sans"/>
                <w:b/>
                <w:bCs/>
                <w:sz w:val="16"/>
                <w:szCs w:val="16"/>
              </w:rPr>
              <w:t>181 125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7C36CDF8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96D0D">
              <w:rPr>
                <w:b/>
                <w:sz w:val="16"/>
                <w:szCs w:val="16"/>
              </w:rPr>
              <w:t>3,8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1DA53FB6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96D0D">
              <w:rPr>
                <w:b/>
                <w:sz w:val="16"/>
                <w:szCs w:val="16"/>
              </w:rPr>
              <w:t>4 289 073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303C553E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96D0D">
              <w:rPr>
                <w:b/>
                <w:sz w:val="16"/>
                <w:szCs w:val="16"/>
              </w:rPr>
              <w:t>90,4</w:t>
            </w:r>
          </w:p>
        </w:tc>
      </w:tr>
      <w:tr w:rsidR="00596D0D" w:rsidRPr="00596D0D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01BAE993" w:rsidR="002543F3" w:rsidRPr="00596D0D" w:rsidRDefault="002543F3" w:rsidP="00AD05C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96D0D">
              <w:rPr>
                <w:b/>
                <w:sz w:val="16"/>
                <w:szCs w:val="16"/>
              </w:rPr>
              <w:t>10</w:t>
            </w:r>
            <w:r w:rsidR="00AD05CA" w:rsidRPr="00596D0D">
              <w:rPr>
                <w:b/>
                <w:sz w:val="16"/>
                <w:szCs w:val="16"/>
              </w:rPr>
              <w:t>6</w:t>
            </w:r>
            <w:r w:rsidRPr="00596D0D">
              <w:rPr>
                <w:b/>
                <w:sz w:val="16"/>
                <w:szCs w:val="16"/>
              </w:rPr>
              <w:t>,</w:t>
            </w:r>
            <w:r w:rsidR="00AD05CA" w:rsidRPr="00596D0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4ED4F06C" w:rsidR="002543F3" w:rsidRPr="00596D0D" w:rsidRDefault="002543F3" w:rsidP="00AD05C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96D0D">
              <w:rPr>
                <w:b/>
                <w:sz w:val="16"/>
                <w:szCs w:val="16"/>
              </w:rPr>
              <w:t>102,</w:t>
            </w:r>
            <w:r w:rsidR="00AD05CA" w:rsidRPr="00596D0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6DD9A501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96D0D">
              <w:rPr>
                <w:b/>
                <w:sz w:val="16"/>
                <w:szCs w:val="16"/>
              </w:rPr>
              <w:t>96,1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69610887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96D0D">
              <w:rPr>
                <w:b/>
                <w:sz w:val="16"/>
                <w:szCs w:val="16"/>
              </w:rPr>
              <w:t>101,8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3B1C2F6A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596D0D">
              <w:rPr>
                <w:b/>
                <w:sz w:val="16"/>
                <w:szCs w:val="16"/>
              </w:rPr>
              <w:t>95,8</w:t>
            </w:r>
          </w:p>
        </w:tc>
      </w:tr>
      <w:tr w:rsidR="00596D0D" w:rsidRPr="00596D0D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0649246C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17 261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02CE376A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95 154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2E7EC1FD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sz w:val="16"/>
                <w:szCs w:val="16"/>
              </w:rPr>
              <w:t>5,5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4E93F536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sz w:val="16"/>
                <w:szCs w:val="16"/>
              </w:rPr>
              <w:t>2 473 496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59A83789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sz w:val="16"/>
                <w:szCs w:val="16"/>
              </w:rPr>
              <w:t>143,3</w:t>
            </w:r>
          </w:p>
        </w:tc>
      </w:tr>
      <w:tr w:rsidR="00596D0D" w:rsidRPr="00596D0D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2567623B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95,7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0A3034A6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76607528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98,9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6D7B69DA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3298C6CF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98,8</w:t>
            </w:r>
          </w:p>
        </w:tc>
      </w:tr>
      <w:tr w:rsidR="00596D0D" w:rsidRPr="00596D0D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Przeznaczone </w:t>
            </w:r>
            <w:r>
              <w:rPr>
                <w:rFonts w:cs="Fira Sans"/>
                <w:color w:val="000000"/>
                <w:sz w:val="16"/>
                <w:szCs w:val="16"/>
              </w:rPr>
              <w:t>na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Pr="003D4DC6">
              <w:rPr>
                <w:rFonts w:cs="Fira Sans"/>
                <w:color w:val="000000"/>
                <w:sz w:val="16"/>
                <w:szCs w:val="16"/>
              </w:rPr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25BF1766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28 766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2EF15D14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82 145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7C8C8481" w:rsidR="002543F3" w:rsidRPr="00596D0D" w:rsidRDefault="00AD05CA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47EBE885" w:rsidR="002543F3" w:rsidRPr="00596D0D" w:rsidRDefault="00EA29C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1 744 375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4043FFF9" w:rsidR="002543F3" w:rsidRPr="00596D0D" w:rsidRDefault="00EA29C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60,6</w:t>
            </w:r>
          </w:p>
        </w:tc>
      </w:tr>
      <w:tr w:rsidR="00596D0D" w:rsidRPr="00596D0D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0BBFBC24" w:rsidR="002543F3" w:rsidRPr="00596D0D" w:rsidRDefault="00EA29C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112,6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55A16BE5" w:rsidR="002543F3" w:rsidRPr="00596D0D" w:rsidRDefault="00EA29C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111,1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2CB52096" w:rsidR="002543F3" w:rsidRPr="00596D0D" w:rsidRDefault="00EA29C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98,6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635E4183" w:rsidR="002543F3" w:rsidRPr="00596D0D" w:rsidRDefault="00EA29C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113</w:t>
            </w:r>
            <w:r w:rsidR="004065D6" w:rsidRPr="00596D0D">
              <w:rPr>
                <w:rFonts w:cs="Fira Sans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6523D63E" w:rsidR="002543F3" w:rsidRPr="00596D0D" w:rsidRDefault="00EA29C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100,3</w:t>
            </w:r>
          </w:p>
        </w:tc>
      </w:tr>
      <w:tr w:rsidR="00390B85" w:rsidRPr="00D14246" w14:paraId="1EB503C2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51AD06DC" w:rsidR="00390B85" w:rsidRPr="00D14246" w:rsidRDefault="00390B85" w:rsidP="00AA3569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D14246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D14246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390B85" w:rsidRPr="00D14246" w:rsidRDefault="00390B8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14246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7E6A62F4" w:rsidR="00390B85" w:rsidRPr="00D14246" w:rsidRDefault="00390B8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14246">
              <w:rPr>
                <w:rFonts w:cs="Fira Sans"/>
                <w:sz w:val="16"/>
                <w:szCs w:val="16"/>
              </w:rPr>
              <w:t>488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3EF78418" w:rsidR="00390B85" w:rsidRPr="00D14246" w:rsidRDefault="00390B85" w:rsidP="003D4B0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14246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093CD45A" w:rsidR="00390B85" w:rsidRPr="00D14246" w:rsidRDefault="00390B85" w:rsidP="003D4B0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14246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4B22A5E3" w:rsidR="00390B85" w:rsidRPr="00D14246" w:rsidRDefault="00390B8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14246">
              <w:rPr>
                <w:rFonts w:cs="Fira Sans"/>
                <w:sz w:val="16"/>
                <w:szCs w:val="16"/>
              </w:rPr>
              <w:t>27 195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FE0D0BE" w14:textId="0B42CAA9" w:rsidR="00390B85" w:rsidRPr="00D14246" w:rsidRDefault="00390B8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D14246">
              <w:rPr>
                <w:rFonts w:cs="Fira Sans"/>
                <w:sz w:val="16"/>
                <w:szCs w:val="16"/>
              </w:rPr>
              <w:t>55,7</w:t>
            </w:r>
          </w:p>
        </w:tc>
      </w:tr>
      <w:tr w:rsidR="00390B85" w:rsidRPr="00D14246" w14:paraId="5C42F514" w14:textId="77777777" w:rsidTr="0015220E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390B85" w:rsidRPr="00D14246" w:rsidRDefault="00390B85" w:rsidP="00390B8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390B85" w:rsidRPr="00D14246" w:rsidRDefault="00390B85" w:rsidP="00390B8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7A68C6C0" w:rsidR="00390B85" w:rsidRPr="00D14246" w:rsidRDefault="00390B85" w:rsidP="00390B8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05503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209DA6B1" w:rsidR="00390B85" w:rsidRPr="00D14246" w:rsidRDefault="00390B85" w:rsidP="00390B8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05503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5B10A05A" w:rsidR="00390B85" w:rsidRPr="00D14246" w:rsidRDefault="00390B85" w:rsidP="00390B8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05503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27E4848C" w:rsidR="00390B85" w:rsidRPr="00D14246" w:rsidRDefault="00390B85" w:rsidP="00390B8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05503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672C6D6" w14:textId="04BDBF43" w:rsidR="00390B85" w:rsidRPr="00D14246" w:rsidRDefault="00390B85" w:rsidP="00390B8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F05503">
              <w:rPr>
                <w:rFonts w:cs="Fira Sans"/>
                <w:sz w:val="16"/>
                <w:szCs w:val="16"/>
              </w:rPr>
              <w:t>x</w:t>
            </w:r>
          </w:p>
        </w:tc>
      </w:tr>
      <w:tr w:rsidR="00596D0D" w:rsidRPr="00596D0D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Spółdzielcze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1E9B25D9" w:rsidR="002543F3" w:rsidRPr="00596D0D" w:rsidRDefault="00EA29C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667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4107AAE2" w:rsidR="002543F3" w:rsidRPr="00596D0D" w:rsidRDefault="00EA29C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1 872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5E336AA7" w:rsidR="002543F3" w:rsidRPr="00596D0D" w:rsidRDefault="00EA29C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758F7E9A" w:rsidR="002543F3" w:rsidRPr="00596D0D" w:rsidRDefault="00EA29C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36 108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1CF8D667" w:rsidR="002543F3" w:rsidRPr="00596D0D" w:rsidRDefault="00EA29C5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54,1</w:t>
            </w:r>
          </w:p>
        </w:tc>
      </w:tr>
      <w:tr w:rsidR="00596D0D" w:rsidRPr="00596D0D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7C3EE904" w:rsidR="002543F3" w:rsidRPr="00596D0D" w:rsidRDefault="00082664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136,4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147E2A94" w:rsidR="002543F3" w:rsidRPr="00596D0D" w:rsidRDefault="00082664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132,2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47342770" w:rsidR="002543F3" w:rsidRPr="00596D0D" w:rsidRDefault="00082664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96,9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36D9CBF4" w:rsidR="002543F3" w:rsidRPr="00596D0D" w:rsidRDefault="00082664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5C72286E" w:rsidR="002543F3" w:rsidRPr="00596D0D" w:rsidRDefault="00082664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98,6</w:t>
            </w:r>
          </w:p>
        </w:tc>
      </w:tr>
      <w:tr w:rsidR="00596D0D" w:rsidRPr="00596D0D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456EF24E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276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4C527E4A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785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13C3C290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580BD472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13 961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58E1F3DA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50,6</w:t>
            </w:r>
          </w:p>
        </w:tc>
      </w:tr>
      <w:tr w:rsidR="00596D0D" w:rsidRPr="00596D0D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6F54D53F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76,7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2485D709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3D974591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103,3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6F54A896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1DD46553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102,4</w:t>
            </w:r>
          </w:p>
        </w:tc>
      </w:tr>
      <w:tr w:rsidR="00596D0D" w:rsidRPr="00596D0D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6CE0F6B8" w:rsidR="002543F3" w:rsidRPr="00596D0D" w:rsidRDefault="00B54B42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388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0D65D673" w:rsidR="002543F3" w:rsidRPr="00596D0D" w:rsidRDefault="00B54B42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981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16E0B8F2" w:rsidR="002543F3" w:rsidRPr="00596D0D" w:rsidRDefault="00B54B42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4623D41C" w:rsidR="002543F3" w:rsidRPr="00596D0D" w:rsidRDefault="00B54B42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17 643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678D18DA" w:rsidR="002543F3" w:rsidRPr="00596D0D" w:rsidRDefault="00B54B42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45,5</w:t>
            </w:r>
          </w:p>
        </w:tc>
      </w:tr>
      <w:tr w:rsidR="00596D0D" w:rsidRPr="00596D0D" w14:paraId="7B89277D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2AFF4581" w:rsidR="002543F3" w:rsidRPr="00596D0D" w:rsidRDefault="00B54B42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207,5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1E1A2554" w:rsidR="002543F3" w:rsidRPr="00596D0D" w:rsidRDefault="00B54B42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226,6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6C16DB95" w:rsidR="002543F3" w:rsidRPr="00596D0D" w:rsidRDefault="00B54B42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109,2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43F2DBB0" w:rsidR="002543F3" w:rsidRPr="00596D0D" w:rsidRDefault="00B54B42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234,3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56E2D2D1" w:rsidR="002543F3" w:rsidRPr="00596D0D" w:rsidRDefault="00B54B42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112,9</w:t>
            </w:r>
          </w:p>
        </w:tc>
      </w:tr>
      <w:tr w:rsidR="00596D0D" w:rsidRPr="00596D0D" w14:paraId="5CF617AE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783FEB1A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67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472B4F5D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639073A2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37B0E751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3490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18A6E39F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52,1</w:t>
            </w:r>
          </w:p>
        </w:tc>
      </w:tr>
      <w:tr w:rsidR="00596D0D" w:rsidRPr="00596D0D" w14:paraId="4253BE67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2543F3" w:rsidRPr="003D4DC6" w:rsidRDefault="002543F3" w:rsidP="008510DF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2543F3" w:rsidRPr="003D4DC6" w:rsidRDefault="002543F3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58208FB9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744,4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6A70C8AF" w14:textId="74369867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03CFBF04" w14:textId="6D818C58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63,1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1DF1FF96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247,5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</w:tcPr>
          <w:p w14:paraId="4495CFDA" w14:textId="67E6DB75" w:rsidR="002543F3" w:rsidRPr="00596D0D" w:rsidRDefault="006D5890" w:rsidP="008510D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33,2</w:t>
            </w:r>
          </w:p>
        </w:tc>
      </w:tr>
    </w:tbl>
    <w:p w14:paraId="21BC57F3" w14:textId="622766B9" w:rsidR="002543F3" w:rsidRPr="00596D0D" w:rsidRDefault="002543F3" w:rsidP="008510DF">
      <w:pPr>
        <w:autoSpaceDE w:val="0"/>
        <w:autoSpaceDN w:val="0"/>
        <w:adjustRightInd w:val="0"/>
        <w:spacing w:before="240" w:line="240" w:lineRule="atLeast"/>
        <w:textAlignment w:val="center"/>
        <w:rPr>
          <w:rFonts w:cs="Fira Sans"/>
          <w:szCs w:val="19"/>
        </w:rPr>
      </w:pPr>
      <w:r w:rsidRPr="00596D0D">
        <w:rPr>
          <w:rFonts w:cs="Fira Sans"/>
          <w:szCs w:val="19"/>
        </w:rPr>
        <w:t xml:space="preserve">Przewaga inwestorów indywidualnych zaznaczyła się w największym stopniu </w:t>
      </w:r>
      <w:r w:rsidRPr="00596D0D">
        <w:rPr>
          <w:rFonts w:cs="Fira Sans"/>
          <w:b/>
          <w:szCs w:val="19"/>
        </w:rPr>
        <w:t>w strukturze budownictwa mieszkaniowego</w:t>
      </w:r>
      <w:r w:rsidRPr="00596D0D">
        <w:rPr>
          <w:rFonts w:cs="Fira Sans"/>
          <w:szCs w:val="19"/>
        </w:rPr>
        <w:t xml:space="preserve"> województwa podkarpackiego</w:t>
      </w:r>
      <w:r w:rsidR="000004EB" w:rsidRPr="00596D0D">
        <w:rPr>
          <w:rFonts w:cs="Fira Sans"/>
          <w:szCs w:val="19"/>
        </w:rPr>
        <w:t xml:space="preserve"> i świętokrzyskiego</w:t>
      </w:r>
      <w:r w:rsidRPr="00596D0D">
        <w:rPr>
          <w:rFonts w:cs="Fira Sans"/>
          <w:szCs w:val="19"/>
        </w:rPr>
        <w:t>, w których udziały tej formy budownictwa kształtowały się na poziomie odpowiednio</w:t>
      </w:r>
      <w:r w:rsidR="001E7F82" w:rsidRPr="00596D0D">
        <w:rPr>
          <w:rFonts w:cs="Fira Sans"/>
          <w:szCs w:val="19"/>
        </w:rPr>
        <w:t xml:space="preserve"> </w:t>
      </w:r>
      <w:r w:rsidR="000004EB" w:rsidRPr="00596D0D">
        <w:rPr>
          <w:rFonts w:cs="Fira Sans"/>
          <w:szCs w:val="19"/>
        </w:rPr>
        <w:t>–</w:t>
      </w:r>
      <w:r w:rsidR="001E7F82" w:rsidRPr="00596D0D">
        <w:rPr>
          <w:rFonts w:cs="Fira Sans"/>
          <w:szCs w:val="19"/>
        </w:rPr>
        <w:t xml:space="preserve"> </w:t>
      </w:r>
      <w:r w:rsidR="000004EB" w:rsidRPr="00596D0D">
        <w:rPr>
          <w:rFonts w:cs="Fira Sans"/>
          <w:szCs w:val="19"/>
        </w:rPr>
        <w:t>65,8</w:t>
      </w:r>
      <w:r w:rsidRPr="00596D0D">
        <w:rPr>
          <w:rFonts w:cs="Fira Sans"/>
          <w:szCs w:val="19"/>
        </w:rPr>
        <w:t xml:space="preserve">% oraz </w:t>
      </w:r>
      <w:r w:rsidR="000004EB" w:rsidRPr="00596D0D">
        <w:rPr>
          <w:rFonts w:cs="Fira Sans"/>
          <w:szCs w:val="19"/>
        </w:rPr>
        <w:t>64,6</w:t>
      </w:r>
      <w:r w:rsidRPr="00596D0D">
        <w:rPr>
          <w:rFonts w:cs="Fira Sans"/>
          <w:szCs w:val="19"/>
        </w:rPr>
        <w:t>%. Z kolei w województwach</w:t>
      </w:r>
      <w:r w:rsidR="001E7F82" w:rsidRPr="00596D0D">
        <w:rPr>
          <w:rFonts w:cs="Fira Sans"/>
          <w:szCs w:val="19"/>
        </w:rPr>
        <w:t>:</w:t>
      </w:r>
      <w:r w:rsidRPr="00596D0D">
        <w:rPr>
          <w:rFonts w:cs="Fira Sans"/>
          <w:szCs w:val="19"/>
        </w:rPr>
        <w:t xml:space="preserve"> </w:t>
      </w:r>
      <w:r w:rsidR="000004EB" w:rsidRPr="00596D0D">
        <w:rPr>
          <w:rFonts w:cs="Fira Sans"/>
          <w:szCs w:val="19"/>
        </w:rPr>
        <w:t>dolnośląskim,</w:t>
      </w:r>
      <w:r w:rsidRPr="00596D0D">
        <w:rPr>
          <w:rFonts w:cs="Fira Sans"/>
          <w:szCs w:val="19"/>
        </w:rPr>
        <w:t xml:space="preserve"> </w:t>
      </w:r>
      <w:r w:rsidR="000004EB" w:rsidRPr="00596D0D">
        <w:rPr>
          <w:rFonts w:cs="Fira Sans"/>
          <w:szCs w:val="19"/>
        </w:rPr>
        <w:t>zachodnio</w:t>
      </w:r>
      <w:r w:rsidRPr="00596D0D">
        <w:rPr>
          <w:rFonts w:cs="Fira Sans"/>
          <w:szCs w:val="19"/>
        </w:rPr>
        <w:t xml:space="preserve">pomorskim </w:t>
      </w:r>
      <w:r w:rsidR="000004EB" w:rsidRPr="00596D0D">
        <w:rPr>
          <w:rFonts w:cs="Fira Sans"/>
          <w:szCs w:val="19"/>
        </w:rPr>
        <w:t xml:space="preserve">i mazowieckim </w:t>
      </w:r>
      <w:r w:rsidRPr="00596D0D">
        <w:rPr>
          <w:rFonts w:cs="Fira Sans"/>
          <w:szCs w:val="19"/>
        </w:rPr>
        <w:t xml:space="preserve">odnotowano największe udziały budownictwa z przeznaczeniem na sprzedaż lub wynajem – odpowiednio: </w:t>
      </w:r>
      <w:r w:rsidR="000004EB" w:rsidRPr="00596D0D">
        <w:rPr>
          <w:rFonts w:cs="Fira Sans"/>
          <w:szCs w:val="19"/>
        </w:rPr>
        <w:t>76,7</w:t>
      </w:r>
      <w:r w:rsidR="00353114">
        <w:rPr>
          <w:rFonts w:cs="Fira Sans"/>
          <w:szCs w:val="19"/>
        </w:rPr>
        <w:t>%;</w:t>
      </w:r>
      <w:r w:rsidRPr="00596D0D">
        <w:rPr>
          <w:rFonts w:cs="Fira Sans"/>
          <w:szCs w:val="19"/>
        </w:rPr>
        <w:t xml:space="preserve"> 74,</w:t>
      </w:r>
      <w:r w:rsidR="000004EB" w:rsidRPr="00596D0D">
        <w:rPr>
          <w:rFonts w:cs="Fira Sans"/>
          <w:szCs w:val="19"/>
        </w:rPr>
        <w:t>7</w:t>
      </w:r>
      <w:r w:rsidRPr="00596D0D">
        <w:rPr>
          <w:rFonts w:cs="Fira Sans"/>
          <w:szCs w:val="19"/>
        </w:rPr>
        <w:t xml:space="preserve">% oraz </w:t>
      </w:r>
      <w:r w:rsidR="000004EB" w:rsidRPr="00596D0D">
        <w:rPr>
          <w:rFonts w:cs="Fira Sans"/>
          <w:szCs w:val="19"/>
        </w:rPr>
        <w:t>71,8</w:t>
      </w:r>
      <w:r w:rsidRPr="00596D0D">
        <w:rPr>
          <w:rFonts w:cs="Fira Sans"/>
          <w:szCs w:val="19"/>
        </w:rPr>
        <w:t>%.</w:t>
      </w:r>
    </w:p>
    <w:p w14:paraId="5186D9A5" w14:textId="6910B00E" w:rsidR="002543F3" w:rsidRPr="00596D0D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96D0D">
        <w:rPr>
          <w:rFonts w:cs="Fira Sans"/>
          <w:szCs w:val="19"/>
        </w:rPr>
        <w:t xml:space="preserve">Wszystkie </w:t>
      </w:r>
      <w:r w:rsidRPr="00596D0D">
        <w:rPr>
          <w:rFonts w:cs="Fira Sans"/>
          <w:b/>
          <w:szCs w:val="19"/>
        </w:rPr>
        <w:t xml:space="preserve">mieszkania oddane do użytkowania </w:t>
      </w:r>
      <w:r w:rsidR="004065D6" w:rsidRPr="00596D0D">
        <w:rPr>
          <w:rFonts w:cs="Fira Sans"/>
          <w:szCs w:val="19"/>
        </w:rPr>
        <w:t xml:space="preserve">w I kwartale bieżącego roku </w:t>
      </w:r>
      <w:r w:rsidRPr="00596D0D">
        <w:rPr>
          <w:rFonts w:cs="Fira Sans"/>
          <w:b/>
          <w:szCs w:val="19"/>
        </w:rPr>
        <w:t>wyposażone</w:t>
      </w:r>
      <w:r w:rsidRPr="00596D0D">
        <w:rPr>
          <w:rFonts w:cs="Fira Sans"/>
          <w:szCs w:val="19"/>
        </w:rPr>
        <w:t xml:space="preserve"> były w podstawowe urządzenia techniczno-sanitarne (wodociąg, kanalizację oraz centralne ogrzewanie). Wodociąg z sieci posiadało </w:t>
      </w:r>
      <w:r w:rsidR="001378D2" w:rsidRPr="00596D0D">
        <w:rPr>
          <w:rFonts w:cs="Fira Sans"/>
          <w:szCs w:val="19"/>
        </w:rPr>
        <w:t>89,5</w:t>
      </w:r>
      <w:r w:rsidRPr="00596D0D">
        <w:rPr>
          <w:rFonts w:cs="Fira Sans"/>
          <w:szCs w:val="19"/>
        </w:rPr>
        <w:t xml:space="preserve">% mieszkań, a kanalizację z odprowadzeniem do sieci </w:t>
      </w:r>
      <w:r w:rsidR="00466438" w:rsidRPr="00596D0D">
        <w:rPr>
          <w:rFonts w:cs="Fira Sans"/>
          <w:szCs w:val="19"/>
        </w:rPr>
        <w:t>78,9</w:t>
      </w:r>
      <w:r w:rsidRPr="00596D0D">
        <w:rPr>
          <w:rFonts w:cs="Fira Sans"/>
          <w:szCs w:val="19"/>
        </w:rPr>
        <w:t xml:space="preserve">%. </w:t>
      </w:r>
      <w:r w:rsidR="003341CD" w:rsidRPr="00596D0D">
        <w:rPr>
          <w:rFonts w:cs="Fira Sans"/>
          <w:szCs w:val="19"/>
        </w:rPr>
        <w:t>W g</w:t>
      </w:r>
      <w:r w:rsidRPr="00596D0D">
        <w:rPr>
          <w:rFonts w:cs="Fira Sans"/>
          <w:szCs w:val="19"/>
        </w:rPr>
        <w:t xml:space="preserve">az z sieci </w:t>
      </w:r>
      <w:r w:rsidR="003341CD" w:rsidRPr="00596D0D">
        <w:rPr>
          <w:rFonts w:cs="Fira Sans"/>
          <w:szCs w:val="19"/>
        </w:rPr>
        <w:t>wyposażonych było</w:t>
      </w:r>
      <w:r w:rsidRPr="00596D0D">
        <w:rPr>
          <w:rFonts w:cs="Fira Sans"/>
          <w:szCs w:val="19"/>
        </w:rPr>
        <w:t xml:space="preserve"> </w:t>
      </w:r>
      <w:r w:rsidRPr="005F29E0">
        <w:rPr>
          <w:rFonts w:cs="Fira Sans"/>
          <w:szCs w:val="19"/>
        </w:rPr>
        <w:t>3</w:t>
      </w:r>
      <w:r w:rsidR="001378D2" w:rsidRPr="005F29E0">
        <w:rPr>
          <w:rFonts w:cs="Fira Sans"/>
          <w:szCs w:val="19"/>
        </w:rPr>
        <w:t>9,2</w:t>
      </w:r>
      <w:r w:rsidRPr="005F29E0">
        <w:rPr>
          <w:rFonts w:cs="Fira Sans"/>
          <w:szCs w:val="19"/>
        </w:rPr>
        <w:t xml:space="preserve">% mieszkań, natomiast </w:t>
      </w:r>
      <w:r w:rsidR="003341CD" w:rsidRPr="005F29E0">
        <w:rPr>
          <w:rFonts w:cs="Fira Sans"/>
          <w:szCs w:val="19"/>
        </w:rPr>
        <w:t xml:space="preserve">w ciepłą wodę dostarczaną z elektrociepłowni, ciepłowni lub kotłowni osiedlowej – </w:t>
      </w:r>
      <w:r w:rsidRPr="005F29E0">
        <w:rPr>
          <w:rFonts w:cs="Fira Sans"/>
          <w:szCs w:val="19"/>
        </w:rPr>
        <w:t xml:space="preserve">40,8%. </w:t>
      </w:r>
      <w:r w:rsidR="005F29E0" w:rsidRPr="005F29E0">
        <w:rPr>
          <w:rFonts w:cs="Fira Sans"/>
          <w:szCs w:val="19"/>
        </w:rPr>
        <w:t xml:space="preserve">Do centralnej </w:t>
      </w:r>
      <w:r w:rsidR="005F29E0" w:rsidRPr="005F29E0">
        <w:rPr>
          <w:rFonts w:cs="Fira Sans"/>
          <w:szCs w:val="19"/>
        </w:rPr>
        <w:lastRenderedPageBreak/>
        <w:t xml:space="preserve">sieci grzewczej podłączonych było 40,8% mieszkań, </w:t>
      </w:r>
      <w:r w:rsidR="005C5C20">
        <w:rPr>
          <w:rFonts w:cs="Fira Sans"/>
          <w:szCs w:val="19"/>
        </w:rPr>
        <w:t xml:space="preserve">a </w:t>
      </w:r>
      <w:r w:rsidR="005F29E0" w:rsidRPr="005F29E0">
        <w:rPr>
          <w:rFonts w:cs="Fira Sans"/>
          <w:szCs w:val="19"/>
        </w:rPr>
        <w:t xml:space="preserve">pozostałe mieszkania miały indywidualne centralne ogrzewanie (z tego </w:t>
      </w:r>
      <w:r w:rsidR="005C5C20" w:rsidRPr="005F29E0">
        <w:rPr>
          <w:rFonts w:cs="Fira Sans"/>
          <w:szCs w:val="19"/>
        </w:rPr>
        <w:t xml:space="preserve">34,8% </w:t>
      </w:r>
      <w:r w:rsidR="00A1742D" w:rsidRPr="005F29E0">
        <w:rPr>
          <w:rFonts w:cs="Fira Sans"/>
          <w:szCs w:val="19"/>
        </w:rPr>
        <w:t xml:space="preserve">wyposażonych było </w:t>
      </w:r>
      <w:r w:rsidR="005C5C20" w:rsidRPr="005F29E0">
        <w:rPr>
          <w:rFonts w:cs="Fira Sans"/>
          <w:szCs w:val="19"/>
        </w:rPr>
        <w:t>w kotły/piece na paliwo gazowe</w:t>
      </w:r>
      <w:r w:rsidR="005C5C20">
        <w:rPr>
          <w:rFonts w:cs="Fira Sans"/>
          <w:szCs w:val="19"/>
        </w:rPr>
        <w:t xml:space="preserve">, </w:t>
      </w:r>
      <w:r w:rsidR="005F29E0" w:rsidRPr="005F29E0">
        <w:rPr>
          <w:rFonts w:cs="Fira Sans"/>
          <w:szCs w:val="19"/>
        </w:rPr>
        <w:t>20,9% w piece/kotły na paliwo stałe, a 3,5% w pozostałe rodzaje ogrzewania).</w:t>
      </w:r>
    </w:p>
    <w:p w14:paraId="06C0AF6A" w14:textId="716B43AA" w:rsidR="002543F3" w:rsidRPr="00596D0D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743623">
        <w:rPr>
          <w:rFonts w:ascii="Fira Sans SemiBold" w:hAnsi="Fira Sans SemiBold"/>
          <w:b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28736" behindDoc="0" locked="0" layoutInCell="1" allowOverlap="1" wp14:anchorId="46739CD9" wp14:editId="3A378C79">
                <wp:simplePos x="0" y="0"/>
                <wp:positionH relativeFrom="rightMargin">
                  <wp:posOffset>125730</wp:posOffset>
                </wp:positionH>
                <wp:positionV relativeFrom="paragraph">
                  <wp:posOffset>-142875</wp:posOffset>
                </wp:positionV>
                <wp:extent cx="1748155" cy="1028700"/>
                <wp:effectExtent l="0" t="0" r="0" b="0"/>
                <wp:wrapNone/>
                <wp:docPr id="20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98489" w14:textId="78ED26C7" w:rsidR="00217E1A" w:rsidRPr="005F29E0" w:rsidRDefault="00217E1A" w:rsidP="002543F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5F29E0">
                              <w:rPr>
                                <w:szCs w:val="19"/>
                              </w:rPr>
                              <w:t xml:space="preserve">Liczba nowych budynków mieszkalnych oddanych do użytkowania </w:t>
                            </w:r>
                            <w:r w:rsidR="00A1742D">
                              <w:rPr>
                                <w:szCs w:val="19"/>
                              </w:rPr>
                              <w:t xml:space="preserve">w I kwartale 2019 roku </w:t>
                            </w:r>
                            <w:r w:rsidRPr="005F29E0">
                              <w:rPr>
                                <w:szCs w:val="19"/>
                              </w:rPr>
                              <w:t xml:space="preserve">spadła o 1,7% </w:t>
                            </w:r>
                            <w:r w:rsidR="007036B9" w:rsidRPr="005F29E0">
                              <w:rPr>
                                <w:szCs w:val="19"/>
                              </w:rPr>
                              <w:t>r</w:t>
                            </w:r>
                            <w:r w:rsidRPr="005F29E0">
                              <w:rPr>
                                <w:szCs w:val="19"/>
                              </w:rPr>
                              <w:t>/</w:t>
                            </w:r>
                            <w:r w:rsidR="007036B9" w:rsidRPr="005F29E0">
                              <w:rPr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39CD9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9.9pt;margin-top:-11.25pt;width:137.65pt;height:81pt;z-index:2518287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" filled="f" stroked="f">
                <v:textbox>
                  <w:txbxContent>
                    <w:p w14:paraId="4A698489" w14:textId="78ED26C7" w:rsidR="00217E1A" w:rsidRPr="005F29E0" w:rsidRDefault="00217E1A" w:rsidP="002543F3">
                      <w:pPr>
                        <w:pStyle w:val="tekstzboku"/>
                        <w:rPr>
                          <w:szCs w:val="19"/>
                        </w:rPr>
                      </w:pPr>
                      <w:r w:rsidRPr="005F29E0">
                        <w:rPr>
                          <w:szCs w:val="19"/>
                        </w:rPr>
                        <w:t xml:space="preserve">Liczba nowych budynków mieszkalnych oddanych do użytkowania </w:t>
                      </w:r>
                      <w:r w:rsidR="00A1742D">
                        <w:rPr>
                          <w:szCs w:val="19"/>
                        </w:rPr>
                        <w:t xml:space="preserve">w I kwartale 2019 roku </w:t>
                      </w:r>
                      <w:r w:rsidRPr="005F29E0">
                        <w:rPr>
                          <w:szCs w:val="19"/>
                        </w:rPr>
                        <w:t xml:space="preserve">spadła o 1,7% </w:t>
                      </w:r>
                      <w:r w:rsidR="007036B9" w:rsidRPr="005F29E0">
                        <w:rPr>
                          <w:szCs w:val="19"/>
                        </w:rPr>
                        <w:t>r</w:t>
                      </w:r>
                      <w:r w:rsidRPr="005F29E0">
                        <w:rPr>
                          <w:szCs w:val="19"/>
                        </w:rPr>
                        <w:t>/</w:t>
                      </w:r>
                      <w:r w:rsidR="007036B9" w:rsidRPr="005F29E0">
                        <w:rPr>
                          <w:szCs w:val="19"/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3623">
        <w:rPr>
          <w:rFonts w:cs="Fira Sans"/>
          <w:szCs w:val="19"/>
        </w:rPr>
        <w:t>W</w:t>
      </w:r>
      <w:r w:rsidR="001406FE" w:rsidRPr="00743623">
        <w:rPr>
          <w:rFonts w:cs="Fira Sans"/>
          <w:szCs w:val="19"/>
        </w:rPr>
        <w:t xml:space="preserve"> </w:t>
      </w:r>
      <w:r w:rsidR="008D3C36" w:rsidRPr="00743623">
        <w:rPr>
          <w:rFonts w:cs="Fira Sans"/>
          <w:szCs w:val="19"/>
        </w:rPr>
        <w:t>I</w:t>
      </w:r>
      <w:r w:rsidR="001406FE" w:rsidRPr="00743623">
        <w:rPr>
          <w:rFonts w:cs="Fira Sans"/>
          <w:szCs w:val="19"/>
        </w:rPr>
        <w:t xml:space="preserve"> kwartale 2019</w:t>
      </w:r>
      <w:r w:rsidRPr="00743623">
        <w:rPr>
          <w:rFonts w:cs="Fira Sans"/>
          <w:szCs w:val="19"/>
        </w:rPr>
        <w:t xml:space="preserve"> roku oddano do użytkowania </w:t>
      </w:r>
      <w:r w:rsidR="001406FE" w:rsidRPr="00743623">
        <w:rPr>
          <w:rFonts w:cs="Fira Sans"/>
          <w:szCs w:val="19"/>
        </w:rPr>
        <w:t>20 212</w:t>
      </w:r>
      <w:r w:rsidRPr="00743623">
        <w:rPr>
          <w:rFonts w:cs="Fira Sans"/>
          <w:szCs w:val="19"/>
        </w:rPr>
        <w:t xml:space="preserve"> </w:t>
      </w:r>
      <w:r w:rsidRPr="00743623">
        <w:rPr>
          <w:rFonts w:cs="Fira Sans"/>
          <w:b/>
          <w:szCs w:val="19"/>
        </w:rPr>
        <w:t>nowych budynków mieszkalnych</w:t>
      </w:r>
      <w:r w:rsidRPr="00743623">
        <w:rPr>
          <w:rFonts w:cs="Fira Sans"/>
          <w:szCs w:val="19"/>
        </w:rPr>
        <w:t xml:space="preserve"> o</w:t>
      </w:r>
      <w:r w:rsidR="00F56E08">
        <w:rPr>
          <w:rFonts w:cs="Fira Sans"/>
          <w:szCs w:val="19"/>
        </w:rPr>
        <w:t> </w:t>
      </w:r>
      <w:r w:rsidRPr="00743623">
        <w:rPr>
          <w:rFonts w:cs="Fira Sans"/>
          <w:szCs w:val="19"/>
        </w:rPr>
        <w:t>łącznej kubaturze</w:t>
      </w:r>
      <w:r w:rsidR="001406FE" w:rsidRPr="00743623">
        <w:rPr>
          <w:rFonts w:cs="Fira Sans"/>
          <w:szCs w:val="19"/>
        </w:rPr>
        <w:t xml:space="preserve"> 21</w:t>
      </w:r>
      <w:r w:rsidR="007722DF" w:rsidRPr="00743623">
        <w:rPr>
          <w:rFonts w:cs="Fira Sans"/>
          <w:szCs w:val="19"/>
        </w:rPr>
        <w:t> </w:t>
      </w:r>
      <w:r w:rsidR="001406FE" w:rsidRPr="00743623">
        <w:rPr>
          <w:rFonts w:cs="Fira Sans"/>
          <w:szCs w:val="19"/>
        </w:rPr>
        <w:t>390</w:t>
      </w:r>
      <w:r w:rsidR="007722DF" w:rsidRPr="00743623">
        <w:rPr>
          <w:rFonts w:cs="Fira Sans"/>
          <w:szCs w:val="19"/>
        </w:rPr>
        <w:t>,</w:t>
      </w:r>
      <w:r w:rsidR="001406FE" w:rsidRPr="00743623">
        <w:rPr>
          <w:rFonts w:cs="Fira Sans"/>
          <w:szCs w:val="19"/>
        </w:rPr>
        <w:t>9</w:t>
      </w:r>
      <w:r w:rsidR="007722DF" w:rsidRPr="00743623">
        <w:rPr>
          <w:rFonts w:cs="Fira Sans"/>
          <w:szCs w:val="19"/>
        </w:rPr>
        <w:t xml:space="preserve"> tys.</w:t>
      </w:r>
      <w:r w:rsidRPr="00743623">
        <w:rPr>
          <w:rFonts w:cs="Fira Sans"/>
          <w:szCs w:val="19"/>
        </w:rPr>
        <w:t> m</w:t>
      </w:r>
      <w:r w:rsidRPr="00743623">
        <w:rPr>
          <w:rFonts w:cs="Fira Sans"/>
          <w:szCs w:val="19"/>
          <w:vertAlign w:val="superscript"/>
        </w:rPr>
        <w:t>3</w:t>
      </w:r>
      <w:r w:rsidRPr="00743623">
        <w:rPr>
          <w:rFonts w:cs="Fira Sans"/>
          <w:szCs w:val="19"/>
        </w:rPr>
        <w:t xml:space="preserve"> (o</w:t>
      </w:r>
      <w:r w:rsidR="001406FE" w:rsidRPr="00743623">
        <w:rPr>
          <w:rFonts w:cs="Fira Sans"/>
          <w:szCs w:val="19"/>
        </w:rPr>
        <w:t>dpowiednio</w:t>
      </w:r>
      <w:r w:rsidRPr="00743623">
        <w:rPr>
          <w:rFonts w:cs="Fira Sans"/>
          <w:szCs w:val="19"/>
        </w:rPr>
        <w:t xml:space="preserve"> </w:t>
      </w:r>
      <w:r w:rsidR="001406FE" w:rsidRPr="00743623">
        <w:rPr>
          <w:rFonts w:cs="Fira Sans"/>
          <w:szCs w:val="19"/>
        </w:rPr>
        <w:t>1,7</w:t>
      </w:r>
      <w:r w:rsidRPr="00743623">
        <w:rPr>
          <w:rFonts w:cs="Fira Sans"/>
          <w:szCs w:val="19"/>
        </w:rPr>
        <w:t xml:space="preserve">% </w:t>
      </w:r>
      <w:r w:rsidR="001406FE" w:rsidRPr="00743623">
        <w:rPr>
          <w:rFonts w:cs="Fira Sans"/>
          <w:szCs w:val="19"/>
        </w:rPr>
        <w:t xml:space="preserve">mniej </w:t>
      </w:r>
      <w:r w:rsidRPr="00743623">
        <w:rPr>
          <w:rFonts w:cs="Fira Sans"/>
          <w:szCs w:val="19"/>
        </w:rPr>
        <w:t xml:space="preserve">i </w:t>
      </w:r>
      <w:r w:rsidR="001406FE" w:rsidRPr="00743623">
        <w:rPr>
          <w:rFonts w:cs="Fira Sans"/>
          <w:szCs w:val="19"/>
        </w:rPr>
        <w:t>9,4</w:t>
      </w:r>
      <w:r w:rsidRPr="00743623">
        <w:rPr>
          <w:rFonts w:cs="Fira Sans"/>
          <w:szCs w:val="19"/>
        </w:rPr>
        <w:t>% więcej w porównaniu do</w:t>
      </w:r>
      <w:r w:rsidR="001406FE" w:rsidRPr="00743623">
        <w:rPr>
          <w:rFonts w:cs="Fira Sans"/>
          <w:szCs w:val="19"/>
        </w:rPr>
        <w:t xml:space="preserve"> analogicznego okresu</w:t>
      </w:r>
      <w:r w:rsidRPr="00743623">
        <w:rPr>
          <w:rFonts w:cs="Fira Sans"/>
          <w:szCs w:val="19"/>
        </w:rPr>
        <w:t xml:space="preserve"> roku</w:t>
      </w:r>
      <w:r w:rsidR="00E91F20" w:rsidRPr="00743623">
        <w:rPr>
          <w:rFonts w:cs="Fira Sans"/>
          <w:szCs w:val="19"/>
        </w:rPr>
        <w:t xml:space="preserve"> </w:t>
      </w:r>
      <w:r w:rsidRPr="00743623">
        <w:rPr>
          <w:rFonts w:cs="Fira Sans"/>
          <w:szCs w:val="19"/>
        </w:rPr>
        <w:t xml:space="preserve">poprzedniego). </w:t>
      </w:r>
      <w:r w:rsidRPr="00596D0D">
        <w:rPr>
          <w:rFonts w:cs="Fira Sans"/>
          <w:szCs w:val="19"/>
        </w:rPr>
        <w:t>Bud</w:t>
      </w:r>
      <w:r w:rsidR="00B54D52" w:rsidRPr="00596D0D">
        <w:rPr>
          <w:rFonts w:cs="Fira Sans"/>
          <w:szCs w:val="19"/>
        </w:rPr>
        <w:t>ynki jednorodzinne stanowiły</w:t>
      </w:r>
      <w:r w:rsidRPr="00596D0D">
        <w:rPr>
          <w:rFonts w:cs="Fira Sans"/>
          <w:szCs w:val="19"/>
        </w:rPr>
        <w:t xml:space="preserve"> </w:t>
      </w:r>
      <w:r w:rsidR="004E6642" w:rsidRPr="00596D0D">
        <w:rPr>
          <w:rFonts w:cs="Fira Sans"/>
          <w:szCs w:val="19"/>
        </w:rPr>
        <w:t>9</w:t>
      </w:r>
      <w:r w:rsidR="00B54D52" w:rsidRPr="00596D0D">
        <w:rPr>
          <w:rFonts w:cs="Fira Sans"/>
          <w:szCs w:val="19"/>
        </w:rPr>
        <w:t>7</w:t>
      </w:r>
      <w:r w:rsidR="004E6642" w:rsidRPr="00596D0D">
        <w:rPr>
          <w:rFonts w:cs="Fira Sans"/>
          <w:szCs w:val="19"/>
        </w:rPr>
        <w:t>,</w:t>
      </w:r>
      <w:r w:rsidR="00B54D52" w:rsidRPr="00596D0D">
        <w:rPr>
          <w:rFonts w:cs="Fira Sans"/>
          <w:szCs w:val="19"/>
        </w:rPr>
        <w:t>0%</w:t>
      </w:r>
      <w:r w:rsidR="004E6642" w:rsidRPr="00596D0D">
        <w:rPr>
          <w:rFonts w:cs="Fira Sans"/>
          <w:szCs w:val="19"/>
        </w:rPr>
        <w:t xml:space="preserve"> </w:t>
      </w:r>
      <w:r w:rsidRPr="00596D0D">
        <w:rPr>
          <w:rFonts w:cs="Fira Sans"/>
          <w:szCs w:val="19"/>
        </w:rPr>
        <w:t>wszystkich budynków oddanych</w:t>
      </w:r>
      <w:r w:rsidR="00E91F20" w:rsidRPr="00596D0D">
        <w:rPr>
          <w:rFonts w:cs="Fira Sans"/>
          <w:szCs w:val="19"/>
        </w:rPr>
        <w:t xml:space="preserve"> </w:t>
      </w:r>
      <w:r w:rsidRPr="00596D0D">
        <w:rPr>
          <w:rFonts w:cs="Fira Sans"/>
          <w:szCs w:val="19"/>
        </w:rPr>
        <w:t>do użytkowania</w:t>
      </w:r>
      <w:r w:rsidR="00743623" w:rsidRPr="00743623">
        <w:rPr>
          <w:rFonts w:cs="Fira Sans"/>
          <w:szCs w:val="19"/>
        </w:rPr>
        <w:t>.</w:t>
      </w:r>
      <w:r w:rsidR="009222DE" w:rsidRPr="00743623">
        <w:t xml:space="preserve"> </w:t>
      </w:r>
      <w:r w:rsidR="009222DE" w:rsidRPr="00743623">
        <w:rPr>
          <w:rFonts w:cs="Fira Sans"/>
          <w:szCs w:val="19"/>
        </w:rPr>
        <w:t>Mimo stosunkowo niewielkiego udziału (3,</w:t>
      </w:r>
      <w:r w:rsidR="00223943" w:rsidRPr="00743623">
        <w:rPr>
          <w:rFonts w:cs="Fira Sans"/>
          <w:szCs w:val="19"/>
        </w:rPr>
        <w:t>0</w:t>
      </w:r>
      <w:r w:rsidR="009222DE" w:rsidRPr="00743623">
        <w:rPr>
          <w:rFonts w:cs="Fira Sans"/>
          <w:szCs w:val="19"/>
        </w:rPr>
        <w:t>%) budynków wielorodzinnych</w:t>
      </w:r>
      <w:r w:rsidR="00AF1B3A" w:rsidRPr="00743623">
        <w:rPr>
          <w:rFonts w:cs="Fira Sans"/>
          <w:szCs w:val="19"/>
        </w:rPr>
        <w:t>,</w:t>
      </w:r>
      <w:r w:rsidR="009222DE" w:rsidRPr="00743623">
        <w:rPr>
          <w:rFonts w:cs="Fira Sans"/>
          <w:szCs w:val="19"/>
        </w:rPr>
        <w:t xml:space="preserve"> wybudowano w nich 5</w:t>
      </w:r>
      <w:r w:rsidR="00223943" w:rsidRPr="00743623">
        <w:rPr>
          <w:rFonts w:cs="Fira Sans"/>
          <w:szCs w:val="19"/>
        </w:rPr>
        <w:t>5</w:t>
      </w:r>
      <w:r w:rsidR="009222DE" w:rsidRPr="00743623">
        <w:rPr>
          <w:rFonts w:cs="Fira Sans"/>
          <w:szCs w:val="19"/>
        </w:rPr>
        <w:t>,</w:t>
      </w:r>
      <w:r w:rsidR="00223943" w:rsidRPr="00743623">
        <w:rPr>
          <w:rFonts w:cs="Fira Sans"/>
          <w:szCs w:val="19"/>
        </w:rPr>
        <w:t>0</w:t>
      </w:r>
      <w:r w:rsidR="009222DE" w:rsidRPr="00743623">
        <w:rPr>
          <w:rFonts w:cs="Fira Sans"/>
          <w:szCs w:val="19"/>
        </w:rPr>
        <w:t xml:space="preserve">% wszystkich mieszkań. </w:t>
      </w:r>
    </w:p>
    <w:p w14:paraId="29162863" w14:textId="1C4DB2EC" w:rsidR="002543F3" w:rsidRPr="00596D0D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96D0D">
        <w:rPr>
          <w:rFonts w:cs="Fira Sans"/>
          <w:szCs w:val="19"/>
        </w:rPr>
        <w:t xml:space="preserve">W budownictwie mieszkaniowym dominowała tradycyjna udoskonalona </w:t>
      </w:r>
      <w:r w:rsidRPr="00596D0D">
        <w:rPr>
          <w:rFonts w:cs="Fira Sans"/>
          <w:b/>
          <w:szCs w:val="19"/>
        </w:rPr>
        <w:t>technologia wznoszenia</w:t>
      </w:r>
      <w:r w:rsidRPr="00596D0D">
        <w:rPr>
          <w:rFonts w:cs="Fira Sans"/>
          <w:szCs w:val="19"/>
        </w:rPr>
        <w:t xml:space="preserve">, którą </w:t>
      </w:r>
      <w:r w:rsidRPr="00247A60">
        <w:rPr>
          <w:rFonts w:cs="Fira Sans"/>
          <w:szCs w:val="19"/>
        </w:rPr>
        <w:t>zastosowano</w:t>
      </w:r>
      <w:r w:rsidR="00353114">
        <w:rPr>
          <w:rFonts w:cs="Fira Sans"/>
          <w:szCs w:val="19"/>
        </w:rPr>
        <w:t>, podobnie</w:t>
      </w:r>
      <w:r w:rsidR="00DF5EAB" w:rsidRPr="00247A60">
        <w:rPr>
          <w:rFonts w:cs="Fira Sans"/>
          <w:szCs w:val="19"/>
        </w:rPr>
        <w:t xml:space="preserve"> jak przed rokiem, </w:t>
      </w:r>
      <w:r w:rsidRPr="00247A60">
        <w:rPr>
          <w:rFonts w:cs="Fira Sans"/>
          <w:szCs w:val="19"/>
        </w:rPr>
        <w:t xml:space="preserve">przy </w:t>
      </w:r>
      <w:r w:rsidRPr="00596D0D">
        <w:rPr>
          <w:rFonts w:cs="Fira Sans"/>
          <w:szCs w:val="19"/>
        </w:rPr>
        <w:t>budowie 98,</w:t>
      </w:r>
      <w:r w:rsidR="00223943" w:rsidRPr="00596D0D">
        <w:rPr>
          <w:rFonts w:cs="Fira Sans"/>
          <w:szCs w:val="19"/>
        </w:rPr>
        <w:t>4</w:t>
      </w:r>
      <w:r w:rsidRPr="00596D0D">
        <w:rPr>
          <w:rFonts w:cs="Fira Sans"/>
          <w:szCs w:val="19"/>
        </w:rPr>
        <w:t>% nowych budynków mieszkalnych oddanych do użytkowania</w:t>
      </w:r>
      <w:r w:rsidR="00247A60">
        <w:rPr>
          <w:rFonts w:cs="Fira Sans"/>
          <w:szCs w:val="19"/>
        </w:rPr>
        <w:t>.</w:t>
      </w:r>
      <w:r w:rsidRPr="003E73B2">
        <w:rPr>
          <w:rFonts w:cs="Fira Sans"/>
          <w:color w:val="FF0000"/>
          <w:szCs w:val="19"/>
        </w:rPr>
        <w:t xml:space="preserve"> </w:t>
      </w:r>
    </w:p>
    <w:p w14:paraId="52181E41" w14:textId="50B1297B" w:rsidR="002543F3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color w:val="00B0F0"/>
          <w:szCs w:val="19"/>
        </w:rPr>
      </w:pPr>
      <w:r w:rsidRPr="00596D0D">
        <w:rPr>
          <w:rFonts w:cs="Fira Sans"/>
          <w:szCs w:val="19"/>
        </w:rPr>
        <w:t xml:space="preserve">Biorąc pod uwagę </w:t>
      </w:r>
      <w:r w:rsidRPr="00596D0D">
        <w:rPr>
          <w:rFonts w:cs="Fira Sans"/>
          <w:b/>
          <w:szCs w:val="19"/>
        </w:rPr>
        <w:t>liczbę kondygnacji</w:t>
      </w:r>
      <w:r w:rsidRPr="00596D0D">
        <w:rPr>
          <w:rFonts w:cs="Fira Sans"/>
          <w:szCs w:val="19"/>
        </w:rPr>
        <w:t xml:space="preserve">, najwięcej wybudowano </w:t>
      </w:r>
      <w:r w:rsidR="00D14246">
        <w:rPr>
          <w:rFonts w:cs="Fira Sans"/>
          <w:szCs w:val="19"/>
        </w:rPr>
        <w:t xml:space="preserve">nowych </w:t>
      </w:r>
      <w:r w:rsidRPr="00D14246">
        <w:rPr>
          <w:rFonts w:cs="Fira Sans"/>
          <w:szCs w:val="19"/>
        </w:rPr>
        <w:t xml:space="preserve">budynków </w:t>
      </w:r>
      <w:r w:rsidR="00D14246">
        <w:rPr>
          <w:rFonts w:cs="Fira Sans"/>
          <w:szCs w:val="19"/>
        </w:rPr>
        <w:br/>
      </w:r>
      <w:r w:rsidR="00D82D42" w:rsidRPr="00596D0D">
        <w:rPr>
          <w:rFonts w:cs="Fira Sans"/>
          <w:szCs w:val="19"/>
        </w:rPr>
        <w:t>2-</w:t>
      </w:r>
      <w:r w:rsidR="00D14246">
        <w:rPr>
          <w:rFonts w:cs="Fira Sans"/>
          <w:szCs w:val="19"/>
        </w:rPr>
        <w:t>k</w:t>
      </w:r>
      <w:r w:rsidR="00D82D42" w:rsidRPr="00596D0D">
        <w:rPr>
          <w:rFonts w:cs="Fira Sans"/>
          <w:szCs w:val="19"/>
        </w:rPr>
        <w:t>ondygnacyjnych (</w:t>
      </w:r>
      <w:r w:rsidR="00447F34" w:rsidRPr="00596D0D">
        <w:rPr>
          <w:rFonts w:cs="Fira Sans"/>
          <w:szCs w:val="19"/>
        </w:rPr>
        <w:t>66,4</w:t>
      </w:r>
      <w:r w:rsidR="00D82D42" w:rsidRPr="00596D0D">
        <w:rPr>
          <w:rFonts w:cs="Fira Sans"/>
          <w:szCs w:val="19"/>
        </w:rPr>
        <w:t xml:space="preserve">%) i </w:t>
      </w:r>
      <w:r w:rsidRPr="00596D0D">
        <w:rPr>
          <w:rFonts w:cs="Fira Sans"/>
          <w:szCs w:val="19"/>
        </w:rPr>
        <w:t>1-kondygnacyjnych (</w:t>
      </w:r>
      <w:r w:rsidR="00447F34" w:rsidRPr="00596D0D">
        <w:rPr>
          <w:rFonts w:cs="Fira Sans"/>
          <w:szCs w:val="19"/>
        </w:rPr>
        <w:t>27,7</w:t>
      </w:r>
      <w:r w:rsidRPr="00596D0D">
        <w:rPr>
          <w:rFonts w:cs="Fira Sans"/>
          <w:szCs w:val="19"/>
        </w:rPr>
        <w:t xml:space="preserve">%), w których </w:t>
      </w:r>
      <w:r w:rsidR="009B32CA" w:rsidRPr="00596D0D">
        <w:rPr>
          <w:rFonts w:cs="Fira Sans"/>
          <w:szCs w:val="19"/>
        </w:rPr>
        <w:t>znalazło</w:t>
      </w:r>
      <w:r w:rsidRPr="00596D0D">
        <w:rPr>
          <w:rFonts w:cs="Fira Sans"/>
          <w:szCs w:val="19"/>
        </w:rPr>
        <w:t xml:space="preserve"> się odpowiednio </w:t>
      </w:r>
      <w:r w:rsidR="00447F34" w:rsidRPr="00596D0D">
        <w:rPr>
          <w:rFonts w:cs="Fira Sans"/>
          <w:szCs w:val="19"/>
        </w:rPr>
        <w:t>31,8</w:t>
      </w:r>
      <w:r w:rsidR="00D82D42" w:rsidRPr="00596D0D">
        <w:rPr>
          <w:rFonts w:cs="Fira Sans"/>
          <w:szCs w:val="19"/>
        </w:rPr>
        <w:t xml:space="preserve">% i </w:t>
      </w:r>
      <w:r w:rsidR="00447F34" w:rsidRPr="00596D0D">
        <w:rPr>
          <w:rFonts w:cs="Fira Sans"/>
          <w:szCs w:val="19"/>
        </w:rPr>
        <w:t>12,4</w:t>
      </w:r>
      <w:r w:rsidRPr="00596D0D">
        <w:rPr>
          <w:rFonts w:cs="Fira Sans"/>
          <w:szCs w:val="19"/>
        </w:rPr>
        <w:t xml:space="preserve">% </w:t>
      </w:r>
      <w:r w:rsidR="00802E28" w:rsidRPr="00596D0D">
        <w:rPr>
          <w:rFonts w:cs="Fira Sans"/>
          <w:szCs w:val="19"/>
        </w:rPr>
        <w:t xml:space="preserve">ogółu </w:t>
      </w:r>
      <w:r w:rsidRPr="00596D0D">
        <w:rPr>
          <w:rFonts w:cs="Fira Sans"/>
          <w:szCs w:val="19"/>
        </w:rPr>
        <w:t>oddanych do użytkowania mieszkań. Z kolei w</w:t>
      </w:r>
      <w:r w:rsidR="00E91F20" w:rsidRPr="00596D0D">
        <w:rPr>
          <w:rFonts w:cs="Fira Sans"/>
          <w:szCs w:val="19"/>
        </w:rPr>
        <w:t> </w:t>
      </w:r>
      <w:r w:rsidRPr="00596D0D">
        <w:rPr>
          <w:rFonts w:cs="Fira Sans"/>
          <w:szCs w:val="19"/>
        </w:rPr>
        <w:t>budynkach</w:t>
      </w:r>
      <w:r w:rsidR="008510DF" w:rsidRPr="00596D0D">
        <w:rPr>
          <w:rFonts w:cs="Fira Sans"/>
          <w:szCs w:val="19"/>
        </w:rPr>
        <w:br/>
      </w:r>
      <w:r w:rsidRPr="00596D0D">
        <w:rPr>
          <w:rFonts w:cs="Fira Sans"/>
          <w:szCs w:val="19"/>
        </w:rPr>
        <w:t>3-, 4- i 5-kondygnacyjnych (</w:t>
      </w:r>
      <w:r w:rsidR="00447F34" w:rsidRPr="00596D0D">
        <w:rPr>
          <w:rFonts w:cs="Fira Sans"/>
          <w:szCs w:val="19"/>
        </w:rPr>
        <w:t>5,2</w:t>
      </w:r>
      <w:r w:rsidRPr="00596D0D">
        <w:rPr>
          <w:rFonts w:cs="Fira Sans"/>
          <w:szCs w:val="19"/>
        </w:rPr>
        <w:t xml:space="preserve">% nowych budynków) usytuowanych </w:t>
      </w:r>
      <w:r w:rsidR="009B32CA" w:rsidRPr="00596D0D">
        <w:rPr>
          <w:rFonts w:cs="Fira Sans"/>
          <w:szCs w:val="19"/>
        </w:rPr>
        <w:t>zostało</w:t>
      </w:r>
      <w:r w:rsidRPr="00596D0D">
        <w:rPr>
          <w:rFonts w:cs="Fira Sans"/>
          <w:szCs w:val="19"/>
        </w:rPr>
        <w:t xml:space="preserve"> </w:t>
      </w:r>
      <w:r w:rsidR="00447F34" w:rsidRPr="00596D0D">
        <w:rPr>
          <w:rFonts w:cs="Fira Sans"/>
          <w:szCs w:val="19"/>
        </w:rPr>
        <w:t>29,2</w:t>
      </w:r>
      <w:r w:rsidRPr="00596D0D">
        <w:rPr>
          <w:rFonts w:cs="Fira Sans"/>
          <w:szCs w:val="19"/>
        </w:rPr>
        <w:t xml:space="preserve">% mieszkań. </w:t>
      </w:r>
      <w:r w:rsidRPr="00DB794F">
        <w:rPr>
          <w:rFonts w:cs="Fira Sans"/>
          <w:szCs w:val="19"/>
        </w:rPr>
        <w:t xml:space="preserve"> </w:t>
      </w:r>
    </w:p>
    <w:p w14:paraId="024D779D" w14:textId="05E72BDA" w:rsidR="002543F3" w:rsidRPr="003D4DC6" w:rsidRDefault="002543F3" w:rsidP="002543F3">
      <w:pPr>
        <w:autoSpaceDE w:val="0"/>
        <w:autoSpaceDN w:val="0"/>
        <w:adjustRightInd w:val="0"/>
        <w:spacing w:before="280" w:after="0" w:line="240" w:lineRule="atLeast"/>
        <w:ind w:left="850" w:hanging="850"/>
        <w:textAlignment w:val="center"/>
        <w:rPr>
          <w:rFonts w:cs="Fira Sans"/>
          <w:sz w:val="18"/>
          <w:szCs w:val="19"/>
        </w:rPr>
      </w:pPr>
      <w:r w:rsidRPr="003D4DC6">
        <w:rPr>
          <w:rFonts w:cs="Fira Sans"/>
          <w:b/>
          <w:bCs/>
          <w:sz w:val="18"/>
          <w:szCs w:val="19"/>
        </w:rPr>
        <w:t xml:space="preserve">Tablica 2. Nowe budynki mieszkalne oddane do użytkowania według </w:t>
      </w:r>
      <w:r>
        <w:rPr>
          <w:rFonts w:cs="Fira Sans"/>
          <w:b/>
          <w:bCs/>
          <w:sz w:val="18"/>
          <w:szCs w:val="19"/>
        </w:rPr>
        <w:t>rodzajów budynków i</w:t>
      </w:r>
      <w:r w:rsidR="004F2AF9">
        <w:rPr>
          <w:rFonts w:cs="Fira Sans"/>
          <w:b/>
          <w:bCs/>
          <w:sz w:val="18"/>
          <w:szCs w:val="19"/>
        </w:rPr>
        <w:t> </w:t>
      </w:r>
      <w:r w:rsidRPr="003D4DC6">
        <w:rPr>
          <w:rFonts w:cs="Fira Sans"/>
          <w:b/>
          <w:bCs/>
          <w:sz w:val="18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3D4DC6" w14:paraId="5620BA12" w14:textId="77777777" w:rsidTr="00853904">
        <w:trPr>
          <w:trHeight w:val="751"/>
        </w:trPr>
        <w:tc>
          <w:tcPr>
            <w:tcW w:w="2127" w:type="dxa"/>
            <w:tcBorders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7777777" w:rsidR="002543F3" w:rsidRPr="003D4DC6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GB"/>
              </w:rPr>
            </w:pPr>
            <w:r w:rsidRPr="008510DF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3D4DC6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3D4DC6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3D4DC6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3D4DC6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3D4DC6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6A53DB82" w:rsidR="002543F3" w:rsidRPr="003D4DC6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Powierzchnia użytkowa mieszkań</w:t>
            </w:r>
            <w:r w:rsidR="005B386B">
              <w:rPr>
                <w:rFonts w:cs="Fira Sans"/>
                <w:color w:val="000000"/>
                <w:sz w:val="16"/>
                <w:szCs w:val="16"/>
              </w:rPr>
              <w:br/>
            </w:r>
            <w:r w:rsidRPr="00B11BAA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B11BAA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3D4DC6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 budowy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 w miesiącach</w:t>
            </w:r>
          </w:p>
        </w:tc>
      </w:tr>
      <w:tr w:rsidR="002543F3" w:rsidRPr="003D4DC6" w14:paraId="3A1DECC2" w14:textId="77777777" w:rsidTr="0085390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F2C77" w14:textId="77777777" w:rsidR="002543F3" w:rsidRPr="003D4DC6" w:rsidRDefault="002543F3" w:rsidP="001406FE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9A899" w14:textId="79D7CFDF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b/>
                <w:sz w:val="16"/>
                <w:szCs w:val="16"/>
              </w:rPr>
              <w:t>20 212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5C77B" w14:textId="650C93DB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b/>
                <w:sz w:val="16"/>
                <w:szCs w:val="16"/>
              </w:rPr>
              <w:t>21 390 928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2819D" w14:textId="0F86F8B4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rFonts w:cs="Fira Sans"/>
                <w:b/>
                <w:sz w:val="16"/>
                <w:szCs w:val="16"/>
              </w:rPr>
              <w:t>46 337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4C42" w14:textId="247882A6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rFonts w:cs="Fira Sans"/>
                <w:b/>
                <w:sz w:val="16"/>
                <w:szCs w:val="16"/>
              </w:rPr>
              <w:t>4 197 273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17338" w14:textId="26494BAA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rFonts w:cs="Fira Sans"/>
                <w:b/>
                <w:sz w:val="16"/>
                <w:szCs w:val="16"/>
              </w:rPr>
              <w:t>40,2</w:t>
            </w:r>
          </w:p>
        </w:tc>
      </w:tr>
      <w:tr w:rsidR="002543F3" w:rsidRPr="003D4DC6" w14:paraId="712286CF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097E8" w14:textId="77777777" w:rsidR="002543F3" w:rsidRPr="003D4DC6" w:rsidRDefault="002543F3" w:rsidP="001406FE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0796B" w14:textId="136D7E10" w:rsidR="002543F3" w:rsidRPr="00596D0D" w:rsidRDefault="00826F6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rFonts w:cs="Fira Sans"/>
                <w:b/>
                <w:sz w:val="16"/>
                <w:szCs w:val="16"/>
              </w:rPr>
              <w:t>19 597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EEB6B" w14:textId="3C26AE7B" w:rsidR="002543F3" w:rsidRPr="00596D0D" w:rsidRDefault="00826F6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rFonts w:cs="Fira Sans"/>
                <w:b/>
                <w:sz w:val="16"/>
                <w:szCs w:val="16"/>
              </w:rPr>
              <w:t>13 699 010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A30ED" w14:textId="3680FB27" w:rsidR="002543F3" w:rsidRPr="00596D0D" w:rsidRDefault="00826F6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rFonts w:cs="Fira Sans"/>
                <w:b/>
                <w:sz w:val="16"/>
                <w:szCs w:val="16"/>
              </w:rPr>
              <w:t>20 876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3D1C1" w14:textId="13F0419E" w:rsidR="002543F3" w:rsidRPr="00596D0D" w:rsidRDefault="00826F6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rFonts w:cs="Fira Sans"/>
                <w:b/>
                <w:sz w:val="16"/>
                <w:szCs w:val="16"/>
              </w:rPr>
              <w:t>2 847 000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2DB45" w14:textId="031217E1" w:rsidR="002543F3" w:rsidRPr="00596D0D" w:rsidRDefault="00826F6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rFonts w:cs="Fira Sans"/>
                <w:b/>
                <w:sz w:val="16"/>
                <w:szCs w:val="16"/>
              </w:rPr>
              <w:t>49,9</w:t>
            </w:r>
          </w:p>
        </w:tc>
      </w:tr>
      <w:tr w:rsidR="004E6642" w:rsidRPr="004E6642" w14:paraId="13A8B51C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A9B80" w14:textId="77777777" w:rsidR="002543F3" w:rsidRPr="003D4DC6" w:rsidRDefault="002543F3" w:rsidP="001406FE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C686C" w14:textId="682ABF2B" w:rsidR="002543F3" w:rsidRPr="00596D0D" w:rsidRDefault="00826F6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rFonts w:cs="Fira Sans"/>
                <w:b/>
                <w:sz w:val="16"/>
                <w:szCs w:val="16"/>
              </w:rPr>
              <w:t>615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ED8CA" w14:textId="3AC22A59" w:rsidR="002543F3" w:rsidRPr="00596D0D" w:rsidRDefault="00826F6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rFonts w:cs="Fira Sans"/>
                <w:b/>
                <w:sz w:val="16"/>
                <w:szCs w:val="16"/>
              </w:rPr>
              <w:t>7 691 918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FAA42" w14:textId="349F62A0" w:rsidR="002543F3" w:rsidRPr="00596D0D" w:rsidRDefault="00826F6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rFonts w:cs="Fira Sans"/>
                <w:b/>
                <w:sz w:val="16"/>
                <w:szCs w:val="16"/>
              </w:rPr>
              <w:t>25</w:t>
            </w:r>
            <w:r w:rsidR="00243B14">
              <w:rPr>
                <w:rFonts w:cs="Fira Sans"/>
                <w:b/>
                <w:sz w:val="16"/>
                <w:szCs w:val="16"/>
              </w:rPr>
              <w:t xml:space="preserve"> </w:t>
            </w:r>
            <w:r w:rsidRPr="00596D0D">
              <w:rPr>
                <w:rFonts w:cs="Fira Sans"/>
                <w:b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3569A" w14:textId="257759A0" w:rsidR="002543F3" w:rsidRPr="00596D0D" w:rsidRDefault="002A50E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rFonts w:cs="Fira Sans"/>
                <w:b/>
                <w:sz w:val="16"/>
                <w:szCs w:val="16"/>
              </w:rPr>
              <w:t>1</w:t>
            </w:r>
            <w:r w:rsidR="00536352" w:rsidRPr="00596D0D">
              <w:rPr>
                <w:rFonts w:cs="Fira Sans"/>
                <w:b/>
                <w:sz w:val="16"/>
                <w:szCs w:val="16"/>
              </w:rPr>
              <w:t> </w:t>
            </w:r>
            <w:r w:rsidRPr="00596D0D">
              <w:rPr>
                <w:rFonts w:cs="Fira Sans"/>
                <w:b/>
                <w:sz w:val="16"/>
                <w:szCs w:val="16"/>
              </w:rPr>
              <w:t>350</w:t>
            </w:r>
            <w:r w:rsidR="00536352" w:rsidRPr="00596D0D">
              <w:rPr>
                <w:rFonts w:cs="Fira Sans"/>
                <w:b/>
                <w:sz w:val="16"/>
                <w:szCs w:val="16"/>
              </w:rPr>
              <w:t> </w:t>
            </w:r>
            <w:r w:rsidRPr="00596D0D">
              <w:rPr>
                <w:rFonts w:cs="Fira Sans"/>
                <w:b/>
                <w:sz w:val="16"/>
                <w:szCs w:val="16"/>
              </w:rPr>
              <w:t>273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E4DBB" w14:textId="3666103C" w:rsidR="002543F3" w:rsidRPr="00596D0D" w:rsidRDefault="00826F6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96D0D">
              <w:rPr>
                <w:rFonts w:cs="Fira Sans"/>
                <w:b/>
                <w:sz w:val="16"/>
                <w:szCs w:val="16"/>
              </w:rPr>
              <w:t>22,7</w:t>
            </w:r>
          </w:p>
        </w:tc>
      </w:tr>
      <w:tr w:rsidR="002543F3" w:rsidRPr="003D4DC6" w14:paraId="07CFF225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8B329" w14:textId="77777777" w:rsidR="002543F3" w:rsidRPr="003D4DC6" w:rsidRDefault="002543F3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0A60" w14:textId="2B4502D0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19 896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106F3" w14:textId="55F234C7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18 286 137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47EB4" w14:textId="47DF9839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37 265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DA4EC" w14:textId="2E5D722A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3 700 372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CA9EE" w14:textId="51F1844E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42,9</w:t>
            </w:r>
          </w:p>
        </w:tc>
      </w:tr>
      <w:tr w:rsidR="002543F3" w:rsidRPr="003D4DC6" w14:paraId="3BB6C8A6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3162" w14:textId="77777777" w:rsidR="002543F3" w:rsidRPr="003D4DC6" w:rsidRDefault="002543F3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8626D" w14:textId="396D9661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4EA08" w14:textId="44440BF9" w:rsidR="002543F3" w:rsidRPr="00596D0D" w:rsidRDefault="00447F34" w:rsidP="00B52B2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2 353 836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3071A" w14:textId="78FF3B71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6 888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5440" w14:textId="72985C87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367 876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0F2FE" w14:textId="5A22A3CC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23,7</w:t>
            </w:r>
          </w:p>
        </w:tc>
      </w:tr>
      <w:tr w:rsidR="002543F3" w:rsidRPr="003D4DC6" w14:paraId="02862D8E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61FE" w14:textId="77777777" w:rsidR="002543F3" w:rsidRPr="003D4DC6" w:rsidRDefault="002543F3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83760" w14:textId="7DF2B394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1926" w14:textId="4F00B865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442 532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6DEB" w14:textId="69AECF5C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1 424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BA32B" w14:textId="7255E000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77 202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7772" w14:textId="637F4933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22,9</w:t>
            </w:r>
          </w:p>
        </w:tc>
      </w:tr>
      <w:tr w:rsidR="002543F3" w:rsidRPr="003D4DC6" w14:paraId="590FB2A3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E4B98" w14:textId="77777777" w:rsidR="002543F3" w:rsidRPr="003D4DC6" w:rsidRDefault="002543F3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6EA1A" w14:textId="25280444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FB6CC" w14:textId="112A8E5F" w:rsidR="002543F3" w:rsidRPr="00596D0D" w:rsidRDefault="00447F34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226 053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4714C" w14:textId="772B664B" w:rsidR="002543F3" w:rsidRPr="00596D0D" w:rsidRDefault="00BB59B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B4B80" w14:textId="570030B3" w:rsidR="002543F3" w:rsidRPr="00596D0D" w:rsidRDefault="00BB59B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34 418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2DA3" w14:textId="3D591AC5" w:rsidR="002543F3" w:rsidRPr="00596D0D" w:rsidRDefault="00BB59B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26,9</w:t>
            </w:r>
          </w:p>
        </w:tc>
      </w:tr>
      <w:tr w:rsidR="002543F3" w:rsidRPr="003D4DC6" w14:paraId="76CC257B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EAAF" w14:textId="77777777" w:rsidR="002543F3" w:rsidRPr="003D4DC6" w:rsidRDefault="002543F3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22C0" w14:textId="1E64C5F2" w:rsidR="002543F3" w:rsidRPr="00596D0D" w:rsidRDefault="00BB59B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DFE2A" w14:textId="1B0A883E" w:rsidR="002543F3" w:rsidRPr="00596D0D" w:rsidRDefault="00BB59B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81 922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3FA3" w14:textId="7E197641" w:rsidR="002543F3" w:rsidRPr="00596D0D" w:rsidRDefault="00BB59B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23AC3" w14:textId="31DAA39C" w:rsidR="002543F3" w:rsidRPr="00596D0D" w:rsidRDefault="00BB59B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17 324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2FEC" w14:textId="2BC36539" w:rsidR="002543F3" w:rsidRPr="00596D0D" w:rsidRDefault="00BB59B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36,6</w:t>
            </w:r>
          </w:p>
        </w:tc>
      </w:tr>
      <w:tr w:rsidR="004E6642" w:rsidRPr="004E6642" w14:paraId="1D4C8E70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6DB18" w14:textId="77777777" w:rsidR="002543F3" w:rsidRPr="003D4DC6" w:rsidRDefault="002543F3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E17D" w14:textId="020F157A" w:rsidR="002543F3" w:rsidRPr="00596D0D" w:rsidRDefault="00BB59B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A53F9" w14:textId="17B78DAA" w:rsidR="002543F3" w:rsidRPr="00596D0D" w:rsidRDefault="00BB59B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44FF2" w14:textId="77C269E8" w:rsidR="002543F3" w:rsidRPr="00596D0D" w:rsidRDefault="00BB59B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E49B" w14:textId="7865CE22" w:rsidR="002543F3" w:rsidRPr="00596D0D" w:rsidRDefault="00BB59B0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81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0B84" w14:textId="3B3E599F" w:rsidR="002543F3" w:rsidRPr="00596D0D" w:rsidRDefault="00BB59B0" w:rsidP="002A50E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96D0D">
              <w:rPr>
                <w:rFonts w:cs="Fira Sans"/>
                <w:sz w:val="16"/>
                <w:szCs w:val="16"/>
              </w:rPr>
              <w:t>8,</w:t>
            </w:r>
            <w:r w:rsidR="002A50E0" w:rsidRPr="00596D0D">
              <w:rPr>
                <w:rFonts w:cs="Fira Sans"/>
                <w:sz w:val="16"/>
                <w:szCs w:val="16"/>
              </w:rPr>
              <w:t>0</w:t>
            </w:r>
          </w:p>
        </w:tc>
      </w:tr>
    </w:tbl>
    <w:p w14:paraId="1D011D1B" w14:textId="3B7FEA5B" w:rsidR="002543F3" w:rsidRPr="00596D0D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96D0D">
        <w:rPr>
          <w:rFonts w:cs="Fira Sans"/>
          <w:b/>
          <w:szCs w:val="19"/>
        </w:rPr>
        <w:t>Przeciętny czas trwania budowy</w:t>
      </w:r>
      <w:r w:rsidRPr="00596D0D">
        <w:rPr>
          <w:rFonts w:cs="Fira Sans"/>
          <w:szCs w:val="19"/>
        </w:rPr>
        <w:t xml:space="preserve"> nowego budynku m</w:t>
      </w:r>
      <w:r w:rsidR="005E675C" w:rsidRPr="00596D0D">
        <w:rPr>
          <w:rFonts w:cs="Fira Sans"/>
          <w:szCs w:val="19"/>
        </w:rPr>
        <w:t>ieszkalnego, liczony od daty jego</w:t>
      </w:r>
      <w:r w:rsidRPr="00596D0D">
        <w:rPr>
          <w:rFonts w:cs="Fira Sans"/>
          <w:szCs w:val="19"/>
        </w:rPr>
        <w:t xml:space="preserve"> </w:t>
      </w:r>
      <w:r w:rsidRPr="00596D0D">
        <w:rPr>
          <w:rFonts w:cs="Fira Sans"/>
          <w:szCs w:val="19"/>
        </w:rPr>
        <w:br/>
        <w:t xml:space="preserve">rozpoczęcia do terminu oddania budynku do użytkowania, w </w:t>
      </w:r>
      <w:r w:rsidR="00923B2B" w:rsidRPr="00596D0D">
        <w:rPr>
          <w:rFonts w:cs="Fira Sans"/>
          <w:szCs w:val="19"/>
        </w:rPr>
        <w:t>pierwszym kwartale 2019</w:t>
      </w:r>
      <w:r w:rsidR="00353114">
        <w:rPr>
          <w:rFonts w:cs="Fira Sans"/>
          <w:szCs w:val="19"/>
        </w:rPr>
        <w:t xml:space="preserve"> roku skrócił się</w:t>
      </w:r>
      <w:r w:rsidR="00A75B17" w:rsidRPr="00596D0D">
        <w:rPr>
          <w:rFonts w:cs="Fira Sans"/>
          <w:szCs w:val="19"/>
        </w:rPr>
        <w:t xml:space="preserve"> </w:t>
      </w:r>
      <w:r w:rsidRPr="00596D0D">
        <w:rPr>
          <w:rFonts w:cs="Fira Sans"/>
          <w:szCs w:val="19"/>
        </w:rPr>
        <w:t>w stosunku do </w:t>
      </w:r>
      <w:r w:rsidR="005E675C" w:rsidRPr="00596D0D">
        <w:rPr>
          <w:rFonts w:cs="Fira Sans"/>
          <w:szCs w:val="19"/>
        </w:rPr>
        <w:t xml:space="preserve">analogicznego okresu </w:t>
      </w:r>
      <w:r w:rsidRPr="00596D0D">
        <w:rPr>
          <w:rFonts w:cs="Fira Sans"/>
          <w:szCs w:val="19"/>
        </w:rPr>
        <w:t xml:space="preserve">roku poprzedniego o </w:t>
      </w:r>
      <w:r w:rsidR="004E6642" w:rsidRPr="00596D0D">
        <w:rPr>
          <w:rFonts w:cs="Fira Sans"/>
          <w:szCs w:val="19"/>
        </w:rPr>
        <w:t xml:space="preserve">1,6 </w:t>
      </w:r>
      <w:r w:rsidRPr="00596D0D">
        <w:rPr>
          <w:rFonts w:cs="Fira Sans"/>
          <w:szCs w:val="19"/>
        </w:rPr>
        <w:t>miesiąc</w:t>
      </w:r>
      <w:r w:rsidR="00923B2B" w:rsidRPr="00596D0D">
        <w:rPr>
          <w:rFonts w:cs="Fira Sans"/>
          <w:szCs w:val="19"/>
        </w:rPr>
        <w:t>a</w:t>
      </w:r>
      <w:r w:rsidRPr="00596D0D">
        <w:rPr>
          <w:rFonts w:cs="Fira Sans"/>
          <w:szCs w:val="19"/>
        </w:rPr>
        <w:t xml:space="preserve"> i wyniósł </w:t>
      </w:r>
      <w:r w:rsidR="00923B2B" w:rsidRPr="00596D0D">
        <w:rPr>
          <w:rFonts w:cs="Fira Sans"/>
          <w:szCs w:val="19"/>
        </w:rPr>
        <w:t>40,2</w:t>
      </w:r>
      <w:r w:rsidRPr="00596D0D">
        <w:rPr>
          <w:rFonts w:cs="Fira Sans"/>
          <w:szCs w:val="19"/>
        </w:rPr>
        <w:t xml:space="preserve"> miesiąca. Budynki </w:t>
      </w:r>
      <w:r w:rsidRPr="00BA6D5B">
        <w:rPr>
          <w:rFonts w:cs="Fira Sans"/>
          <w:szCs w:val="19"/>
        </w:rPr>
        <w:t xml:space="preserve">wielorodzinne </w:t>
      </w:r>
      <w:r w:rsidR="00B37EB2">
        <w:rPr>
          <w:rFonts w:cs="Fira Sans"/>
          <w:szCs w:val="19"/>
        </w:rPr>
        <w:t>oddane do użytkowania</w:t>
      </w:r>
      <w:r w:rsidRPr="00BA6D5B">
        <w:rPr>
          <w:rFonts w:cs="Fira Sans"/>
          <w:szCs w:val="19"/>
        </w:rPr>
        <w:t xml:space="preserve"> w analizowanym</w:t>
      </w:r>
      <w:r w:rsidRPr="00596D0D">
        <w:rPr>
          <w:rFonts w:cs="Fira Sans"/>
          <w:szCs w:val="19"/>
        </w:rPr>
        <w:t xml:space="preserve"> okresie wznoszono w czasie ponad 2-krotnie krótszym niż jednorodzinne (odpowiednio </w:t>
      </w:r>
      <w:r w:rsidR="004E6642" w:rsidRPr="00596D0D">
        <w:rPr>
          <w:rFonts w:cs="Fira Sans"/>
          <w:szCs w:val="19"/>
        </w:rPr>
        <w:t>27,2</w:t>
      </w:r>
      <w:r w:rsidR="002A50E0" w:rsidRPr="00596D0D">
        <w:rPr>
          <w:rFonts w:cs="Fira Sans"/>
          <w:szCs w:val="19"/>
        </w:rPr>
        <w:t xml:space="preserve"> </w:t>
      </w:r>
      <w:r w:rsidRPr="00596D0D">
        <w:rPr>
          <w:rFonts w:cs="Fira Sans"/>
          <w:szCs w:val="19"/>
        </w:rPr>
        <w:t xml:space="preserve">i </w:t>
      </w:r>
      <w:r w:rsidR="00923B2B" w:rsidRPr="00596D0D">
        <w:rPr>
          <w:rFonts w:cs="Fira Sans"/>
          <w:szCs w:val="19"/>
        </w:rPr>
        <w:t>49,9</w:t>
      </w:r>
      <w:r w:rsidRPr="00596D0D">
        <w:rPr>
          <w:rFonts w:cs="Fira Sans"/>
          <w:szCs w:val="19"/>
        </w:rPr>
        <w:t xml:space="preserve"> miesiąca).</w:t>
      </w:r>
    </w:p>
    <w:p w14:paraId="223ABD93" w14:textId="77777777" w:rsidR="002543F3" w:rsidRPr="00500A17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99335E4" w14:textId="13E9AB3C" w:rsidR="002543F3" w:rsidRDefault="009F5601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E5450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25664" behindDoc="0" locked="0" layoutInCell="1" allowOverlap="1" wp14:anchorId="468FAE42" wp14:editId="44408849">
                <wp:simplePos x="0" y="0"/>
                <wp:positionH relativeFrom="rightMargin">
                  <wp:posOffset>109220</wp:posOffset>
                </wp:positionH>
                <wp:positionV relativeFrom="paragraph">
                  <wp:posOffset>299559</wp:posOffset>
                </wp:positionV>
                <wp:extent cx="1748155" cy="885825"/>
                <wp:effectExtent l="0" t="0" r="0" b="0"/>
                <wp:wrapNone/>
                <wp:docPr id="21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E4E91" w14:textId="0842AA8B" w:rsidR="00217E1A" w:rsidRPr="008350FF" w:rsidRDefault="00217E1A" w:rsidP="002543F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 xml:space="preserve">Liczba </w:t>
                            </w:r>
                            <w:r>
                              <w:rPr>
                                <w:szCs w:val="19"/>
                              </w:rPr>
                              <w:t>mieszkań, których budowę rozpoczęto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wzrosła w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="00FD021B">
                              <w:rPr>
                                <w:szCs w:val="19"/>
                              </w:rPr>
                              <w:t xml:space="preserve">I kwartale </w:t>
                            </w:r>
                            <w:r w:rsidRPr="00EE77C6">
                              <w:rPr>
                                <w:szCs w:val="19"/>
                              </w:rPr>
                              <w:t>201</w:t>
                            </w:r>
                            <w:r w:rsidR="00FD021B">
                              <w:rPr>
                                <w:szCs w:val="19"/>
                              </w:rPr>
                              <w:t>9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roku o</w:t>
                            </w:r>
                            <w:r w:rsidR="00431B8B">
                              <w:rPr>
                                <w:szCs w:val="19"/>
                              </w:rPr>
                              <w:t> </w:t>
                            </w:r>
                            <w:r>
                              <w:rPr>
                                <w:szCs w:val="19"/>
                              </w:rPr>
                              <w:t>12</w:t>
                            </w:r>
                            <w:r w:rsidRPr="00EE77C6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>3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% </w:t>
                            </w:r>
                            <w:r w:rsidRPr="008350FF">
                              <w:rPr>
                                <w:szCs w:val="19"/>
                              </w:rP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FAE42" id="_x0000_s1031" type="#_x0000_t202" style="position:absolute;margin-left:8.6pt;margin-top:23.6pt;width:137.65pt;height:69.75pt;z-index:2518256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" filled="f" stroked="f">
                <v:textbox>
                  <w:txbxContent>
                    <w:p w14:paraId="4D0E4E91" w14:textId="0842AA8B" w:rsidR="00217E1A" w:rsidRPr="008350FF" w:rsidRDefault="00217E1A" w:rsidP="002543F3">
                      <w:pPr>
                        <w:pStyle w:val="tekstzboku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 xml:space="preserve">Liczba </w:t>
                      </w:r>
                      <w:r>
                        <w:rPr>
                          <w:szCs w:val="19"/>
                        </w:rPr>
                        <w:t>mieszkań, których budowę rozpoczęto</w:t>
                      </w:r>
                      <w:r w:rsidRPr="00EE77C6">
                        <w:rPr>
                          <w:szCs w:val="19"/>
                        </w:rPr>
                        <w:t xml:space="preserve"> wzrosła w</w:t>
                      </w:r>
                      <w:r>
                        <w:rPr>
                          <w:szCs w:val="19"/>
                        </w:rPr>
                        <w:t> </w:t>
                      </w:r>
                      <w:r w:rsidR="00FD021B">
                        <w:rPr>
                          <w:szCs w:val="19"/>
                        </w:rPr>
                        <w:t xml:space="preserve">I kwartale </w:t>
                      </w:r>
                      <w:r w:rsidRPr="00EE77C6">
                        <w:rPr>
                          <w:szCs w:val="19"/>
                        </w:rPr>
                        <w:t>201</w:t>
                      </w:r>
                      <w:r w:rsidR="00FD021B">
                        <w:rPr>
                          <w:szCs w:val="19"/>
                        </w:rPr>
                        <w:t>9</w:t>
                      </w:r>
                      <w:r w:rsidRPr="00EE77C6">
                        <w:rPr>
                          <w:szCs w:val="19"/>
                        </w:rPr>
                        <w:t xml:space="preserve"> roku o</w:t>
                      </w:r>
                      <w:r w:rsidR="00431B8B">
                        <w:rPr>
                          <w:szCs w:val="19"/>
                        </w:rPr>
                        <w:t> </w:t>
                      </w:r>
                      <w:r>
                        <w:rPr>
                          <w:szCs w:val="19"/>
                        </w:rPr>
                        <w:t>12</w:t>
                      </w:r>
                      <w:r w:rsidRPr="00EE77C6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>3</w:t>
                      </w:r>
                      <w:r w:rsidRPr="00EE77C6">
                        <w:rPr>
                          <w:szCs w:val="19"/>
                        </w:rPr>
                        <w:t xml:space="preserve">% </w:t>
                      </w:r>
                      <w:r w:rsidRPr="008350FF">
                        <w:rPr>
                          <w:szCs w:val="19"/>
                        </w:rPr>
                        <w:t>r/r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3F3" w:rsidRPr="00AE5450">
        <w:rPr>
          <w:rFonts w:ascii="Fira Sans SemiBold" w:hAnsi="Fira Sans SemiBold"/>
          <w:color w:val="001D77"/>
          <w:sz w:val="24"/>
          <w:shd w:val="clear" w:color="auto" w:fill="FFFFFF"/>
        </w:rPr>
        <w:t>Mieszkania, których budowę rozpoczęto oraz mieszkania, na których</w:t>
      </w:r>
      <w:r w:rsidR="002543F3" w:rsidRPr="00AE5450">
        <w:rPr>
          <w:rFonts w:ascii="Fira Sans SemiBold" w:hAnsi="Fira Sans SemiBold"/>
          <w:color w:val="001D77"/>
          <w:sz w:val="24"/>
          <w:shd w:val="clear" w:color="auto" w:fill="FFFFFF"/>
        </w:rPr>
        <w:br/>
        <w:t>budowę wydano pozwolenia</w:t>
      </w:r>
      <w:r w:rsidR="002543F3" w:rsidRPr="00AE5450">
        <w:rPr>
          <w:rStyle w:val="Odwoanieprzypisudolnego"/>
          <w:rFonts w:ascii="Fira Sans SemiBold" w:hAnsi="Fira Sans SemiBold"/>
          <w:color w:val="001D77"/>
          <w:sz w:val="24"/>
          <w:shd w:val="clear" w:color="auto" w:fill="FFFFFF"/>
        </w:rPr>
        <w:footnoteReference w:id="4"/>
      </w:r>
    </w:p>
    <w:p w14:paraId="0F872407" w14:textId="61832E94" w:rsidR="002543F3" w:rsidRPr="003D4DC6" w:rsidRDefault="002543F3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D4DC6">
        <w:rPr>
          <w:rFonts w:cs="Fira Sans"/>
          <w:szCs w:val="19"/>
        </w:rPr>
        <w:t xml:space="preserve">W </w:t>
      </w:r>
      <w:r w:rsidR="00AE5450">
        <w:rPr>
          <w:rFonts w:cs="Fira Sans"/>
          <w:szCs w:val="19"/>
        </w:rPr>
        <w:t xml:space="preserve">I kwartale </w:t>
      </w:r>
      <w:r w:rsidRPr="003D4DC6">
        <w:rPr>
          <w:rFonts w:cs="Fira Sans"/>
          <w:szCs w:val="19"/>
        </w:rPr>
        <w:t>201</w:t>
      </w:r>
      <w:r w:rsidR="00AE5450">
        <w:rPr>
          <w:rFonts w:cs="Fira Sans"/>
          <w:szCs w:val="19"/>
        </w:rPr>
        <w:t>9</w:t>
      </w:r>
      <w:r w:rsidRPr="003D4DC6">
        <w:rPr>
          <w:rFonts w:cs="Fira Sans"/>
          <w:szCs w:val="19"/>
        </w:rPr>
        <w:t xml:space="preserve"> r</w:t>
      </w:r>
      <w:r>
        <w:rPr>
          <w:rFonts w:cs="Fira Sans"/>
          <w:szCs w:val="19"/>
        </w:rPr>
        <w:t>oku</w:t>
      </w:r>
      <w:r w:rsidRPr="003D4DC6">
        <w:rPr>
          <w:rFonts w:cs="Fira Sans"/>
          <w:szCs w:val="19"/>
        </w:rPr>
        <w:t xml:space="preserve"> </w:t>
      </w:r>
      <w:r w:rsidRPr="00B47CB4">
        <w:rPr>
          <w:rFonts w:cs="Fira Sans"/>
          <w:b/>
          <w:szCs w:val="19"/>
        </w:rPr>
        <w:t>rozpoczęto budowę</w:t>
      </w:r>
      <w:r w:rsidRPr="003D4DC6">
        <w:rPr>
          <w:rFonts w:cs="Fira Sans"/>
          <w:szCs w:val="19"/>
        </w:rPr>
        <w:t xml:space="preserve"> </w:t>
      </w:r>
      <w:r w:rsidR="00AE5450">
        <w:rPr>
          <w:rFonts w:cs="Fira Sans"/>
          <w:szCs w:val="19"/>
        </w:rPr>
        <w:t>53</w:t>
      </w:r>
      <w:r w:rsidRPr="003D4DC6">
        <w:rPr>
          <w:rFonts w:cs="Fira Sans"/>
          <w:szCs w:val="19"/>
        </w:rPr>
        <w:t xml:space="preserve"> </w:t>
      </w:r>
      <w:r w:rsidR="00AE5450">
        <w:rPr>
          <w:rFonts w:cs="Fira Sans"/>
          <w:szCs w:val="19"/>
        </w:rPr>
        <w:t>878</w:t>
      </w:r>
      <w:r w:rsidRPr="003D4DC6">
        <w:rPr>
          <w:rFonts w:cs="Fira Sans"/>
          <w:szCs w:val="19"/>
        </w:rPr>
        <w:t xml:space="preserve"> </w:t>
      </w:r>
      <w:r w:rsidRPr="00B47CB4">
        <w:rPr>
          <w:rFonts w:cs="Fira Sans"/>
          <w:b/>
          <w:szCs w:val="19"/>
        </w:rPr>
        <w:t>mieszkań</w:t>
      </w:r>
      <w:r w:rsidRPr="003D4DC6">
        <w:rPr>
          <w:rFonts w:cs="Fira Sans"/>
          <w:szCs w:val="19"/>
        </w:rPr>
        <w:t xml:space="preserve">, tj. o </w:t>
      </w:r>
      <w:r w:rsidRPr="00CB6DD9">
        <w:rPr>
          <w:rFonts w:cs="Fira Sans"/>
          <w:szCs w:val="19"/>
        </w:rPr>
        <w:t>5 9</w:t>
      </w:r>
      <w:r w:rsidR="00CB6DD9" w:rsidRPr="00CB6DD9">
        <w:rPr>
          <w:rFonts w:cs="Fira Sans"/>
          <w:szCs w:val="19"/>
        </w:rPr>
        <w:t>00</w:t>
      </w:r>
      <w:r w:rsidRPr="003D4DC6">
        <w:rPr>
          <w:rFonts w:cs="Fira Sans"/>
          <w:szCs w:val="19"/>
        </w:rPr>
        <w:t xml:space="preserve"> </w:t>
      </w:r>
      <w:r w:rsidR="00FD021B">
        <w:rPr>
          <w:rFonts w:cs="Fira Sans"/>
          <w:szCs w:val="19"/>
        </w:rPr>
        <w:t xml:space="preserve">mieszkań </w:t>
      </w:r>
      <w:r w:rsidRPr="00D14246">
        <w:rPr>
          <w:rFonts w:cs="Fira Sans"/>
          <w:szCs w:val="19"/>
        </w:rPr>
        <w:t xml:space="preserve">(o </w:t>
      </w:r>
      <w:r w:rsidR="00AE5450" w:rsidRPr="00D14246">
        <w:rPr>
          <w:rFonts w:cs="Fira Sans"/>
          <w:szCs w:val="19"/>
        </w:rPr>
        <w:t>12</w:t>
      </w:r>
      <w:r w:rsidRPr="00D14246">
        <w:rPr>
          <w:rFonts w:cs="Fira Sans"/>
          <w:szCs w:val="19"/>
        </w:rPr>
        <w:t>,</w:t>
      </w:r>
      <w:r w:rsidR="00AE5450" w:rsidRPr="00D14246">
        <w:rPr>
          <w:rFonts w:cs="Fira Sans"/>
          <w:szCs w:val="19"/>
        </w:rPr>
        <w:t>3</w:t>
      </w:r>
      <w:r w:rsidRPr="00D14246">
        <w:rPr>
          <w:rFonts w:cs="Fira Sans"/>
          <w:szCs w:val="19"/>
        </w:rPr>
        <w:t xml:space="preserve">%) </w:t>
      </w:r>
      <w:r w:rsidRPr="00390B85">
        <w:rPr>
          <w:rFonts w:cs="Fira Sans"/>
          <w:szCs w:val="19"/>
        </w:rPr>
        <w:t xml:space="preserve">więcej </w:t>
      </w:r>
      <w:r w:rsidRPr="003D4DC6">
        <w:rPr>
          <w:rFonts w:cs="Fira Sans"/>
          <w:szCs w:val="19"/>
        </w:rPr>
        <w:t>niż w</w:t>
      </w:r>
      <w:r>
        <w:rPr>
          <w:rFonts w:cs="Fira Sans"/>
          <w:szCs w:val="19"/>
        </w:rPr>
        <w:t> </w:t>
      </w:r>
      <w:r w:rsidR="00AE5450">
        <w:rPr>
          <w:rFonts w:cs="Fira Sans"/>
          <w:szCs w:val="19"/>
        </w:rPr>
        <w:t xml:space="preserve">analogicznym okresie </w:t>
      </w:r>
      <w:r w:rsidRPr="003D4DC6">
        <w:rPr>
          <w:rFonts w:cs="Fira Sans"/>
          <w:szCs w:val="19"/>
        </w:rPr>
        <w:t xml:space="preserve">roku </w:t>
      </w:r>
      <w:r w:rsidR="00AE5450">
        <w:rPr>
          <w:rFonts w:cs="Fira Sans"/>
          <w:szCs w:val="19"/>
        </w:rPr>
        <w:t>poprzedniego</w:t>
      </w:r>
      <w:r w:rsidR="00FD021B">
        <w:rPr>
          <w:rFonts w:cs="Fira Sans"/>
          <w:szCs w:val="19"/>
        </w:rPr>
        <w:t>. Mieszkania realizowane w </w:t>
      </w:r>
      <w:r w:rsidRPr="003D4DC6">
        <w:rPr>
          <w:rFonts w:cs="Fira Sans"/>
          <w:szCs w:val="19"/>
        </w:rPr>
        <w:t>budownictwie indywidualnym stanowiły 3</w:t>
      </w:r>
      <w:r w:rsidR="00AE5450">
        <w:rPr>
          <w:rFonts w:cs="Fira Sans"/>
          <w:szCs w:val="19"/>
        </w:rPr>
        <w:t>5</w:t>
      </w:r>
      <w:r w:rsidRPr="003D4DC6">
        <w:rPr>
          <w:rFonts w:cs="Fira Sans"/>
          <w:szCs w:val="19"/>
        </w:rPr>
        <w:t>,</w:t>
      </w:r>
      <w:r w:rsidR="00AE5450">
        <w:rPr>
          <w:rFonts w:cs="Fira Sans"/>
          <w:szCs w:val="19"/>
        </w:rPr>
        <w:t>5</w:t>
      </w:r>
      <w:r w:rsidRPr="003D4DC6">
        <w:rPr>
          <w:rFonts w:cs="Fira Sans"/>
          <w:szCs w:val="19"/>
        </w:rPr>
        <w:t>% ogółu, zaś mieszkania przeznaczone na sprzedaż lub wynajem</w:t>
      </w:r>
      <w:r>
        <w:rPr>
          <w:rFonts w:cs="Fira Sans"/>
          <w:szCs w:val="19"/>
        </w:rPr>
        <w:t xml:space="preserve"> </w:t>
      </w:r>
      <w:r>
        <w:rPr>
          <w:rFonts w:cs="Fira Sans"/>
          <w:szCs w:val="19"/>
        </w:rPr>
        <w:softHyphen/>
      </w:r>
      <w:r w:rsidRPr="00334837">
        <w:rPr>
          <w:rFonts w:cs="Fira Sans"/>
          <w:szCs w:val="19"/>
        </w:rPr>
        <w:t>–</w:t>
      </w:r>
      <w:r w:rsidRPr="003D4DC6">
        <w:rPr>
          <w:rFonts w:cs="Fira Sans"/>
          <w:szCs w:val="19"/>
        </w:rPr>
        <w:t xml:space="preserve"> </w:t>
      </w:r>
      <w:r w:rsidR="00AE5450">
        <w:rPr>
          <w:rFonts w:cs="Fira Sans"/>
          <w:szCs w:val="19"/>
        </w:rPr>
        <w:t>62</w:t>
      </w:r>
      <w:r w:rsidRPr="003D4DC6">
        <w:rPr>
          <w:rFonts w:cs="Fira Sans"/>
          <w:szCs w:val="19"/>
        </w:rPr>
        <w:t>,</w:t>
      </w:r>
      <w:r w:rsidR="00AE5450">
        <w:rPr>
          <w:rFonts w:cs="Fira Sans"/>
          <w:szCs w:val="19"/>
        </w:rPr>
        <w:t>0</w:t>
      </w:r>
      <w:r w:rsidRPr="003D4DC6">
        <w:rPr>
          <w:rFonts w:cs="Fira Sans"/>
          <w:szCs w:val="19"/>
        </w:rPr>
        <w:t>%. Pozostałe 2,</w:t>
      </w:r>
      <w:r w:rsidR="00AE5450">
        <w:rPr>
          <w:rFonts w:cs="Fira Sans"/>
          <w:szCs w:val="19"/>
        </w:rPr>
        <w:t>5</w:t>
      </w:r>
      <w:r w:rsidRPr="003D4DC6">
        <w:rPr>
          <w:rFonts w:cs="Fira Sans"/>
          <w:szCs w:val="19"/>
        </w:rPr>
        <w:t xml:space="preserve">% mieszkań, których budowę rozpoczęto, stanowiły inwestycje mieszkaniowe realizowane w spółdzielczej, komunalnej, społecznej czynszowej i zakładowej formie </w:t>
      </w:r>
      <w:r w:rsidRPr="00596D0D">
        <w:rPr>
          <w:rFonts w:cs="Fira Sans"/>
          <w:szCs w:val="19"/>
        </w:rPr>
        <w:t>budownictwa</w:t>
      </w:r>
      <w:r w:rsidRPr="003D4DC6">
        <w:rPr>
          <w:rFonts w:cs="Fira Sans"/>
          <w:szCs w:val="19"/>
        </w:rPr>
        <w:t xml:space="preserve">. </w:t>
      </w:r>
    </w:p>
    <w:p w14:paraId="6D4FD89D" w14:textId="3D23CA07" w:rsidR="00577C72" w:rsidRDefault="00577C72" w:rsidP="002543F3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</w:p>
    <w:p w14:paraId="4F15355C" w14:textId="6BD5D3A2" w:rsidR="00577C72" w:rsidRDefault="000A38B9" w:rsidP="00577C72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3D4DC6">
        <w:rPr>
          <w:rFonts w:ascii="Fira Sans SemiBold" w:hAnsi="Fira Sans SemiBold"/>
          <w:noProof/>
          <w:sz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29760" behindDoc="0" locked="0" layoutInCell="1" allowOverlap="1" wp14:anchorId="1F5DA39E" wp14:editId="659FEF37">
                <wp:simplePos x="0" y="0"/>
                <wp:positionH relativeFrom="rightMargin">
                  <wp:posOffset>144145</wp:posOffset>
                </wp:positionH>
                <wp:positionV relativeFrom="paragraph">
                  <wp:posOffset>-137434</wp:posOffset>
                </wp:positionV>
                <wp:extent cx="1748155" cy="1162050"/>
                <wp:effectExtent l="0" t="0" r="0" b="0"/>
                <wp:wrapNone/>
                <wp:docPr id="21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8DF80" w14:textId="3DF57F46" w:rsidR="00217E1A" w:rsidRPr="00C341E7" w:rsidRDefault="00217E1A" w:rsidP="002543F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C341E7">
                              <w:rPr>
                                <w:szCs w:val="19"/>
                              </w:rPr>
                              <w:t xml:space="preserve">Liczba mieszkań, na których budowę wydano pozwolenia lub dokonano zgłoszenia z projektem budowlanym </w:t>
                            </w:r>
                            <w:r w:rsidR="00A1742D" w:rsidRPr="00C341E7">
                              <w:rPr>
                                <w:szCs w:val="19"/>
                              </w:rPr>
                              <w:t xml:space="preserve">w I kwartale 2019 roku </w:t>
                            </w:r>
                            <w:r w:rsidRPr="00C341E7">
                              <w:rPr>
                                <w:szCs w:val="19"/>
                              </w:rPr>
                              <w:t>spadła o 14,0%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DA39E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1.35pt;margin-top:-10.8pt;width:137.65pt;height:91.5pt;z-index:2518297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" filled="f" stroked="f">
                <v:textbox>
                  <w:txbxContent>
                    <w:p w14:paraId="38E8DF80" w14:textId="3DF57F46" w:rsidR="00217E1A" w:rsidRPr="00C341E7" w:rsidRDefault="00217E1A" w:rsidP="002543F3">
                      <w:pPr>
                        <w:pStyle w:val="tekstzboku"/>
                        <w:rPr>
                          <w:szCs w:val="19"/>
                        </w:rPr>
                      </w:pPr>
                      <w:r w:rsidRPr="00C341E7">
                        <w:rPr>
                          <w:szCs w:val="19"/>
                        </w:rPr>
                        <w:t xml:space="preserve">Liczba mieszkań, na których budowę wydano pozwolenia lub dokonano zgłoszenia z projektem budowlanym </w:t>
                      </w:r>
                      <w:r w:rsidR="00A1742D" w:rsidRPr="00C341E7">
                        <w:rPr>
                          <w:szCs w:val="19"/>
                        </w:rPr>
                        <w:t xml:space="preserve">w I kwartale 2019 roku </w:t>
                      </w:r>
                      <w:r w:rsidRPr="00C341E7">
                        <w:rPr>
                          <w:szCs w:val="19"/>
                        </w:rPr>
                        <w:t>spadła o 14,0% r/r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3F3" w:rsidRPr="004A1934">
        <w:rPr>
          <w:rFonts w:cs="Fira Sans"/>
          <w:szCs w:val="19"/>
        </w:rPr>
        <w:t>W</w:t>
      </w:r>
      <w:r w:rsidR="00734AD2">
        <w:rPr>
          <w:rFonts w:cs="Fira Sans"/>
          <w:szCs w:val="19"/>
        </w:rPr>
        <w:t xml:space="preserve"> I kwartale</w:t>
      </w:r>
      <w:r w:rsidR="002543F3" w:rsidRPr="004A1934">
        <w:rPr>
          <w:rFonts w:cs="Fira Sans"/>
          <w:szCs w:val="19"/>
        </w:rPr>
        <w:t xml:space="preserve"> 201</w:t>
      </w:r>
      <w:r w:rsidR="00734AD2">
        <w:rPr>
          <w:rFonts w:cs="Fira Sans"/>
          <w:szCs w:val="19"/>
        </w:rPr>
        <w:t>9</w:t>
      </w:r>
      <w:r w:rsidR="002543F3">
        <w:rPr>
          <w:rFonts w:cs="Fira Sans"/>
          <w:szCs w:val="19"/>
        </w:rPr>
        <w:t xml:space="preserve"> roku</w:t>
      </w:r>
      <w:r w:rsidR="002543F3" w:rsidRPr="004A1934">
        <w:rPr>
          <w:rFonts w:cs="Fira Sans"/>
          <w:szCs w:val="19"/>
        </w:rPr>
        <w:t xml:space="preserve"> wydano </w:t>
      </w:r>
      <w:r w:rsidR="002543F3" w:rsidRPr="00126670">
        <w:rPr>
          <w:rFonts w:cs="Fira Sans"/>
          <w:b/>
          <w:szCs w:val="19"/>
        </w:rPr>
        <w:t>pozwolenia na budowę</w:t>
      </w:r>
      <w:r w:rsidR="002543F3" w:rsidRPr="004A1934">
        <w:rPr>
          <w:rFonts w:cs="Fira Sans"/>
          <w:szCs w:val="19"/>
        </w:rPr>
        <w:t xml:space="preserve"> lub dokonano zgłoszeń z projektem </w:t>
      </w:r>
      <w:r w:rsidR="002543F3">
        <w:rPr>
          <w:rFonts w:cs="Fira Sans"/>
          <w:szCs w:val="19"/>
        </w:rPr>
        <w:br/>
      </w:r>
      <w:r w:rsidR="002543F3" w:rsidRPr="0046060D">
        <w:rPr>
          <w:rFonts w:cs="Fira Sans"/>
          <w:szCs w:val="19"/>
        </w:rPr>
        <w:t xml:space="preserve">budowlanym budowy 57 </w:t>
      </w:r>
      <w:r w:rsidR="00A86D83" w:rsidRPr="0046060D">
        <w:rPr>
          <w:rFonts w:cs="Fira Sans"/>
          <w:szCs w:val="19"/>
        </w:rPr>
        <w:t>261</w:t>
      </w:r>
      <w:r w:rsidR="002543F3" w:rsidRPr="0046060D">
        <w:rPr>
          <w:rFonts w:cs="Fira Sans"/>
          <w:szCs w:val="19"/>
        </w:rPr>
        <w:t xml:space="preserve"> mieszkań</w:t>
      </w:r>
      <w:r w:rsidR="00353114">
        <w:rPr>
          <w:rFonts w:cs="Fira Sans"/>
          <w:szCs w:val="19"/>
        </w:rPr>
        <w:t>,</w:t>
      </w:r>
      <w:r w:rsidR="002543F3" w:rsidRPr="0046060D">
        <w:rPr>
          <w:rFonts w:cs="Fira Sans"/>
          <w:szCs w:val="19"/>
        </w:rPr>
        <w:t xml:space="preserve"> tj. o </w:t>
      </w:r>
      <w:r w:rsidR="00A86D83" w:rsidRPr="0046060D">
        <w:rPr>
          <w:rFonts w:cs="Fira Sans"/>
          <w:szCs w:val="19"/>
        </w:rPr>
        <w:t>14</w:t>
      </w:r>
      <w:r w:rsidR="002543F3" w:rsidRPr="0046060D">
        <w:rPr>
          <w:rFonts w:cs="Fira Sans"/>
          <w:szCs w:val="19"/>
        </w:rPr>
        <w:t>,</w:t>
      </w:r>
      <w:r w:rsidR="00A86D83" w:rsidRPr="0046060D">
        <w:rPr>
          <w:rFonts w:cs="Fira Sans"/>
          <w:szCs w:val="19"/>
        </w:rPr>
        <w:t>0</w:t>
      </w:r>
      <w:r w:rsidR="002543F3" w:rsidRPr="0046060D">
        <w:rPr>
          <w:rFonts w:cs="Fira Sans"/>
          <w:szCs w:val="19"/>
        </w:rPr>
        <w:t xml:space="preserve">% </w:t>
      </w:r>
      <w:r w:rsidR="00A86D83" w:rsidRPr="0046060D">
        <w:rPr>
          <w:rFonts w:cs="Fira Sans"/>
          <w:szCs w:val="19"/>
        </w:rPr>
        <w:t>mniej</w:t>
      </w:r>
      <w:r w:rsidR="002543F3" w:rsidRPr="0046060D">
        <w:rPr>
          <w:rFonts w:cs="Fira Sans"/>
          <w:szCs w:val="19"/>
        </w:rPr>
        <w:t xml:space="preserve"> niż w </w:t>
      </w:r>
      <w:r w:rsidR="00A86D83" w:rsidRPr="0046060D">
        <w:rPr>
          <w:rFonts w:cs="Fira Sans"/>
          <w:szCs w:val="19"/>
        </w:rPr>
        <w:t>przed rokiem</w:t>
      </w:r>
      <w:r w:rsidR="002543F3" w:rsidRPr="0046060D">
        <w:rPr>
          <w:rFonts w:cs="Fira Sans"/>
          <w:szCs w:val="19"/>
        </w:rPr>
        <w:t>, z czego 97,</w:t>
      </w:r>
      <w:r w:rsidR="00A86D83" w:rsidRPr="0046060D">
        <w:rPr>
          <w:rFonts w:cs="Fira Sans"/>
          <w:szCs w:val="19"/>
        </w:rPr>
        <w:t>7</w:t>
      </w:r>
      <w:r w:rsidR="002543F3" w:rsidRPr="0046060D">
        <w:rPr>
          <w:rFonts w:cs="Fira Sans"/>
          <w:szCs w:val="19"/>
        </w:rPr>
        <w:t xml:space="preserve">% </w:t>
      </w:r>
      <w:r w:rsidR="00D33CF7" w:rsidRPr="0046060D">
        <w:rPr>
          <w:rFonts w:cs="Fira Sans"/>
          <w:szCs w:val="19"/>
        </w:rPr>
        <w:t xml:space="preserve"> (podobnie jak przed rokiem) </w:t>
      </w:r>
      <w:r w:rsidR="002543F3" w:rsidRPr="004A1934">
        <w:rPr>
          <w:rFonts w:cs="Fira Sans"/>
          <w:szCs w:val="19"/>
        </w:rPr>
        <w:t>realizowanych będzie w</w:t>
      </w:r>
      <w:r w:rsidR="002543F3">
        <w:rPr>
          <w:rFonts w:cs="Fira Sans"/>
          <w:szCs w:val="19"/>
        </w:rPr>
        <w:t> </w:t>
      </w:r>
      <w:r w:rsidR="002543F3" w:rsidRPr="004A1934">
        <w:rPr>
          <w:rFonts w:cs="Fira Sans"/>
          <w:szCs w:val="19"/>
        </w:rPr>
        <w:t xml:space="preserve">nowych budynkach </w:t>
      </w:r>
      <w:r w:rsidR="002543F3" w:rsidRPr="005F4D75">
        <w:rPr>
          <w:rFonts w:cs="Fira Sans"/>
          <w:szCs w:val="19"/>
        </w:rPr>
        <w:t>mieszkalnych</w:t>
      </w:r>
      <w:r w:rsidR="0046060D">
        <w:rPr>
          <w:rFonts w:cs="Fira Sans"/>
          <w:szCs w:val="19"/>
        </w:rPr>
        <w:t>.</w:t>
      </w:r>
      <w:r w:rsidR="002543F3" w:rsidRPr="005F4D75">
        <w:rPr>
          <w:rFonts w:cs="Fira Sans"/>
          <w:szCs w:val="19"/>
        </w:rPr>
        <w:t xml:space="preserve"> </w:t>
      </w:r>
      <w:r w:rsidR="00D33CF7">
        <w:rPr>
          <w:rFonts w:cs="Fira Sans"/>
          <w:szCs w:val="19"/>
        </w:rPr>
        <w:t xml:space="preserve"> </w:t>
      </w:r>
      <w:r w:rsidR="002543F3" w:rsidRPr="009F5601">
        <w:rPr>
          <w:rFonts w:cs="Fira Sans"/>
          <w:spacing w:val="-4"/>
          <w:szCs w:val="19"/>
        </w:rPr>
        <w:t>Pozostałe mieszkania powstaną w nowych budynkach niemieszkalnych</w:t>
      </w:r>
      <w:r w:rsidR="004E136D" w:rsidRPr="009F5601">
        <w:rPr>
          <w:rFonts w:cs="Fira Sans"/>
          <w:spacing w:val="-4"/>
          <w:szCs w:val="19"/>
        </w:rPr>
        <w:t>,</w:t>
      </w:r>
      <w:r w:rsidR="002543F3" w:rsidRPr="009F5601">
        <w:rPr>
          <w:rFonts w:cs="Fira Sans"/>
          <w:spacing w:val="-4"/>
          <w:szCs w:val="19"/>
        </w:rPr>
        <w:t xml:space="preserve"> zbiorowego zamieszkania oraz w rozbudowywanych i przebudowywanych budynkach mieszkalnych</w:t>
      </w:r>
      <w:r w:rsidR="00D33CF7" w:rsidRPr="009F5601">
        <w:rPr>
          <w:rFonts w:cs="Fira Sans"/>
          <w:spacing w:val="-4"/>
          <w:szCs w:val="19"/>
        </w:rPr>
        <w:t xml:space="preserve"> </w:t>
      </w:r>
      <w:r w:rsidR="002543F3" w:rsidRPr="009F5601">
        <w:rPr>
          <w:rFonts w:cs="Fira Sans"/>
          <w:spacing w:val="-4"/>
          <w:szCs w:val="19"/>
        </w:rPr>
        <w:t>i</w:t>
      </w:r>
      <w:r w:rsidR="0046060D" w:rsidRPr="009F5601">
        <w:rPr>
          <w:rFonts w:cs="Fira Sans"/>
          <w:spacing w:val="-4"/>
          <w:szCs w:val="19"/>
        </w:rPr>
        <w:t> </w:t>
      </w:r>
      <w:r w:rsidR="002543F3" w:rsidRPr="009F5601">
        <w:rPr>
          <w:rFonts w:cs="Fira Sans"/>
          <w:spacing w:val="-4"/>
          <w:szCs w:val="19"/>
        </w:rPr>
        <w:t>niemieszkalnych.</w:t>
      </w:r>
    </w:p>
    <w:p w14:paraId="4E7DDCDC" w14:textId="7BACDCB1" w:rsidR="002543F3" w:rsidRPr="002E795A" w:rsidRDefault="002543F3" w:rsidP="00577C72">
      <w:pPr>
        <w:autoSpaceDE w:val="0"/>
        <w:autoSpaceDN w:val="0"/>
        <w:adjustRightInd w:val="0"/>
        <w:spacing w:before="60" w:after="0" w:line="240" w:lineRule="atLeast"/>
        <w:textAlignment w:val="center"/>
        <w:rPr>
          <w:rFonts w:cs="Fira Sans"/>
          <w:szCs w:val="19"/>
        </w:rPr>
      </w:pPr>
      <w:r w:rsidRPr="002E795A">
        <w:rPr>
          <w:rFonts w:cs="Fira Sans"/>
          <w:szCs w:val="19"/>
        </w:rPr>
        <w:t>Średnia prognozowana powierzchnia mieszkań w nowych budynkach wielorodzinnych ukształtowała się na poziome 55,</w:t>
      </w:r>
      <w:r w:rsidR="00F76935">
        <w:rPr>
          <w:rFonts w:cs="Fira Sans"/>
          <w:szCs w:val="19"/>
        </w:rPr>
        <w:t>9</w:t>
      </w:r>
      <w:r w:rsidRPr="002E795A">
        <w:rPr>
          <w:rFonts w:cs="Fira Sans"/>
          <w:szCs w:val="19"/>
        </w:rPr>
        <w:t> m</w:t>
      </w:r>
      <w:r w:rsidRPr="00837139">
        <w:rPr>
          <w:rFonts w:cs="Fira Sans"/>
          <w:szCs w:val="19"/>
          <w:vertAlign w:val="superscript"/>
        </w:rPr>
        <w:t>2</w:t>
      </w:r>
      <w:r w:rsidRPr="002E795A">
        <w:rPr>
          <w:rFonts w:cs="Fira Sans"/>
          <w:szCs w:val="19"/>
        </w:rPr>
        <w:t xml:space="preserve"> (</w:t>
      </w:r>
      <w:r w:rsidR="00B6142B">
        <w:rPr>
          <w:rFonts w:cs="Fira Sans"/>
          <w:szCs w:val="19"/>
        </w:rPr>
        <w:t xml:space="preserve">I kwartał </w:t>
      </w:r>
      <w:r w:rsidRPr="002E795A">
        <w:rPr>
          <w:rFonts w:cs="Fira Sans"/>
          <w:szCs w:val="19"/>
        </w:rPr>
        <w:t>201</w:t>
      </w:r>
      <w:r w:rsidR="00B6142B">
        <w:rPr>
          <w:rFonts w:cs="Fira Sans"/>
          <w:szCs w:val="19"/>
        </w:rPr>
        <w:t>8</w:t>
      </w:r>
      <w:r w:rsidR="004F2AF9">
        <w:rPr>
          <w:rFonts w:cs="Fira Sans"/>
          <w:szCs w:val="19"/>
        </w:rPr>
        <w:t xml:space="preserve"> r</w:t>
      </w:r>
      <w:r w:rsidR="00F35F67">
        <w:rPr>
          <w:rFonts w:cs="Fira Sans"/>
          <w:szCs w:val="19"/>
        </w:rPr>
        <w:t>oku</w:t>
      </w:r>
      <w:r w:rsidR="004F2AF9">
        <w:rPr>
          <w:rFonts w:cs="Fira Sans"/>
          <w:szCs w:val="19"/>
        </w:rPr>
        <w:t xml:space="preserve"> – </w:t>
      </w:r>
      <w:r w:rsidR="004F2AF9" w:rsidRPr="00A24AAB">
        <w:rPr>
          <w:rFonts w:cs="Fira Sans"/>
          <w:szCs w:val="19"/>
        </w:rPr>
        <w:t>5</w:t>
      </w:r>
      <w:r w:rsidR="00A24AAB" w:rsidRPr="00A24AAB">
        <w:rPr>
          <w:rFonts w:cs="Fira Sans"/>
          <w:szCs w:val="19"/>
        </w:rPr>
        <w:t>5</w:t>
      </w:r>
      <w:r w:rsidR="004F2AF9" w:rsidRPr="00A24AAB">
        <w:rPr>
          <w:rFonts w:cs="Fira Sans"/>
          <w:szCs w:val="19"/>
        </w:rPr>
        <w:t>,1</w:t>
      </w:r>
      <w:r w:rsidR="004F2AF9">
        <w:rPr>
          <w:rFonts w:cs="Fira Sans"/>
          <w:szCs w:val="19"/>
        </w:rPr>
        <w:t xml:space="preserve"> m</w:t>
      </w:r>
      <w:r w:rsidR="004F2AF9" w:rsidRPr="005B386B">
        <w:rPr>
          <w:rFonts w:cs="Fira Sans"/>
          <w:szCs w:val="19"/>
          <w:vertAlign w:val="superscript"/>
        </w:rPr>
        <w:t>2</w:t>
      </w:r>
      <w:r w:rsidR="004F2AF9">
        <w:rPr>
          <w:rFonts w:cs="Fira Sans"/>
          <w:szCs w:val="19"/>
        </w:rPr>
        <w:t xml:space="preserve">), a w budynkach </w:t>
      </w:r>
      <w:r w:rsidRPr="002E795A">
        <w:rPr>
          <w:rFonts w:cs="Fira Sans"/>
          <w:szCs w:val="19"/>
        </w:rPr>
        <w:br/>
        <w:t>jednorodzinnych – 13</w:t>
      </w:r>
      <w:r w:rsidR="00F76935">
        <w:rPr>
          <w:rFonts w:cs="Fira Sans"/>
          <w:szCs w:val="19"/>
        </w:rPr>
        <w:t>4</w:t>
      </w:r>
      <w:r w:rsidRPr="002E795A">
        <w:rPr>
          <w:rFonts w:cs="Fira Sans"/>
          <w:szCs w:val="19"/>
        </w:rPr>
        <w:t>,</w:t>
      </w:r>
      <w:r w:rsidR="00F76935">
        <w:rPr>
          <w:rFonts w:cs="Fira Sans"/>
          <w:szCs w:val="19"/>
        </w:rPr>
        <w:t>4</w:t>
      </w:r>
      <w:r w:rsidRPr="002E795A">
        <w:rPr>
          <w:rFonts w:cs="Fira Sans"/>
          <w:szCs w:val="19"/>
        </w:rPr>
        <w:t xml:space="preserve"> m</w:t>
      </w:r>
      <w:r w:rsidRPr="00837139">
        <w:rPr>
          <w:rFonts w:cs="Fira Sans"/>
          <w:szCs w:val="19"/>
          <w:vertAlign w:val="superscript"/>
        </w:rPr>
        <w:t>2</w:t>
      </w:r>
      <w:r w:rsidRPr="002E795A">
        <w:rPr>
          <w:rFonts w:cs="Fira Sans"/>
          <w:szCs w:val="19"/>
        </w:rPr>
        <w:t xml:space="preserve"> (</w:t>
      </w:r>
      <w:r w:rsidR="00B6142B">
        <w:rPr>
          <w:rFonts w:cs="Fira Sans"/>
          <w:szCs w:val="19"/>
        </w:rPr>
        <w:t>przed rokiem</w:t>
      </w:r>
      <w:r w:rsidRPr="002E795A">
        <w:rPr>
          <w:rFonts w:cs="Fira Sans"/>
          <w:szCs w:val="19"/>
        </w:rPr>
        <w:t xml:space="preserve"> – </w:t>
      </w:r>
      <w:r w:rsidRPr="00A24AAB">
        <w:rPr>
          <w:rFonts w:cs="Fira Sans"/>
          <w:szCs w:val="19"/>
        </w:rPr>
        <w:t>13</w:t>
      </w:r>
      <w:r w:rsidR="00A24AAB" w:rsidRPr="00A24AAB">
        <w:rPr>
          <w:rFonts w:cs="Fira Sans"/>
          <w:szCs w:val="19"/>
        </w:rPr>
        <w:t>6</w:t>
      </w:r>
      <w:r w:rsidRPr="00A24AAB">
        <w:rPr>
          <w:rFonts w:cs="Fira Sans"/>
          <w:szCs w:val="19"/>
        </w:rPr>
        <w:t>,</w:t>
      </w:r>
      <w:r w:rsidR="00A24AAB" w:rsidRPr="00A24AAB">
        <w:rPr>
          <w:rFonts w:cs="Fira Sans"/>
          <w:szCs w:val="19"/>
        </w:rPr>
        <w:t>0</w:t>
      </w:r>
      <w:r w:rsidRPr="002E795A">
        <w:rPr>
          <w:rFonts w:cs="Fira Sans"/>
          <w:szCs w:val="19"/>
        </w:rPr>
        <w:t> m</w:t>
      </w:r>
      <w:r w:rsidRPr="00837139">
        <w:rPr>
          <w:rFonts w:cs="Fira Sans"/>
          <w:szCs w:val="19"/>
          <w:vertAlign w:val="superscript"/>
        </w:rPr>
        <w:t>2</w:t>
      </w:r>
      <w:r w:rsidRPr="002E795A">
        <w:rPr>
          <w:rFonts w:cs="Fira Sans"/>
          <w:szCs w:val="19"/>
        </w:rPr>
        <w:t>).</w:t>
      </w:r>
    </w:p>
    <w:p w14:paraId="4D8EC63A" w14:textId="77777777" w:rsidR="002543F3" w:rsidRPr="00FC72BB" w:rsidRDefault="002543F3" w:rsidP="00577C72">
      <w:pPr>
        <w:autoSpaceDE w:val="0"/>
        <w:autoSpaceDN w:val="0"/>
        <w:adjustRightInd w:val="0"/>
        <w:spacing w:after="0" w:line="240" w:lineRule="atLeast"/>
        <w:ind w:left="851" w:hanging="851"/>
        <w:textAlignment w:val="center"/>
        <w:rPr>
          <w:rFonts w:cs="Fira Sans"/>
          <w:sz w:val="18"/>
          <w:szCs w:val="19"/>
          <w:vertAlign w:val="superscript"/>
        </w:rPr>
      </w:pPr>
      <w:r w:rsidRPr="003D4DC6">
        <w:rPr>
          <w:rFonts w:cs="Fira Sans"/>
          <w:b/>
          <w:bCs/>
          <w:sz w:val="18"/>
          <w:szCs w:val="19"/>
        </w:rPr>
        <w:t xml:space="preserve">Tablica </w:t>
      </w:r>
      <w:r>
        <w:rPr>
          <w:rFonts w:cs="Fira Sans"/>
          <w:b/>
          <w:bCs/>
          <w:sz w:val="18"/>
          <w:szCs w:val="19"/>
        </w:rPr>
        <w:t>3</w:t>
      </w:r>
      <w:r w:rsidRPr="003D4DC6">
        <w:rPr>
          <w:rFonts w:cs="Fira Sans"/>
          <w:b/>
          <w:bCs/>
          <w:sz w:val="18"/>
          <w:szCs w:val="19"/>
        </w:rPr>
        <w:t>. Pozwolenia wydane na budowę i zgłoszenia z projektem budowlanym budowy nowych budynków mieszkalnych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86"/>
        <w:gridCol w:w="1276"/>
        <w:gridCol w:w="1276"/>
        <w:gridCol w:w="1275"/>
        <w:gridCol w:w="1134"/>
      </w:tblGrid>
      <w:tr w:rsidR="002543F3" w:rsidRPr="00354337" w14:paraId="0E027227" w14:textId="77777777" w:rsidTr="00853904">
        <w:trPr>
          <w:trHeight w:val="301"/>
        </w:trPr>
        <w:tc>
          <w:tcPr>
            <w:tcW w:w="170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784E5" w14:textId="77777777" w:rsidR="002543F3" w:rsidRPr="003223DE" w:rsidRDefault="002543F3" w:rsidP="001406F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223DE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3FA0" w14:textId="77777777" w:rsidR="002543F3" w:rsidRPr="003223DE" w:rsidRDefault="002543F3" w:rsidP="001406F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3223DE">
              <w:rPr>
                <w:rFonts w:cs="Fira Sans"/>
                <w:color w:val="000000"/>
                <w:sz w:val="16"/>
                <w:szCs w:val="16"/>
              </w:rPr>
              <w:t xml:space="preserve">Pozwolenia 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Pr="003223DE">
              <w:rPr>
                <w:rFonts w:cs="Fira Sans"/>
                <w:color w:val="000000"/>
                <w:sz w:val="16"/>
                <w:szCs w:val="16"/>
              </w:rPr>
              <w:t xml:space="preserve">i zgłoszenia </w:t>
            </w:r>
            <w:r w:rsidRPr="003223DE">
              <w:rPr>
                <w:rFonts w:cs="Fira Sans"/>
                <w:color w:val="000000"/>
                <w:sz w:val="16"/>
                <w:szCs w:val="16"/>
              </w:rPr>
              <w:br/>
              <w:t xml:space="preserve">z projektem 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proofErr w:type="spellStart"/>
            <w:r w:rsidRPr="003223DE">
              <w:rPr>
                <w:rFonts w:cs="Fira Sans"/>
                <w:color w:val="000000"/>
                <w:sz w:val="16"/>
                <w:szCs w:val="16"/>
              </w:rPr>
              <w:t>budowlanym</w:t>
            </w:r>
            <w:r w:rsidRPr="003223DE">
              <w:rPr>
                <w:rFonts w:cs="Fira Sans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FAF78" w14:textId="77777777" w:rsidR="002543F3" w:rsidRPr="003223DE" w:rsidRDefault="002543F3" w:rsidP="001406F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proofErr w:type="spellStart"/>
            <w:r w:rsidRPr="003223DE">
              <w:rPr>
                <w:rFonts w:cs="Fira Sans"/>
                <w:color w:val="000000"/>
                <w:sz w:val="16"/>
                <w:szCs w:val="16"/>
              </w:rPr>
              <w:t>Budynki</w:t>
            </w:r>
            <w:r w:rsidRPr="003223DE">
              <w:rPr>
                <w:rFonts w:cs="Fira Sans"/>
                <w:color w:val="000000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B8056" w14:textId="77777777" w:rsidR="002543F3" w:rsidRPr="003223DE" w:rsidRDefault="002543F3" w:rsidP="001406F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223DE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nil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732BE" w14:textId="77777777" w:rsidR="002543F3" w:rsidRPr="00156CF9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156CF9">
              <w:rPr>
                <w:rFonts w:cs="Fira Sans"/>
                <w:color w:val="000000"/>
                <w:sz w:val="16"/>
                <w:szCs w:val="16"/>
              </w:rPr>
              <w:t>Powierzchnia użytkowa mieszkań w m</w:t>
            </w:r>
            <w:r w:rsidRPr="00156CF9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354337" w14:paraId="2A6B0688" w14:textId="77777777" w:rsidTr="00853904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1EE74" w14:textId="77777777" w:rsidR="002543F3" w:rsidRPr="00156CF9" w:rsidRDefault="002543F3" w:rsidP="001406F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59908" w14:textId="77777777" w:rsidR="002543F3" w:rsidRPr="00156CF9" w:rsidRDefault="002543F3" w:rsidP="001406F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C86EB" w14:textId="77777777" w:rsidR="002543F3" w:rsidRPr="00156CF9" w:rsidRDefault="002543F3" w:rsidP="001406F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0DC5C" w14:textId="77777777" w:rsidR="002543F3" w:rsidRPr="00156CF9" w:rsidRDefault="002543F3" w:rsidP="001406F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279FB" w14:textId="77777777" w:rsidR="002543F3" w:rsidRPr="003223DE" w:rsidRDefault="002543F3" w:rsidP="001406F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cs="Fira Sans"/>
                <w:color w:val="000000"/>
                <w:sz w:val="16"/>
                <w:szCs w:val="16"/>
                <w:lang w:val="en-US"/>
              </w:rPr>
              <w:t>ogółem</w:t>
            </w:r>
            <w:proofErr w:type="spellEnd"/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49BE73BD" w14:textId="77777777" w:rsidR="002543F3" w:rsidRPr="003223DE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223DE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3223DE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2543F3" w:rsidRPr="00354337" w14:paraId="0F683961" w14:textId="77777777" w:rsidTr="00853904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66652" w14:textId="77777777" w:rsidR="002543F3" w:rsidRPr="00354337" w:rsidRDefault="002543F3" w:rsidP="001406FE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US"/>
              </w:rPr>
            </w:pPr>
            <w:r>
              <w:rPr>
                <w:rFonts w:cs="Fira Sans"/>
                <w:b/>
                <w:bCs/>
                <w:color w:val="000000"/>
                <w:sz w:val="16"/>
                <w:szCs w:val="16"/>
                <w:lang w:val="en-US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04C9B" w14:textId="6FBA24A8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22 111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7909B" w14:textId="755D90C3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26 554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349ED" w14:textId="417CD899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55 923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7C4BF" w14:textId="336FCF52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5 338 772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563376FA" w14:textId="0C57A436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95,5</w:t>
            </w:r>
          </w:p>
        </w:tc>
      </w:tr>
      <w:tr w:rsidR="002543F3" w:rsidRPr="003010EC" w14:paraId="1723C047" w14:textId="77777777" w:rsidTr="00853904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DE893" w14:textId="77777777" w:rsidR="002543F3" w:rsidRPr="003010EC" w:rsidRDefault="002543F3" w:rsidP="001406FE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US"/>
              </w:rPr>
            </w:pPr>
            <w:r>
              <w:rPr>
                <w:rFonts w:cs="Fira Sans"/>
                <w:color w:val="000000"/>
                <w:sz w:val="16"/>
                <w:szCs w:val="16"/>
                <w:lang w:val="en-US"/>
              </w:rPr>
              <w:t>Jednorodzinne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01AEF" w14:textId="46902551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21 666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5F9E6" w14:textId="0B6146C5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25 763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B370" w14:textId="5C7B6B99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28 218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0A315" w14:textId="744F5C6A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3 791 121</w:t>
            </w:r>
          </w:p>
        </w:tc>
        <w:tc>
          <w:tcPr>
            <w:tcW w:w="1134" w:type="dxa"/>
          </w:tcPr>
          <w:p w14:paraId="7D4D3CD5" w14:textId="5AAE1F50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134,4</w:t>
            </w:r>
          </w:p>
        </w:tc>
      </w:tr>
      <w:tr w:rsidR="002543F3" w:rsidRPr="003010EC" w14:paraId="6B345303" w14:textId="77777777" w:rsidTr="00853904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411E0" w14:textId="77777777" w:rsidR="002543F3" w:rsidRPr="003010EC" w:rsidRDefault="002543F3" w:rsidP="001406FE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color w:val="7B7B7A"/>
                <w:spacing w:val="-2"/>
                <w:sz w:val="16"/>
                <w:szCs w:val="16"/>
                <w:lang w:val="en-GB"/>
              </w:rPr>
            </w:pPr>
            <w:r>
              <w:rPr>
                <w:rFonts w:cs="Fira Sans"/>
                <w:color w:val="000000"/>
                <w:sz w:val="16"/>
                <w:szCs w:val="16"/>
                <w:lang w:val="en-US"/>
              </w:rPr>
              <w:t>Wielorodzinne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E8D0D" w14:textId="06332655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FAEB" w14:textId="3454848F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791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095A" w14:textId="05DE7BB6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27 705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7E76" w14:textId="3E319792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1 547 651</w:t>
            </w:r>
          </w:p>
        </w:tc>
        <w:tc>
          <w:tcPr>
            <w:tcW w:w="1134" w:type="dxa"/>
          </w:tcPr>
          <w:p w14:paraId="1DAF5A9F" w14:textId="37293D8D" w:rsidR="002543F3" w:rsidRPr="00A65CC6" w:rsidRDefault="001C3979" w:rsidP="001406F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</w:tr>
    </w:tbl>
    <w:p w14:paraId="51617E58" w14:textId="076E2750" w:rsidR="002543F3" w:rsidRPr="00FE638A" w:rsidRDefault="002543F3" w:rsidP="002543F3">
      <w:pPr>
        <w:autoSpaceDE w:val="0"/>
        <w:autoSpaceDN w:val="0"/>
        <w:adjustRightInd w:val="0"/>
        <w:spacing w:before="60" w:after="60" w:line="160" w:lineRule="atLeast"/>
        <w:ind w:left="142" w:hanging="142"/>
        <w:jc w:val="both"/>
        <w:textAlignment w:val="center"/>
        <w:rPr>
          <w:rFonts w:cs="Fira Sans"/>
          <w:sz w:val="16"/>
          <w:szCs w:val="15"/>
        </w:rPr>
      </w:pPr>
      <w:r w:rsidRPr="00FE638A">
        <w:rPr>
          <w:rFonts w:cs="Fira Sans"/>
          <w:sz w:val="16"/>
          <w:szCs w:val="15"/>
          <w:vertAlign w:val="superscript"/>
        </w:rPr>
        <w:t xml:space="preserve">a </w:t>
      </w:r>
      <w:r w:rsidR="003E5534" w:rsidRPr="00FE638A">
        <w:rPr>
          <w:rFonts w:cs="Fira Sans"/>
          <w:sz w:val="16"/>
          <w:szCs w:val="15"/>
        </w:rPr>
        <w:t xml:space="preserve">Dane prezentowane są łącznie z </w:t>
      </w:r>
      <w:r w:rsidRPr="00FE638A">
        <w:rPr>
          <w:rFonts w:cs="Fira Sans"/>
          <w:sz w:val="16"/>
          <w:szCs w:val="15"/>
        </w:rPr>
        <w:t xml:space="preserve">domami letnimi i domkami wypoczynkowymi oraz rezydencjami wiejskimi nieprzystosowanymi do stałego </w:t>
      </w:r>
      <w:r w:rsidRPr="00596D0D">
        <w:rPr>
          <w:rFonts w:cs="Fira Sans"/>
          <w:sz w:val="16"/>
          <w:szCs w:val="15"/>
        </w:rPr>
        <w:t>zamieszkania</w:t>
      </w:r>
      <w:r w:rsidRPr="00FE638A">
        <w:rPr>
          <w:rFonts w:cs="Fira Sans"/>
          <w:sz w:val="16"/>
          <w:szCs w:val="15"/>
        </w:rPr>
        <w:t>.</w:t>
      </w:r>
    </w:p>
    <w:p w14:paraId="2438D14F" w14:textId="3EF689FD" w:rsidR="002543F3" w:rsidRDefault="002543F3" w:rsidP="009F5601">
      <w:pPr>
        <w:autoSpaceDE w:val="0"/>
        <w:autoSpaceDN w:val="0"/>
        <w:adjustRightInd w:val="0"/>
        <w:spacing w:before="240" w:after="0" w:line="240" w:lineRule="atLeast"/>
        <w:textAlignment w:val="center"/>
        <w:rPr>
          <w:rFonts w:cs="Fira Sans"/>
          <w:szCs w:val="19"/>
        </w:rPr>
      </w:pPr>
      <w:r w:rsidRPr="004A1934">
        <w:rPr>
          <w:rFonts w:cs="Fira Sans"/>
          <w:szCs w:val="19"/>
        </w:rPr>
        <w:t xml:space="preserve">Biorąc pod uwagę strukturę liczby mieszkań, na budowę których wydano pozwolenia lub </w:t>
      </w:r>
      <w:r w:rsidR="003E5534">
        <w:rPr>
          <w:rFonts w:cs="Fira Sans"/>
          <w:szCs w:val="19"/>
        </w:rPr>
        <w:t>d</w:t>
      </w:r>
      <w:r w:rsidRPr="004A1934">
        <w:rPr>
          <w:rFonts w:cs="Fira Sans"/>
          <w:szCs w:val="19"/>
        </w:rPr>
        <w:t>okonano zgłoszenia z projektem budowlanym w</w:t>
      </w:r>
      <w:r w:rsidR="00841814">
        <w:rPr>
          <w:rFonts w:cs="Fira Sans"/>
          <w:szCs w:val="19"/>
        </w:rPr>
        <w:t>edłu</w:t>
      </w:r>
      <w:r w:rsidRPr="004A1934">
        <w:rPr>
          <w:rFonts w:cs="Fira Sans"/>
          <w:szCs w:val="19"/>
        </w:rPr>
        <w:t>g form budownictwa, największe udzi</w:t>
      </w:r>
      <w:r w:rsidR="00BE6AB1">
        <w:rPr>
          <w:rFonts w:cs="Fira Sans"/>
          <w:szCs w:val="19"/>
        </w:rPr>
        <w:t xml:space="preserve">ały odnotowano dla budownictwa </w:t>
      </w:r>
      <w:r w:rsidRPr="004A1934">
        <w:rPr>
          <w:rFonts w:cs="Fira Sans"/>
          <w:szCs w:val="19"/>
        </w:rPr>
        <w:t>na sprzedaż lub wynajem (6</w:t>
      </w:r>
      <w:r w:rsidR="001C3979">
        <w:rPr>
          <w:rFonts w:cs="Fira Sans"/>
          <w:szCs w:val="19"/>
        </w:rPr>
        <w:t>0</w:t>
      </w:r>
      <w:r w:rsidRPr="004A1934">
        <w:rPr>
          <w:rFonts w:cs="Fira Sans"/>
          <w:szCs w:val="19"/>
        </w:rPr>
        <w:t>,</w:t>
      </w:r>
      <w:r w:rsidR="001C3979">
        <w:rPr>
          <w:rFonts w:cs="Fira Sans"/>
          <w:szCs w:val="19"/>
        </w:rPr>
        <w:t>9</w:t>
      </w:r>
      <w:r w:rsidRPr="004A1934">
        <w:rPr>
          <w:rFonts w:cs="Fira Sans"/>
          <w:szCs w:val="19"/>
        </w:rPr>
        <w:t>%) oraz indywidualnego (3</w:t>
      </w:r>
      <w:r w:rsidR="001C3979">
        <w:rPr>
          <w:rFonts w:cs="Fira Sans"/>
          <w:szCs w:val="19"/>
        </w:rPr>
        <w:t>6</w:t>
      </w:r>
      <w:r w:rsidRPr="004A1934">
        <w:rPr>
          <w:rFonts w:cs="Fira Sans"/>
          <w:szCs w:val="19"/>
        </w:rPr>
        <w:t>,</w:t>
      </w:r>
      <w:r w:rsidR="001C3979">
        <w:rPr>
          <w:rFonts w:cs="Fira Sans"/>
          <w:szCs w:val="19"/>
        </w:rPr>
        <w:t>9</w:t>
      </w:r>
      <w:r w:rsidRPr="004A1934">
        <w:rPr>
          <w:rFonts w:cs="Fira Sans"/>
          <w:szCs w:val="19"/>
        </w:rPr>
        <w:t>%). Pozostałe mieszkania będą realizowane w spółdzielczej, komunalnej, społecznej czynszowej i</w:t>
      </w:r>
      <w:r>
        <w:rPr>
          <w:rFonts w:cs="Fira Sans"/>
          <w:szCs w:val="19"/>
        </w:rPr>
        <w:t> </w:t>
      </w:r>
      <w:r w:rsidRPr="004A1934">
        <w:rPr>
          <w:rFonts w:cs="Fira Sans"/>
          <w:szCs w:val="19"/>
        </w:rPr>
        <w:t>zakładowej formie budownictwa.</w:t>
      </w:r>
    </w:p>
    <w:p w14:paraId="3A1ED68C" w14:textId="71DF3A88" w:rsidR="00B968F9" w:rsidRDefault="00B968F9" w:rsidP="009F5601">
      <w:pPr>
        <w:autoSpaceDE w:val="0"/>
        <w:autoSpaceDN w:val="0"/>
        <w:adjustRightInd w:val="0"/>
        <w:spacing w:before="0" w:after="0" w:line="240" w:lineRule="atLeast"/>
        <w:textAlignment w:val="center"/>
        <w:rPr>
          <w:szCs w:val="19"/>
          <w:highlight w:val="magenta"/>
          <w:shd w:val="clear" w:color="auto" w:fill="FFFFFF"/>
        </w:rPr>
      </w:pPr>
    </w:p>
    <w:p w14:paraId="77FC08F2" w14:textId="77777777" w:rsidR="00F2097F" w:rsidRPr="00D31EF5" w:rsidRDefault="00F2097F" w:rsidP="00577C72">
      <w:pPr>
        <w:rPr>
          <w:rFonts w:ascii="Fira Sans SemiBold" w:hAnsi="Fira Sans SemiBold"/>
          <w:szCs w:val="19"/>
          <w:shd w:val="clear" w:color="auto" w:fill="FFFFFF"/>
        </w:rPr>
      </w:pPr>
      <w:r w:rsidRPr="00D31EF5">
        <w:rPr>
          <w:rFonts w:ascii="Fira Sans SemiBold" w:hAnsi="Fira Sans SemiBold"/>
          <w:noProof/>
          <w:color w:val="001D77"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46144" behindDoc="0" locked="0" layoutInCell="1" allowOverlap="1" wp14:anchorId="30EC2B9C" wp14:editId="50FBC235">
                <wp:simplePos x="0" y="0"/>
                <wp:positionH relativeFrom="column">
                  <wp:posOffset>5241925</wp:posOffset>
                </wp:positionH>
                <wp:positionV relativeFrom="paragraph">
                  <wp:posOffset>256379</wp:posOffset>
                </wp:positionV>
                <wp:extent cx="1748155" cy="783771"/>
                <wp:effectExtent l="0" t="0" r="0" b="0"/>
                <wp:wrapNone/>
                <wp:docPr id="25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783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ADDB0" w14:textId="77777777" w:rsidR="00F2097F" w:rsidRPr="00C341E7" w:rsidRDefault="00F2097F" w:rsidP="00F2097F">
                            <w:pPr>
                              <w:pStyle w:val="tekstzboku"/>
                              <w:spacing w:after="120"/>
                              <w:rPr>
                                <w:color w:val="000000" w:themeColor="text1"/>
                                <w:szCs w:val="19"/>
                              </w:rPr>
                            </w:pPr>
                            <w:r w:rsidRPr="00C341E7">
                              <w:rPr>
                                <w:szCs w:val="19"/>
                              </w:rPr>
                              <w:t>Największy udział (50,7%) w oddanej do użytkowania powierzchni miały budynki przemysłowe i magazynowe</w:t>
                            </w:r>
                          </w:p>
                          <w:p w14:paraId="4FB76B06" w14:textId="77777777" w:rsidR="00F2097F" w:rsidRPr="009E0D29" w:rsidRDefault="00F2097F" w:rsidP="00F2097F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C2B9C" id="_x0000_s1033" type="#_x0000_t202" style="position:absolute;margin-left:412.75pt;margin-top:20.2pt;width:137.65pt;height:61.7pt;z-index:25184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" filled="f" stroked="f">
                <v:textbox>
                  <w:txbxContent>
                    <w:p w14:paraId="061ADDB0" w14:textId="77777777" w:rsidR="00F2097F" w:rsidRPr="00C341E7" w:rsidRDefault="00F2097F" w:rsidP="00F2097F">
                      <w:pPr>
                        <w:pStyle w:val="tekstzboku"/>
                        <w:spacing w:after="120"/>
                        <w:rPr>
                          <w:color w:val="000000" w:themeColor="text1"/>
                          <w:szCs w:val="19"/>
                        </w:rPr>
                      </w:pPr>
                      <w:r w:rsidRPr="00C341E7">
                        <w:rPr>
                          <w:szCs w:val="19"/>
                        </w:rPr>
                        <w:t>Największy udział (50,7%) w oddanej do użytkowania powierzchni miały budynki przemysłowe i magazynowe</w:t>
                      </w:r>
                    </w:p>
                    <w:p w14:paraId="4FB76B06" w14:textId="77777777" w:rsidR="00F2097F" w:rsidRPr="009E0D29" w:rsidRDefault="00F2097F" w:rsidP="00F2097F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1EF5">
        <w:rPr>
          <w:rFonts w:ascii="Fira Sans SemiBold" w:hAnsi="Fira Sans SemiBold"/>
          <w:color w:val="001D77"/>
          <w:sz w:val="24"/>
          <w:shd w:val="clear" w:color="auto" w:fill="FFFFFF"/>
        </w:rPr>
        <w:t>Efekty rzeczowe bu</w:t>
      </w:r>
      <w:r w:rsidRPr="0003129D">
        <w:rPr>
          <w:rFonts w:ascii="Fira Sans SemiBold" w:hAnsi="Fira Sans SemiBold"/>
          <w:color w:val="001D77"/>
          <w:sz w:val="24"/>
          <w:shd w:val="clear" w:color="auto" w:fill="FFFFFF"/>
        </w:rPr>
        <w:t>downictwa</w:t>
      </w:r>
      <w:r w:rsidRPr="00D31EF5">
        <w:rPr>
          <w:rFonts w:ascii="Fira Sans SemiBold" w:hAnsi="Fira Sans SemiBold"/>
          <w:color w:val="001D77"/>
          <w:sz w:val="24"/>
          <w:shd w:val="clear" w:color="auto" w:fill="FFFFFF"/>
        </w:rPr>
        <w:t xml:space="preserve"> budynków niemieszkalnych</w:t>
      </w:r>
    </w:p>
    <w:p w14:paraId="1AF02633" w14:textId="409CB712" w:rsidR="00F2097F" w:rsidRPr="009D6F1C" w:rsidRDefault="00577C72" w:rsidP="00F2097F">
      <w:pPr>
        <w:rPr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850240" behindDoc="1" locked="0" layoutInCell="1" allowOverlap="1" wp14:anchorId="2F0FEAEC" wp14:editId="6C375FC5">
            <wp:simplePos x="0" y="0"/>
            <wp:positionH relativeFrom="column">
              <wp:posOffset>-156078</wp:posOffset>
            </wp:positionH>
            <wp:positionV relativeFrom="paragraph">
              <wp:posOffset>1555779</wp:posOffset>
            </wp:positionV>
            <wp:extent cx="2272352" cy="2525265"/>
            <wp:effectExtent l="0" t="0" r="0" b="0"/>
            <wp:wrapNone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352" cy="252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F67">
        <w:rPr>
          <w:szCs w:val="19"/>
          <w:shd w:val="clear" w:color="auto" w:fill="FFFFFF"/>
        </w:rPr>
        <w:t>W I kwartale 2019 roku</w:t>
      </w:r>
      <w:r w:rsidR="00F2097F" w:rsidRPr="009D6F1C">
        <w:rPr>
          <w:szCs w:val="19"/>
          <w:shd w:val="clear" w:color="auto" w:fill="FFFFFF"/>
        </w:rPr>
        <w:t xml:space="preserve"> przekazano do eksploatacji 5 672 </w:t>
      </w:r>
      <w:r w:rsidR="00F2097F" w:rsidRPr="009D6F1C">
        <w:rPr>
          <w:b/>
          <w:szCs w:val="19"/>
          <w:shd w:val="clear" w:color="auto" w:fill="FFFFFF"/>
        </w:rPr>
        <w:t>nowe budynki niemieszkalne</w:t>
      </w:r>
      <w:r w:rsidR="00F2097F" w:rsidRPr="009D6F1C">
        <w:rPr>
          <w:szCs w:val="19"/>
          <w:shd w:val="clear" w:color="auto" w:fill="FFFFFF"/>
        </w:rPr>
        <w:t xml:space="preserve"> oraz rozbudowano 758 (odpowiednio o 1,0% więcej i 17,0% mniej niż w </w:t>
      </w:r>
      <w:r w:rsidR="00F02AC8">
        <w:rPr>
          <w:szCs w:val="19"/>
          <w:shd w:val="clear" w:color="auto" w:fill="FFFFFF"/>
        </w:rPr>
        <w:t xml:space="preserve">analogicznym okresie </w:t>
      </w:r>
      <w:r w:rsidR="00F2097F" w:rsidRPr="009D6F1C">
        <w:rPr>
          <w:szCs w:val="19"/>
          <w:shd w:val="clear" w:color="auto" w:fill="FFFFFF"/>
        </w:rPr>
        <w:t>roku poprzedni</w:t>
      </w:r>
      <w:r w:rsidR="00F02AC8">
        <w:rPr>
          <w:szCs w:val="19"/>
          <w:shd w:val="clear" w:color="auto" w:fill="FFFFFF"/>
        </w:rPr>
        <w:t>ego</w:t>
      </w:r>
      <w:r w:rsidR="00F2097F" w:rsidRPr="009D6F1C">
        <w:rPr>
          <w:szCs w:val="19"/>
          <w:shd w:val="clear" w:color="auto" w:fill="FFFFFF"/>
        </w:rPr>
        <w:t>). Łączna powierzchnia użytkowa nowych i rozbudowanych budynków niemieszkalnych</w:t>
      </w:r>
      <w:r w:rsidR="00F2097F" w:rsidRPr="009D6F1C">
        <w:rPr>
          <w:rStyle w:val="Odwoanieprzypisudolnego"/>
          <w:szCs w:val="19"/>
          <w:shd w:val="clear" w:color="auto" w:fill="FFFFFF"/>
        </w:rPr>
        <w:footnoteReference w:id="5"/>
      </w:r>
      <w:r w:rsidR="00F2097F" w:rsidRPr="009D6F1C">
        <w:rPr>
          <w:szCs w:val="19"/>
          <w:shd w:val="clear" w:color="auto" w:fill="FFFFFF"/>
        </w:rPr>
        <w:t xml:space="preserve"> wyniosła 3 718,7 tys. m</w:t>
      </w:r>
      <w:r w:rsidR="00F2097F" w:rsidRPr="009D6F1C">
        <w:rPr>
          <w:szCs w:val="19"/>
          <w:shd w:val="clear" w:color="auto" w:fill="FFFFFF"/>
          <w:vertAlign w:val="superscript"/>
        </w:rPr>
        <w:t>2</w:t>
      </w:r>
      <w:r w:rsidR="00F2097F" w:rsidRPr="009D6F1C">
        <w:rPr>
          <w:szCs w:val="19"/>
          <w:shd w:val="clear" w:color="auto" w:fill="FFFFFF"/>
        </w:rPr>
        <w:t xml:space="preserve"> </w:t>
      </w:r>
      <w:r w:rsidR="009D3940">
        <w:rPr>
          <w:szCs w:val="19"/>
          <w:shd w:val="clear" w:color="auto" w:fill="FFFFFF"/>
        </w:rPr>
        <w:t>–</w:t>
      </w:r>
      <w:r w:rsidR="00353114">
        <w:rPr>
          <w:szCs w:val="19"/>
          <w:shd w:val="clear" w:color="auto" w:fill="FFFFFF"/>
        </w:rPr>
        <w:t xml:space="preserve"> </w:t>
      </w:r>
      <w:r w:rsidR="00F2097F" w:rsidRPr="009D6F1C">
        <w:rPr>
          <w:szCs w:val="19"/>
          <w:shd w:val="clear" w:color="auto" w:fill="FFFFFF"/>
        </w:rPr>
        <w:t xml:space="preserve">o 2,6% więcej niż w </w:t>
      </w:r>
      <w:r w:rsidR="00F2097F">
        <w:rPr>
          <w:szCs w:val="19"/>
          <w:shd w:val="clear" w:color="auto" w:fill="FFFFFF"/>
        </w:rPr>
        <w:t>analogicznym okresie</w:t>
      </w:r>
      <w:r w:rsidR="00F2097F" w:rsidRPr="009D6F1C">
        <w:rPr>
          <w:szCs w:val="19"/>
          <w:shd w:val="clear" w:color="auto" w:fill="FFFFFF"/>
        </w:rPr>
        <w:t xml:space="preserve"> 2018</w:t>
      </w:r>
      <w:r w:rsidR="00F56E08">
        <w:rPr>
          <w:szCs w:val="19"/>
          <w:shd w:val="clear" w:color="auto" w:fill="FFFFFF"/>
        </w:rPr>
        <w:t> </w:t>
      </w:r>
      <w:r w:rsidR="00F2097F" w:rsidRPr="009D6F1C">
        <w:rPr>
          <w:szCs w:val="19"/>
          <w:shd w:val="clear" w:color="auto" w:fill="FFFFFF"/>
        </w:rPr>
        <w:t>r</w:t>
      </w:r>
      <w:r w:rsidR="00F35F67">
        <w:rPr>
          <w:szCs w:val="19"/>
          <w:shd w:val="clear" w:color="auto" w:fill="FFFFFF"/>
        </w:rPr>
        <w:t>oku</w:t>
      </w:r>
      <w:r w:rsidR="00F56E08">
        <w:rPr>
          <w:szCs w:val="19"/>
          <w:shd w:val="clear" w:color="auto" w:fill="FFFFFF"/>
        </w:rPr>
        <w:t>.</w:t>
      </w:r>
      <w:r w:rsidR="00F2097F" w:rsidRPr="009D6F1C">
        <w:rPr>
          <w:szCs w:val="19"/>
          <w:shd w:val="clear" w:color="auto" w:fill="FFFFFF"/>
        </w:rPr>
        <w:t xml:space="preserve"> Pod względem powierzchni przekazanej do eksploatacji w I kwartale 2019 r</w:t>
      </w:r>
      <w:r w:rsidR="00F35F67">
        <w:rPr>
          <w:szCs w:val="19"/>
          <w:shd w:val="clear" w:color="auto" w:fill="FFFFFF"/>
        </w:rPr>
        <w:t>oku</w:t>
      </w:r>
      <w:r w:rsidR="00F2097F" w:rsidRPr="009D6F1C">
        <w:rPr>
          <w:szCs w:val="19"/>
          <w:shd w:val="clear" w:color="auto" w:fill="FFFFFF"/>
        </w:rPr>
        <w:t xml:space="preserve"> przeważały budynki przemysłowe i magazynowe (50,7%). Znaczące udziały miały </w:t>
      </w:r>
      <w:r w:rsidR="00F2097F">
        <w:rPr>
          <w:szCs w:val="19"/>
          <w:shd w:val="clear" w:color="auto" w:fill="FFFFFF"/>
        </w:rPr>
        <w:t xml:space="preserve">także </w:t>
      </w:r>
      <w:r w:rsidR="00F2097F" w:rsidRPr="009D6F1C">
        <w:rPr>
          <w:szCs w:val="19"/>
          <w:shd w:val="clear" w:color="auto" w:fill="FFFFFF"/>
        </w:rPr>
        <w:t>pozostałe budynki niemieszkalne (20,3%) oraz budynki handlowo-usługowe (12,8%).</w:t>
      </w:r>
      <w:r w:rsidR="00F2097F" w:rsidRPr="009D6F1C">
        <w:t xml:space="preserve"> </w:t>
      </w:r>
      <w:r w:rsidR="00F2097F" w:rsidRPr="009D6F1C">
        <w:rPr>
          <w:szCs w:val="19"/>
          <w:shd w:val="clear" w:color="auto" w:fill="FFFFFF"/>
        </w:rPr>
        <w:t>Największe wzrosty oddanej do użytkowania powierzchni odnotowano dla hoteli i budynków zakwaterowania turystycznego (46,7%) oraz budynków przemysłowych i magazynowych (15,5%).</w:t>
      </w:r>
    </w:p>
    <w:p w14:paraId="09F636CA" w14:textId="74CD5E22" w:rsidR="00F2097F" w:rsidRPr="003D4DC6" w:rsidRDefault="00F2097F" w:rsidP="00577C72">
      <w:pPr>
        <w:ind w:left="851" w:hanging="851"/>
        <w:rPr>
          <w:b/>
          <w:sz w:val="18"/>
          <w:szCs w:val="19"/>
          <w:shd w:val="clear" w:color="auto" w:fill="FFFFFF"/>
        </w:rPr>
      </w:pPr>
      <w:r w:rsidRPr="003D4DC6">
        <w:rPr>
          <w:b/>
          <w:sz w:val="18"/>
          <w:szCs w:val="19"/>
          <w:shd w:val="clear" w:color="auto" w:fill="FFFFFF"/>
        </w:rPr>
        <w:t xml:space="preserve">Wykres </w:t>
      </w:r>
      <w:r>
        <w:rPr>
          <w:b/>
          <w:sz w:val="18"/>
          <w:szCs w:val="19"/>
          <w:shd w:val="clear" w:color="auto" w:fill="FFFFFF"/>
        </w:rPr>
        <w:t>1</w:t>
      </w:r>
      <w:r w:rsidRPr="003D4DC6">
        <w:rPr>
          <w:b/>
          <w:sz w:val="18"/>
          <w:szCs w:val="19"/>
          <w:shd w:val="clear" w:color="auto" w:fill="FFFFFF"/>
        </w:rPr>
        <w:t>.</w:t>
      </w:r>
      <w:r>
        <w:rPr>
          <w:b/>
          <w:sz w:val="18"/>
          <w:szCs w:val="19"/>
          <w:shd w:val="clear" w:color="auto" w:fill="FFFFFF"/>
        </w:rPr>
        <w:tab/>
      </w:r>
      <w:r w:rsidRPr="003D4DC6">
        <w:rPr>
          <w:b/>
          <w:sz w:val="18"/>
          <w:szCs w:val="19"/>
          <w:shd w:val="clear" w:color="auto" w:fill="FFFFFF"/>
        </w:rPr>
        <w:t>Struktura powierzchni użytkowej budyn</w:t>
      </w:r>
      <w:r>
        <w:rPr>
          <w:b/>
          <w:sz w:val="18"/>
          <w:szCs w:val="19"/>
          <w:shd w:val="clear" w:color="auto" w:fill="FFFFFF"/>
        </w:rPr>
        <w:t xml:space="preserve">ków niemieszkalnych oddanych do </w:t>
      </w:r>
      <w:r w:rsidRPr="003D4DC6">
        <w:rPr>
          <w:b/>
          <w:sz w:val="18"/>
          <w:szCs w:val="19"/>
          <w:shd w:val="clear" w:color="auto" w:fill="FFFFFF"/>
        </w:rPr>
        <w:t xml:space="preserve">użytkowania w </w:t>
      </w:r>
      <w:r>
        <w:rPr>
          <w:b/>
          <w:sz w:val="18"/>
          <w:szCs w:val="19"/>
          <w:shd w:val="clear" w:color="auto" w:fill="FFFFFF"/>
        </w:rPr>
        <w:t xml:space="preserve">I kwartale </w:t>
      </w:r>
      <w:r w:rsidRPr="003D4DC6">
        <w:rPr>
          <w:b/>
          <w:sz w:val="18"/>
          <w:szCs w:val="19"/>
          <w:shd w:val="clear" w:color="auto" w:fill="FFFFFF"/>
        </w:rPr>
        <w:t>201</w:t>
      </w:r>
      <w:r>
        <w:rPr>
          <w:b/>
          <w:sz w:val="18"/>
          <w:szCs w:val="19"/>
          <w:shd w:val="clear" w:color="auto" w:fill="FFFFFF"/>
        </w:rPr>
        <w:t>9</w:t>
      </w:r>
      <w:r w:rsidRPr="003D4DC6">
        <w:rPr>
          <w:b/>
          <w:sz w:val="18"/>
          <w:szCs w:val="19"/>
          <w:shd w:val="clear" w:color="auto" w:fill="FFFFFF"/>
        </w:rPr>
        <w:t xml:space="preserve"> r.</w:t>
      </w:r>
    </w:p>
    <w:p w14:paraId="45A0A911" w14:textId="56515412" w:rsidR="00F2097F" w:rsidRPr="003D4DC6" w:rsidRDefault="00577C72" w:rsidP="00F2097F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 w:rsidRPr="003D4DC6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8192" behindDoc="0" locked="0" layoutInCell="1" allowOverlap="1" wp14:anchorId="6BCF9C8E" wp14:editId="7050F650">
                <wp:simplePos x="0" y="0"/>
                <wp:positionH relativeFrom="margin">
                  <wp:posOffset>1907228</wp:posOffset>
                </wp:positionH>
                <wp:positionV relativeFrom="paragraph">
                  <wp:posOffset>108784</wp:posOffset>
                </wp:positionV>
                <wp:extent cx="3055048" cy="1400671"/>
                <wp:effectExtent l="0" t="0" r="0" b="0"/>
                <wp:wrapNone/>
                <wp:docPr id="1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048" cy="14006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1A6F6" w14:textId="77777777" w:rsidR="00F2097F" w:rsidRPr="008573DA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50BF06C7" w14:textId="77777777" w:rsidR="00F2097F" w:rsidRPr="008573DA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4B73F136" w14:textId="77777777" w:rsidR="00F2097F" w:rsidRPr="008573DA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39F97431" w14:textId="77777777" w:rsidR="00F2097F" w:rsidRPr="008573DA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 (PKOB 122)</w:t>
                            </w:r>
                          </w:p>
                          <w:p w14:paraId="31EB51E5" w14:textId="77777777" w:rsidR="00F2097F" w:rsidRPr="00672716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kulturalne, budynki o charakterze edukacyjnym, budynki szpitali i zakładów opieki medycznej oraz budynki kultury fizycznej </w:t>
                            </w:r>
                            <w:r w:rsidRPr="005E2E60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BB18CB8" w14:textId="77777777" w:rsidR="00F2097F" w:rsidRPr="00672716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5570301B" w14:textId="77777777" w:rsidR="00F2097F" w:rsidRPr="00672716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F9C8E" id="_x0000_s1034" type="#_x0000_t202" style="position:absolute;left:0;text-align:left;margin-left:150.2pt;margin-top:8.55pt;width:240.55pt;height:110.3pt;z-index:25184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" filled="f" stroked="f">
                <v:textbox>
                  <w:txbxContent>
                    <w:p w14:paraId="4A91A6F6" w14:textId="77777777" w:rsidR="00F2097F" w:rsidRPr="008573DA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50BF06C7" w14:textId="77777777" w:rsidR="00F2097F" w:rsidRPr="008573DA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4B73F136" w14:textId="77777777" w:rsidR="00F2097F" w:rsidRPr="008573DA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39F97431" w14:textId="77777777" w:rsidR="00F2097F" w:rsidRPr="008573DA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 (PKOB 122)</w:t>
                      </w:r>
                    </w:p>
                    <w:p w14:paraId="31EB51E5" w14:textId="77777777" w:rsidR="00F2097F" w:rsidRPr="00672716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kulturalne, budynki o charakterze edukacyjnym, budynki szpitali i zakładów opieki medycznej oraz budynki kultury fizycznej </w:t>
                      </w:r>
                      <w:r w:rsidRPr="005E2E60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2BB18CB8" w14:textId="77777777" w:rsidR="00F2097F" w:rsidRPr="00672716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5570301B" w14:textId="77777777" w:rsidR="00F2097F" w:rsidRPr="00672716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82C82B" w14:textId="31D51347" w:rsidR="00F2097F" w:rsidRPr="003D4DC6" w:rsidRDefault="00F2097F" w:rsidP="00F2097F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745EF0B" w14:textId="6D254B6C" w:rsidR="00F2097F" w:rsidRPr="003D4DC6" w:rsidRDefault="00F2097F" w:rsidP="00F2097F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70F02F2B" w14:textId="77777777" w:rsidR="00F2097F" w:rsidRPr="003D4DC6" w:rsidRDefault="00F2097F" w:rsidP="00F2097F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494E6AF9" w14:textId="77777777" w:rsidR="00F2097F" w:rsidRPr="003D4DC6" w:rsidRDefault="00F2097F" w:rsidP="00F2097F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606AB117" w14:textId="77777777" w:rsidR="00F2097F" w:rsidRPr="003D4DC6" w:rsidRDefault="00F2097F" w:rsidP="00F2097F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044B71E" w14:textId="77777777" w:rsidR="00577C72" w:rsidRDefault="00577C72" w:rsidP="00F2097F">
      <w:pPr>
        <w:rPr>
          <w:shd w:val="clear" w:color="auto" w:fill="FFFFFF"/>
        </w:rPr>
      </w:pPr>
    </w:p>
    <w:p w14:paraId="1E33F5C2" w14:textId="0C429EC2" w:rsidR="00F2097F" w:rsidRPr="009D6F1C" w:rsidRDefault="009F5601" w:rsidP="00F2097F">
      <w:pPr>
        <w:rPr>
          <w:shd w:val="clear" w:color="auto" w:fill="FFFFFF"/>
        </w:rPr>
      </w:pPr>
      <w:r w:rsidRPr="003D4DC6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47168" behindDoc="0" locked="0" layoutInCell="1" allowOverlap="1" wp14:anchorId="5D731CD6" wp14:editId="3D0713E9">
                <wp:simplePos x="0" y="0"/>
                <wp:positionH relativeFrom="page">
                  <wp:posOffset>5711825</wp:posOffset>
                </wp:positionH>
                <wp:positionV relativeFrom="paragraph">
                  <wp:posOffset>-92549</wp:posOffset>
                </wp:positionV>
                <wp:extent cx="1772285" cy="1801495"/>
                <wp:effectExtent l="0" t="0" r="0" b="0"/>
                <wp:wrapNone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180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25DAA" w14:textId="3CF59183" w:rsidR="00F2097F" w:rsidRPr="00E566AA" w:rsidRDefault="00F2097F" w:rsidP="00F2097F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566AA">
                              <w:rPr>
                                <w:szCs w:val="19"/>
                              </w:rPr>
                              <w:t>Powierzchnia użytkowa</w:t>
                            </w:r>
                            <w:r w:rsidRPr="00E566AA">
                              <w:rPr>
                                <w:szCs w:val="19"/>
                              </w:rPr>
                              <w:br/>
                              <w:t xml:space="preserve">budynków niemieszkalnych oddanych do użytkowania </w:t>
                            </w:r>
                            <w:r w:rsidR="00E566AA">
                              <w:rPr>
                                <w:szCs w:val="19"/>
                              </w:rPr>
                              <w:br/>
                            </w:r>
                            <w:r w:rsidRPr="00E566AA">
                              <w:rPr>
                                <w:szCs w:val="19"/>
                              </w:rPr>
                              <w:t>na terenie województwa</w:t>
                            </w:r>
                            <w:r w:rsidRPr="00E566AA">
                              <w:rPr>
                                <w:szCs w:val="19"/>
                              </w:rPr>
                              <w:br/>
                              <w:t>mazowieckiego, wielkopolskiego i dolnośląskiego stanowiła blisko</w:t>
                            </w:r>
                            <w:r w:rsidRPr="00E566AA">
                              <w:rPr>
                                <w:color w:val="FF0000"/>
                                <w:szCs w:val="19"/>
                              </w:rPr>
                              <w:t xml:space="preserve"> </w:t>
                            </w:r>
                            <w:r w:rsidRPr="00E566AA">
                              <w:rPr>
                                <w:szCs w:val="19"/>
                              </w:rPr>
                              <w:t>42% ogółu oddanej powierzchni w kraju</w:t>
                            </w:r>
                          </w:p>
                        </w:txbxContent>
                      </wps:txbx>
                      <wps:bodyPr rot="0" vert="horz" wrap="square" lIns="90000" tIns="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31CD6" id="Pole tekstowe 195" o:spid="_x0000_s1035" type="#_x0000_t202" style="position:absolute;margin-left:449.75pt;margin-top:-7.3pt;width:139.55pt;height:141.85pt;z-index:251847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" filled="f" stroked="f">
                <v:textbox inset="2.5mm,0">
                  <w:txbxContent>
                    <w:p w14:paraId="4BF25DAA" w14:textId="3CF59183" w:rsidR="00F2097F" w:rsidRPr="00E566AA" w:rsidRDefault="00F2097F" w:rsidP="00F2097F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566AA">
                        <w:rPr>
                          <w:szCs w:val="19"/>
                        </w:rPr>
                        <w:t>Powierzchnia użytkowa</w:t>
                      </w:r>
                      <w:r w:rsidRPr="00E566AA">
                        <w:rPr>
                          <w:szCs w:val="19"/>
                        </w:rPr>
                        <w:br/>
                        <w:t xml:space="preserve">budynków niemieszkalnych oddanych do użytkowania </w:t>
                      </w:r>
                      <w:r w:rsidR="00E566AA">
                        <w:rPr>
                          <w:szCs w:val="19"/>
                        </w:rPr>
                        <w:br/>
                      </w:r>
                      <w:r w:rsidRPr="00E566AA">
                        <w:rPr>
                          <w:szCs w:val="19"/>
                        </w:rPr>
                        <w:t>na terenie województwa</w:t>
                      </w:r>
                      <w:r w:rsidRPr="00E566AA">
                        <w:rPr>
                          <w:szCs w:val="19"/>
                        </w:rPr>
                        <w:br/>
                        <w:t>mazowieckiego, wielkopolskiego i dolnośląskiego stanowiła blisko</w:t>
                      </w:r>
                      <w:r w:rsidRPr="00E566AA">
                        <w:rPr>
                          <w:color w:val="FF0000"/>
                          <w:szCs w:val="19"/>
                        </w:rPr>
                        <w:t xml:space="preserve"> </w:t>
                      </w:r>
                      <w:r w:rsidRPr="00E566AA">
                        <w:rPr>
                          <w:szCs w:val="19"/>
                        </w:rPr>
                        <w:t>42% ogółu oddanej powierzchni w 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097F" w:rsidRPr="009D6F1C">
        <w:rPr>
          <w:shd w:val="clear" w:color="auto" w:fill="FFFFFF"/>
        </w:rPr>
        <w:t xml:space="preserve">Największą </w:t>
      </w:r>
      <w:r w:rsidR="00F2097F" w:rsidRPr="009D6F1C">
        <w:rPr>
          <w:b/>
          <w:shd w:val="clear" w:color="auto" w:fill="FFFFFF"/>
        </w:rPr>
        <w:t>powierzchnię użytkową budynków niemieszkalnych</w:t>
      </w:r>
      <w:r w:rsidR="00F2097F" w:rsidRPr="009D6F1C">
        <w:rPr>
          <w:shd w:val="clear" w:color="auto" w:fill="FFFFFF"/>
        </w:rPr>
        <w:t xml:space="preserve"> w I kwartale 2019 r</w:t>
      </w:r>
      <w:r w:rsidR="00F35F67">
        <w:rPr>
          <w:shd w:val="clear" w:color="auto" w:fill="FFFFFF"/>
        </w:rPr>
        <w:t>.</w:t>
      </w:r>
      <w:r w:rsidR="00F2097F" w:rsidRPr="009D6F1C">
        <w:rPr>
          <w:shd w:val="clear" w:color="auto" w:fill="FFFFFF"/>
        </w:rPr>
        <w:t xml:space="preserve"> oddano do użytkowania w województwach: mazowieckim (624,3 tys. m</w:t>
      </w:r>
      <w:r w:rsidR="00F2097F" w:rsidRPr="009D6F1C">
        <w:rPr>
          <w:shd w:val="clear" w:color="auto" w:fill="FFFFFF"/>
          <w:vertAlign w:val="superscript"/>
        </w:rPr>
        <w:t>2</w:t>
      </w:r>
      <w:r w:rsidR="00F2097F" w:rsidRPr="009D6F1C">
        <w:rPr>
          <w:shd w:val="clear" w:color="auto" w:fill="FFFFFF"/>
        </w:rPr>
        <w:t>), wielkopolskim (550,0 tys. m</w:t>
      </w:r>
      <w:r w:rsidR="00F2097F" w:rsidRPr="009D6F1C">
        <w:rPr>
          <w:shd w:val="clear" w:color="auto" w:fill="FFFFFF"/>
          <w:vertAlign w:val="superscript"/>
        </w:rPr>
        <w:t>2</w:t>
      </w:r>
      <w:r w:rsidR="00F2097F" w:rsidRPr="009D6F1C">
        <w:rPr>
          <w:shd w:val="clear" w:color="auto" w:fill="FFFFFF"/>
        </w:rPr>
        <w:t>) i dolnośląskim (372,4 tys. m</w:t>
      </w:r>
      <w:r w:rsidR="00F2097F" w:rsidRPr="009D6F1C">
        <w:rPr>
          <w:shd w:val="clear" w:color="auto" w:fill="FFFFFF"/>
          <w:vertAlign w:val="superscript"/>
        </w:rPr>
        <w:t>2</w:t>
      </w:r>
      <w:r w:rsidR="00F2097F" w:rsidRPr="009D6F1C">
        <w:rPr>
          <w:shd w:val="clear" w:color="auto" w:fill="FFFFFF"/>
        </w:rPr>
        <w:t>), najmniejszą zaś w opolskim (77,8 tys. m</w:t>
      </w:r>
      <w:r w:rsidR="00F2097F" w:rsidRPr="009D6F1C">
        <w:rPr>
          <w:shd w:val="clear" w:color="auto" w:fill="FFFFFF"/>
          <w:vertAlign w:val="superscript"/>
        </w:rPr>
        <w:t>2</w:t>
      </w:r>
      <w:r w:rsidR="00F2097F" w:rsidRPr="009D6F1C">
        <w:rPr>
          <w:shd w:val="clear" w:color="auto" w:fill="FFFFFF"/>
        </w:rPr>
        <w:t>), lubuskim (79,0 tys. m</w:t>
      </w:r>
      <w:r w:rsidR="00F2097F" w:rsidRPr="009D6F1C">
        <w:rPr>
          <w:shd w:val="clear" w:color="auto" w:fill="FFFFFF"/>
          <w:vertAlign w:val="superscript"/>
        </w:rPr>
        <w:t>2</w:t>
      </w:r>
      <w:r w:rsidR="00F2097F" w:rsidRPr="009D6F1C">
        <w:rPr>
          <w:shd w:val="clear" w:color="auto" w:fill="FFFFFF"/>
        </w:rPr>
        <w:t>) i świętokrzyskim (100,5 tys. m</w:t>
      </w:r>
      <w:r w:rsidR="00F2097F" w:rsidRPr="009D6F1C">
        <w:rPr>
          <w:shd w:val="clear" w:color="auto" w:fill="FFFFFF"/>
          <w:vertAlign w:val="superscript"/>
        </w:rPr>
        <w:t>2</w:t>
      </w:r>
      <w:r w:rsidR="00F2097F" w:rsidRPr="009D6F1C">
        <w:rPr>
          <w:shd w:val="clear" w:color="auto" w:fill="FFFFFF"/>
        </w:rPr>
        <w:t>). W stosunku do analogicznego okresu roku poprzedniego, największy przyrost powierzchni odnotowano w województw</w:t>
      </w:r>
      <w:r w:rsidR="00F2097F">
        <w:rPr>
          <w:shd w:val="clear" w:color="auto" w:fill="FFFFFF"/>
        </w:rPr>
        <w:t>ach:</w:t>
      </w:r>
      <w:r w:rsidR="00F2097F" w:rsidRPr="009D6F1C">
        <w:t xml:space="preserve"> </w:t>
      </w:r>
      <w:r w:rsidR="00F2097F" w:rsidRPr="009D6F1C">
        <w:rPr>
          <w:shd w:val="clear" w:color="auto" w:fill="FFFFFF"/>
        </w:rPr>
        <w:t>dolnośląskim (wzrost o</w:t>
      </w:r>
      <w:r w:rsidR="00F2097F">
        <w:rPr>
          <w:shd w:val="clear" w:color="auto" w:fill="FFFFFF"/>
        </w:rPr>
        <w:t> </w:t>
      </w:r>
      <w:r w:rsidR="00F2097F" w:rsidRPr="009D6F1C">
        <w:rPr>
          <w:shd w:val="clear" w:color="auto" w:fill="FFFFFF"/>
        </w:rPr>
        <w:t>50,7%), świętokrzyskim (47,4%), lubelskim (28,8%) oraz łódzkim (22,0%).</w:t>
      </w:r>
    </w:p>
    <w:p w14:paraId="0C8CF631" w14:textId="77777777" w:rsidR="00F2097F" w:rsidRPr="003D4DC6" w:rsidRDefault="00F2097F" w:rsidP="00F2097F">
      <w:pPr>
        <w:pStyle w:val="tekstzboku"/>
        <w:spacing w:after="120"/>
        <w:ind w:left="851" w:hanging="851"/>
        <w:rPr>
          <w:b/>
          <w:color w:val="auto"/>
          <w:szCs w:val="19"/>
          <w:shd w:val="clear" w:color="auto" w:fill="FFFFFF"/>
        </w:rPr>
      </w:pPr>
      <w:r>
        <w:rPr>
          <w:b/>
          <w:color w:val="auto"/>
          <w:szCs w:val="19"/>
          <w:shd w:val="clear" w:color="auto" w:fill="FFFFFF"/>
        </w:rPr>
        <w:t>Wykres 2.</w:t>
      </w:r>
      <w:r>
        <w:rPr>
          <w:b/>
          <w:color w:val="auto"/>
          <w:szCs w:val="19"/>
          <w:shd w:val="clear" w:color="auto" w:fill="FFFFFF"/>
        </w:rPr>
        <w:tab/>
      </w:r>
      <w:r w:rsidRPr="003D4DC6">
        <w:rPr>
          <w:b/>
          <w:color w:val="auto"/>
          <w:szCs w:val="19"/>
          <w:shd w:val="clear" w:color="auto" w:fill="FFFFFF"/>
        </w:rPr>
        <w:t>Powierzchnia użytkowa budynków niemieszkalnych oddanych do użytkowania</w:t>
      </w:r>
      <w:r>
        <w:rPr>
          <w:b/>
          <w:color w:val="auto"/>
          <w:szCs w:val="19"/>
          <w:shd w:val="clear" w:color="auto" w:fill="FFFFFF"/>
        </w:rPr>
        <w:t xml:space="preserve"> </w:t>
      </w:r>
      <w:r w:rsidRPr="003D4DC6">
        <w:rPr>
          <w:b/>
          <w:color w:val="auto"/>
          <w:szCs w:val="19"/>
          <w:shd w:val="clear" w:color="auto" w:fill="FFFFFF"/>
        </w:rPr>
        <w:t>w </w:t>
      </w:r>
      <w:r>
        <w:rPr>
          <w:b/>
          <w:color w:val="auto"/>
          <w:szCs w:val="19"/>
          <w:shd w:val="clear" w:color="auto" w:fill="FFFFFF"/>
        </w:rPr>
        <w:t xml:space="preserve">I kwartale </w:t>
      </w:r>
      <w:r w:rsidRPr="003D4DC6">
        <w:rPr>
          <w:b/>
          <w:color w:val="auto"/>
          <w:szCs w:val="19"/>
          <w:shd w:val="clear" w:color="auto" w:fill="FFFFFF"/>
        </w:rPr>
        <w:t>201</w:t>
      </w:r>
      <w:r>
        <w:rPr>
          <w:b/>
          <w:color w:val="auto"/>
          <w:szCs w:val="19"/>
          <w:shd w:val="clear" w:color="auto" w:fill="FFFFFF"/>
        </w:rPr>
        <w:t>9</w:t>
      </w:r>
      <w:r w:rsidRPr="003D4DC6">
        <w:rPr>
          <w:b/>
          <w:color w:val="auto"/>
          <w:szCs w:val="19"/>
          <w:shd w:val="clear" w:color="auto" w:fill="FFFFFF"/>
        </w:rPr>
        <w:t xml:space="preserve"> r. według województw</w:t>
      </w:r>
    </w:p>
    <w:p w14:paraId="16CD745E" w14:textId="77777777" w:rsidR="00F2097F" w:rsidRPr="003D4DC6" w:rsidRDefault="00F2097F" w:rsidP="00F2097F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>
        <w:rPr>
          <w:b w:val="0"/>
          <w:noProof/>
          <w:szCs w:val="19"/>
          <w:lang w:eastAsia="pl-PL"/>
        </w:rPr>
        <w:drawing>
          <wp:anchor distT="0" distB="0" distL="114300" distR="114300" simplePos="0" relativeHeight="251851264" behindDoc="1" locked="0" layoutInCell="1" allowOverlap="1" wp14:anchorId="64F05A76" wp14:editId="71870F81">
            <wp:simplePos x="0" y="0"/>
            <wp:positionH relativeFrom="margin">
              <wp:align>right</wp:align>
            </wp:positionH>
            <wp:positionV relativeFrom="paragraph">
              <wp:posOffset>-2758</wp:posOffset>
            </wp:positionV>
            <wp:extent cx="5083962" cy="353477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266" cy="3536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60753" w14:textId="77777777" w:rsidR="00F2097F" w:rsidRDefault="00F2097F" w:rsidP="00F2097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383D871" w14:textId="77777777" w:rsidR="00F2097F" w:rsidRDefault="00F2097F" w:rsidP="00F2097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4131FFF" w14:textId="77777777" w:rsidR="00F2097F" w:rsidRDefault="00F2097F" w:rsidP="00F2097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CBF5547" w14:textId="77777777" w:rsidR="00F2097F" w:rsidRDefault="00F2097F" w:rsidP="00F2097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3373DE3" w14:textId="77777777" w:rsidR="00F2097F" w:rsidRDefault="00F2097F" w:rsidP="00F2097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94E170A" w14:textId="77777777" w:rsidR="00F2097F" w:rsidRDefault="00F2097F" w:rsidP="00F2097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3D6B1DA" w14:textId="77777777" w:rsidR="00F2097F" w:rsidRDefault="00F2097F" w:rsidP="00F2097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5E71BC27" w14:textId="77777777" w:rsidR="00F2097F" w:rsidRDefault="00F2097F" w:rsidP="00F2097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C4C1AB4" w14:textId="77777777" w:rsidR="00F2097F" w:rsidRDefault="00F2097F" w:rsidP="00F2097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EA952DE" w14:textId="77777777" w:rsidR="00F2097F" w:rsidRDefault="00F2097F" w:rsidP="00F2097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0DCE291" w14:textId="77777777" w:rsidR="00F2097F" w:rsidRDefault="00F2097F" w:rsidP="00F2097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5973B2A8" w14:textId="77777777" w:rsidR="00F2097F" w:rsidRPr="00FB22D7" w:rsidRDefault="00F2097F" w:rsidP="00F2097F">
      <w:pPr>
        <w:rPr>
          <w:szCs w:val="19"/>
          <w:shd w:val="clear" w:color="auto" w:fill="FFFFFF"/>
        </w:rPr>
      </w:pPr>
      <w:r w:rsidRPr="00FB22D7">
        <w:rPr>
          <w:szCs w:val="19"/>
          <w:shd w:val="clear" w:color="auto" w:fill="FFFFFF"/>
        </w:rPr>
        <w:t>Budynki niemieszkalne stanowią niejednorodną kategorię obiektów budowlanych</w:t>
      </w:r>
      <w:r>
        <w:rPr>
          <w:szCs w:val="19"/>
          <w:shd w:val="clear" w:color="auto" w:fill="FFFFFF"/>
        </w:rPr>
        <w:t>.</w:t>
      </w:r>
      <w:r w:rsidRPr="00FB22D7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>W</w:t>
      </w:r>
      <w:r w:rsidRPr="00FB22D7">
        <w:rPr>
          <w:szCs w:val="19"/>
          <w:shd w:val="clear" w:color="auto" w:fill="FFFFFF"/>
        </w:rPr>
        <w:t xml:space="preserve"> celu uzupełnienia ogólnego opisu, poniżej przedstawiono krótką charakterystykę wybranych grup i klas budynków wg Polskiej Klasyfikacji Obiektów Budowlanych. </w:t>
      </w:r>
    </w:p>
    <w:p w14:paraId="4699AE06" w14:textId="77777777" w:rsidR="00F2097F" w:rsidRPr="00930E76" w:rsidRDefault="00F2097F" w:rsidP="00F2097F">
      <w:pPr>
        <w:spacing w:before="240"/>
        <w:rPr>
          <w:b/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t>Budynki biurowe</w:t>
      </w:r>
    </w:p>
    <w:p w14:paraId="10B5F19A" w14:textId="77777777" w:rsidR="00F2097F" w:rsidRPr="00FB22D7" w:rsidRDefault="00F2097F" w:rsidP="00F2097F">
      <w:pPr>
        <w:rPr>
          <w:b/>
          <w:spacing w:val="-2"/>
          <w:szCs w:val="19"/>
          <w:shd w:val="clear" w:color="auto" w:fill="FFFFFF"/>
        </w:rPr>
      </w:pPr>
      <w:r w:rsidRPr="00FB22D7">
        <w:rPr>
          <w:szCs w:val="19"/>
          <w:shd w:val="clear" w:color="auto" w:fill="FFFFFF"/>
        </w:rPr>
        <w:t>W I kwartale 2019 r. oddano do użytkowania 141 nowych budynków biurowych, co oznaczało wzrost o 7,6% względem analogicznego okresu roku 2018. Łączna powierzchnia użytkowa charakteryzowanych budynków wyniosła 223,8 tys. m</w:t>
      </w:r>
      <w:r w:rsidRPr="00FB22D7">
        <w:rPr>
          <w:szCs w:val="19"/>
          <w:shd w:val="clear" w:color="auto" w:fill="FFFFFF"/>
          <w:vertAlign w:val="superscript"/>
        </w:rPr>
        <w:t>2</w:t>
      </w:r>
      <w:r w:rsidRPr="00FB22D7">
        <w:rPr>
          <w:szCs w:val="19"/>
          <w:shd w:val="clear" w:color="auto" w:fill="FFFFFF"/>
        </w:rPr>
        <w:t>, a największa jej część przypadła na województwa: mazowieckie (24,3% wartości krajowej), wielkopolskie (23,7%) i małopolskie (16,1%). Z kolei najmniejszy jej udział odnotowano w województw</w:t>
      </w:r>
      <w:r>
        <w:rPr>
          <w:szCs w:val="19"/>
          <w:shd w:val="clear" w:color="auto" w:fill="FFFFFF"/>
        </w:rPr>
        <w:t>ach:</w:t>
      </w:r>
      <w:r w:rsidRPr="00FB22D7">
        <w:rPr>
          <w:szCs w:val="19"/>
          <w:shd w:val="clear" w:color="auto" w:fill="FFFFFF"/>
        </w:rPr>
        <w:t xml:space="preserve"> lubelskim (0,4%), kujawsko-pomorskim (1,0%) i lubuskim (1,1%).</w:t>
      </w:r>
    </w:p>
    <w:p w14:paraId="2F02571F" w14:textId="77777777" w:rsidR="00F2097F" w:rsidRPr="001433CA" w:rsidRDefault="00F2097F" w:rsidP="00F2097F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852288" behindDoc="1" locked="0" layoutInCell="1" allowOverlap="1" wp14:anchorId="5AC27372" wp14:editId="7D5CC97D">
            <wp:simplePos x="0" y="0"/>
            <wp:positionH relativeFrom="margin">
              <wp:posOffset>-56648</wp:posOffset>
            </wp:positionH>
            <wp:positionV relativeFrom="paragraph">
              <wp:posOffset>304771</wp:posOffset>
            </wp:positionV>
            <wp:extent cx="5084445" cy="2688609"/>
            <wp:effectExtent l="0" t="0" r="1905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688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3CA">
        <w:rPr>
          <w:b/>
          <w:sz w:val="18"/>
          <w:szCs w:val="19"/>
          <w:shd w:val="clear" w:color="auto" w:fill="FFFFFF"/>
        </w:rPr>
        <w:t>Wykres 3.</w:t>
      </w:r>
      <w:r>
        <w:rPr>
          <w:b/>
          <w:sz w:val="18"/>
          <w:szCs w:val="19"/>
          <w:shd w:val="clear" w:color="auto" w:fill="FFFFFF"/>
        </w:rPr>
        <w:tab/>
      </w:r>
      <w:r w:rsidRPr="001433CA">
        <w:rPr>
          <w:b/>
          <w:sz w:val="18"/>
          <w:szCs w:val="19"/>
          <w:shd w:val="clear" w:color="auto" w:fill="FFFFFF"/>
        </w:rPr>
        <w:t>Powierzchnia użytkowa budynków biurowych oddanych do użytkowania</w:t>
      </w:r>
      <w:r>
        <w:rPr>
          <w:b/>
          <w:sz w:val="18"/>
          <w:szCs w:val="19"/>
          <w:shd w:val="clear" w:color="auto" w:fill="FFFFFF"/>
        </w:rPr>
        <w:t xml:space="preserve"> </w:t>
      </w:r>
      <w:r w:rsidRPr="001433CA">
        <w:rPr>
          <w:b/>
          <w:sz w:val="18"/>
          <w:szCs w:val="19"/>
          <w:shd w:val="clear" w:color="auto" w:fill="FFFFFF"/>
        </w:rPr>
        <w:t>w </w:t>
      </w:r>
      <w:r>
        <w:rPr>
          <w:b/>
          <w:sz w:val="18"/>
          <w:szCs w:val="19"/>
          <w:shd w:val="clear" w:color="auto" w:fill="FFFFFF"/>
        </w:rPr>
        <w:t xml:space="preserve">I kwartale </w:t>
      </w:r>
      <w:r w:rsidRPr="001433CA">
        <w:rPr>
          <w:b/>
          <w:sz w:val="18"/>
          <w:szCs w:val="19"/>
          <w:shd w:val="clear" w:color="auto" w:fill="FFFFFF"/>
        </w:rPr>
        <w:t>201</w:t>
      </w:r>
      <w:r>
        <w:rPr>
          <w:b/>
          <w:sz w:val="18"/>
          <w:szCs w:val="19"/>
          <w:shd w:val="clear" w:color="auto" w:fill="FFFFFF"/>
        </w:rPr>
        <w:t>9</w:t>
      </w:r>
      <w:r w:rsidRPr="001433CA">
        <w:rPr>
          <w:b/>
          <w:sz w:val="18"/>
          <w:szCs w:val="19"/>
          <w:shd w:val="clear" w:color="auto" w:fill="FFFFFF"/>
        </w:rPr>
        <w:t xml:space="preserve"> r. według województw</w:t>
      </w:r>
    </w:p>
    <w:p w14:paraId="07D50041" w14:textId="77777777" w:rsidR="00F2097F" w:rsidRDefault="00F2097F" w:rsidP="00F2097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17775BD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2EEC8903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4350F827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144CD5A0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62AC0C5A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7D62BF7E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1422069F" w14:textId="77777777" w:rsidR="0065081C" w:rsidRDefault="0065081C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14:paraId="0A552447" w14:textId="698AFD3D" w:rsidR="00F2097F" w:rsidRPr="002543F3" w:rsidRDefault="00F2097F" w:rsidP="00F2097F">
      <w:pPr>
        <w:spacing w:before="240"/>
        <w:rPr>
          <w:color w:val="001D77"/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lastRenderedPageBreak/>
        <w:t>Budynki handlowo-usługowe</w:t>
      </w:r>
    </w:p>
    <w:p w14:paraId="7F5D60DA" w14:textId="0875DA78" w:rsidR="00F2097F" w:rsidRPr="00FB22D7" w:rsidRDefault="00F2097F" w:rsidP="00F2097F">
      <w:pPr>
        <w:rPr>
          <w:szCs w:val="19"/>
          <w:shd w:val="clear" w:color="auto" w:fill="FFFFFF"/>
        </w:rPr>
      </w:pPr>
      <w:r w:rsidRPr="00FB22D7">
        <w:rPr>
          <w:szCs w:val="19"/>
          <w:shd w:val="clear" w:color="auto" w:fill="FFFFFF"/>
        </w:rPr>
        <w:t xml:space="preserve">W </w:t>
      </w:r>
      <w:r>
        <w:rPr>
          <w:szCs w:val="19"/>
          <w:shd w:val="clear" w:color="auto" w:fill="FFFFFF"/>
        </w:rPr>
        <w:t>omawianym okresie</w:t>
      </w:r>
      <w:r w:rsidRPr="00FB22D7">
        <w:rPr>
          <w:szCs w:val="19"/>
          <w:shd w:val="clear" w:color="auto" w:fill="FFFFFF"/>
        </w:rPr>
        <w:t xml:space="preserve"> oddano do eksploatacji 621 nowych budynków handlowo-usługowych (spadek o 0,8%</w:t>
      </w:r>
      <w:r w:rsidRPr="00FB22D7">
        <w:t> </w:t>
      </w:r>
      <w:r>
        <w:t>w stosunku do I kwartału 2018 r.)</w:t>
      </w:r>
      <w:r w:rsidRPr="00FB22D7">
        <w:rPr>
          <w:szCs w:val="19"/>
          <w:shd w:val="clear" w:color="auto" w:fill="FFFFFF"/>
        </w:rPr>
        <w:t>. Łączna powierzchnia użytkowa tego typu budynków wyniosła 474,4 tys. m</w:t>
      </w:r>
      <w:r w:rsidRPr="00FB22D7">
        <w:rPr>
          <w:szCs w:val="19"/>
          <w:shd w:val="clear" w:color="auto" w:fill="FFFFFF"/>
          <w:vertAlign w:val="superscript"/>
        </w:rPr>
        <w:t>2</w:t>
      </w:r>
      <w:r w:rsidRPr="00FB22D7">
        <w:rPr>
          <w:szCs w:val="19"/>
          <w:shd w:val="clear" w:color="auto" w:fill="FFFFFF"/>
        </w:rPr>
        <w:t xml:space="preserve">, co oznaczało spadek o 10,8% w stosunku do </w:t>
      </w:r>
      <w:r w:rsidR="00A14540">
        <w:rPr>
          <w:szCs w:val="19"/>
          <w:shd w:val="clear" w:color="auto" w:fill="FFFFFF"/>
        </w:rPr>
        <w:t>I kwartału 2018 </w:t>
      </w:r>
      <w:r>
        <w:rPr>
          <w:szCs w:val="19"/>
          <w:shd w:val="clear" w:color="auto" w:fill="FFFFFF"/>
        </w:rPr>
        <w:t>r.</w:t>
      </w:r>
      <w:r w:rsidRPr="00FB22D7">
        <w:rPr>
          <w:szCs w:val="19"/>
          <w:shd w:val="clear" w:color="auto" w:fill="FFFFFF"/>
        </w:rPr>
        <w:t xml:space="preserve"> Województwami, na terenie których odnotowano największą nowo wybudowaną powierzchnię handlowo-usługową, były: małopolskie (19,0% udziału w kraju)</w:t>
      </w:r>
      <w:r>
        <w:rPr>
          <w:szCs w:val="19"/>
          <w:shd w:val="clear" w:color="auto" w:fill="FFFFFF"/>
        </w:rPr>
        <w:t xml:space="preserve"> oraz</w:t>
      </w:r>
      <w:r w:rsidRPr="00FB22D7">
        <w:rPr>
          <w:szCs w:val="19"/>
          <w:shd w:val="clear" w:color="auto" w:fill="FFFFFF"/>
        </w:rPr>
        <w:t xml:space="preserve"> mazowieckie i</w:t>
      </w:r>
      <w:r>
        <w:rPr>
          <w:szCs w:val="19"/>
          <w:shd w:val="clear" w:color="auto" w:fill="FFFFFF"/>
        </w:rPr>
        <w:t> </w:t>
      </w:r>
      <w:r w:rsidRPr="00FB22D7">
        <w:rPr>
          <w:szCs w:val="19"/>
          <w:shd w:val="clear" w:color="auto" w:fill="FFFFFF"/>
        </w:rPr>
        <w:t>śląskie (po 13,1%). Najmniejszą powierzchnię oddano do użytkowania w</w:t>
      </w:r>
      <w:r>
        <w:rPr>
          <w:szCs w:val="19"/>
          <w:shd w:val="clear" w:color="auto" w:fill="FFFFFF"/>
        </w:rPr>
        <w:t> </w:t>
      </w:r>
      <w:r w:rsidRPr="00FB22D7">
        <w:rPr>
          <w:szCs w:val="19"/>
          <w:shd w:val="clear" w:color="auto" w:fill="FFFFFF"/>
        </w:rPr>
        <w:t>województw</w:t>
      </w:r>
      <w:r>
        <w:rPr>
          <w:szCs w:val="19"/>
          <w:shd w:val="clear" w:color="auto" w:fill="FFFFFF"/>
        </w:rPr>
        <w:t>ach:</w:t>
      </w:r>
      <w:r w:rsidRPr="00FB22D7">
        <w:rPr>
          <w:szCs w:val="19"/>
          <w:shd w:val="clear" w:color="auto" w:fill="FFFFFF"/>
        </w:rPr>
        <w:t xml:space="preserve"> lubuskim (1,5%), opolskim (1,7%) i świętokrzyskim (2,2%).</w:t>
      </w:r>
    </w:p>
    <w:p w14:paraId="3C5979B7" w14:textId="77777777" w:rsidR="00F2097F" w:rsidRPr="001433CA" w:rsidRDefault="00F2097F" w:rsidP="00F2097F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853312" behindDoc="1" locked="0" layoutInCell="1" allowOverlap="1" wp14:anchorId="05CCE43C" wp14:editId="63EBF860">
            <wp:simplePos x="0" y="0"/>
            <wp:positionH relativeFrom="margin">
              <wp:align>right</wp:align>
            </wp:positionH>
            <wp:positionV relativeFrom="paragraph">
              <wp:posOffset>386203</wp:posOffset>
            </wp:positionV>
            <wp:extent cx="5084445" cy="2859206"/>
            <wp:effectExtent l="0" t="0" r="190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859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3CA">
        <w:rPr>
          <w:b/>
          <w:sz w:val="18"/>
          <w:szCs w:val="19"/>
          <w:shd w:val="clear" w:color="auto" w:fill="FFFFFF"/>
        </w:rPr>
        <w:t>Wykres 4.</w:t>
      </w:r>
      <w:r>
        <w:rPr>
          <w:b/>
          <w:sz w:val="18"/>
          <w:szCs w:val="19"/>
          <w:shd w:val="clear" w:color="auto" w:fill="FFFFFF"/>
        </w:rPr>
        <w:tab/>
      </w:r>
      <w:r w:rsidRPr="001433CA">
        <w:rPr>
          <w:b/>
          <w:sz w:val="18"/>
          <w:szCs w:val="19"/>
          <w:shd w:val="clear" w:color="auto" w:fill="FFFFFF"/>
        </w:rPr>
        <w:t>Powierzchnia użytkowa budynków handlowo-usługowych oddanych do użytkowania w</w:t>
      </w:r>
      <w:r>
        <w:rPr>
          <w:b/>
          <w:sz w:val="18"/>
          <w:szCs w:val="19"/>
          <w:shd w:val="clear" w:color="auto" w:fill="FFFFFF"/>
        </w:rPr>
        <w:t xml:space="preserve"> I kwartale </w:t>
      </w:r>
      <w:r w:rsidRPr="001433CA">
        <w:rPr>
          <w:b/>
          <w:sz w:val="18"/>
          <w:szCs w:val="19"/>
          <w:shd w:val="clear" w:color="auto" w:fill="FFFFFF"/>
        </w:rPr>
        <w:t>201</w:t>
      </w:r>
      <w:r>
        <w:rPr>
          <w:b/>
          <w:sz w:val="18"/>
          <w:szCs w:val="19"/>
          <w:shd w:val="clear" w:color="auto" w:fill="FFFFFF"/>
        </w:rPr>
        <w:t>9</w:t>
      </w:r>
      <w:r w:rsidRPr="001433CA">
        <w:rPr>
          <w:b/>
          <w:sz w:val="18"/>
          <w:szCs w:val="19"/>
          <w:shd w:val="clear" w:color="auto" w:fill="FFFFFF"/>
        </w:rPr>
        <w:t xml:space="preserve"> r. według województw</w:t>
      </w:r>
    </w:p>
    <w:p w14:paraId="4F9F3852" w14:textId="77777777" w:rsidR="00F2097F" w:rsidRDefault="00F2097F" w:rsidP="00F2097F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A408FA3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09D31EA2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034AEC18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6C5013E2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5717A3AA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40EE8427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1950AC61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46F1C168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43958727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t>Budynki przemysłowe</w:t>
      </w:r>
      <w:r w:rsidRPr="002543F3">
        <w:rPr>
          <w:noProof/>
          <w:color w:val="001D77"/>
          <w:szCs w:val="19"/>
          <w:shd w:val="clear" w:color="auto" w:fill="FFFFFF"/>
          <w:lang w:eastAsia="pl-PL"/>
        </w:rPr>
        <w:t xml:space="preserve"> </w:t>
      </w:r>
    </w:p>
    <w:p w14:paraId="5A6EAAE0" w14:textId="2C4AED6F" w:rsidR="00F2097F" w:rsidRPr="00FB22D7" w:rsidRDefault="00F2097F" w:rsidP="00F2097F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 I kwartale 2019 roku wybudowano 249 nowych budynków przemysłowych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spadek o 4,2% w porównaniu z analogicznym okresem roku 2018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)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.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Ich ł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ączna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owierzchnia użytkowa wyniosła 841,3 tys. m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 była większa o 33,1% niż rok wcześniej. Największy udział w powierzchni budynków przemysłowych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miały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województw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a: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dolnośląskie (21,8%), wielkopolskie (14,2%) oraz łódzkie (8,8%)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najmniejszy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: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świętokrzyskie (0,7%), kujawsko-pomorskie (2,2%) i opolskie (2,3%).</w:t>
      </w:r>
    </w:p>
    <w:p w14:paraId="629E26B2" w14:textId="77777777" w:rsidR="00F2097F" w:rsidRPr="001433CA" w:rsidRDefault="00F2097F" w:rsidP="00F2097F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54336" behindDoc="1" locked="0" layoutInCell="1" allowOverlap="1" wp14:anchorId="1B238111" wp14:editId="7347925D">
            <wp:simplePos x="0" y="0"/>
            <wp:positionH relativeFrom="margin">
              <wp:posOffset>-59813</wp:posOffset>
            </wp:positionH>
            <wp:positionV relativeFrom="paragraph">
              <wp:posOffset>373693</wp:posOffset>
            </wp:positionV>
            <wp:extent cx="5084445" cy="2743200"/>
            <wp:effectExtent l="0" t="0" r="1905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3CA">
        <w:rPr>
          <w:b/>
          <w:sz w:val="18"/>
          <w:szCs w:val="19"/>
          <w:shd w:val="clear" w:color="auto" w:fill="FFFFFF"/>
        </w:rPr>
        <w:t>Wykres 5.</w:t>
      </w:r>
      <w:r>
        <w:rPr>
          <w:b/>
          <w:sz w:val="18"/>
          <w:szCs w:val="19"/>
          <w:shd w:val="clear" w:color="auto" w:fill="FFFFFF"/>
        </w:rPr>
        <w:tab/>
      </w:r>
      <w:r w:rsidRPr="001433CA">
        <w:rPr>
          <w:b/>
          <w:sz w:val="18"/>
          <w:szCs w:val="19"/>
          <w:shd w:val="clear" w:color="auto" w:fill="FFFFFF"/>
        </w:rPr>
        <w:t>Powierzchnia użytkowa budynków przemysłowych oddanych do użytkowania</w:t>
      </w:r>
      <w:r>
        <w:rPr>
          <w:b/>
          <w:sz w:val="18"/>
          <w:szCs w:val="19"/>
          <w:shd w:val="clear" w:color="auto" w:fill="FFFFFF"/>
        </w:rPr>
        <w:t xml:space="preserve"> </w:t>
      </w:r>
      <w:r w:rsidRPr="001433CA">
        <w:rPr>
          <w:b/>
          <w:sz w:val="18"/>
          <w:szCs w:val="19"/>
          <w:shd w:val="clear" w:color="auto" w:fill="FFFFFF"/>
        </w:rPr>
        <w:t>w</w:t>
      </w:r>
      <w:r>
        <w:rPr>
          <w:b/>
          <w:sz w:val="18"/>
          <w:szCs w:val="19"/>
          <w:shd w:val="clear" w:color="auto" w:fill="FFFFFF"/>
        </w:rPr>
        <w:t xml:space="preserve"> I kwartale </w:t>
      </w:r>
      <w:r w:rsidRPr="001433CA">
        <w:rPr>
          <w:b/>
          <w:sz w:val="18"/>
          <w:szCs w:val="19"/>
          <w:shd w:val="clear" w:color="auto" w:fill="FFFFFF"/>
        </w:rPr>
        <w:t>201</w:t>
      </w:r>
      <w:r>
        <w:rPr>
          <w:b/>
          <w:sz w:val="18"/>
          <w:szCs w:val="19"/>
          <w:shd w:val="clear" w:color="auto" w:fill="FFFFFF"/>
        </w:rPr>
        <w:t>9</w:t>
      </w:r>
      <w:r w:rsidRPr="001433CA">
        <w:rPr>
          <w:b/>
          <w:sz w:val="18"/>
          <w:szCs w:val="19"/>
          <w:shd w:val="clear" w:color="auto" w:fill="FFFFFF"/>
        </w:rPr>
        <w:t xml:space="preserve"> r. według województw</w:t>
      </w:r>
    </w:p>
    <w:p w14:paraId="683F53E7" w14:textId="77777777" w:rsidR="00F2097F" w:rsidRPr="00141DBE" w:rsidRDefault="00F2097F" w:rsidP="00F2097F">
      <w:pPr>
        <w:spacing w:before="240"/>
        <w:rPr>
          <w:szCs w:val="19"/>
          <w:shd w:val="clear" w:color="auto" w:fill="FFFFFF"/>
        </w:rPr>
      </w:pPr>
    </w:p>
    <w:p w14:paraId="6082AB91" w14:textId="77777777" w:rsidR="00F2097F" w:rsidRDefault="00F2097F" w:rsidP="00F2097F">
      <w:pPr>
        <w:spacing w:before="240"/>
        <w:rPr>
          <w:szCs w:val="19"/>
          <w:highlight w:val="yellow"/>
          <w:shd w:val="clear" w:color="auto" w:fill="FFFFFF"/>
        </w:rPr>
      </w:pPr>
    </w:p>
    <w:p w14:paraId="0FFCD409" w14:textId="77777777" w:rsidR="00F2097F" w:rsidRDefault="00F2097F" w:rsidP="00F2097F">
      <w:pPr>
        <w:spacing w:before="240"/>
        <w:rPr>
          <w:szCs w:val="19"/>
          <w:highlight w:val="yellow"/>
          <w:shd w:val="clear" w:color="auto" w:fill="FFFFFF"/>
        </w:rPr>
      </w:pPr>
    </w:p>
    <w:p w14:paraId="715F287F" w14:textId="77777777" w:rsidR="00F2097F" w:rsidRDefault="00F2097F" w:rsidP="00F2097F">
      <w:pPr>
        <w:spacing w:before="240"/>
        <w:rPr>
          <w:szCs w:val="19"/>
          <w:highlight w:val="yellow"/>
          <w:shd w:val="clear" w:color="auto" w:fill="FFFFFF"/>
        </w:rPr>
      </w:pPr>
    </w:p>
    <w:p w14:paraId="6AA1780F" w14:textId="77777777" w:rsidR="00F2097F" w:rsidRDefault="00F2097F" w:rsidP="00F2097F">
      <w:pPr>
        <w:spacing w:before="240"/>
        <w:rPr>
          <w:szCs w:val="19"/>
          <w:highlight w:val="yellow"/>
          <w:shd w:val="clear" w:color="auto" w:fill="FFFFFF"/>
        </w:rPr>
      </w:pPr>
    </w:p>
    <w:p w14:paraId="4F87D541" w14:textId="77777777" w:rsidR="00F2097F" w:rsidRDefault="00F2097F" w:rsidP="00F2097F">
      <w:pPr>
        <w:spacing w:before="240"/>
        <w:rPr>
          <w:szCs w:val="19"/>
          <w:highlight w:val="yellow"/>
          <w:shd w:val="clear" w:color="auto" w:fill="FFFFFF"/>
        </w:rPr>
      </w:pPr>
    </w:p>
    <w:p w14:paraId="290CF77B" w14:textId="77777777" w:rsidR="00F2097F" w:rsidRDefault="00F2097F" w:rsidP="00F2097F">
      <w:pPr>
        <w:spacing w:before="240"/>
        <w:rPr>
          <w:szCs w:val="19"/>
          <w:highlight w:val="yellow"/>
          <w:shd w:val="clear" w:color="auto" w:fill="FFFFFF"/>
        </w:rPr>
      </w:pPr>
    </w:p>
    <w:p w14:paraId="717EED7E" w14:textId="77777777" w:rsidR="00F2097F" w:rsidRDefault="00F2097F" w:rsidP="00F2097F">
      <w:pPr>
        <w:spacing w:before="240"/>
        <w:rPr>
          <w:szCs w:val="19"/>
          <w:highlight w:val="yellow"/>
          <w:shd w:val="clear" w:color="auto" w:fill="FFFFFF"/>
        </w:rPr>
      </w:pPr>
    </w:p>
    <w:p w14:paraId="2D69E360" w14:textId="77777777" w:rsidR="00F2097F" w:rsidRDefault="00F2097F" w:rsidP="00F2097F">
      <w:pPr>
        <w:spacing w:before="240"/>
        <w:rPr>
          <w:szCs w:val="19"/>
          <w:highlight w:val="yellow"/>
          <w:shd w:val="clear" w:color="auto" w:fill="FFFFFF"/>
        </w:rPr>
      </w:pPr>
    </w:p>
    <w:p w14:paraId="5244A33B" w14:textId="77777777" w:rsidR="00F2097F" w:rsidRPr="002543F3" w:rsidRDefault="00F2097F" w:rsidP="00F2097F">
      <w:pPr>
        <w:spacing w:before="240"/>
        <w:rPr>
          <w:b/>
          <w:color w:val="001D77"/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14:paraId="2E36E19B" w14:textId="72D13C95" w:rsidR="00F2097F" w:rsidRPr="00FB22D7" w:rsidRDefault="00F2097F" w:rsidP="00F2097F">
      <w:pPr>
        <w:rPr>
          <w:szCs w:val="19"/>
          <w:shd w:val="clear" w:color="auto" w:fill="FFFFFF"/>
        </w:rPr>
      </w:pPr>
      <w:r w:rsidRPr="00FB22D7">
        <w:rPr>
          <w:szCs w:val="19"/>
          <w:shd w:val="clear" w:color="auto" w:fill="FFFFFF"/>
        </w:rPr>
        <w:t xml:space="preserve">W </w:t>
      </w:r>
      <w:r>
        <w:rPr>
          <w:szCs w:val="19"/>
          <w:shd w:val="clear" w:color="auto" w:fill="FFFFFF"/>
        </w:rPr>
        <w:t>analizowanym okresie</w:t>
      </w:r>
      <w:r w:rsidRPr="00FB22D7">
        <w:rPr>
          <w:szCs w:val="19"/>
          <w:shd w:val="clear" w:color="auto" w:fill="FFFFFF"/>
        </w:rPr>
        <w:t xml:space="preserve"> przekazano do użytkowania 615 nowych budynków magazynowych (o 0,8% </w:t>
      </w:r>
      <w:r>
        <w:rPr>
          <w:szCs w:val="19"/>
          <w:shd w:val="clear" w:color="auto" w:fill="FFFFFF"/>
        </w:rPr>
        <w:t>więcej niż przed rokiem</w:t>
      </w:r>
      <w:r w:rsidRPr="00FB22D7">
        <w:rPr>
          <w:szCs w:val="19"/>
          <w:shd w:val="clear" w:color="auto" w:fill="FFFFFF"/>
        </w:rPr>
        <w:t>). Łączna powierzchnia użytkowa tego rodzaju budynków wzrosła względem poprzedniego roku o 4,4% i wyniosła 1 046,0 tys. m</w:t>
      </w:r>
      <w:r w:rsidRPr="00FB22D7">
        <w:rPr>
          <w:szCs w:val="19"/>
          <w:shd w:val="clear" w:color="auto" w:fill="FFFFFF"/>
          <w:vertAlign w:val="superscript"/>
        </w:rPr>
        <w:t>2</w:t>
      </w:r>
      <w:r w:rsidRPr="00FB22D7">
        <w:rPr>
          <w:szCs w:val="19"/>
          <w:shd w:val="clear" w:color="auto" w:fill="FFFFFF"/>
        </w:rPr>
        <w:t>, osiągając największą wartość w województw</w:t>
      </w:r>
      <w:r>
        <w:rPr>
          <w:szCs w:val="19"/>
          <w:shd w:val="clear" w:color="auto" w:fill="FFFFFF"/>
        </w:rPr>
        <w:t>ach:</w:t>
      </w:r>
      <w:r w:rsidRPr="00FB22D7">
        <w:rPr>
          <w:szCs w:val="19"/>
          <w:shd w:val="clear" w:color="auto" w:fill="FFFFFF"/>
        </w:rPr>
        <w:t xml:space="preserve"> mazowieckim (20,1% udziału w kraju), łódzkim (17,6%) i</w:t>
      </w:r>
      <w:r>
        <w:rPr>
          <w:szCs w:val="19"/>
          <w:shd w:val="clear" w:color="auto" w:fill="FFFFFF"/>
        </w:rPr>
        <w:t> </w:t>
      </w:r>
      <w:r w:rsidRPr="00FB22D7">
        <w:rPr>
          <w:szCs w:val="19"/>
          <w:shd w:val="clear" w:color="auto" w:fill="FFFFFF"/>
        </w:rPr>
        <w:t>wielkopolskim (13,3%). Najmniejszą powierzchnię odnotowano w podlaskim (1,3%), lubuskim (1,6%) oraz zachodniopomorskim (1,7%).</w:t>
      </w:r>
    </w:p>
    <w:p w14:paraId="0A79C29D" w14:textId="77777777" w:rsidR="00F2097F" w:rsidRPr="001433CA" w:rsidRDefault="00F2097F" w:rsidP="00F2097F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55360" behindDoc="1" locked="0" layoutInCell="1" allowOverlap="1" wp14:anchorId="7857B6A1" wp14:editId="6B891FDB">
            <wp:simplePos x="0" y="0"/>
            <wp:positionH relativeFrom="margin">
              <wp:posOffset>-44289</wp:posOffset>
            </wp:positionH>
            <wp:positionV relativeFrom="paragraph">
              <wp:posOffset>350520</wp:posOffset>
            </wp:positionV>
            <wp:extent cx="5084445" cy="2749550"/>
            <wp:effectExtent l="0" t="0" r="1905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3CA">
        <w:rPr>
          <w:b/>
          <w:sz w:val="18"/>
          <w:szCs w:val="19"/>
          <w:shd w:val="clear" w:color="auto" w:fill="FFFFFF"/>
        </w:rPr>
        <w:t>Wykres 6.</w:t>
      </w:r>
      <w:r>
        <w:rPr>
          <w:b/>
          <w:sz w:val="18"/>
          <w:szCs w:val="19"/>
          <w:shd w:val="clear" w:color="auto" w:fill="FFFFFF"/>
        </w:rPr>
        <w:tab/>
      </w:r>
      <w:r w:rsidRPr="001433CA">
        <w:rPr>
          <w:b/>
          <w:sz w:val="18"/>
          <w:szCs w:val="19"/>
          <w:shd w:val="clear" w:color="auto" w:fill="FFFFFF"/>
        </w:rPr>
        <w:t>Powierzchnia użytkowa budynków magazynowych oddanych do użytkowania</w:t>
      </w:r>
      <w:r>
        <w:rPr>
          <w:b/>
          <w:sz w:val="18"/>
          <w:szCs w:val="19"/>
          <w:shd w:val="clear" w:color="auto" w:fill="FFFFFF"/>
        </w:rPr>
        <w:t xml:space="preserve"> </w:t>
      </w:r>
      <w:r w:rsidRPr="001433CA">
        <w:rPr>
          <w:b/>
          <w:sz w:val="18"/>
          <w:szCs w:val="19"/>
          <w:shd w:val="clear" w:color="auto" w:fill="FFFFFF"/>
        </w:rPr>
        <w:t>w</w:t>
      </w:r>
      <w:r>
        <w:rPr>
          <w:b/>
          <w:sz w:val="18"/>
          <w:szCs w:val="19"/>
          <w:shd w:val="clear" w:color="auto" w:fill="FFFFFF"/>
        </w:rPr>
        <w:t xml:space="preserve"> I kwartale </w:t>
      </w:r>
      <w:r w:rsidRPr="001433CA">
        <w:rPr>
          <w:b/>
          <w:sz w:val="18"/>
          <w:szCs w:val="19"/>
          <w:shd w:val="clear" w:color="auto" w:fill="FFFFFF"/>
        </w:rPr>
        <w:t>201</w:t>
      </w:r>
      <w:r>
        <w:rPr>
          <w:b/>
          <w:sz w:val="18"/>
          <w:szCs w:val="19"/>
          <w:shd w:val="clear" w:color="auto" w:fill="FFFFFF"/>
        </w:rPr>
        <w:t>9</w:t>
      </w:r>
      <w:r w:rsidRPr="001433CA">
        <w:rPr>
          <w:b/>
          <w:sz w:val="18"/>
          <w:szCs w:val="19"/>
          <w:shd w:val="clear" w:color="auto" w:fill="FFFFFF"/>
        </w:rPr>
        <w:t xml:space="preserve"> r. według województw</w:t>
      </w:r>
    </w:p>
    <w:p w14:paraId="7C2BC990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36E092EC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60713A14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72CE0301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64563339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59F80745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1B3BBBAF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5D9BE557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40BA205C" w14:textId="77777777" w:rsidR="00F2097F" w:rsidRDefault="00F2097F" w:rsidP="00F2097F">
      <w:pPr>
        <w:spacing w:before="240"/>
        <w:rPr>
          <w:szCs w:val="19"/>
          <w:shd w:val="clear" w:color="auto" w:fill="FFFFFF"/>
        </w:rPr>
      </w:pPr>
    </w:p>
    <w:p w14:paraId="3F783686" w14:textId="77777777" w:rsidR="00F2097F" w:rsidRPr="002543F3" w:rsidRDefault="00F2097F" w:rsidP="00F2097F">
      <w:pPr>
        <w:spacing w:before="240"/>
        <w:rPr>
          <w:color w:val="001D77"/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t>Budynki gospodarstw rolnych</w:t>
      </w:r>
    </w:p>
    <w:p w14:paraId="01D08900" w14:textId="3F9A09F4" w:rsidR="00F2097F" w:rsidRPr="00C7043E" w:rsidRDefault="00F2097F" w:rsidP="00F2097F">
      <w:pPr>
        <w:rPr>
          <w:spacing w:val="-2"/>
          <w:szCs w:val="19"/>
          <w:shd w:val="clear" w:color="auto" w:fill="FFFFFF"/>
        </w:rPr>
      </w:pPr>
      <w:r w:rsidRPr="00C7043E">
        <w:rPr>
          <w:spacing w:val="-2"/>
          <w:szCs w:val="19"/>
          <w:shd w:val="clear" w:color="auto" w:fill="FFFFFF"/>
        </w:rPr>
        <w:t>W I kwartale 2019 roku wybudowano 1 786 nowych budynków gospodarstw rolnych – o 2,6% mniej niż w analogicznym okresie roku poprzedniego. Łączna powierzchnia użytkowa tego typu obiektów wyniosła 702,0 tys. m</w:t>
      </w:r>
      <w:r w:rsidRPr="00C7043E">
        <w:rPr>
          <w:spacing w:val="-2"/>
          <w:szCs w:val="19"/>
          <w:shd w:val="clear" w:color="auto" w:fill="FFFFFF"/>
          <w:vertAlign w:val="superscript"/>
        </w:rPr>
        <w:t>2</w:t>
      </w:r>
      <w:r w:rsidRPr="00C7043E">
        <w:rPr>
          <w:spacing w:val="-2"/>
          <w:szCs w:val="19"/>
          <w:shd w:val="clear" w:color="auto" w:fill="FFFFFF"/>
        </w:rPr>
        <w:t xml:space="preserve"> (spadek o 8,6% w stosunku do I kwartału </w:t>
      </w:r>
      <w:r>
        <w:rPr>
          <w:spacing w:val="-2"/>
          <w:szCs w:val="19"/>
          <w:shd w:val="clear" w:color="auto" w:fill="FFFFFF"/>
        </w:rPr>
        <w:t>2018 r.</w:t>
      </w:r>
      <w:r w:rsidR="00A14540">
        <w:rPr>
          <w:spacing w:val="-2"/>
          <w:szCs w:val="19"/>
          <w:shd w:val="clear" w:color="auto" w:fill="FFFFFF"/>
        </w:rPr>
        <w:t>).</w:t>
      </w:r>
      <w:r w:rsidRPr="00C7043E">
        <w:rPr>
          <w:spacing w:val="-2"/>
          <w:szCs w:val="19"/>
          <w:shd w:val="clear" w:color="auto" w:fill="FFFFFF"/>
        </w:rPr>
        <w:t xml:space="preserve"> Największym udziałem powierzchni w wartości ogólnopolskiej cechowały się województwa: mazowieckie (24,4%), wielkopolskie (24,0%) oraz lubelskie (10,4%), najmniejszym: lubuskie, zachodniopomorskie oraz śląskie </w:t>
      </w:r>
      <w:r w:rsidR="00A14540">
        <w:rPr>
          <w:spacing w:val="-2"/>
          <w:szCs w:val="19"/>
          <w:shd w:val="clear" w:color="auto" w:fill="FFFFFF"/>
        </w:rPr>
        <w:t>–</w:t>
      </w:r>
      <w:r w:rsidRPr="00C7043E">
        <w:rPr>
          <w:spacing w:val="-2"/>
          <w:szCs w:val="19"/>
          <w:shd w:val="clear" w:color="auto" w:fill="FFFFFF"/>
        </w:rPr>
        <w:t xml:space="preserve"> odpowiednio 0,6%, 0,7% oraz 1,2</w:t>
      </w:r>
      <w:r w:rsidR="00A14540">
        <w:rPr>
          <w:spacing w:val="-2"/>
          <w:szCs w:val="19"/>
          <w:shd w:val="clear" w:color="auto" w:fill="FFFFFF"/>
        </w:rPr>
        <w:t>%.</w:t>
      </w:r>
    </w:p>
    <w:p w14:paraId="38248211" w14:textId="77777777" w:rsidR="00F2097F" w:rsidRPr="001433CA" w:rsidRDefault="00F2097F" w:rsidP="00F2097F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56384" behindDoc="1" locked="0" layoutInCell="1" allowOverlap="1" wp14:anchorId="0055786F" wp14:editId="62A31E1B">
            <wp:simplePos x="0" y="0"/>
            <wp:positionH relativeFrom="margin">
              <wp:posOffset>-56989</wp:posOffset>
            </wp:positionH>
            <wp:positionV relativeFrom="paragraph">
              <wp:posOffset>351790</wp:posOffset>
            </wp:positionV>
            <wp:extent cx="5078095" cy="2743200"/>
            <wp:effectExtent l="0" t="0" r="8255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3CA">
        <w:rPr>
          <w:b/>
          <w:sz w:val="18"/>
          <w:szCs w:val="19"/>
          <w:shd w:val="clear" w:color="auto" w:fill="FFFFFF"/>
        </w:rPr>
        <w:t>Wykres 7.</w:t>
      </w:r>
      <w:r>
        <w:rPr>
          <w:b/>
          <w:sz w:val="18"/>
          <w:szCs w:val="19"/>
          <w:shd w:val="clear" w:color="auto" w:fill="FFFFFF"/>
        </w:rPr>
        <w:tab/>
      </w:r>
      <w:r w:rsidRPr="001433CA">
        <w:rPr>
          <w:b/>
          <w:sz w:val="18"/>
          <w:szCs w:val="19"/>
          <w:shd w:val="clear" w:color="auto" w:fill="FFFFFF"/>
        </w:rPr>
        <w:t>Powierzchnia użytkowa budynków gospodarstw rolnych oddanych do użytkowania w</w:t>
      </w:r>
      <w:r>
        <w:rPr>
          <w:b/>
          <w:sz w:val="18"/>
          <w:szCs w:val="19"/>
          <w:shd w:val="clear" w:color="auto" w:fill="FFFFFF"/>
        </w:rPr>
        <w:t xml:space="preserve"> I kwartale </w:t>
      </w:r>
      <w:r w:rsidRPr="001433CA">
        <w:rPr>
          <w:b/>
          <w:sz w:val="18"/>
          <w:szCs w:val="19"/>
          <w:shd w:val="clear" w:color="auto" w:fill="FFFFFF"/>
        </w:rPr>
        <w:t>201</w:t>
      </w:r>
      <w:r>
        <w:rPr>
          <w:b/>
          <w:sz w:val="18"/>
          <w:szCs w:val="19"/>
          <w:shd w:val="clear" w:color="auto" w:fill="FFFFFF"/>
        </w:rPr>
        <w:t>9</w:t>
      </w:r>
      <w:r w:rsidRPr="001433CA">
        <w:rPr>
          <w:b/>
          <w:sz w:val="18"/>
          <w:szCs w:val="19"/>
          <w:shd w:val="clear" w:color="auto" w:fill="FFFFFF"/>
        </w:rPr>
        <w:t xml:space="preserve"> r. według województw</w:t>
      </w:r>
    </w:p>
    <w:p w14:paraId="6B9EA170" w14:textId="77777777" w:rsidR="00F2097F" w:rsidRPr="00DF13E0" w:rsidRDefault="00F2097F" w:rsidP="00F2097F">
      <w:pPr>
        <w:spacing w:before="240"/>
        <w:rPr>
          <w:szCs w:val="19"/>
          <w:shd w:val="clear" w:color="auto" w:fill="FFFFFF"/>
        </w:rPr>
      </w:pPr>
    </w:p>
    <w:p w14:paraId="3FA43FAC" w14:textId="77777777" w:rsidR="00F2097F" w:rsidRPr="00DF13E0" w:rsidRDefault="00F2097F" w:rsidP="00F2097F">
      <w:pPr>
        <w:spacing w:before="240"/>
        <w:rPr>
          <w:szCs w:val="19"/>
          <w:shd w:val="clear" w:color="auto" w:fill="FFFFFF"/>
        </w:rPr>
      </w:pPr>
    </w:p>
    <w:p w14:paraId="1B2B783D" w14:textId="77777777" w:rsidR="00F2097F" w:rsidRPr="00DF13E0" w:rsidRDefault="00F2097F" w:rsidP="00F2097F">
      <w:pPr>
        <w:spacing w:before="240"/>
        <w:rPr>
          <w:szCs w:val="19"/>
          <w:shd w:val="clear" w:color="auto" w:fill="FFFFFF"/>
        </w:rPr>
      </w:pPr>
    </w:p>
    <w:p w14:paraId="6DB06BF6" w14:textId="77777777" w:rsidR="00F2097F" w:rsidRPr="00DF13E0" w:rsidRDefault="00F2097F" w:rsidP="00F2097F">
      <w:pPr>
        <w:spacing w:before="240"/>
        <w:rPr>
          <w:szCs w:val="19"/>
          <w:shd w:val="clear" w:color="auto" w:fill="FFFFFF"/>
        </w:rPr>
      </w:pPr>
    </w:p>
    <w:p w14:paraId="242AB83A" w14:textId="77777777" w:rsidR="00F2097F" w:rsidRPr="00DF13E0" w:rsidRDefault="00F2097F" w:rsidP="00F2097F">
      <w:pPr>
        <w:spacing w:before="240"/>
        <w:rPr>
          <w:szCs w:val="19"/>
          <w:shd w:val="clear" w:color="auto" w:fill="FFFFFF"/>
        </w:rPr>
      </w:pPr>
    </w:p>
    <w:p w14:paraId="15EA464A" w14:textId="77777777" w:rsidR="00F2097F" w:rsidRPr="00DF13E0" w:rsidRDefault="00F2097F" w:rsidP="00F2097F">
      <w:pPr>
        <w:spacing w:before="240"/>
        <w:rPr>
          <w:szCs w:val="19"/>
          <w:shd w:val="clear" w:color="auto" w:fill="FFFFFF"/>
        </w:rPr>
      </w:pPr>
    </w:p>
    <w:p w14:paraId="579747B8" w14:textId="77777777" w:rsidR="00F2097F" w:rsidRPr="00DF13E0" w:rsidRDefault="00F2097F" w:rsidP="00F2097F">
      <w:pPr>
        <w:spacing w:before="240"/>
        <w:rPr>
          <w:szCs w:val="19"/>
          <w:shd w:val="clear" w:color="auto" w:fill="FFFFFF"/>
        </w:rPr>
      </w:pPr>
    </w:p>
    <w:p w14:paraId="61A73895" w14:textId="77777777" w:rsidR="00F2097F" w:rsidRPr="00DF13E0" w:rsidRDefault="00F2097F" w:rsidP="00F2097F">
      <w:pPr>
        <w:spacing w:before="240"/>
        <w:rPr>
          <w:szCs w:val="19"/>
          <w:shd w:val="clear" w:color="auto" w:fill="FFFFFF"/>
        </w:rPr>
      </w:pPr>
    </w:p>
    <w:p w14:paraId="673284B1" w14:textId="77777777" w:rsidR="00F2097F" w:rsidRPr="00DF13E0" w:rsidRDefault="00F2097F" w:rsidP="00F2097F">
      <w:pPr>
        <w:spacing w:before="240"/>
        <w:rPr>
          <w:szCs w:val="19"/>
          <w:shd w:val="clear" w:color="auto" w:fill="FFFFFF"/>
        </w:rPr>
      </w:pPr>
    </w:p>
    <w:p w14:paraId="18196EF8" w14:textId="77777777" w:rsidR="00F2097F" w:rsidRDefault="00F2097F" w:rsidP="00F2097F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14:paraId="22C2CC74" w14:textId="77777777" w:rsidR="00F2097F" w:rsidRPr="003D4DC6" w:rsidRDefault="00F2097F" w:rsidP="00F2097F">
      <w:pPr>
        <w:spacing w:before="240"/>
        <w:rPr>
          <w:shd w:val="clear" w:color="auto" w:fill="FFFFFF"/>
        </w:rPr>
      </w:pPr>
      <w:r w:rsidRPr="003D4DC6">
        <w:rPr>
          <w:rFonts w:ascii="Fira Sans SemiBold" w:hAnsi="Fira Sans SemiBold"/>
          <w:noProof/>
          <w:color w:val="001D77"/>
          <w:sz w:val="24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60480" behindDoc="0" locked="0" layoutInCell="1" allowOverlap="1" wp14:anchorId="34A03D96" wp14:editId="02677385">
                <wp:simplePos x="0" y="0"/>
                <wp:positionH relativeFrom="column">
                  <wp:posOffset>5247565</wp:posOffset>
                </wp:positionH>
                <wp:positionV relativeFrom="paragraph">
                  <wp:posOffset>150856</wp:posOffset>
                </wp:positionV>
                <wp:extent cx="1762125" cy="1419367"/>
                <wp:effectExtent l="0" t="0" r="0" b="0"/>
                <wp:wrapNone/>
                <wp:docPr id="19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193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02524" w14:textId="77777777" w:rsidR="00F2097F" w:rsidRPr="00E566AA" w:rsidRDefault="00F2097F" w:rsidP="00F2097F">
                            <w:pPr>
                              <w:pStyle w:val="tekstzboku"/>
                              <w:spacing w:after="120"/>
                              <w:rPr>
                                <w:spacing w:val="-2"/>
                                <w:szCs w:val="19"/>
                              </w:rPr>
                            </w:pPr>
                            <w:r w:rsidRPr="00E566AA">
                              <w:rPr>
                                <w:spacing w:val="-2"/>
                                <w:szCs w:val="19"/>
                              </w:rPr>
                              <w:t>Największy udział (41,2%) w powierzchni użytkowej nowych budynków niemieszkalnych, na których budowę wydano pozwolenia, miały budynki przemysłowe i magazynowe</w:t>
                            </w:r>
                          </w:p>
                        </w:txbxContent>
                      </wps:txbx>
                      <wps:bodyPr rot="0" vert="horz" wrap="square" lIns="90000" tIns="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03D96" id="_x0000_s1036" type="#_x0000_t202" style="position:absolute;margin-left:413.2pt;margin-top:11.9pt;width:138.75pt;height:111.75pt;z-index:25186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" filled="f" stroked="f">
                <v:textbox inset="2.5mm,0">
                  <w:txbxContent>
                    <w:p w14:paraId="2C002524" w14:textId="77777777" w:rsidR="00F2097F" w:rsidRPr="00E566AA" w:rsidRDefault="00F2097F" w:rsidP="00F2097F">
                      <w:pPr>
                        <w:pStyle w:val="tekstzboku"/>
                        <w:spacing w:after="120"/>
                        <w:rPr>
                          <w:spacing w:val="-2"/>
                          <w:szCs w:val="19"/>
                        </w:rPr>
                      </w:pPr>
                      <w:r w:rsidRPr="00E566AA">
                        <w:rPr>
                          <w:spacing w:val="-2"/>
                          <w:szCs w:val="19"/>
                        </w:rPr>
                        <w:t>Największy udział (41,2%) w powierzchni użytkowej nowych budynków niemieszkalnych, na których budowę wydano pozwolenia, miały budynki przemysłowe i magazynowe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ira Sans SemiBold" w:hAnsi="Fira Sans SemiBold"/>
          <w:color w:val="001D77"/>
          <w:sz w:val="24"/>
          <w:shd w:val="clear" w:color="auto" w:fill="FFFFFF"/>
        </w:rPr>
        <w:t>P</w:t>
      </w:r>
      <w:r w:rsidRPr="003D4DC6">
        <w:rPr>
          <w:rFonts w:ascii="Fira Sans SemiBold" w:hAnsi="Fira Sans SemiBold"/>
          <w:color w:val="001D77"/>
          <w:sz w:val="24"/>
          <w:shd w:val="clear" w:color="auto" w:fill="FFFFFF"/>
        </w:rPr>
        <w:t>ozwolenia na budowę nowych budynków niemieszkalnych</w:t>
      </w:r>
    </w:p>
    <w:p w14:paraId="3ECC28E5" w14:textId="5AA9D982" w:rsidR="00F2097F" w:rsidRPr="00DC660E" w:rsidRDefault="00F2097F" w:rsidP="00F2097F">
      <w:pPr>
        <w:rPr>
          <w:spacing w:val="-4"/>
          <w:szCs w:val="19"/>
          <w:shd w:val="clear" w:color="auto" w:fill="FFFFFF"/>
        </w:rPr>
      </w:pPr>
      <w:r w:rsidRPr="00DC660E">
        <w:rPr>
          <w:spacing w:val="-4"/>
          <w:szCs w:val="19"/>
          <w:shd w:val="clear" w:color="auto" w:fill="FFFFFF"/>
        </w:rPr>
        <w:t xml:space="preserve">W I kwartale 2019 roku wydano </w:t>
      </w:r>
      <w:r w:rsidRPr="00DC660E">
        <w:rPr>
          <w:b/>
          <w:spacing w:val="-4"/>
          <w:szCs w:val="19"/>
          <w:shd w:val="clear" w:color="auto" w:fill="FFFFFF"/>
        </w:rPr>
        <w:t>pozwolenia na budowę</w:t>
      </w:r>
      <w:r w:rsidRPr="00DC660E">
        <w:rPr>
          <w:spacing w:val="-4"/>
          <w:szCs w:val="19"/>
          <w:shd w:val="clear" w:color="auto" w:fill="FFFFFF"/>
        </w:rPr>
        <w:t xml:space="preserve"> 7 518 nowych budynków niemieszkalnych o łącznej powierzchni użytkowej 4 460,4 tys. m². W porównaniu z analogicznym okresem roku poprzedniego odnotowano spadek liczby i powierzchni budynków – odpowiednio o 3,6% i 22,9%. Wzrost planowanej do wybudowania powierzchni użytkowej nowych budynków niemieszkalnych odnotowano w przypadku budynków handlowo-usługowych (o 1,5%). Pozostałe katego</w:t>
      </w:r>
      <w:r w:rsidR="00577C72">
        <w:rPr>
          <w:spacing w:val="-4"/>
          <w:szCs w:val="19"/>
          <w:shd w:val="clear" w:color="auto" w:fill="FFFFFF"/>
        </w:rPr>
        <w:t>rie budynków charakteryzowały spadki – największe</w:t>
      </w:r>
      <w:r w:rsidRPr="00DC660E">
        <w:rPr>
          <w:spacing w:val="-4"/>
          <w:szCs w:val="19"/>
          <w:shd w:val="clear" w:color="auto" w:fill="FFFFFF"/>
        </w:rPr>
        <w:t xml:space="preserve"> w przypadku hoteli i budynków zakwaterowania turystycznego (o 57,6%), ogólnodostępnych obiektów kulturalnych, budynków o</w:t>
      </w:r>
      <w:r w:rsidR="00DC660E">
        <w:rPr>
          <w:spacing w:val="-4"/>
          <w:szCs w:val="19"/>
          <w:shd w:val="clear" w:color="auto" w:fill="FFFFFF"/>
        </w:rPr>
        <w:t> </w:t>
      </w:r>
      <w:r w:rsidRPr="00DC660E">
        <w:rPr>
          <w:spacing w:val="-4"/>
          <w:szCs w:val="19"/>
          <w:shd w:val="clear" w:color="auto" w:fill="FFFFFF"/>
        </w:rPr>
        <w:t>charakterze edukacyjnym, budynków szpitali i zakładów opieki medycznej oraz budynków kultury fizycznej (o</w:t>
      </w:r>
      <w:r w:rsidR="0065081C" w:rsidRPr="00DC660E">
        <w:rPr>
          <w:spacing w:val="-4"/>
          <w:szCs w:val="19"/>
          <w:shd w:val="clear" w:color="auto" w:fill="FFFFFF"/>
        </w:rPr>
        <w:t> </w:t>
      </w:r>
      <w:r w:rsidR="007362C9">
        <w:rPr>
          <w:spacing w:val="-4"/>
          <w:szCs w:val="19"/>
          <w:shd w:val="clear" w:color="auto" w:fill="FFFFFF"/>
        </w:rPr>
        <w:t xml:space="preserve">41,3%), </w:t>
      </w:r>
      <w:r w:rsidR="00532123">
        <w:rPr>
          <w:spacing w:val="-4"/>
          <w:szCs w:val="19"/>
          <w:shd w:val="clear" w:color="auto" w:fill="FFFFFF"/>
        </w:rPr>
        <w:t>a także</w:t>
      </w:r>
      <w:r w:rsidRPr="00DC660E">
        <w:rPr>
          <w:spacing w:val="-4"/>
          <w:szCs w:val="19"/>
          <w:shd w:val="clear" w:color="auto" w:fill="FFFFFF"/>
        </w:rPr>
        <w:t xml:space="preserve"> budynków przemysłowych i magazynowych (o 26,9%).</w:t>
      </w:r>
      <w:r w:rsidR="0065081C" w:rsidRPr="00DC660E">
        <w:rPr>
          <w:spacing w:val="-4"/>
          <w:szCs w:val="19"/>
          <w:shd w:val="clear" w:color="auto" w:fill="FFFFFF"/>
        </w:rPr>
        <w:t xml:space="preserve"> </w:t>
      </w:r>
      <w:r w:rsidRPr="00DC660E">
        <w:rPr>
          <w:spacing w:val="-4"/>
          <w:szCs w:val="19"/>
          <w:shd w:val="clear" w:color="auto" w:fill="FFFFFF"/>
        </w:rPr>
        <w:t>W strukturze powierzchni użytkowej nowych budynków, na budowę których wydano pozwolenia, dominowały budynki przemysłowe i magazynowe (41,2%), pozostałe budynki niemieszkalne (24,1%) oraz budynki handlowo-usługowe (15,5%).</w:t>
      </w:r>
    </w:p>
    <w:p w14:paraId="3949AA31" w14:textId="37F9B787" w:rsidR="00F2097F" w:rsidRPr="001433CA" w:rsidRDefault="0065081C" w:rsidP="0065081C">
      <w:pPr>
        <w:spacing w:before="18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858432" behindDoc="1" locked="0" layoutInCell="1" allowOverlap="1" wp14:anchorId="55C7687E" wp14:editId="6528B309">
            <wp:simplePos x="0" y="0"/>
            <wp:positionH relativeFrom="column">
              <wp:posOffset>-156210</wp:posOffset>
            </wp:positionH>
            <wp:positionV relativeFrom="paragraph">
              <wp:posOffset>-1744</wp:posOffset>
            </wp:positionV>
            <wp:extent cx="2249134" cy="2552132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34" cy="2552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97F" w:rsidRPr="001433CA">
        <w:rPr>
          <w:b/>
          <w:sz w:val="18"/>
          <w:szCs w:val="19"/>
          <w:shd w:val="clear" w:color="auto" w:fill="FFFFFF"/>
        </w:rPr>
        <w:t>Wykres 8.</w:t>
      </w:r>
      <w:r w:rsidR="00F2097F">
        <w:rPr>
          <w:b/>
          <w:sz w:val="18"/>
          <w:szCs w:val="19"/>
          <w:shd w:val="clear" w:color="auto" w:fill="FFFFFF"/>
        </w:rPr>
        <w:tab/>
      </w:r>
      <w:r w:rsidR="00F2097F" w:rsidRPr="001433CA">
        <w:rPr>
          <w:b/>
          <w:sz w:val="18"/>
          <w:szCs w:val="19"/>
          <w:shd w:val="clear" w:color="auto" w:fill="FFFFFF"/>
        </w:rPr>
        <w:t xml:space="preserve">Struktura powierzchni użytkowej nowych budynków niemieszkalnych, na których budowę wydano pozwolenia w </w:t>
      </w:r>
      <w:r w:rsidR="00F2097F">
        <w:rPr>
          <w:b/>
          <w:sz w:val="18"/>
          <w:szCs w:val="19"/>
          <w:shd w:val="clear" w:color="auto" w:fill="FFFFFF"/>
        </w:rPr>
        <w:t xml:space="preserve">I kwartale </w:t>
      </w:r>
      <w:r w:rsidR="00F2097F" w:rsidRPr="001433CA">
        <w:rPr>
          <w:b/>
          <w:sz w:val="18"/>
          <w:szCs w:val="19"/>
          <w:shd w:val="clear" w:color="auto" w:fill="FFFFFF"/>
        </w:rPr>
        <w:t>201</w:t>
      </w:r>
      <w:r w:rsidR="00F2097F">
        <w:rPr>
          <w:b/>
          <w:sz w:val="18"/>
          <w:szCs w:val="19"/>
          <w:shd w:val="clear" w:color="auto" w:fill="FFFFFF"/>
        </w:rPr>
        <w:t>9</w:t>
      </w:r>
      <w:r w:rsidR="00F2097F" w:rsidRPr="001433CA">
        <w:rPr>
          <w:b/>
          <w:sz w:val="18"/>
          <w:szCs w:val="19"/>
          <w:shd w:val="clear" w:color="auto" w:fill="FFFFFF"/>
        </w:rPr>
        <w:t xml:space="preserve"> r.</w:t>
      </w:r>
    </w:p>
    <w:p w14:paraId="5A12DAD6" w14:textId="05BE2C9E" w:rsidR="00F2097F" w:rsidRPr="003D4DC6" w:rsidRDefault="00122515" w:rsidP="00F2097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 w:rsidRPr="003D4DC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57408" behindDoc="0" locked="0" layoutInCell="1" allowOverlap="1" wp14:anchorId="551F22B3" wp14:editId="04EE8F8F">
                <wp:simplePos x="0" y="0"/>
                <wp:positionH relativeFrom="margin">
                  <wp:posOffset>1960245</wp:posOffset>
                </wp:positionH>
                <wp:positionV relativeFrom="paragraph">
                  <wp:posOffset>211616</wp:posOffset>
                </wp:positionV>
                <wp:extent cx="3054985" cy="1466850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D9C83" w14:textId="77777777" w:rsidR="00F2097F" w:rsidRPr="008573DA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58A1D89" w14:textId="77777777" w:rsidR="00F2097F" w:rsidRPr="008573DA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7E9C09B3" w14:textId="77777777" w:rsidR="00F2097F" w:rsidRPr="008573DA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432D1EAC" w14:textId="77777777" w:rsidR="00F2097F" w:rsidRPr="008573DA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 (PKOB 122)</w:t>
                            </w:r>
                          </w:p>
                          <w:p w14:paraId="34FE960F" w14:textId="77777777" w:rsidR="00F2097F" w:rsidRPr="00672716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kulturalne, budynki o charakterze edukacyjnym, budynki szpitali i zakładów opieki medycznej oraz budynki kultury fizycznej </w:t>
                            </w:r>
                            <w:r w:rsidRPr="005E2E60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5CF94AB" w14:textId="77777777" w:rsidR="00F2097F" w:rsidRPr="00672716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27872815" w14:textId="77777777" w:rsidR="00F2097F" w:rsidRPr="00672716" w:rsidRDefault="00F2097F" w:rsidP="00F2097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F22B3" id="_x0000_s1037" type="#_x0000_t202" style="position:absolute;margin-left:154.35pt;margin-top:16.65pt;width:240.55pt;height:115.5pt;z-index:25185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" filled="f" stroked="f">
                <v:textbox>
                  <w:txbxContent>
                    <w:p w14:paraId="1C9D9C83" w14:textId="77777777" w:rsidR="00F2097F" w:rsidRPr="008573DA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658A1D89" w14:textId="77777777" w:rsidR="00F2097F" w:rsidRPr="008573DA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7E9C09B3" w14:textId="77777777" w:rsidR="00F2097F" w:rsidRPr="008573DA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432D1EAC" w14:textId="77777777" w:rsidR="00F2097F" w:rsidRPr="008573DA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 (PKOB 122)</w:t>
                      </w:r>
                    </w:p>
                    <w:p w14:paraId="34FE960F" w14:textId="77777777" w:rsidR="00F2097F" w:rsidRPr="00672716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kulturalne, budynki o charakterze edukacyjnym, budynki szpitali i zakładów opieki medycznej oraz budynki kultury fizycznej </w:t>
                      </w:r>
                      <w:r w:rsidRPr="005E2E60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25CF94AB" w14:textId="77777777" w:rsidR="00F2097F" w:rsidRPr="00672716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27872815" w14:textId="77777777" w:rsidR="00F2097F" w:rsidRPr="00672716" w:rsidRDefault="00F2097F" w:rsidP="00F2097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62370F" w14:textId="2783C8E1" w:rsidR="00F2097F" w:rsidRPr="003D4DC6" w:rsidRDefault="00F2097F" w:rsidP="00F2097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2E702D4" w14:textId="367DB2D9" w:rsidR="00F2097F" w:rsidRPr="003D4DC6" w:rsidRDefault="00F2097F" w:rsidP="00F2097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23646AB1" w14:textId="77777777" w:rsidR="00F2097F" w:rsidRPr="003D4DC6" w:rsidRDefault="00F2097F" w:rsidP="00F2097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5E5DBC86" w14:textId="77777777" w:rsidR="00F2097F" w:rsidRPr="003D4DC6" w:rsidRDefault="00F2097F" w:rsidP="00F2097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4D1651AC" w14:textId="77777777" w:rsidR="00F2097F" w:rsidRPr="003D4DC6" w:rsidRDefault="00F2097F" w:rsidP="00F2097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6C480A06" w14:textId="77777777" w:rsidR="00F2097F" w:rsidRPr="003D4DC6" w:rsidRDefault="00F2097F" w:rsidP="00F2097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594B6401" w14:textId="77777777" w:rsidR="00F2097F" w:rsidRDefault="00F2097F" w:rsidP="00F2097F">
      <w:pPr>
        <w:spacing w:before="0" w:after="0" w:line="240" w:lineRule="auto"/>
        <w:rPr>
          <w:szCs w:val="19"/>
          <w:shd w:val="clear" w:color="auto" w:fill="FFFFFF"/>
        </w:rPr>
      </w:pPr>
    </w:p>
    <w:p w14:paraId="3C485F5E" w14:textId="77777777" w:rsidR="00F2097F" w:rsidRDefault="00F2097F" w:rsidP="00F2097F">
      <w:pPr>
        <w:spacing w:before="0" w:after="0" w:line="240" w:lineRule="auto"/>
        <w:rPr>
          <w:szCs w:val="19"/>
          <w:shd w:val="clear" w:color="auto" w:fill="FFFFFF"/>
        </w:rPr>
      </w:pPr>
      <w:r w:rsidRPr="003D4DC6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9216" behindDoc="0" locked="0" layoutInCell="1" allowOverlap="1" wp14:anchorId="0E182864" wp14:editId="4FD22F90">
                <wp:simplePos x="0" y="0"/>
                <wp:positionH relativeFrom="column">
                  <wp:posOffset>5230495</wp:posOffset>
                </wp:positionH>
                <wp:positionV relativeFrom="paragraph">
                  <wp:posOffset>38100</wp:posOffset>
                </wp:positionV>
                <wp:extent cx="1762125" cy="1739900"/>
                <wp:effectExtent l="0" t="0" r="0" b="0"/>
                <wp:wrapNone/>
                <wp:docPr id="20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73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97DCE" w14:textId="1CEE7954" w:rsidR="00F2097F" w:rsidRPr="00E566AA" w:rsidRDefault="00F2097F" w:rsidP="00F2097F">
                            <w:pPr>
                              <w:pStyle w:val="tekstzboku"/>
                              <w:spacing w:after="120"/>
                              <w:rPr>
                                <w:bCs w:val="0"/>
                                <w:sz w:val="16"/>
                              </w:rPr>
                            </w:pPr>
                            <w:r w:rsidRPr="00E566AA">
                              <w:rPr>
                                <w:szCs w:val="19"/>
                              </w:rPr>
                              <w:t>Powierzchnia użytkowa nowych budynków niemieszkalnych, na których budowę wydano pozwolenia w województwie mazowieckim, wielkopolskim i</w:t>
                            </w:r>
                            <w:r w:rsidR="00E566AA">
                              <w:rPr>
                                <w:szCs w:val="19"/>
                              </w:rPr>
                              <w:t> </w:t>
                            </w:r>
                            <w:r w:rsidRPr="00E566AA">
                              <w:rPr>
                                <w:szCs w:val="19"/>
                              </w:rPr>
                              <w:t>śląskim, stanowiła ponad 41% ogółu planowanej do wybudowania powierzchni</w:t>
                            </w:r>
                          </w:p>
                        </w:txbxContent>
                      </wps:txbx>
                      <wps:bodyPr rot="0" vert="horz" wrap="square" lIns="90000" tIns="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82864" id="_x0000_s1038" type="#_x0000_t202" style="position:absolute;margin-left:411.85pt;margin-top:3pt;width:138.75pt;height:137pt;z-index:25184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" filled="f" stroked="f">
                <v:textbox inset="2.5mm,0">
                  <w:txbxContent>
                    <w:p w14:paraId="07197DCE" w14:textId="1CEE7954" w:rsidR="00F2097F" w:rsidRPr="00E566AA" w:rsidRDefault="00F2097F" w:rsidP="00F2097F">
                      <w:pPr>
                        <w:pStyle w:val="tekstzboku"/>
                        <w:spacing w:after="120"/>
                        <w:rPr>
                          <w:bCs w:val="0"/>
                          <w:sz w:val="16"/>
                        </w:rPr>
                      </w:pPr>
                      <w:r w:rsidRPr="00E566AA">
                        <w:rPr>
                          <w:szCs w:val="19"/>
                        </w:rPr>
                        <w:t>Powierzchnia użytkowa nowych budynków niemieszkalnych, na których budowę wydano pozwolenia w województwie mazowieckim, wielkopolskim i</w:t>
                      </w:r>
                      <w:r w:rsidR="00E566AA">
                        <w:rPr>
                          <w:szCs w:val="19"/>
                        </w:rPr>
                        <w:t> </w:t>
                      </w:r>
                      <w:r w:rsidRPr="00E566AA">
                        <w:rPr>
                          <w:szCs w:val="19"/>
                        </w:rPr>
                        <w:t>śląskim, stanowiła ponad 41% ogółu planowanej do wybudowania powierzchni</w:t>
                      </w:r>
                    </w:p>
                  </w:txbxContent>
                </v:textbox>
              </v:shape>
            </w:pict>
          </mc:Fallback>
        </mc:AlternateContent>
      </w:r>
    </w:p>
    <w:p w14:paraId="47A62ED4" w14:textId="600E249A" w:rsidR="00F2097F" w:rsidRPr="0065081C" w:rsidRDefault="00F2097F" w:rsidP="00F2097F">
      <w:pPr>
        <w:spacing w:before="0" w:after="0" w:line="240" w:lineRule="auto"/>
        <w:rPr>
          <w:b/>
          <w:spacing w:val="-6"/>
          <w:sz w:val="18"/>
          <w:szCs w:val="19"/>
          <w:shd w:val="clear" w:color="auto" w:fill="FFFFFF"/>
        </w:rPr>
      </w:pPr>
      <w:r w:rsidRPr="0065081C">
        <w:rPr>
          <w:spacing w:val="-6"/>
          <w:szCs w:val="19"/>
          <w:shd w:val="clear" w:color="auto" w:fill="FFFFFF"/>
        </w:rPr>
        <w:t>Według pozwoleń wydanych w I kwartale 2019 r.</w:t>
      </w:r>
      <w:r w:rsidR="00BA32A4">
        <w:rPr>
          <w:spacing w:val="-6"/>
          <w:szCs w:val="19"/>
          <w:shd w:val="clear" w:color="auto" w:fill="FFFFFF"/>
        </w:rPr>
        <w:t>,</w:t>
      </w:r>
      <w:r w:rsidRPr="0065081C">
        <w:rPr>
          <w:spacing w:val="-6"/>
          <w:szCs w:val="19"/>
          <w:shd w:val="clear" w:color="auto" w:fill="FFFFFF"/>
        </w:rPr>
        <w:t xml:space="preserve"> największą powierzchnię nowych budynków niemieszkalnych planuje się wybudować w województwach: mazowieckim (825,3 tys. m</w:t>
      </w:r>
      <w:r w:rsidRPr="0065081C">
        <w:rPr>
          <w:spacing w:val="-6"/>
          <w:szCs w:val="19"/>
          <w:shd w:val="clear" w:color="auto" w:fill="FFFFFF"/>
          <w:vertAlign w:val="superscript"/>
        </w:rPr>
        <w:t>2</w:t>
      </w:r>
      <w:r w:rsidRPr="0065081C">
        <w:rPr>
          <w:spacing w:val="-6"/>
          <w:szCs w:val="19"/>
          <w:shd w:val="clear" w:color="auto" w:fill="FFFFFF"/>
        </w:rPr>
        <w:t>), wielkopolskim (531,9 tys. m</w:t>
      </w:r>
      <w:r w:rsidRPr="0065081C">
        <w:rPr>
          <w:spacing w:val="-6"/>
          <w:szCs w:val="19"/>
          <w:shd w:val="clear" w:color="auto" w:fill="FFFFFF"/>
          <w:vertAlign w:val="superscript"/>
        </w:rPr>
        <w:t>2</w:t>
      </w:r>
      <w:r w:rsidRPr="0065081C">
        <w:rPr>
          <w:spacing w:val="-6"/>
          <w:szCs w:val="19"/>
          <w:shd w:val="clear" w:color="auto" w:fill="FFFFFF"/>
        </w:rPr>
        <w:t>) i śląskim (477,6 tys. m</w:t>
      </w:r>
      <w:r w:rsidRPr="0065081C">
        <w:rPr>
          <w:spacing w:val="-6"/>
          <w:szCs w:val="19"/>
          <w:shd w:val="clear" w:color="auto" w:fill="FFFFFF"/>
          <w:vertAlign w:val="superscript"/>
        </w:rPr>
        <w:t>2</w:t>
      </w:r>
      <w:r w:rsidRPr="0065081C">
        <w:rPr>
          <w:spacing w:val="-6"/>
          <w:szCs w:val="19"/>
          <w:shd w:val="clear" w:color="auto" w:fill="FFFFFF"/>
        </w:rPr>
        <w:t>), najmniejszą zaś w świętokrzyskim (84,8 tys. m</w:t>
      </w:r>
      <w:r w:rsidRPr="0065081C">
        <w:rPr>
          <w:spacing w:val="-6"/>
          <w:szCs w:val="19"/>
          <w:shd w:val="clear" w:color="auto" w:fill="FFFFFF"/>
          <w:vertAlign w:val="superscript"/>
        </w:rPr>
        <w:t>2</w:t>
      </w:r>
      <w:r w:rsidRPr="0065081C">
        <w:rPr>
          <w:spacing w:val="-6"/>
          <w:szCs w:val="19"/>
          <w:shd w:val="clear" w:color="auto" w:fill="FFFFFF"/>
        </w:rPr>
        <w:t>), opolskim (105,8 tys. m</w:t>
      </w:r>
      <w:r w:rsidRPr="0065081C">
        <w:rPr>
          <w:spacing w:val="-6"/>
          <w:szCs w:val="19"/>
          <w:shd w:val="clear" w:color="auto" w:fill="FFFFFF"/>
          <w:vertAlign w:val="superscript"/>
        </w:rPr>
        <w:t>2</w:t>
      </w:r>
      <w:r w:rsidRPr="0065081C">
        <w:rPr>
          <w:spacing w:val="-6"/>
          <w:szCs w:val="19"/>
          <w:shd w:val="clear" w:color="auto" w:fill="FFFFFF"/>
        </w:rPr>
        <w:t>) oraz warmińsko-mazurskim (145,3 tys. m</w:t>
      </w:r>
      <w:r w:rsidRPr="0065081C">
        <w:rPr>
          <w:spacing w:val="-6"/>
          <w:szCs w:val="19"/>
          <w:shd w:val="clear" w:color="auto" w:fill="FFFFFF"/>
          <w:vertAlign w:val="superscript"/>
        </w:rPr>
        <w:t>2</w:t>
      </w:r>
      <w:r w:rsidRPr="0065081C">
        <w:rPr>
          <w:spacing w:val="-6"/>
          <w:szCs w:val="19"/>
          <w:shd w:val="clear" w:color="auto" w:fill="FFFFFF"/>
        </w:rPr>
        <w:t>). Największy wzrost planowanej do wybudowania powierzchni w stosunku do analogicznego okresu roku poprzedniego zanotowano w województwach: opolskim (55,8%), kujawsko-pomorskim (49,8%) oraz śląskim (44,5%).</w:t>
      </w:r>
    </w:p>
    <w:p w14:paraId="4D5F5321" w14:textId="77777777" w:rsidR="00F2097F" w:rsidRPr="001433CA" w:rsidRDefault="00F2097F" w:rsidP="0065081C">
      <w:pPr>
        <w:spacing w:before="180"/>
        <w:ind w:left="851" w:hanging="851"/>
        <w:rPr>
          <w:b/>
          <w:sz w:val="18"/>
          <w:szCs w:val="19"/>
          <w:shd w:val="clear" w:color="auto" w:fill="FFFFFF"/>
        </w:rPr>
      </w:pPr>
      <w:r w:rsidRPr="001433CA">
        <w:rPr>
          <w:b/>
          <w:sz w:val="18"/>
          <w:szCs w:val="19"/>
          <w:shd w:val="clear" w:color="auto" w:fill="FFFFFF"/>
        </w:rPr>
        <w:t>Wykres 9.</w:t>
      </w:r>
      <w:r>
        <w:rPr>
          <w:b/>
          <w:sz w:val="18"/>
          <w:szCs w:val="19"/>
          <w:shd w:val="clear" w:color="auto" w:fill="FFFFFF"/>
        </w:rPr>
        <w:tab/>
      </w:r>
      <w:r w:rsidRPr="001433CA">
        <w:rPr>
          <w:b/>
          <w:sz w:val="18"/>
          <w:szCs w:val="19"/>
          <w:shd w:val="clear" w:color="auto" w:fill="FFFFFF"/>
        </w:rPr>
        <w:t xml:space="preserve">Powierzchnia użytkowa nowych budynków niemieszkalnych, na których budowę wydano pozwolenia w </w:t>
      </w:r>
      <w:r>
        <w:rPr>
          <w:b/>
          <w:sz w:val="18"/>
          <w:szCs w:val="19"/>
          <w:shd w:val="clear" w:color="auto" w:fill="FFFFFF"/>
        </w:rPr>
        <w:t xml:space="preserve">I kwartale </w:t>
      </w:r>
      <w:r w:rsidRPr="001433CA">
        <w:rPr>
          <w:b/>
          <w:sz w:val="18"/>
          <w:szCs w:val="19"/>
          <w:shd w:val="clear" w:color="auto" w:fill="FFFFFF"/>
        </w:rPr>
        <w:t>201</w:t>
      </w:r>
      <w:r>
        <w:rPr>
          <w:b/>
          <w:sz w:val="18"/>
          <w:szCs w:val="19"/>
          <w:shd w:val="clear" w:color="auto" w:fill="FFFFFF"/>
        </w:rPr>
        <w:t>9</w:t>
      </w:r>
      <w:r w:rsidRPr="001433CA">
        <w:rPr>
          <w:b/>
          <w:sz w:val="18"/>
          <w:szCs w:val="19"/>
          <w:shd w:val="clear" w:color="auto" w:fill="FFFFFF"/>
        </w:rPr>
        <w:t xml:space="preserve"> r. według województw</w:t>
      </w:r>
    </w:p>
    <w:p w14:paraId="5D050A34" w14:textId="54EBC586" w:rsidR="00F2097F" w:rsidRDefault="00122515" w:rsidP="00F2097F">
      <w:pPr>
        <w:rPr>
          <w:color w:val="000000"/>
          <w:szCs w:val="19"/>
        </w:rPr>
      </w:pPr>
      <w:r>
        <w:rPr>
          <w:noProof/>
          <w:color w:val="000000"/>
          <w:szCs w:val="19"/>
          <w:lang w:eastAsia="pl-PL"/>
        </w:rPr>
        <w:drawing>
          <wp:anchor distT="0" distB="0" distL="114300" distR="114300" simplePos="0" relativeHeight="251863552" behindDoc="1" locked="0" layoutInCell="1" allowOverlap="1" wp14:anchorId="696733B3" wp14:editId="1344A7E7">
            <wp:simplePos x="0" y="0"/>
            <wp:positionH relativeFrom="margin">
              <wp:align>left</wp:align>
            </wp:positionH>
            <wp:positionV relativeFrom="paragraph">
              <wp:posOffset>-2076</wp:posOffset>
            </wp:positionV>
            <wp:extent cx="5090520" cy="320722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560" cy="3209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55857" w14:textId="5B7C0868" w:rsidR="00F2097F" w:rsidRDefault="00F2097F" w:rsidP="00F2097F">
      <w:pPr>
        <w:rPr>
          <w:color w:val="000000"/>
          <w:szCs w:val="19"/>
        </w:rPr>
      </w:pPr>
    </w:p>
    <w:p w14:paraId="3BFAC737" w14:textId="77777777" w:rsidR="00F2097F" w:rsidRDefault="00F2097F" w:rsidP="00F2097F">
      <w:pPr>
        <w:rPr>
          <w:color w:val="000000"/>
          <w:szCs w:val="19"/>
        </w:rPr>
      </w:pPr>
    </w:p>
    <w:p w14:paraId="1EB95902" w14:textId="77777777" w:rsidR="00F2097F" w:rsidRDefault="00F2097F" w:rsidP="00F2097F">
      <w:pPr>
        <w:rPr>
          <w:color w:val="000000"/>
          <w:szCs w:val="19"/>
        </w:rPr>
      </w:pPr>
    </w:p>
    <w:p w14:paraId="479854E7" w14:textId="77777777" w:rsidR="00F2097F" w:rsidRDefault="00F2097F" w:rsidP="00F2097F">
      <w:pPr>
        <w:rPr>
          <w:color w:val="000000"/>
          <w:szCs w:val="19"/>
        </w:rPr>
      </w:pPr>
    </w:p>
    <w:p w14:paraId="39FDFE15" w14:textId="77777777" w:rsidR="00F2097F" w:rsidRDefault="00F2097F" w:rsidP="00F2097F">
      <w:pPr>
        <w:rPr>
          <w:color w:val="000000"/>
          <w:szCs w:val="19"/>
        </w:rPr>
      </w:pPr>
    </w:p>
    <w:p w14:paraId="60092F23" w14:textId="77777777" w:rsidR="00F2097F" w:rsidRDefault="00F2097F" w:rsidP="00F2097F">
      <w:pPr>
        <w:rPr>
          <w:color w:val="000000"/>
          <w:szCs w:val="19"/>
        </w:rPr>
      </w:pPr>
    </w:p>
    <w:p w14:paraId="5B6244CE" w14:textId="77777777" w:rsidR="00F2097F" w:rsidRDefault="00F2097F" w:rsidP="00F2097F">
      <w:pPr>
        <w:rPr>
          <w:color w:val="000000"/>
          <w:szCs w:val="19"/>
        </w:rPr>
      </w:pPr>
    </w:p>
    <w:p w14:paraId="63F66CAC" w14:textId="77777777" w:rsidR="00F2097F" w:rsidRDefault="00F2097F" w:rsidP="00F2097F">
      <w:pPr>
        <w:rPr>
          <w:color w:val="000000"/>
          <w:szCs w:val="19"/>
        </w:rPr>
      </w:pPr>
    </w:p>
    <w:p w14:paraId="369E99B5" w14:textId="77777777" w:rsidR="00F2097F" w:rsidRDefault="00F2097F" w:rsidP="00F2097F">
      <w:pPr>
        <w:rPr>
          <w:color w:val="000000"/>
          <w:szCs w:val="19"/>
        </w:rPr>
      </w:pPr>
    </w:p>
    <w:p w14:paraId="2AD151F8" w14:textId="77777777" w:rsidR="00F2097F" w:rsidRDefault="00F2097F" w:rsidP="00F2097F">
      <w:pPr>
        <w:rPr>
          <w:color w:val="000000"/>
          <w:szCs w:val="19"/>
        </w:rPr>
      </w:pPr>
    </w:p>
    <w:p w14:paraId="3B425835" w14:textId="77777777" w:rsidR="00F2097F" w:rsidRDefault="00F2097F" w:rsidP="00F2097F">
      <w:pPr>
        <w:rPr>
          <w:color w:val="000000"/>
          <w:szCs w:val="19"/>
        </w:rPr>
      </w:pPr>
    </w:p>
    <w:p w14:paraId="2480C573" w14:textId="77777777" w:rsidR="0065081C" w:rsidRDefault="0065081C" w:rsidP="00F2097F">
      <w:pPr>
        <w:rPr>
          <w:color w:val="000000"/>
          <w:szCs w:val="19"/>
        </w:rPr>
      </w:pPr>
    </w:p>
    <w:p w14:paraId="2478C98D" w14:textId="77777777" w:rsidR="00122515" w:rsidRDefault="00122515" w:rsidP="00122515">
      <w:pPr>
        <w:spacing w:after="240"/>
        <w:rPr>
          <w:color w:val="000000"/>
          <w:szCs w:val="19"/>
        </w:rPr>
      </w:pPr>
    </w:p>
    <w:p w14:paraId="7B3EBD2C" w14:textId="77777777" w:rsidR="00F2097F" w:rsidRPr="00E51E6D" w:rsidRDefault="00F2097F" w:rsidP="00122515">
      <w:pPr>
        <w:spacing w:after="0"/>
        <w:rPr>
          <w:sz w:val="18"/>
        </w:rPr>
      </w:pPr>
      <w:r w:rsidRPr="00195B0E">
        <w:rPr>
          <w:szCs w:val="19"/>
        </w:rPr>
        <w:t xml:space="preserve">W </w:t>
      </w:r>
      <w:r>
        <w:rPr>
          <w:szCs w:val="19"/>
        </w:rPr>
        <w:t xml:space="preserve">rozpatrywanym okresie </w:t>
      </w:r>
      <w:r w:rsidRPr="00195B0E">
        <w:rPr>
          <w:szCs w:val="19"/>
        </w:rPr>
        <w:t>wydano 10 927 pozwoleń na budowę lub dokonano zgłoszenia z projektem budowlanym budowy nowych obiektów inżynierii lądowej i wodnej, co stanowi</w:t>
      </w:r>
      <w:r>
        <w:rPr>
          <w:szCs w:val="19"/>
        </w:rPr>
        <w:t>ło</w:t>
      </w:r>
      <w:r w:rsidRPr="00195B0E">
        <w:rPr>
          <w:szCs w:val="19"/>
        </w:rPr>
        <w:t xml:space="preserve"> wzrost o 4,3% </w:t>
      </w:r>
      <w:r>
        <w:rPr>
          <w:szCs w:val="19"/>
        </w:rPr>
        <w:t>w stosunku do I kwartału 2018 r.</w:t>
      </w:r>
    </w:p>
    <w:p w14:paraId="1F404807" w14:textId="77777777" w:rsidR="004552FA" w:rsidRDefault="004552FA" w:rsidP="00306792">
      <w:pPr>
        <w:spacing w:before="0" w:after="0" w:line="160" w:lineRule="exact"/>
        <w:rPr>
          <w:sz w:val="18"/>
        </w:rPr>
        <w:sectPr w:rsidR="004552FA" w:rsidSect="009F5601">
          <w:headerReference w:type="even" r:id="rId19"/>
          <w:headerReference w:type="default" r:id="rId20"/>
          <w:headerReference w:type="first" r:id="rId21"/>
          <w:pgSz w:w="11906" w:h="16838" w:code="9"/>
          <w:pgMar w:top="993" w:right="3119" w:bottom="720" w:left="720" w:header="284" w:footer="397" w:gutter="0"/>
          <w:cols w:space="708"/>
          <w:titlePg/>
          <w:docGrid w:linePitch="360"/>
        </w:sectPr>
      </w:pPr>
    </w:p>
    <w:p w14:paraId="4D527CE6" w14:textId="50D1E4B8" w:rsidR="00E43DDD" w:rsidRPr="003E73B2" w:rsidRDefault="00E43DDD" w:rsidP="00306792">
      <w:pPr>
        <w:spacing w:before="0" w:after="0" w:line="160" w:lineRule="exact"/>
        <w:rPr>
          <w:sz w:val="18"/>
        </w:rPr>
      </w:pPr>
    </w:p>
    <w:tbl>
      <w:tblPr>
        <w:tblpPr w:leftFromText="141" w:rightFromText="141" w:vertAnchor="text" w:horzAnchor="margin" w:tblpX="-142" w:tblpY="280"/>
        <w:tblW w:w="8067" w:type="dxa"/>
        <w:tblLook w:val="00A0" w:firstRow="1" w:lastRow="0" w:firstColumn="1" w:lastColumn="0" w:noHBand="0" w:noVBand="0"/>
      </w:tblPr>
      <w:tblGrid>
        <w:gridCol w:w="4249"/>
        <w:gridCol w:w="3818"/>
      </w:tblGrid>
      <w:tr w:rsidR="006417A1" w:rsidRPr="00424C46" w14:paraId="5E6B7136" w14:textId="77777777" w:rsidTr="001406FE">
        <w:trPr>
          <w:trHeight w:val="1912"/>
        </w:trPr>
        <w:tc>
          <w:tcPr>
            <w:tcW w:w="4249" w:type="dxa"/>
          </w:tcPr>
          <w:p w14:paraId="19D55420" w14:textId="77777777" w:rsidR="006417A1" w:rsidRDefault="006417A1" w:rsidP="001406F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8091D67" w14:textId="77777777" w:rsidR="006417A1" w:rsidRDefault="006417A1" w:rsidP="001406FE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US LUBLIN</w:t>
            </w:r>
          </w:p>
          <w:p w14:paraId="00B9C0BA" w14:textId="77777777" w:rsidR="006417A1" w:rsidRDefault="006417A1" w:rsidP="001406F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71235DE8" w14:textId="15073454" w:rsidR="006417A1" w:rsidRPr="00EF37B7" w:rsidRDefault="006417A1" w:rsidP="001406FE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EF37B7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EF37B7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EF37B7">
              <w:rPr>
                <w:rFonts w:ascii="Fira Sans" w:hAnsi="Fira Sans" w:cs="Arial"/>
                <w:color w:val="auto"/>
                <w:sz w:val="20"/>
                <w:lang w:val="fi-FI"/>
              </w:rPr>
              <w:t>2301</w:t>
            </w:r>
          </w:p>
          <w:p w14:paraId="74D69247" w14:textId="77777777" w:rsidR="006417A1" w:rsidRPr="00ED7F24" w:rsidRDefault="006417A1" w:rsidP="001406FE">
            <w:pPr>
              <w:pStyle w:val="Nagwek3"/>
              <w:spacing w:before="0" w:line="240" w:lineRule="auto"/>
              <w:rPr>
                <w:rFonts w:ascii="Fira Sans" w:hAnsi="Fira Sans"/>
                <w:color w:val="000000"/>
                <w:lang w:val="fi-FI" w:eastAsia="en-US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424C4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818" w:type="dxa"/>
          </w:tcPr>
          <w:p w14:paraId="66B6A30E" w14:textId="77777777" w:rsidR="006417A1" w:rsidRPr="0050555C" w:rsidRDefault="006417A1" w:rsidP="001406FE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0555C">
              <w:rPr>
                <w:rFonts w:cs="Arial"/>
                <w:color w:val="000000"/>
                <w:sz w:val="20"/>
              </w:rPr>
              <w:t>Rozpowszechnianie:</w:t>
            </w:r>
            <w:r w:rsidRPr="0050555C">
              <w:rPr>
                <w:rFonts w:cs="Arial"/>
                <w:color w:val="000000"/>
                <w:sz w:val="20"/>
              </w:rPr>
              <w:br/>
            </w:r>
            <w:r w:rsidRPr="0050555C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079A3445" w14:textId="77777777" w:rsidR="006417A1" w:rsidRPr="00ED7F24" w:rsidRDefault="006417A1" w:rsidP="001406F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</w:pPr>
            <w:r w:rsidRPr="00ED7F24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>Karolina Dawidziuk</w:t>
            </w:r>
          </w:p>
          <w:p w14:paraId="41D3E8EC" w14:textId="77777777" w:rsidR="006417A1" w:rsidRPr="00ED7F24" w:rsidRDefault="006417A1" w:rsidP="001406FE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 w:eastAsia="en-US"/>
              </w:rPr>
            </w:pPr>
            <w:r w:rsidRPr="00ED7F24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Tel: 22 608 3475, 22 608 3009</w:t>
            </w:r>
          </w:p>
          <w:p w14:paraId="799B85DD" w14:textId="77777777" w:rsidR="006417A1" w:rsidRPr="00ED7F24" w:rsidRDefault="006417A1" w:rsidP="001406FE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 w:eastAsia="en-US"/>
              </w:rPr>
            </w:pPr>
            <w:r w:rsidRPr="00ED7F24">
              <w:rPr>
                <w:rFonts w:ascii="Fira Sans" w:hAnsi="Fira Sans" w:cs="Arial"/>
                <w:b/>
                <w:color w:val="000000"/>
                <w:sz w:val="20"/>
                <w:szCs w:val="20"/>
                <w:lang w:val="en-US" w:eastAsia="en-US"/>
              </w:rPr>
              <w:t xml:space="preserve">e-mail: </w:t>
            </w:r>
            <w:hyperlink r:id="rId23" w:history="1">
              <w:r w:rsidRPr="00424C4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C1DD93C" w14:textId="3AB00F90" w:rsidR="0064104F" w:rsidRPr="00056571" w:rsidRDefault="0064104F" w:rsidP="00BF04DA">
      <w:pPr>
        <w:rPr>
          <w:sz w:val="18"/>
          <w:lang w:val="en-US"/>
        </w:rPr>
      </w:pPr>
    </w:p>
    <w:p w14:paraId="5AE2FD42" w14:textId="29EC7F20" w:rsidR="006417A1" w:rsidRPr="00056571" w:rsidRDefault="006417A1" w:rsidP="00BF04DA">
      <w:pPr>
        <w:rPr>
          <w:sz w:val="18"/>
          <w:lang w:val="en-US"/>
        </w:rPr>
      </w:pPr>
    </w:p>
    <w:tbl>
      <w:tblPr>
        <w:tblpPr w:leftFromText="141" w:rightFromText="141" w:vertAnchor="text" w:horzAnchor="margin" w:tblpX="-142" w:tblpY="20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90"/>
        <w:gridCol w:w="595"/>
        <w:gridCol w:w="3082"/>
      </w:tblGrid>
      <w:tr w:rsidR="006417A1" w:rsidRPr="00424C46" w14:paraId="20D2B9C4" w14:textId="77777777" w:rsidTr="001406FE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C22F1F7" w14:textId="18D86642" w:rsidR="006417A1" w:rsidRPr="0050555C" w:rsidRDefault="007343FE" w:rsidP="001406FE">
            <w:pPr>
              <w:rPr>
                <w:b/>
                <w:sz w:val="20"/>
              </w:rPr>
            </w:pPr>
            <w:r w:rsidRPr="00056571">
              <w:rPr>
                <w:b/>
                <w:sz w:val="20"/>
                <w:lang w:val="en-US"/>
              </w:rPr>
              <w:t xml:space="preserve"> </w:t>
            </w:r>
            <w:r w:rsidR="006417A1" w:rsidRPr="0050555C">
              <w:rPr>
                <w:b/>
                <w:sz w:val="20"/>
              </w:rPr>
              <w:t xml:space="preserve">Wydział Współpracy z Mediami </w:t>
            </w:r>
          </w:p>
          <w:p w14:paraId="12D51275" w14:textId="0564705E" w:rsidR="006417A1" w:rsidRPr="00424C46" w:rsidRDefault="006417A1" w:rsidP="001406FE">
            <w:pPr>
              <w:rPr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</w:t>
            </w:r>
            <w:r w:rsidR="00424C46" w:rsidRPr="00424C46">
              <w:rPr>
                <w:sz w:val="20"/>
                <w:lang w:val="en-US"/>
              </w:rPr>
              <w:t>Tel:</w:t>
            </w:r>
            <w:r w:rsidRPr="00424C46">
              <w:rPr>
                <w:b/>
                <w:sz w:val="20"/>
                <w:lang w:val="en-US"/>
              </w:rPr>
              <w:t xml:space="preserve"> </w:t>
            </w:r>
            <w:r w:rsidR="00424C46">
              <w:rPr>
                <w:sz w:val="20"/>
                <w:lang w:val="en-US"/>
              </w:rPr>
              <w:t>22 608 3491, 22 608 38</w:t>
            </w:r>
            <w:r w:rsidRPr="00424C46">
              <w:rPr>
                <w:sz w:val="20"/>
                <w:lang w:val="en-US"/>
              </w:rPr>
              <w:t xml:space="preserve">04 </w:t>
            </w:r>
            <w:r w:rsidRPr="0050555C">
              <w:rPr>
                <w:sz w:val="20"/>
                <w:lang w:val="en-US"/>
              </w:rPr>
              <w:t xml:space="preserve"> </w:t>
            </w:r>
          </w:p>
          <w:p w14:paraId="1331E0A8" w14:textId="77777777" w:rsidR="006417A1" w:rsidRPr="0050555C" w:rsidRDefault="006417A1" w:rsidP="001406FE">
            <w:pPr>
              <w:rPr>
                <w:sz w:val="18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</w:t>
            </w:r>
            <w:r w:rsidRPr="0050555C">
              <w:rPr>
                <w:b/>
                <w:sz w:val="20"/>
                <w:lang w:val="en-US"/>
              </w:rPr>
              <w:t>e-mail:</w:t>
            </w:r>
            <w:r w:rsidRPr="0050555C">
              <w:rPr>
                <w:sz w:val="20"/>
                <w:lang w:val="en-US"/>
              </w:rPr>
              <w:t xml:space="preserve"> </w:t>
            </w:r>
            <w:hyperlink r:id="rId24" w:history="1">
              <w:r w:rsidRPr="00424C46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B8451D0" w14:textId="77777777" w:rsidR="006417A1" w:rsidRPr="0050555C" w:rsidRDefault="006417A1" w:rsidP="001406F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37952" behindDoc="0" locked="0" layoutInCell="1" allowOverlap="1" wp14:anchorId="7C8798E7" wp14:editId="7901C170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35560</wp:posOffset>
                  </wp:positionV>
                  <wp:extent cx="256540" cy="251460"/>
                  <wp:effectExtent l="19050" t="0" r="0" b="0"/>
                  <wp:wrapNone/>
                  <wp:docPr id="17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E438F07" w14:textId="77777777" w:rsidR="006417A1" w:rsidRPr="00424C46" w:rsidRDefault="006417A1" w:rsidP="001406FE">
            <w:pPr>
              <w:rPr>
                <w:sz w:val="18"/>
                <w:lang w:val="en-US"/>
              </w:rPr>
            </w:pPr>
            <w:r w:rsidRPr="00424C46">
              <w:rPr>
                <w:sz w:val="20"/>
                <w:lang w:val="en-US"/>
              </w:rPr>
              <w:t>www.stat.gov.pl</w:t>
            </w:r>
          </w:p>
        </w:tc>
      </w:tr>
      <w:tr w:rsidR="006417A1" w:rsidRPr="00424C46" w14:paraId="620B2FFD" w14:textId="77777777" w:rsidTr="001406FE">
        <w:trPr>
          <w:trHeight w:val="436"/>
        </w:trPr>
        <w:tc>
          <w:tcPr>
            <w:tcW w:w="2721" w:type="pct"/>
            <w:vMerge/>
            <w:vAlign w:val="center"/>
          </w:tcPr>
          <w:p w14:paraId="4F2D4CD9" w14:textId="77777777" w:rsidR="006417A1" w:rsidRPr="00424C46" w:rsidRDefault="006417A1" w:rsidP="001406F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7EA06F6" w14:textId="77777777" w:rsidR="006417A1" w:rsidRPr="00424C46" w:rsidRDefault="006417A1" w:rsidP="001406F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40000" behindDoc="0" locked="0" layoutInCell="1" allowOverlap="1" wp14:anchorId="5366D8B4" wp14:editId="2B944456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10160</wp:posOffset>
                  </wp:positionV>
                  <wp:extent cx="256540" cy="251460"/>
                  <wp:effectExtent l="19050" t="0" r="0" b="0"/>
                  <wp:wrapNone/>
                  <wp:docPr id="18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819D4F3" w14:textId="77777777" w:rsidR="006417A1" w:rsidRPr="00424C46" w:rsidRDefault="006417A1" w:rsidP="001406FE">
            <w:pPr>
              <w:rPr>
                <w:sz w:val="18"/>
                <w:lang w:val="en-US"/>
              </w:rPr>
            </w:pPr>
            <w:r w:rsidRPr="00424C46">
              <w:rPr>
                <w:sz w:val="20"/>
                <w:lang w:val="en-US"/>
              </w:rPr>
              <w:t>@GUS_STAT</w:t>
            </w:r>
          </w:p>
        </w:tc>
      </w:tr>
      <w:tr w:rsidR="006417A1" w:rsidRPr="00424C46" w14:paraId="41FF5C60" w14:textId="77777777" w:rsidTr="001406FE">
        <w:trPr>
          <w:trHeight w:val="436"/>
        </w:trPr>
        <w:tc>
          <w:tcPr>
            <w:tcW w:w="2721" w:type="pct"/>
            <w:vMerge/>
            <w:vAlign w:val="center"/>
          </w:tcPr>
          <w:p w14:paraId="623CE236" w14:textId="77777777" w:rsidR="006417A1" w:rsidRPr="00424C46" w:rsidRDefault="006417A1" w:rsidP="001406F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4BF21A2" w14:textId="77777777" w:rsidR="006417A1" w:rsidRPr="00424C46" w:rsidRDefault="006417A1" w:rsidP="001406F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38976" behindDoc="0" locked="0" layoutInCell="1" allowOverlap="1" wp14:anchorId="720E7400" wp14:editId="2F851F42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45720</wp:posOffset>
                  </wp:positionV>
                  <wp:extent cx="256540" cy="251460"/>
                  <wp:effectExtent l="19050" t="0" r="0" b="0"/>
                  <wp:wrapNone/>
                  <wp:docPr id="1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37A32E5" w14:textId="77777777" w:rsidR="006417A1" w:rsidRPr="00424C46" w:rsidRDefault="006417A1" w:rsidP="001406FE">
            <w:pPr>
              <w:rPr>
                <w:sz w:val="20"/>
                <w:lang w:val="en-US"/>
              </w:rPr>
            </w:pPr>
            <w:r w:rsidRPr="00424C46">
              <w:rPr>
                <w:sz w:val="20"/>
                <w:lang w:val="en-US"/>
              </w:rPr>
              <w:t>@</w:t>
            </w:r>
            <w:proofErr w:type="spellStart"/>
            <w:r w:rsidRPr="00424C46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511AA23F" w14:textId="16555D07" w:rsidR="006417A1" w:rsidRPr="00424C46" w:rsidRDefault="006417A1" w:rsidP="00BF04DA">
      <w:pPr>
        <w:rPr>
          <w:sz w:val="18"/>
          <w:lang w:val="en-US"/>
        </w:rPr>
      </w:pPr>
    </w:p>
    <w:p w14:paraId="05CF197E" w14:textId="77777777" w:rsidR="006417A1" w:rsidRPr="00424C46" w:rsidRDefault="006417A1" w:rsidP="00BF04DA">
      <w:pPr>
        <w:rPr>
          <w:sz w:val="18"/>
          <w:lang w:val="en-US"/>
        </w:rPr>
      </w:pPr>
    </w:p>
    <w:p w14:paraId="751198A3" w14:textId="1D97931D" w:rsidR="006417A1" w:rsidRPr="00424C46" w:rsidRDefault="006417A1" w:rsidP="00BF04DA">
      <w:pPr>
        <w:rPr>
          <w:sz w:val="18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2048" behindDoc="1" locked="0" layoutInCell="1" allowOverlap="1" wp14:anchorId="5AF38CDC" wp14:editId="1F9D3130">
                <wp:simplePos x="0" y="0"/>
                <wp:positionH relativeFrom="margin">
                  <wp:posOffset>-46383</wp:posOffset>
                </wp:positionH>
                <wp:positionV relativeFrom="paragraph">
                  <wp:posOffset>49751</wp:posOffset>
                </wp:positionV>
                <wp:extent cx="6255026" cy="4207565"/>
                <wp:effectExtent l="0" t="0" r="12700" b="2159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026" cy="42075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B9A2F" w14:textId="77777777" w:rsidR="00217E1A" w:rsidRDefault="00217E1A" w:rsidP="006417A1">
                            <w:pPr>
                              <w:rPr>
                                <w:b/>
                              </w:rPr>
                            </w:pPr>
                          </w:p>
                          <w:p w14:paraId="2AE6E261" w14:textId="77777777" w:rsidR="00217E1A" w:rsidRDefault="00217E1A" w:rsidP="006417A1">
                            <w:pPr>
                              <w:rPr>
                                <w:b/>
                              </w:rPr>
                            </w:pPr>
                            <w:r w:rsidRPr="0026524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6876CE4" w14:textId="77777777" w:rsidR="00217E1A" w:rsidRPr="00F75ECD" w:rsidRDefault="00217E1A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 xml:space="preserve"> HYPERLINK "http://stat.gov.pl/obszary-tematyczne/przemysl-budownictwo-srodki-trwale/budownictwo/efekty-dzialalnosci-budowlanej-w-2017-roku,3,13.html" </w:instrText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Efekty działalności budowlanej w 2017 r.</w:t>
                            </w:r>
                          </w:p>
                          <w:p w14:paraId="446955DF" w14:textId="77777777" w:rsidR="00217E1A" w:rsidRPr="001E07D3" w:rsidRDefault="00217E1A" w:rsidP="006417A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8" w:history="1">
                              <w:r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Budownictwo mieszkaniowe</w:t>
                              </w:r>
                            </w:hyperlink>
                          </w:p>
                          <w:p w14:paraId="18102D59" w14:textId="77777777" w:rsidR="00217E1A" w:rsidRDefault="00217E1A" w:rsidP="006417A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3FA860EF" w14:textId="77777777" w:rsidR="00217E1A" w:rsidRPr="00E36CA6" w:rsidRDefault="00217E1A" w:rsidP="006417A1"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99B941B" w14:textId="77777777" w:rsidR="00217E1A" w:rsidRPr="001E07D3" w:rsidRDefault="00272006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217E1A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Dziedzinowa Baza Wiedzy Budownictwo</w:t>
                              </w:r>
                            </w:hyperlink>
                          </w:p>
                          <w:p w14:paraId="208D9D23" w14:textId="77777777" w:rsidR="00217E1A" w:rsidRPr="001E07D3" w:rsidRDefault="00272006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217E1A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73D20C92" w14:textId="77777777" w:rsidR="00217E1A" w:rsidRDefault="00217E1A" w:rsidP="006417A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5C393A78" w14:textId="77777777" w:rsidR="00217E1A" w:rsidRDefault="00217E1A" w:rsidP="006417A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1A84EA22" w14:textId="77777777" w:rsidR="00217E1A" w:rsidRPr="001E07D3" w:rsidRDefault="00272006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217E1A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</w:t>
                              </w:r>
                            </w:hyperlink>
                          </w:p>
                          <w:p w14:paraId="7816DA56" w14:textId="77777777" w:rsidR="00217E1A" w:rsidRPr="001E07D3" w:rsidRDefault="00272006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217E1A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mieszkalny</w:t>
                              </w:r>
                            </w:hyperlink>
                          </w:p>
                          <w:p w14:paraId="1FC31A18" w14:textId="77777777" w:rsidR="00217E1A" w:rsidRPr="001E07D3" w:rsidRDefault="00272006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217E1A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Mieszkanie</w:t>
                              </w:r>
                            </w:hyperlink>
                          </w:p>
                          <w:p w14:paraId="1ACCC025" w14:textId="77777777" w:rsidR="00217E1A" w:rsidRPr="001E07D3" w:rsidRDefault="00272006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4" w:history="1">
                              <w:r w:rsidR="00217E1A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</w:t>
                              </w:r>
                            </w:hyperlink>
                          </w:p>
                          <w:p w14:paraId="3BF41279" w14:textId="77777777" w:rsidR="00217E1A" w:rsidRPr="001E07D3" w:rsidRDefault="00272006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5" w:history="1">
                              <w:r w:rsidR="00217E1A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 oddany do użytkowania</w:t>
                              </w:r>
                            </w:hyperlink>
                          </w:p>
                          <w:p w14:paraId="1D758D4B" w14:textId="77777777" w:rsidR="00217E1A" w:rsidRPr="001E07D3" w:rsidRDefault="00272006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6" w:history="1">
                              <w:r w:rsidR="00217E1A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Obiekty inżynierii lądowej i wodnej</w:t>
                              </w:r>
                            </w:hyperlink>
                          </w:p>
                          <w:p w14:paraId="41BA27D9" w14:textId="77777777" w:rsidR="00217E1A" w:rsidRPr="001E07D3" w:rsidRDefault="00272006" w:rsidP="006417A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7" w:history="1">
                              <w:r w:rsidR="00217E1A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Pozwolenie na budowę i zgłoszenie z projektem budowlanym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38C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9" type="#_x0000_t202" style="position:absolute;margin-left:-3.65pt;margin-top:3.9pt;width:492.5pt;height:331.3pt;z-index:-25147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" fillcolor="#f2f2f2" strokecolor="white">
                <v:textbox>
                  <w:txbxContent>
                    <w:p w14:paraId="71CB9A2F" w14:textId="77777777" w:rsidR="00217E1A" w:rsidRDefault="00217E1A" w:rsidP="006417A1">
                      <w:pPr>
                        <w:rPr>
                          <w:b/>
                        </w:rPr>
                      </w:pPr>
                    </w:p>
                    <w:p w14:paraId="2AE6E261" w14:textId="77777777" w:rsidR="00217E1A" w:rsidRDefault="00217E1A" w:rsidP="006417A1">
                      <w:pPr>
                        <w:rPr>
                          <w:b/>
                        </w:rPr>
                      </w:pPr>
                      <w:r w:rsidRPr="0026524A">
                        <w:rPr>
                          <w:b/>
                        </w:rPr>
                        <w:t>Powiązane opracowania</w:t>
                      </w:r>
                    </w:p>
                    <w:p w14:paraId="76876CE4" w14:textId="77777777" w:rsidR="00217E1A" w:rsidRPr="00F75ECD" w:rsidRDefault="00217E1A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instrText xml:space="preserve"> HYPERLINK "http://stat.gov.pl/obszary-tematyczne/przemysl-budownictwo-srodki-trwale/budownictwo/efekty-dzialalnosci-budowlanej-w-2017-roku,3,13.html" </w:instrText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t>Efekty działalności budowlanej w 2017 r.</w:t>
                      </w:r>
                    </w:p>
                    <w:p w14:paraId="446955DF" w14:textId="77777777" w:rsidR="00217E1A" w:rsidRPr="001E07D3" w:rsidRDefault="00217E1A" w:rsidP="006417A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hyperlink r:id="rId38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Budownictwo mieszkaniowe</w:t>
                        </w:r>
                      </w:hyperlink>
                    </w:p>
                    <w:p w14:paraId="18102D59" w14:textId="77777777" w:rsidR="00217E1A" w:rsidRDefault="00217E1A" w:rsidP="006417A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3FA860EF" w14:textId="77777777" w:rsidR="00217E1A" w:rsidRPr="00E36CA6" w:rsidRDefault="00217E1A" w:rsidP="006417A1">
                      <w:r w:rsidRPr="0050555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399B941B" w14:textId="77777777" w:rsidR="00217E1A" w:rsidRPr="001E07D3" w:rsidRDefault="00272006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39" w:history="1">
                        <w:r w:rsidR="00217E1A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Dziedzinowa Baza Wiedzy Budownictwo</w:t>
                        </w:r>
                      </w:hyperlink>
                    </w:p>
                    <w:p w14:paraId="208D9D23" w14:textId="77777777" w:rsidR="00217E1A" w:rsidRPr="001E07D3" w:rsidRDefault="00272006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0" w:history="1">
                        <w:r w:rsidR="00217E1A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73D20C92" w14:textId="77777777" w:rsidR="00217E1A" w:rsidRDefault="00217E1A" w:rsidP="006417A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5C393A78" w14:textId="77777777" w:rsidR="00217E1A" w:rsidRDefault="00217E1A" w:rsidP="006417A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0555C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1A84EA22" w14:textId="77777777" w:rsidR="00217E1A" w:rsidRPr="001E07D3" w:rsidRDefault="00272006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1" w:history="1">
                        <w:r w:rsidR="00217E1A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Budynek</w:t>
                        </w:r>
                      </w:hyperlink>
                    </w:p>
                    <w:p w14:paraId="7816DA56" w14:textId="77777777" w:rsidR="00217E1A" w:rsidRPr="001E07D3" w:rsidRDefault="00272006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2" w:history="1">
                        <w:r w:rsidR="00217E1A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Budynek mieszkalny</w:t>
                        </w:r>
                      </w:hyperlink>
                    </w:p>
                    <w:p w14:paraId="1FC31A18" w14:textId="77777777" w:rsidR="00217E1A" w:rsidRPr="001E07D3" w:rsidRDefault="00272006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3" w:history="1">
                        <w:r w:rsidR="00217E1A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Mieszkanie</w:t>
                        </w:r>
                      </w:hyperlink>
                    </w:p>
                    <w:p w14:paraId="1ACCC025" w14:textId="77777777" w:rsidR="00217E1A" w:rsidRPr="001E07D3" w:rsidRDefault="00272006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4" w:history="1">
                        <w:r w:rsidR="00217E1A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</w:t>
                        </w:r>
                      </w:hyperlink>
                    </w:p>
                    <w:p w14:paraId="3BF41279" w14:textId="77777777" w:rsidR="00217E1A" w:rsidRPr="001E07D3" w:rsidRDefault="00272006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5" w:history="1">
                        <w:r w:rsidR="00217E1A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 oddany do użytkowania</w:t>
                        </w:r>
                      </w:hyperlink>
                    </w:p>
                    <w:p w14:paraId="1D758D4B" w14:textId="77777777" w:rsidR="00217E1A" w:rsidRPr="001E07D3" w:rsidRDefault="00272006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6" w:history="1">
                        <w:r w:rsidR="00217E1A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Obiekty inżynierii lądowej i wodnej</w:t>
                        </w:r>
                      </w:hyperlink>
                    </w:p>
                    <w:p w14:paraId="41BA27D9" w14:textId="77777777" w:rsidR="00217E1A" w:rsidRPr="001E07D3" w:rsidRDefault="00272006" w:rsidP="006417A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7" w:history="1">
                        <w:r w:rsidR="00217E1A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Pozwolenie na budowę i zgłoszenie z projektem budowlanym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9A950" w14:textId="77777777" w:rsidR="006417A1" w:rsidRPr="00424C46" w:rsidRDefault="006417A1" w:rsidP="00BF04DA">
      <w:pPr>
        <w:rPr>
          <w:sz w:val="18"/>
          <w:lang w:val="en-US"/>
        </w:rPr>
      </w:pPr>
    </w:p>
    <w:p w14:paraId="568144E4" w14:textId="77777777" w:rsidR="006417A1" w:rsidRPr="00424C46" w:rsidRDefault="006417A1" w:rsidP="00BF04DA">
      <w:pPr>
        <w:rPr>
          <w:sz w:val="18"/>
          <w:lang w:val="en-US"/>
        </w:rPr>
      </w:pPr>
    </w:p>
    <w:p w14:paraId="383CCF12" w14:textId="77777777" w:rsidR="006417A1" w:rsidRPr="00424C46" w:rsidRDefault="006417A1" w:rsidP="00BF04DA">
      <w:pPr>
        <w:rPr>
          <w:sz w:val="18"/>
          <w:lang w:val="en-US"/>
        </w:rPr>
      </w:pPr>
    </w:p>
    <w:p w14:paraId="0FE0C321" w14:textId="77777777" w:rsidR="006417A1" w:rsidRPr="00424C46" w:rsidRDefault="006417A1" w:rsidP="00BF04DA">
      <w:pPr>
        <w:rPr>
          <w:sz w:val="18"/>
          <w:lang w:val="en-US"/>
        </w:rPr>
      </w:pPr>
    </w:p>
    <w:p w14:paraId="3CAA7772" w14:textId="5E020510" w:rsidR="006417A1" w:rsidRPr="00424C46" w:rsidRDefault="006417A1" w:rsidP="00BF04DA">
      <w:pPr>
        <w:rPr>
          <w:sz w:val="18"/>
          <w:lang w:val="en-US"/>
        </w:rPr>
      </w:pPr>
    </w:p>
    <w:p w14:paraId="72B51B90" w14:textId="3E84F78F" w:rsidR="006417A1" w:rsidRPr="00424C46" w:rsidRDefault="006417A1" w:rsidP="00BF04DA">
      <w:pPr>
        <w:rPr>
          <w:sz w:val="18"/>
          <w:lang w:val="en-US"/>
        </w:rPr>
      </w:pPr>
    </w:p>
    <w:p w14:paraId="28EF6AA2" w14:textId="29526D67" w:rsidR="006417A1" w:rsidRPr="00424C46" w:rsidRDefault="006417A1" w:rsidP="00BF04DA">
      <w:pPr>
        <w:rPr>
          <w:sz w:val="18"/>
          <w:lang w:val="en-US"/>
        </w:rPr>
      </w:pPr>
    </w:p>
    <w:p w14:paraId="03DAA47E" w14:textId="2C61D58B" w:rsidR="006417A1" w:rsidRPr="00424C46" w:rsidRDefault="006417A1" w:rsidP="00BF04DA">
      <w:pPr>
        <w:rPr>
          <w:sz w:val="18"/>
          <w:lang w:val="en-US"/>
        </w:rPr>
      </w:pPr>
    </w:p>
    <w:p w14:paraId="75E52EDE" w14:textId="2E997FB2" w:rsidR="006417A1" w:rsidRPr="00424C46" w:rsidRDefault="006417A1" w:rsidP="00BF04DA">
      <w:pPr>
        <w:rPr>
          <w:sz w:val="18"/>
          <w:lang w:val="en-US"/>
        </w:rPr>
      </w:pPr>
    </w:p>
    <w:p w14:paraId="7443E438" w14:textId="77777777" w:rsidR="006417A1" w:rsidRPr="00424C46" w:rsidRDefault="006417A1" w:rsidP="00BF04DA">
      <w:pPr>
        <w:rPr>
          <w:sz w:val="18"/>
          <w:lang w:val="en-US"/>
        </w:rPr>
      </w:pPr>
    </w:p>
    <w:p w14:paraId="6B9735FF" w14:textId="7CF740F5" w:rsidR="006417A1" w:rsidRPr="00424C46" w:rsidRDefault="006417A1" w:rsidP="00BF04DA">
      <w:pPr>
        <w:rPr>
          <w:sz w:val="18"/>
          <w:lang w:val="en-US"/>
        </w:rPr>
      </w:pPr>
    </w:p>
    <w:p w14:paraId="22FF6901" w14:textId="64A72A80" w:rsidR="006417A1" w:rsidRPr="00424C46" w:rsidRDefault="006417A1" w:rsidP="00BF04DA">
      <w:pPr>
        <w:rPr>
          <w:sz w:val="18"/>
          <w:lang w:val="en-US"/>
        </w:rPr>
      </w:pPr>
    </w:p>
    <w:p w14:paraId="3B6C1E76" w14:textId="1C9E73DF" w:rsidR="006417A1" w:rsidRPr="00424C46" w:rsidRDefault="006417A1" w:rsidP="00BF04DA">
      <w:pPr>
        <w:rPr>
          <w:sz w:val="18"/>
          <w:lang w:val="en-US"/>
        </w:rPr>
      </w:pPr>
      <w:bookmarkStart w:id="0" w:name="_GoBack"/>
      <w:bookmarkEnd w:id="0"/>
    </w:p>
    <w:sectPr w:rsidR="006417A1" w:rsidRPr="00424C46" w:rsidSect="004552FA">
      <w:headerReference w:type="first" r:id="rId48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2110" w14:textId="77777777" w:rsidR="00272006" w:rsidRDefault="00272006" w:rsidP="000662E2">
      <w:pPr>
        <w:spacing w:after="0" w:line="240" w:lineRule="auto"/>
      </w:pPr>
      <w:r>
        <w:separator/>
      </w:r>
    </w:p>
  </w:endnote>
  <w:endnote w:type="continuationSeparator" w:id="0">
    <w:p w14:paraId="63FFB5ED" w14:textId="77777777" w:rsidR="00272006" w:rsidRDefault="0027200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71291" w14:textId="77777777" w:rsidR="00272006" w:rsidRDefault="00272006" w:rsidP="000662E2">
      <w:pPr>
        <w:spacing w:after="0" w:line="240" w:lineRule="auto"/>
      </w:pPr>
      <w:r>
        <w:separator/>
      </w:r>
    </w:p>
  </w:footnote>
  <w:footnote w:type="continuationSeparator" w:id="0">
    <w:p w14:paraId="0E52DBE1" w14:textId="77777777" w:rsidR="00272006" w:rsidRDefault="00272006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217E1A" w:rsidRPr="006F5B67" w:rsidRDefault="00217E1A" w:rsidP="008D3C36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 w:rsidRPr="006F5B67">
        <w:rPr>
          <w:rStyle w:val="Odwoanieprzypisudolnego"/>
          <w:rFonts w:ascii="Fira Sans" w:hAnsi="Fira Sans"/>
          <w:sz w:val="16"/>
          <w:szCs w:val="16"/>
        </w:rPr>
        <w:footnoteRef/>
      </w:r>
      <w:r w:rsidRPr="006F5B67">
        <w:rPr>
          <w:rFonts w:ascii="Fira Sans" w:hAnsi="Fira Sans"/>
          <w:sz w:val="16"/>
          <w:szCs w:val="16"/>
        </w:rPr>
        <w:t xml:space="preserve"> Dane mogą ulec zmianie po ostatecznym ich </w:t>
      </w:r>
      <w:r w:rsidRPr="00596D0D">
        <w:rPr>
          <w:rFonts w:ascii="Fira Sans" w:hAnsi="Fira Sans"/>
          <w:sz w:val="16"/>
          <w:szCs w:val="16"/>
        </w:rPr>
        <w:t>opracowaniu</w:t>
      </w:r>
      <w:r w:rsidR="00A8598E">
        <w:rPr>
          <w:rFonts w:ascii="Fira Sans" w:hAnsi="Fira Sans"/>
          <w:sz w:val="16"/>
          <w:szCs w:val="16"/>
        </w:rPr>
        <w:t>.</w:t>
      </w:r>
    </w:p>
  </w:footnote>
  <w:footnote w:id="2">
    <w:p w14:paraId="37D387A4" w14:textId="60DE3F6B" w:rsidR="00217E1A" w:rsidRDefault="00217E1A" w:rsidP="008D3C36">
      <w:pPr>
        <w:pStyle w:val="Tekstprzypisudolnego"/>
        <w:spacing w:before="0"/>
      </w:pPr>
      <w:r w:rsidRPr="00A75B17">
        <w:rPr>
          <w:rStyle w:val="Odwoanieprzypisudolnego"/>
          <w:sz w:val="18"/>
        </w:rPr>
        <w:footnoteRef/>
      </w:r>
      <w:r w:rsidRPr="00A75B17">
        <w:rPr>
          <w:sz w:val="18"/>
        </w:rPr>
        <w:t xml:space="preserve"> </w:t>
      </w:r>
      <w:r w:rsidRPr="00A75B17">
        <w:rPr>
          <w:rFonts w:ascii="Fira Sans" w:hAnsi="Fira Sans"/>
          <w:sz w:val="16"/>
          <w:szCs w:val="16"/>
        </w:rPr>
        <w:t xml:space="preserve">Liczba </w:t>
      </w:r>
      <w:r w:rsidR="008350FF" w:rsidRPr="005F29E0">
        <w:rPr>
          <w:rFonts w:ascii="Fira Sans" w:hAnsi="Fira Sans"/>
          <w:sz w:val="16"/>
          <w:szCs w:val="16"/>
        </w:rPr>
        <w:t xml:space="preserve">ludności </w:t>
      </w:r>
      <w:r>
        <w:rPr>
          <w:rFonts w:ascii="Fira Sans" w:hAnsi="Fira Sans"/>
          <w:sz w:val="16"/>
          <w:szCs w:val="16"/>
        </w:rPr>
        <w:t>–</w:t>
      </w:r>
      <w:r w:rsidRPr="00A75B17">
        <w:rPr>
          <w:rFonts w:ascii="Fira Sans" w:hAnsi="Fira Sans"/>
          <w:sz w:val="16"/>
          <w:szCs w:val="16"/>
        </w:rPr>
        <w:t xml:space="preserve"> stan na 30.06.</w:t>
      </w:r>
      <w:r w:rsidRPr="00596D0D">
        <w:rPr>
          <w:rFonts w:ascii="Fira Sans" w:hAnsi="Fira Sans"/>
          <w:sz w:val="16"/>
          <w:szCs w:val="16"/>
        </w:rPr>
        <w:t>2018</w:t>
      </w:r>
      <w:r w:rsidR="00021311">
        <w:rPr>
          <w:rFonts w:ascii="Fira Sans" w:hAnsi="Fira Sans"/>
          <w:sz w:val="16"/>
          <w:szCs w:val="16"/>
        </w:rPr>
        <w:t xml:space="preserve"> </w:t>
      </w:r>
      <w:r w:rsidRPr="00596D0D">
        <w:rPr>
          <w:rFonts w:ascii="Fira Sans" w:hAnsi="Fira Sans"/>
          <w:sz w:val="16"/>
          <w:szCs w:val="16"/>
        </w:rPr>
        <w:t>r</w:t>
      </w:r>
      <w:r w:rsidRPr="00A75B17">
        <w:rPr>
          <w:rFonts w:ascii="Fira Sans" w:hAnsi="Fira Sans"/>
          <w:sz w:val="16"/>
          <w:szCs w:val="16"/>
        </w:rPr>
        <w:t>.</w:t>
      </w:r>
    </w:p>
  </w:footnote>
  <w:footnote w:id="3">
    <w:p w14:paraId="4E0D3EAC" w14:textId="7B691424" w:rsidR="00390B85" w:rsidRDefault="00390B85" w:rsidP="000A30F2">
      <w:pPr>
        <w:pStyle w:val="Tekstprzypisudolnego"/>
      </w:pPr>
      <w:r w:rsidRPr="004065D6">
        <w:rPr>
          <w:rFonts w:ascii="Fira Sans" w:hAnsi="Fira Sans"/>
          <w:sz w:val="16"/>
          <w:szCs w:val="16"/>
          <w:vertAlign w:val="superscript"/>
        </w:rPr>
        <w:footnoteRef/>
      </w:r>
      <w:r w:rsidRPr="00C47F03">
        <w:rPr>
          <w:rFonts w:ascii="Fira Sans" w:hAnsi="Fira Sans"/>
          <w:sz w:val="16"/>
          <w:szCs w:val="16"/>
        </w:rPr>
        <w:t xml:space="preserve"> </w:t>
      </w:r>
      <w:r w:rsidRPr="00302DB0">
        <w:rPr>
          <w:rFonts w:ascii="Fira Sans" w:hAnsi="Fira Sans"/>
          <w:sz w:val="16"/>
          <w:szCs w:val="16"/>
        </w:rPr>
        <w:t>Realizowane przez różnych inwestorów z zamiarem krótkoterminowego lub długoterminowego wynajmu mieszkań, w tym na podstawie umów najmu instytucjonalnego z dojściem do własności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14:paraId="1F9DE141" w14:textId="77777777" w:rsidR="00217E1A" w:rsidRPr="005C5E14" w:rsidRDefault="00217E1A" w:rsidP="002543F3">
      <w:pPr>
        <w:pStyle w:val="Tekstprzypisudolnego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Łącznie ze zgłoszeniami budowy z projektem budowlanym.</w:t>
      </w:r>
    </w:p>
  </w:footnote>
  <w:footnote w:id="5">
    <w:p w14:paraId="5CE0CC51" w14:textId="1C9CB641" w:rsidR="00F2097F" w:rsidRPr="005C5E14" w:rsidRDefault="00F2097F" w:rsidP="00F2097F">
      <w:pPr>
        <w:pStyle w:val="Tekstprzypisudolnego"/>
        <w:ind w:left="113" w:hanging="113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>
        <w:rPr>
          <w:rFonts w:ascii="Fira Sans" w:hAnsi="Fira Sans"/>
          <w:sz w:val="16"/>
          <w:szCs w:val="16"/>
        </w:rPr>
        <w:t xml:space="preserve"> </w:t>
      </w:r>
      <w:r>
        <w:rPr>
          <w:rFonts w:ascii="Fira Sans" w:hAnsi="Fira Sans"/>
          <w:sz w:val="16"/>
          <w:szCs w:val="16"/>
        </w:rPr>
        <w:tab/>
      </w:r>
      <w:r w:rsidRPr="005C5E14">
        <w:rPr>
          <w:rFonts w:ascii="Fira Sans" w:hAnsi="Fira Sans"/>
          <w:sz w:val="16"/>
          <w:szCs w:val="16"/>
        </w:rPr>
        <w:t>Ilekroć w notatce jest mowa o powierzchni użytkowej budynków niemieszkalnych oddanych do użytkowania należy przez to rozumieć sumę powierzchni budynków nowych oraz nowo</w:t>
      </w:r>
      <w:r w:rsidR="00353114">
        <w:rPr>
          <w:rFonts w:ascii="Fira Sans" w:hAnsi="Fira Sans"/>
          <w:sz w:val="16"/>
          <w:szCs w:val="16"/>
        </w:rPr>
        <w:t xml:space="preserve"> </w:t>
      </w:r>
      <w:r w:rsidRPr="005C5E14">
        <w:rPr>
          <w:rFonts w:ascii="Fira Sans" w:hAnsi="Fira Sans"/>
          <w:sz w:val="16"/>
          <w:szCs w:val="16"/>
        </w:rPr>
        <w:t>powstałych części budynków rozbudowanych</w:t>
      </w:r>
      <w:r>
        <w:rPr>
          <w:rFonts w:ascii="Fira Sans" w:hAnsi="Fira Sans"/>
          <w:sz w:val="16"/>
          <w:szCs w:val="16"/>
        </w:rPr>
        <w:t>.</w:t>
      </w:r>
    </w:p>
  </w:footnote>
  <w:footnote w:id="6">
    <w:p w14:paraId="370B3570" w14:textId="77777777" w:rsidR="00F2097F" w:rsidRPr="005C5E14" w:rsidRDefault="00F2097F" w:rsidP="00F2097F">
      <w:pPr>
        <w:pStyle w:val="Tekstprzypisudolnego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Pełna nazwa klasy PKOB brzmi: </w:t>
      </w:r>
      <w:r w:rsidRPr="005C5E14">
        <w:rPr>
          <w:rFonts w:ascii="Fira Sans" w:hAnsi="Fira Sans"/>
          <w:i/>
          <w:sz w:val="16"/>
          <w:szCs w:val="16"/>
        </w:rPr>
        <w:t>Zbiorniki, silosy i budynki magazynowe</w:t>
      </w:r>
      <w:r>
        <w:rPr>
          <w:rFonts w:ascii="Fira Sans" w:hAnsi="Fira Sans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2DCA1" w14:textId="6A75D30F" w:rsidR="00021311" w:rsidRDefault="0002131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52EE47B" wp14:editId="17295E5A">
              <wp:simplePos x="0" y="0"/>
              <wp:positionH relativeFrom="page">
                <wp:posOffset>5681506</wp:posOffset>
              </wp:positionH>
              <wp:positionV relativeFrom="paragraph">
                <wp:posOffset>-164465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0" name="Prostokąt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6B2F6A" id="Prostokąt 30" o:spid="_x0000_s1026" style="position:absolute;margin-left:447.35pt;margin-top:-12.95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" fillcolor="#f2f2f2" stroked="f" strokeweight="2pt">
              <v:path arrowok="t"/>
              <w10:wrap type="tigh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DC90" w14:textId="7B2CB90E" w:rsidR="00021311" w:rsidRDefault="0002131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DC43C4D" wp14:editId="7C75B432">
              <wp:simplePos x="0" y="0"/>
              <wp:positionH relativeFrom="page">
                <wp:align>right</wp:align>
              </wp:positionH>
              <wp:positionV relativeFrom="paragraph">
                <wp:posOffset>-178293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1" name="Prostokąt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1647F" id="Prostokąt 31" o:spid="_x0000_s1026" style="position:absolute;margin-left:96.2pt;margin-top:-14.05pt;width:147.4pt;height:1803.55pt;z-index:-251649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" fillcolor="#f2f2f2" stroked="f" strokeweight="2pt">
              <v:path arrowok="t"/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A6553" w14:textId="0CEFA4A3" w:rsidR="00740172" w:rsidRDefault="0074017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FBEF5F" wp14:editId="6A497FDA">
              <wp:simplePos x="0" y="0"/>
              <wp:positionH relativeFrom="page">
                <wp:posOffset>5499735</wp:posOffset>
              </wp:positionH>
              <wp:positionV relativeFrom="paragraph">
                <wp:posOffset>209076</wp:posOffset>
              </wp:positionV>
              <wp:extent cx="2060575" cy="357505"/>
              <wp:effectExtent l="0" t="0" r="0" b="4445"/>
              <wp:wrapNone/>
              <wp:docPr id="2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1863063" w14:textId="77777777" w:rsidR="00740172" w:rsidRPr="003C6C8D" w:rsidRDefault="00740172" w:rsidP="0074017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BEF5F" id="Schemat blokowy: opóźnienie 6" o:spid="_x0000_s1040" style="position:absolute;margin-left:433.05pt;margin-top:16.4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1863063" w14:textId="77777777" w:rsidR="00740172" w:rsidRPr="003C6C8D" w:rsidRDefault="00740172" w:rsidP="0074017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C91369D" wp14:editId="08FF720B">
          <wp:simplePos x="0" y="0"/>
          <wp:positionH relativeFrom="column">
            <wp:posOffset>-7620</wp:posOffset>
          </wp:positionH>
          <wp:positionV relativeFrom="page">
            <wp:posOffset>324646</wp:posOffset>
          </wp:positionV>
          <wp:extent cx="1043940" cy="444500"/>
          <wp:effectExtent l="0" t="0" r="381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1DDEBE" w14:textId="608BB271" w:rsidR="00740172" w:rsidRDefault="0002131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D1BC429" wp14:editId="3B6D0825">
              <wp:simplePos x="0" y="0"/>
              <wp:positionH relativeFrom="page">
                <wp:posOffset>5681345</wp:posOffset>
              </wp:positionH>
              <wp:positionV relativeFrom="paragraph">
                <wp:posOffset>148107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A29563" id="Prostokąt 29" o:spid="_x0000_s1026" style="position:absolute;margin-left:447.35pt;margin-top:11.65pt;width:147.4pt;height:1803.5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" fillcolor="#f2f2f2" stroked="f" strokeweight="2pt">
              <v:path arrowok="t"/>
              <w10:wrap type="tight" anchorx="page"/>
            </v:rect>
          </w:pict>
        </mc:Fallback>
      </mc:AlternateContent>
    </w:r>
  </w:p>
  <w:p w14:paraId="7CEEF76C" w14:textId="47759150" w:rsidR="00740172" w:rsidRDefault="00740172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312B6E3" wp14:editId="1BCA135B">
              <wp:simplePos x="0" y="0"/>
              <wp:positionH relativeFrom="column">
                <wp:posOffset>5288280</wp:posOffset>
              </wp:positionH>
              <wp:positionV relativeFrom="paragraph">
                <wp:posOffset>316704</wp:posOffset>
              </wp:positionV>
              <wp:extent cx="1104595" cy="343374"/>
              <wp:effectExtent l="0" t="0" r="0" b="0"/>
              <wp:wrapNone/>
              <wp:docPr id="2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68755" w14:textId="0973B8A2" w:rsidR="00740172" w:rsidRPr="00C97596" w:rsidRDefault="00740172" w:rsidP="00740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06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2B6E3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16.4pt;margin-top:24.95pt;width:87pt;height:2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" filled="f" stroked="f">
              <v:textbox>
                <w:txbxContent>
                  <w:p w14:paraId="0BA68755" w14:textId="0973B8A2" w:rsidR="00740172" w:rsidRPr="00C97596" w:rsidRDefault="00740172" w:rsidP="00740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7E0D76CE" w:rsidR="004552FA" w:rsidRDefault="004552FA">
    <w:pPr>
      <w:pStyle w:val="Nagwek"/>
    </w:pPr>
  </w:p>
  <w:p w14:paraId="7F8BD878" w14:textId="6593C461" w:rsidR="004552FA" w:rsidRDefault="004552FA">
    <w:pPr>
      <w:pStyle w:val="Nagwek"/>
    </w:pPr>
  </w:p>
  <w:p w14:paraId="32FC7778" w14:textId="70E1ADB4" w:rsidR="004552FA" w:rsidRDefault="004552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1pt;height:126.25pt;visibility:visible" o:bullet="t">
        <v:imagedata r:id="rId1" o:title=""/>
      </v:shape>
    </w:pict>
  </w:numPicBullet>
  <w:numPicBullet w:numPicBulletId="1">
    <w:pict>
      <v:shape id="_x0000_i1033" type="#_x0000_t75" style="width:123.65pt;height:126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1C5B"/>
    <w:rsid w:val="000024F6"/>
    <w:rsid w:val="000033CE"/>
    <w:rsid w:val="00003437"/>
    <w:rsid w:val="000039D0"/>
    <w:rsid w:val="00003ED8"/>
    <w:rsid w:val="0000709F"/>
    <w:rsid w:val="00010016"/>
    <w:rsid w:val="000108B8"/>
    <w:rsid w:val="00010E3A"/>
    <w:rsid w:val="00012CBE"/>
    <w:rsid w:val="00013B5C"/>
    <w:rsid w:val="00013B5E"/>
    <w:rsid w:val="000152F5"/>
    <w:rsid w:val="00015EF1"/>
    <w:rsid w:val="00021311"/>
    <w:rsid w:val="00022FA3"/>
    <w:rsid w:val="000232FC"/>
    <w:rsid w:val="0002341F"/>
    <w:rsid w:val="00023621"/>
    <w:rsid w:val="00027A5E"/>
    <w:rsid w:val="00027B92"/>
    <w:rsid w:val="00030CB0"/>
    <w:rsid w:val="0003121F"/>
    <w:rsid w:val="0003129D"/>
    <w:rsid w:val="0003165C"/>
    <w:rsid w:val="00031D01"/>
    <w:rsid w:val="000333CD"/>
    <w:rsid w:val="00033F94"/>
    <w:rsid w:val="00040AA0"/>
    <w:rsid w:val="00044EC8"/>
    <w:rsid w:val="0004582E"/>
    <w:rsid w:val="000470AA"/>
    <w:rsid w:val="00047869"/>
    <w:rsid w:val="000508A2"/>
    <w:rsid w:val="00050EDE"/>
    <w:rsid w:val="00053DC7"/>
    <w:rsid w:val="00056571"/>
    <w:rsid w:val="00057B90"/>
    <w:rsid w:val="00057CA1"/>
    <w:rsid w:val="00061586"/>
    <w:rsid w:val="0006404B"/>
    <w:rsid w:val="000662E2"/>
    <w:rsid w:val="00066883"/>
    <w:rsid w:val="000704CA"/>
    <w:rsid w:val="00070982"/>
    <w:rsid w:val="00074DD8"/>
    <w:rsid w:val="00075BF9"/>
    <w:rsid w:val="000761AC"/>
    <w:rsid w:val="00076474"/>
    <w:rsid w:val="000764B0"/>
    <w:rsid w:val="00077285"/>
    <w:rsid w:val="000806F7"/>
    <w:rsid w:val="000809C8"/>
    <w:rsid w:val="00082664"/>
    <w:rsid w:val="00085121"/>
    <w:rsid w:val="0008643A"/>
    <w:rsid w:val="0008743E"/>
    <w:rsid w:val="00090877"/>
    <w:rsid w:val="0009204F"/>
    <w:rsid w:val="00092F25"/>
    <w:rsid w:val="0009389F"/>
    <w:rsid w:val="000969BC"/>
    <w:rsid w:val="000A0457"/>
    <w:rsid w:val="000A2C30"/>
    <w:rsid w:val="000A30F2"/>
    <w:rsid w:val="000A38B9"/>
    <w:rsid w:val="000A68CB"/>
    <w:rsid w:val="000A7137"/>
    <w:rsid w:val="000A7614"/>
    <w:rsid w:val="000A7F5B"/>
    <w:rsid w:val="000B0727"/>
    <w:rsid w:val="000B6E1A"/>
    <w:rsid w:val="000B7943"/>
    <w:rsid w:val="000C122A"/>
    <w:rsid w:val="000C135D"/>
    <w:rsid w:val="000C3C2C"/>
    <w:rsid w:val="000C4D8D"/>
    <w:rsid w:val="000C7546"/>
    <w:rsid w:val="000D1D43"/>
    <w:rsid w:val="000D1EAF"/>
    <w:rsid w:val="000D225C"/>
    <w:rsid w:val="000D2356"/>
    <w:rsid w:val="000D2A5C"/>
    <w:rsid w:val="000D2CEF"/>
    <w:rsid w:val="000D2E0B"/>
    <w:rsid w:val="000D322F"/>
    <w:rsid w:val="000D674D"/>
    <w:rsid w:val="000E01F9"/>
    <w:rsid w:val="000E0918"/>
    <w:rsid w:val="000E2191"/>
    <w:rsid w:val="000E363D"/>
    <w:rsid w:val="000E4099"/>
    <w:rsid w:val="000E41A2"/>
    <w:rsid w:val="000E663E"/>
    <w:rsid w:val="000E66FF"/>
    <w:rsid w:val="000F1CBC"/>
    <w:rsid w:val="000F363F"/>
    <w:rsid w:val="001008E9"/>
    <w:rsid w:val="001011C3"/>
    <w:rsid w:val="00102F1A"/>
    <w:rsid w:val="001031F1"/>
    <w:rsid w:val="00103770"/>
    <w:rsid w:val="00104DAC"/>
    <w:rsid w:val="0010687B"/>
    <w:rsid w:val="00110D87"/>
    <w:rsid w:val="00114DB9"/>
    <w:rsid w:val="00114E09"/>
    <w:rsid w:val="001158BE"/>
    <w:rsid w:val="00116087"/>
    <w:rsid w:val="001169D7"/>
    <w:rsid w:val="0011736A"/>
    <w:rsid w:val="00117AB4"/>
    <w:rsid w:val="001213BE"/>
    <w:rsid w:val="001222DD"/>
    <w:rsid w:val="00122515"/>
    <w:rsid w:val="00126670"/>
    <w:rsid w:val="00126F8E"/>
    <w:rsid w:val="00127256"/>
    <w:rsid w:val="00130296"/>
    <w:rsid w:val="001304F1"/>
    <w:rsid w:val="001378D2"/>
    <w:rsid w:val="00137B21"/>
    <w:rsid w:val="001403E8"/>
    <w:rsid w:val="001406FE"/>
    <w:rsid w:val="00141DBE"/>
    <w:rsid w:val="001423B6"/>
    <w:rsid w:val="00142B7C"/>
    <w:rsid w:val="00142DAC"/>
    <w:rsid w:val="001437F2"/>
    <w:rsid w:val="001448A7"/>
    <w:rsid w:val="00146621"/>
    <w:rsid w:val="00150287"/>
    <w:rsid w:val="00152273"/>
    <w:rsid w:val="00152E08"/>
    <w:rsid w:val="00155438"/>
    <w:rsid w:val="00155DEE"/>
    <w:rsid w:val="001563B6"/>
    <w:rsid w:val="00156CF9"/>
    <w:rsid w:val="00156EE7"/>
    <w:rsid w:val="00157FE3"/>
    <w:rsid w:val="00161204"/>
    <w:rsid w:val="00161D94"/>
    <w:rsid w:val="00162125"/>
    <w:rsid w:val="00162325"/>
    <w:rsid w:val="001623D4"/>
    <w:rsid w:val="00164743"/>
    <w:rsid w:val="00166274"/>
    <w:rsid w:val="00170750"/>
    <w:rsid w:val="00170966"/>
    <w:rsid w:val="00171E9C"/>
    <w:rsid w:val="00173973"/>
    <w:rsid w:val="00174E7E"/>
    <w:rsid w:val="0017508C"/>
    <w:rsid w:val="00175652"/>
    <w:rsid w:val="001758E0"/>
    <w:rsid w:val="00176BC0"/>
    <w:rsid w:val="001770D2"/>
    <w:rsid w:val="00177231"/>
    <w:rsid w:val="0017779B"/>
    <w:rsid w:val="001777D8"/>
    <w:rsid w:val="00180E85"/>
    <w:rsid w:val="0018299E"/>
    <w:rsid w:val="001850EA"/>
    <w:rsid w:val="00185AAE"/>
    <w:rsid w:val="0019029D"/>
    <w:rsid w:val="0019070D"/>
    <w:rsid w:val="00190E0D"/>
    <w:rsid w:val="001926FC"/>
    <w:rsid w:val="00192D62"/>
    <w:rsid w:val="001951DA"/>
    <w:rsid w:val="001952F2"/>
    <w:rsid w:val="00195767"/>
    <w:rsid w:val="00197675"/>
    <w:rsid w:val="001A0A33"/>
    <w:rsid w:val="001A324E"/>
    <w:rsid w:val="001A4380"/>
    <w:rsid w:val="001A5784"/>
    <w:rsid w:val="001A6F80"/>
    <w:rsid w:val="001B2192"/>
    <w:rsid w:val="001C2DA2"/>
    <w:rsid w:val="001C306C"/>
    <w:rsid w:val="001C3269"/>
    <w:rsid w:val="001C3979"/>
    <w:rsid w:val="001C52A0"/>
    <w:rsid w:val="001C5A46"/>
    <w:rsid w:val="001C5D15"/>
    <w:rsid w:val="001D03B4"/>
    <w:rsid w:val="001D0CB4"/>
    <w:rsid w:val="001D0ECD"/>
    <w:rsid w:val="001D1DB4"/>
    <w:rsid w:val="001D270F"/>
    <w:rsid w:val="001D2A8C"/>
    <w:rsid w:val="001D2AD6"/>
    <w:rsid w:val="001D6352"/>
    <w:rsid w:val="001E0901"/>
    <w:rsid w:val="001E1C67"/>
    <w:rsid w:val="001E2609"/>
    <w:rsid w:val="001E3BE5"/>
    <w:rsid w:val="001E6E9D"/>
    <w:rsid w:val="001E7336"/>
    <w:rsid w:val="001E7F82"/>
    <w:rsid w:val="001F1CC9"/>
    <w:rsid w:val="001F3B90"/>
    <w:rsid w:val="001F6797"/>
    <w:rsid w:val="001F7A9F"/>
    <w:rsid w:val="001F7E58"/>
    <w:rsid w:val="00201179"/>
    <w:rsid w:val="00202665"/>
    <w:rsid w:val="00202E71"/>
    <w:rsid w:val="00204A8E"/>
    <w:rsid w:val="00205EE5"/>
    <w:rsid w:val="00207C2E"/>
    <w:rsid w:val="00210383"/>
    <w:rsid w:val="00210FD5"/>
    <w:rsid w:val="00213A79"/>
    <w:rsid w:val="00213C1D"/>
    <w:rsid w:val="00213CA2"/>
    <w:rsid w:val="00217E1A"/>
    <w:rsid w:val="0022147F"/>
    <w:rsid w:val="002230B1"/>
    <w:rsid w:val="00223943"/>
    <w:rsid w:val="002245C4"/>
    <w:rsid w:val="00230C53"/>
    <w:rsid w:val="00233DC9"/>
    <w:rsid w:val="00236405"/>
    <w:rsid w:val="0023734A"/>
    <w:rsid w:val="00240B3E"/>
    <w:rsid w:val="002424C3"/>
    <w:rsid w:val="00243B14"/>
    <w:rsid w:val="00246ECD"/>
    <w:rsid w:val="00247A60"/>
    <w:rsid w:val="002508DE"/>
    <w:rsid w:val="002543F3"/>
    <w:rsid w:val="002574F9"/>
    <w:rsid w:val="002629F5"/>
    <w:rsid w:val="002631F3"/>
    <w:rsid w:val="00264314"/>
    <w:rsid w:val="0026524A"/>
    <w:rsid w:val="00265707"/>
    <w:rsid w:val="0026616C"/>
    <w:rsid w:val="00266D35"/>
    <w:rsid w:val="00270FCF"/>
    <w:rsid w:val="002710F7"/>
    <w:rsid w:val="00271FF4"/>
    <w:rsid w:val="00272006"/>
    <w:rsid w:val="002725D4"/>
    <w:rsid w:val="00273347"/>
    <w:rsid w:val="00275F66"/>
    <w:rsid w:val="00276811"/>
    <w:rsid w:val="0027785E"/>
    <w:rsid w:val="00282699"/>
    <w:rsid w:val="00284612"/>
    <w:rsid w:val="00285207"/>
    <w:rsid w:val="00290126"/>
    <w:rsid w:val="0029047B"/>
    <w:rsid w:val="00290F23"/>
    <w:rsid w:val="00292220"/>
    <w:rsid w:val="002925D4"/>
    <w:rsid w:val="002926DF"/>
    <w:rsid w:val="00296697"/>
    <w:rsid w:val="002A0E7B"/>
    <w:rsid w:val="002A167D"/>
    <w:rsid w:val="002A359F"/>
    <w:rsid w:val="002A4348"/>
    <w:rsid w:val="002A437B"/>
    <w:rsid w:val="002A50E0"/>
    <w:rsid w:val="002A5BE1"/>
    <w:rsid w:val="002A7668"/>
    <w:rsid w:val="002B0009"/>
    <w:rsid w:val="002B0472"/>
    <w:rsid w:val="002B18C6"/>
    <w:rsid w:val="002B1CB5"/>
    <w:rsid w:val="002B29B9"/>
    <w:rsid w:val="002B4323"/>
    <w:rsid w:val="002B47BE"/>
    <w:rsid w:val="002B6B12"/>
    <w:rsid w:val="002B6B7B"/>
    <w:rsid w:val="002B7514"/>
    <w:rsid w:val="002C1D1A"/>
    <w:rsid w:val="002C6270"/>
    <w:rsid w:val="002D01F9"/>
    <w:rsid w:val="002D0DA2"/>
    <w:rsid w:val="002D1C52"/>
    <w:rsid w:val="002D2547"/>
    <w:rsid w:val="002D4AFD"/>
    <w:rsid w:val="002D7793"/>
    <w:rsid w:val="002D7B00"/>
    <w:rsid w:val="002E13A8"/>
    <w:rsid w:val="002E1A9E"/>
    <w:rsid w:val="002E3284"/>
    <w:rsid w:val="002E3888"/>
    <w:rsid w:val="002E5257"/>
    <w:rsid w:val="002E6140"/>
    <w:rsid w:val="002E623A"/>
    <w:rsid w:val="002E6985"/>
    <w:rsid w:val="002E71B6"/>
    <w:rsid w:val="002E795A"/>
    <w:rsid w:val="002F0AF1"/>
    <w:rsid w:val="002F1F22"/>
    <w:rsid w:val="002F2D8E"/>
    <w:rsid w:val="002F348B"/>
    <w:rsid w:val="002F472E"/>
    <w:rsid w:val="002F77C8"/>
    <w:rsid w:val="00302DB0"/>
    <w:rsid w:val="00303046"/>
    <w:rsid w:val="00304F22"/>
    <w:rsid w:val="00306792"/>
    <w:rsid w:val="00306C7C"/>
    <w:rsid w:val="00306F47"/>
    <w:rsid w:val="00313708"/>
    <w:rsid w:val="00313891"/>
    <w:rsid w:val="00320924"/>
    <w:rsid w:val="003223DE"/>
    <w:rsid w:val="00322858"/>
    <w:rsid w:val="00322A6A"/>
    <w:rsid w:val="00322EDD"/>
    <w:rsid w:val="0032490A"/>
    <w:rsid w:val="00326B05"/>
    <w:rsid w:val="00332320"/>
    <w:rsid w:val="00333420"/>
    <w:rsid w:val="003341CD"/>
    <w:rsid w:val="00334837"/>
    <w:rsid w:val="00335BE5"/>
    <w:rsid w:val="003406E6"/>
    <w:rsid w:val="00340961"/>
    <w:rsid w:val="0034440F"/>
    <w:rsid w:val="0034475D"/>
    <w:rsid w:val="00347A3C"/>
    <w:rsid w:val="00347D72"/>
    <w:rsid w:val="00351404"/>
    <w:rsid w:val="00351D29"/>
    <w:rsid w:val="00351E73"/>
    <w:rsid w:val="00353114"/>
    <w:rsid w:val="003557E1"/>
    <w:rsid w:val="00357000"/>
    <w:rsid w:val="00357611"/>
    <w:rsid w:val="00360544"/>
    <w:rsid w:val="00361746"/>
    <w:rsid w:val="00363693"/>
    <w:rsid w:val="00365A3C"/>
    <w:rsid w:val="00365F22"/>
    <w:rsid w:val="00367237"/>
    <w:rsid w:val="00367B3F"/>
    <w:rsid w:val="00367EC7"/>
    <w:rsid w:val="0037077F"/>
    <w:rsid w:val="00373882"/>
    <w:rsid w:val="00374475"/>
    <w:rsid w:val="00375215"/>
    <w:rsid w:val="003759F8"/>
    <w:rsid w:val="00381354"/>
    <w:rsid w:val="00381995"/>
    <w:rsid w:val="00381B0D"/>
    <w:rsid w:val="003843DB"/>
    <w:rsid w:val="00386065"/>
    <w:rsid w:val="00387B3D"/>
    <w:rsid w:val="00390B85"/>
    <w:rsid w:val="0039190B"/>
    <w:rsid w:val="00392B01"/>
    <w:rsid w:val="00393761"/>
    <w:rsid w:val="003958C3"/>
    <w:rsid w:val="00396FBD"/>
    <w:rsid w:val="00397D18"/>
    <w:rsid w:val="003A117E"/>
    <w:rsid w:val="003A1B36"/>
    <w:rsid w:val="003A2890"/>
    <w:rsid w:val="003A2F3A"/>
    <w:rsid w:val="003A4A2B"/>
    <w:rsid w:val="003A567B"/>
    <w:rsid w:val="003B1454"/>
    <w:rsid w:val="003B2CE3"/>
    <w:rsid w:val="003B401E"/>
    <w:rsid w:val="003B49BF"/>
    <w:rsid w:val="003B6350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C8D"/>
    <w:rsid w:val="003D1130"/>
    <w:rsid w:val="003D329A"/>
    <w:rsid w:val="003D35A2"/>
    <w:rsid w:val="003D3ADB"/>
    <w:rsid w:val="003D4B0E"/>
    <w:rsid w:val="003D4BB2"/>
    <w:rsid w:val="003D4DC6"/>
    <w:rsid w:val="003D4F95"/>
    <w:rsid w:val="003D5F42"/>
    <w:rsid w:val="003D60A9"/>
    <w:rsid w:val="003D6B34"/>
    <w:rsid w:val="003E30BB"/>
    <w:rsid w:val="003E4816"/>
    <w:rsid w:val="003E5534"/>
    <w:rsid w:val="003E73B2"/>
    <w:rsid w:val="003F147E"/>
    <w:rsid w:val="003F2379"/>
    <w:rsid w:val="003F272D"/>
    <w:rsid w:val="003F4A91"/>
    <w:rsid w:val="003F4C97"/>
    <w:rsid w:val="003F7FE6"/>
    <w:rsid w:val="00400193"/>
    <w:rsid w:val="004065D6"/>
    <w:rsid w:val="00407169"/>
    <w:rsid w:val="00411842"/>
    <w:rsid w:val="0041188E"/>
    <w:rsid w:val="00413D56"/>
    <w:rsid w:val="00416A63"/>
    <w:rsid w:val="00420C2A"/>
    <w:rsid w:val="004212E7"/>
    <w:rsid w:val="0042446D"/>
    <w:rsid w:val="00424C46"/>
    <w:rsid w:val="00427281"/>
    <w:rsid w:val="00427BF8"/>
    <w:rsid w:val="00431B8B"/>
    <w:rsid w:val="00431C02"/>
    <w:rsid w:val="00434177"/>
    <w:rsid w:val="00434773"/>
    <w:rsid w:val="004358B0"/>
    <w:rsid w:val="00435BD0"/>
    <w:rsid w:val="00436369"/>
    <w:rsid w:val="00436707"/>
    <w:rsid w:val="00437395"/>
    <w:rsid w:val="004441AB"/>
    <w:rsid w:val="00444FD6"/>
    <w:rsid w:val="00445047"/>
    <w:rsid w:val="004458D2"/>
    <w:rsid w:val="004466B1"/>
    <w:rsid w:val="00447F34"/>
    <w:rsid w:val="00450F5D"/>
    <w:rsid w:val="004552FA"/>
    <w:rsid w:val="0045654E"/>
    <w:rsid w:val="00456783"/>
    <w:rsid w:val="00457FDB"/>
    <w:rsid w:val="0046060D"/>
    <w:rsid w:val="00463E39"/>
    <w:rsid w:val="00464E0B"/>
    <w:rsid w:val="004657FC"/>
    <w:rsid w:val="00465AAB"/>
    <w:rsid w:val="00466438"/>
    <w:rsid w:val="0047005B"/>
    <w:rsid w:val="00470DB5"/>
    <w:rsid w:val="004733F6"/>
    <w:rsid w:val="00474E69"/>
    <w:rsid w:val="00485267"/>
    <w:rsid w:val="00487096"/>
    <w:rsid w:val="0049221D"/>
    <w:rsid w:val="004943E8"/>
    <w:rsid w:val="00494700"/>
    <w:rsid w:val="004954AA"/>
    <w:rsid w:val="00495CA7"/>
    <w:rsid w:val="0049621B"/>
    <w:rsid w:val="00497505"/>
    <w:rsid w:val="004A17C9"/>
    <w:rsid w:val="004A1934"/>
    <w:rsid w:val="004A3242"/>
    <w:rsid w:val="004A32EE"/>
    <w:rsid w:val="004A4649"/>
    <w:rsid w:val="004A51B7"/>
    <w:rsid w:val="004A6F58"/>
    <w:rsid w:val="004B29AE"/>
    <w:rsid w:val="004B32B3"/>
    <w:rsid w:val="004B3557"/>
    <w:rsid w:val="004B5745"/>
    <w:rsid w:val="004C00DF"/>
    <w:rsid w:val="004C062B"/>
    <w:rsid w:val="004C1895"/>
    <w:rsid w:val="004C2091"/>
    <w:rsid w:val="004C257A"/>
    <w:rsid w:val="004C284F"/>
    <w:rsid w:val="004C2986"/>
    <w:rsid w:val="004C4CC5"/>
    <w:rsid w:val="004C6D40"/>
    <w:rsid w:val="004D09B9"/>
    <w:rsid w:val="004D665D"/>
    <w:rsid w:val="004E136D"/>
    <w:rsid w:val="004E6642"/>
    <w:rsid w:val="004F0C3C"/>
    <w:rsid w:val="004F2AF9"/>
    <w:rsid w:val="004F63FC"/>
    <w:rsid w:val="005009E1"/>
    <w:rsid w:val="00500A17"/>
    <w:rsid w:val="0050313D"/>
    <w:rsid w:val="005038B2"/>
    <w:rsid w:val="005038CA"/>
    <w:rsid w:val="0050555C"/>
    <w:rsid w:val="00505A92"/>
    <w:rsid w:val="00512169"/>
    <w:rsid w:val="00512C5A"/>
    <w:rsid w:val="005143FA"/>
    <w:rsid w:val="00517624"/>
    <w:rsid w:val="005203F1"/>
    <w:rsid w:val="00521B5E"/>
    <w:rsid w:val="00521BC3"/>
    <w:rsid w:val="005229A6"/>
    <w:rsid w:val="00527F29"/>
    <w:rsid w:val="0053024A"/>
    <w:rsid w:val="00532123"/>
    <w:rsid w:val="00533166"/>
    <w:rsid w:val="00533632"/>
    <w:rsid w:val="00534424"/>
    <w:rsid w:val="00535B20"/>
    <w:rsid w:val="00536352"/>
    <w:rsid w:val="00537F42"/>
    <w:rsid w:val="0054177E"/>
    <w:rsid w:val="0054251F"/>
    <w:rsid w:val="005425C0"/>
    <w:rsid w:val="00543E34"/>
    <w:rsid w:val="00546E2F"/>
    <w:rsid w:val="00547632"/>
    <w:rsid w:val="00550223"/>
    <w:rsid w:val="00550618"/>
    <w:rsid w:val="00551828"/>
    <w:rsid w:val="005520D8"/>
    <w:rsid w:val="00553348"/>
    <w:rsid w:val="005536DC"/>
    <w:rsid w:val="005561E8"/>
    <w:rsid w:val="00556CF1"/>
    <w:rsid w:val="00556E5D"/>
    <w:rsid w:val="0056183F"/>
    <w:rsid w:val="00563312"/>
    <w:rsid w:val="00565BC0"/>
    <w:rsid w:val="0057114E"/>
    <w:rsid w:val="00573E16"/>
    <w:rsid w:val="00575476"/>
    <w:rsid w:val="005762A7"/>
    <w:rsid w:val="00577662"/>
    <w:rsid w:val="00577C72"/>
    <w:rsid w:val="00577E8B"/>
    <w:rsid w:val="00580931"/>
    <w:rsid w:val="005810FF"/>
    <w:rsid w:val="0058132F"/>
    <w:rsid w:val="00582DE0"/>
    <w:rsid w:val="0058529D"/>
    <w:rsid w:val="00587857"/>
    <w:rsid w:val="00587DBB"/>
    <w:rsid w:val="005916D7"/>
    <w:rsid w:val="00592731"/>
    <w:rsid w:val="00593509"/>
    <w:rsid w:val="00594F5C"/>
    <w:rsid w:val="00595681"/>
    <w:rsid w:val="00596D0D"/>
    <w:rsid w:val="005973DD"/>
    <w:rsid w:val="005973F6"/>
    <w:rsid w:val="005A047D"/>
    <w:rsid w:val="005A0649"/>
    <w:rsid w:val="005A5B5D"/>
    <w:rsid w:val="005A61D6"/>
    <w:rsid w:val="005A698C"/>
    <w:rsid w:val="005A725A"/>
    <w:rsid w:val="005B1E34"/>
    <w:rsid w:val="005B386B"/>
    <w:rsid w:val="005B5FEA"/>
    <w:rsid w:val="005C00FD"/>
    <w:rsid w:val="005C3D19"/>
    <w:rsid w:val="005C464A"/>
    <w:rsid w:val="005C5065"/>
    <w:rsid w:val="005C5C20"/>
    <w:rsid w:val="005C5E14"/>
    <w:rsid w:val="005D01B4"/>
    <w:rsid w:val="005D4E8B"/>
    <w:rsid w:val="005D6964"/>
    <w:rsid w:val="005D7AC0"/>
    <w:rsid w:val="005E0799"/>
    <w:rsid w:val="005E1366"/>
    <w:rsid w:val="005E2614"/>
    <w:rsid w:val="005E40CF"/>
    <w:rsid w:val="005E4AA4"/>
    <w:rsid w:val="005E4B3F"/>
    <w:rsid w:val="005E4E00"/>
    <w:rsid w:val="005E5557"/>
    <w:rsid w:val="005E61F7"/>
    <w:rsid w:val="005E675C"/>
    <w:rsid w:val="005F29E0"/>
    <w:rsid w:val="005F2E17"/>
    <w:rsid w:val="005F4D75"/>
    <w:rsid w:val="005F5A80"/>
    <w:rsid w:val="005F5DEC"/>
    <w:rsid w:val="005F61D3"/>
    <w:rsid w:val="006011AD"/>
    <w:rsid w:val="0060379C"/>
    <w:rsid w:val="006044FF"/>
    <w:rsid w:val="00606810"/>
    <w:rsid w:val="00607CC5"/>
    <w:rsid w:val="006102AA"/>
    <w:rsid w:val="00610965"/>
    <w:rsid w:val="006120C8"/>
    <w:rsid w:val="00613E35"/>
    <w:rsid w:val="0061718F"/>
    <w:rsid w:val="00621207"/>
    <w:rsid w:val="00622054"/>
    <w:rsid w:val="00626402"/>
    <w:rsid w:val="0062733E"/>
    <w:rsid w:val="006277A8"/>
    <w:rsid w:val="00627CBE"/>
    <w:rsid w:val="006319E2"/>
    <w:rsid w:val="006322BA"/>
    <w:rsid w:val="00633014"/>
    <w:rsid w:val="0063437B"/>
    <w:rsid w:val="006373E5"/>
    <w:rsid w:val="0064104F"/>
    <w:rsid w:val="006417A1"/>
    <w:rsid w:val="00643412"/>
    <w:rsid w:val="0065081C"/>
    <w:rsid w:val="0065335A"/>
    <w:rsid w:val="00655025"/>
    <w:rsid w:val="00655F4D"/>
    <w:rsid w:val="00660957"/>
    <w:rsid w:val="00664C68"/>
    <w:rsid w:val="00664F4A"/>
    <w:rsid w:val="00665417"/>
    <w:rsid w:val="006672A5"/>
    <w:rsid w:val="006673CA"/>
    <w:rsid w:val="00667D6F"/>
    <w:rsid w:val="00672716"/>
    <w:rsid w:val="006738A9"/>
    <w:rsid w:val="00673C26"/>
    <w:rsid w:val="00673F58"/>
    <w:rsid w:val="00674ABE"/>
    <w:rsid w:val="0067553F"/>
    <w:rsid w:val="006812AF"/>
    <w:rsid w:val="00681587"/>
    <w:rsid w:val="006820D0"/>
    <w:rsid w:val="0068221F"/>
    <w:rsid w:val="0068327D"/>
    <w:rsid w:val="00683284"/>
    <w:rsid w:val="00683AC0"/>
    <w:rsid w:val="00687DCB"/>
    <w:rsid w:val="0069051E"/>
    <w:rsid w:val="00690F8C"/>
    <w:rsid w:val="00691447"/>
    <w:rsid w:val="00694AF0"/>
    <w:rsid w:val="00694DF4"/>
    <w:rsid w:val="006A0715"/>
    <w:rsid w:val="006A1938"/>
    <w:rsid w:val="006A1E17"/>
    <w:rsid w:val="006A1F23"/>
    <w:rsid w:val="006A2E57"/>
    <w:rsid w:val="006A3682"/>
    <w:rsid w:val="006A7F7F"/>
    <w:rsid w:val="006B03BF"/>
    <w:rsid w:val="006B0E9E"/>
    <w:rsid w:val="006B4A55"/>
    <w:rsid w:val="006B5AE4"/>
    <w:rsid w:val="006B6138"/>
    <w:rsid w:val="006B70B9"/>
    <w:rsid w:val="006B7C4D"/>
    <w:rsid w:val="006C0272"/>
    <w:rsid w:val="006C5B4F"/>
    <w:rsid w:val="006D3228"/>
    <w:rsid w:val="006D38A1"/>
    <w:rsid w:val="006D3B7E"/>
    <w:rsid w:val="006D3B94"/>
    <w:rsid w:val="006D4054"/>
    <w:rsid w:val="006D4B73"/>
    <w:rsid w:val="006D5022"/>
    <w:rsid w:val="006D5890"/>
    <w:rsid w:val="006D5AA2"/>
    <w:rsid w:val="006D71DD"/>
    <w:rsid w:val="006E02EC"/>
    <w:rsid w:val="006E062A"/>
    <w:rsid w:val="006E658B"/>
    <w:rsid w:val="006F4043"/>
    <w:rsid w:val="006F5152"/>
    <w:rsid w:val="006F5D51"/>
    <w:rsid w:val="006F5EF5"/>
    <w:rsid w:val="006F7713"/>
    <w:rsid w:val="007005FD"/>
    <w:rsid w:val="0070081B"/>
    <w:rsid w:val="00700E4D"/>
    <w:rsid w:val="007036B9"/>
    <w:rsid w:val="00703A1D"/>
    <w:rsid w:val="00706682"/>
    <w:rsid w:val="00711B06"/>
    <w:rsid w:val="007120E6"/>
    <w:rsid w:val="007129A4"/>
    <w:rsid w:val="0071324F"/>
    <w:rsid w:val="007156B0"/>
    <w:rsid w:val="0071624F"/>
    <w:rsid w:val="00716320"/>
    <w:rsid w:val="0071752E"/>
    <w:rsid w:val="00717B53"/>
    <w:rsid w:val="007211B1"/>
    <w:rsid w:val="00721CB2"/>
    <w:rsid w:val="0072272D"/>
    <w:rsid w:val="00724C5D"/>
    <w:rsid w:val="00726610"/>
    <w:rsid w:val="007317AC"/>
    <w:rsid w:val="00732601"/>
    <w:rsid w:val="00732B0E"/>
    <w:rsid w:val="0073336D"/>
    <w:rsid w:val="007343FE"/>
    <w:rsid w:val="00734AD2"/>
    <w:rsid w:val="00734CF1"/>
    <w:rsid w:val="007362C9"/>
    <w:rsid w:val="00740172"/>
    <w:rsid w:val="00743623"/>
    <w:rsid w:val="00743A47"/>
    <w:rsid w:val="00746187"/>
    <w:rsid w:val="00746816"/>
    <w:rsid w:val="007502EC"/>
    <w:rsid w:val="00752C5E"/>
    <w:rsid w:val="0075442E"/>
    <w:rsid w:val="007608BE"/>
    <w:rsid w:val="0076254F"/>
    <w:rsid w:val="00763A78"/>
    <w:rsid w:val="007663B2"/>
    <w:rsid w:val="00770725"/>
    <w:rsid w:val="007722DF"/>
    <w:rsid w:val="00774267"/>
    <w:rsid w:val="0077736D"/>
    <w:rsid w:val="00777DA1"/>
    <w:rsid w:val="007801F5"/>
    <w:rsid w:val="007804AF"/>
    <w:rsid w:val="00783600"/>
    <w:rsid w:val="007836EF"/>
    <w:rsid w:val="00783CA4"/>
    <w:rsid w:val="007842FB"/>
    <w:rsid w:val="0078523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DD2"/>
    <w:rsid w:val="007961A8"/>
    <w:rsid w:val="00797294"/>
    <w:rsid w:val="007A01F9"/>
    <w:rsid w:val="007A1014"/>
    <w:rsid w:val="007A2DC1"/>
    <w:rsid w:val="007A3A7A"/>
    <w:rsid w:val="007A57FF"/>
    <w:rsid w:val="007A613A"/>
    <w:rsid w:val="007B0E35"/>
    <w:rsid w:val="007B19CF"/>
    <w:rsid w:val="007B1FA9"/>
    <w:rsid w:val="007B3DB7"/>
    <w:rsid w:val="007B4786"/>
    <w:rsid w:val="007B4F73"/>
    <w:rsid w:val="007C173F"/>
    <w:rsid w:val="007C792E"/>
    <w:rsid w:val="007D1339"/>
    <w:rsid w:val="007D3319"/>
    <w:rsid w:val="007D335D"/>
    <w:rsid w:val="007D3DF3"/>
    <w:rsid w:val="007D51B3"/>
    <w:rsid w:val="007D585A"/>
    <w:rsid w:val="007E18E5"/>
    <w:rsid w:val="007E1E73"/>
    <w:rsid w:val="007E2E07"/>
    <w:rsid w:val="007E3314"/>
    <w:rsid w:val="007E4B03"/>
    <w:rsid w:val="007E5F5E"/>
    <w:rsid w:val="007E6683"/>
    <w:rsid w:val="007F04EF"/>
    <w:rsid w:val="007F324B"/>
    <w:rsid w:val="007F5386"/>
    <w:rsid w:val="007F54BA"/>
    <w:rsid w:val="007F69A5"/>
    <w:rsid w:val="007F6B07"/>
    <w:rsid w:val="007F7483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78BA"/>
    <w:rsid w:val="00811428"/>
    <w:rsid w:val="00814321"/>
    <w:rsid w:val="008167A7"/>
    <w:rsid w:val="00816EE2"/>
    <w:rsid w:val="00824894"/>
    <w:rsid w:val="008254DD"/>
    <w:rsid w:val="00825DC2"/>
    <w:rsid w:val="00826F60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402CD"/>
    <w:rsid w:val="00841814"/>
    <w:rsid w:val="00843795"/>
    <w:rsid w:val="008450AB"/>
    <w:rsid w:val="00846059"/>
    <w:rsid w:val="0084691F"/>
    <w:rsid w:val="00847A2B"/>
    <w:rsid w:val="00847F0F"/>
    <w:rsid w:val="0085095B"/>
    <w:rsid w:val="008510DF"/>
    <w:rsid w:val="00852448"/>
    <w:rsid w:val="00852DC6"/>
    <w:rsid w:val="00853635"/>
    <w:rsid w:val="008538E3"/>
    <w:rsid w:val="00853904"/>
    <w:rsid w:val="008573DA"/>
    <w:rsid w:val="00870E2D"/>
    <w:rsid w:val="00871300"/>
    <w:rsid w:val="0087289A"/>
    <w:rsid w:val="00872DA5"/>
    <w:rsid w:val="00873A94"/>
    <w:rsid w:val="00874132"/>
    <w:rsid w:val="00874F6B"/>
    <w:rsid w:val="00876A0A"/>
    <w:rsid w:val="00877F81"/>
    <w:rsid w:val="00881C86"/>
    <w:rsid w:val="0088258A"/>
    <w:rsid w:val="00882FBF"/>
    <w:rsid w:val="008833DF"/>
    <w:rsid w:val="00885323"/>
    <w:rsid w:val="00886332"/>
    <w:rsid w:val="008866CC"/>
    <w:rsid w:val="00892855"/>
    <w:rsid w:val="0089413F"/>
    <w:rsid w:val="00895FA6"/>
    <w:rsid w:val="00897D51"/>
    <w:rsid w:val="008A26D9"/>
    <w:rsid w:val="008A29D6"/>
    <w:rsid w:val="008A3599"/>
    <w:rsid w:val="008A396E"/>
    <w:rsid w:val="008B050C"/>
    <w:rsid w:val="008B1B4A"/>
    <w:rsid w:val="008B2F34"/>
    <w:rsid w:val="008B32B1"/>
    <w:rsid w:val="008B3CA0"/>
    <w:rsid w:val="008B6D3E"/>
    <w:rsid w:val="008B71CD"/>
    <w:rsid w:val="008B71D3"/>
    <w:rsid w:val="008B7C02"/>
    <w:rsid w:val="008C0C29"/>
    <w:rsid w:val="008C4548"/>
    <w:rsid w:val="008D053E"/>
    <w:rsid w:val="008D09F3"/>
    <w:rsid w:val="008D2074"/>
    <w:rsid w:val="008D3585"/>
    <w:rsid w:val="008D3C36"/>
    <w:rsid w:val="008D5E69"/>
    <w:rsid w:val="008D6BDA"/>
    <w:rsid w:val="008E045C"/>
    <w:rsid w:val="008E1E00"/>
    <w:rsid w:val="008E3DA1"/>
    <w:rsid w:val="008E6225"/>
    <w:rsid w:val="008F06DF"/>
    <w:rsid w:val="008F11F6"/>
    <w:rsid w:val="008F13E3"/>
    <w:rsid w:val="008F1915"/>
    <w:rsid w:val="008F1F5F"/>
    <w:rsid w:val="008F2F98"/>
    <w:rsid w:val="008F3638"/>
    <w:rsid w:val="008F6A8E"/>
    <w:rsid w:val="008F6F31"/>
    <w:rsid w:val="008F74DF"/>
    <w:rsid w:val="008F7533"/>
    <w:rsid w:val="00902BF6"/>
    <w:rsid w:val="009065FA"/>
    <w:rsid w:val="00907CCC"/>
    <w:rsid w:val="009127BA"/>
    <w:rsid w:val="00913F92"/>
    <w:rsid w:val="00914EB6"/>
    <w:rsid w:val="00915193"/>
    <w:rsid w:val="009161BB"/>
    <w:rsid w:val="00916C22"/>
    <w:rsid w:val="00916ECA"/>
    <w:rsid w:val="009170F3"/>
    <w:rsid w:val="00917964"/>
    <w:rsid w:val="00921240"/>
    <w:rsid w:val="009216C3"/>
    <w:rsid w:val="009222DE"/>
    <w:rsid w:val="009224B6"/>
    <w:rsid w:val="00922794"/>
    <w:rsid w:val="009227A6"/>
    <w:rsid w:val="00923B2B"/>
    <w:rsid w:val="009249D6"/>
    <w:rsid w:val="009301B3"/>
    <w:rsid w:val="00930E76"/>
    <w:rsid w:val="00931AE5"/>
    <w:rsid w:val="0093209A"/>
    <w:rsid w:val="00933EC1"/>
    <w:rsid w:val="0093694C"/>
    <w:rsid w:val="009375B9"/>
    <w:rsid w:val="00941D29"/>
    <w:rsid w:val="009444F7"/>
    <w:rsid w:val="00946CB6"/>
    <w:rsid w:val="00947954"/>
    <w:rsid w:val="0095121C"/>
    <w:rsid w:val="009527CC"/>
    <w:rsid w:val="009530DB"/>
    <w:rsid w:val="00953676"/>
    <w:rsid w:val="00953FC1"/>
    <w:rsid w:val="009556A8"/>
    <w:rsid w:val="00956094"/>
    <w:rsid w:val="00957412"/>
    <w:rsid w:val="00960A9C"/>
    <w:rsid w:val="00960BE4"/>
    <w:rsid w:val="00963563"/>
    <w:rsid w:val="009635A8"/>
    <w:rsid w:val="009666E8"/>
    <w:rsid w:val="00967481"/>
    <w:rsid w:val="009705EE"/>
    <w:rsid w:val="00971982"/>
    <w:rsid w:val="0097328B"/>
    <w:rsid w:val="00974591"/>
    <w:rsid w:val="00976DE6"/>
    <w:rsid w:val="00977927"/>
    <w:rsid w:val="0098051A"/>
    <w:rsid w:val="0098135C"/>
    <w:rsid w:val="0098156A"/>
    <w:rsid w:val="00984209"/>
    <w:rsid w:val="00984481"/>
    <w:rsid w:val="009856B1"/>
    <w:rsid w:val="009869C9"/>
    <w:rsid w:val="009875E9"/>
    <w:rsid w:val="00987F5D"/>
    <w:rsid w:val="00991BAC"/>
    <w:rsid w:val="009944B9"/>
    <w:rsid w:val="009A1424"/>
    <w:rsid w:val="009A1D39"/>
    <w:rsid w:val="009A3551"/>
    <w:rsid w:val="009A3BF0"/>
    <w:rsid w:val="009A480B"/>
    <w:rsid w:val="009A5631"/>
    <w:rsid w:val="009A6EA0"/>
    <w:rsid w:val="009B004C"/>
    <w:rsid w:val="009B32CA"/>
    <w:rsid w:val="009B39CE"/>
    <w:rsid w:val="009B39FC"/>
    <w:rsid w:val="009B3F7D"/>
    <w:rsid w:val="009B48DD"/>
    <w:rsid w:val="009B7919"/>
    <w:rsid w:val="009B7A06"/>
    <w:rsid w:val="009C0CCF"/>
    <w:rsid w:val="009C1335"/>
    <w:rsid w:val="009C1AB2"/>
    <w:rsid w:val="009C32E5"/>
    <w:rsid w:val="009C3541"/>
    <w:rsid w:val="009C7251"/>
    <w:rsid w:val="009D3940"/>
    <w:rsid w:val="009D4D66"/>
    <w:rsid w:val="009E09B2"/>
    <w:rsid w:val="009E0D29"/>
    <w:rsid w:val="009E119A"/>
    <w:rsid w:val="009E2157"/>
    <w:rsid w:val="009E2E91"/>
    <w:rsid w:val="009E4EFA"/>
    <w:rsid w:val="009E6745"/>
    <w:rsid w:val="009E7534"/>
    <w:rsid w:val="009F28A1"/>
    <w:rsid w:val="009F32CE"/>
    <w:rsid w:val="009F4495"/>
    <w:rsid w:val="009F5601"/>
    <w:rsid w:val="00A0061A"/>
    <w:rsid w:val="00A029D9"/>
    <w:rsid w:val="00A04304"/>
    <w:rsid w:val="00A0464D"/>
    <w:rsid w:val="00A06C38"/>
    <w:rsid w:val="00A07F6D"/>
    <w:rsid w:val="00A10589"/>
    <w:rsid w:val="00A109B4"/>
    <w:rsid w:val="00A11943"/>
    <w:rsid w:val="00A12C03"/>
    <w:rsid w:val="00A1372A"/>
    <w:rsid w:val="00A139F5"/>
    <w:rsid w:val="00A14540"/>
    <w:rsid w:val="00A1685D"/>
    <w:rsid w:val="00A1742D"/>
    <w:rsid w:val="00A17589"/>
    <w:rsid w:val="00A20E9E"/>
    <w:rsid w:val="00A20F36"/>
    <w:rsid w:val="00A225A9"/>
    <w:rsid w:val="00A242D7"/>
    <w:rsid w:val="00A24879"/>
    <w:rsid w:val="00A24AAB"/>
    <w:rsid w:val="00A25AB4"/>
    <w:rsid w:val="00A27102"/>
    <w:rsid w:val="00A3002B"/>
    <w:rsid w:val="00A33A46"/>
    <w:rsid w:val="00A35767"/>
    <w:rsid w:val="00A365F4"/>
    <w:rsid w:val="00A4333F"/>
    <w:rsid w:val="00A444E9"/>
    <w:rsid w:val="00A4469F"/>
    <w:rsid w:val="00A46049"/>
    <w:rsid w:val="00A47D80"/>
    <w:rsid w:val="00A506F1"/>
    <w:rsid w:val="00A519B5"/>
    <w:rsid w:val="00A53132"/>
    <w:rsid w:val="00A5450E"/>
    <w:rsid w:val="00A563F2"/>
    <w:rsid w:val="00A566E8"/>
    <w:rsid w:val="00A602DB"/>
    <w:rsid w:val="00A60F95"/>
    <w:rsid w:val="00A61254"/>
    <w:rsid w:val="00A65CC6"/>
    <w:rsid w:val="00A67000"/>
    <w:rsid w:val="00A74B6C"/>
    <w:rsid w:val="00A75B17"/>
    <w:rsid w:val="00A76762"/>
    <w:rsid w:val="00A810F9"/>
    <w:rsid w:val="00A8598E"/>
    <w:rsid w:val="00A86173"/>
    <w:rsid w:val="00A8668F"/>
    <w:rsid w:val="00A86D83"/>
    <w:rsid w:val="00A86ECC"/>
    <w:rsid w:val="00A86FCC"/>
    <w:rsid w:val="00A87939"/>
    <w:rsid w:val="00A9154E"/>
    <w:rsid w:val="00A92A6F"/>
    <w:rsid w:val="00A92C80"/>
    <w:rsid w:val="00A93CE5"/>
    <w:rsid w:val="00A97DCC"/>
    <w:rsid w:val="00AA3569"/>
    <w:rsid w:val="00AA3EB6"/>
    <w:rsid w:val="00AA4ACE"/>
    <w:rsid w:val="00AA710D"/>
    <w:rsid w:val="00AB097F"/>
    <w:rsid w:val="00AB6D25"/>
    <w:rsid w:val="00AC0CDD"/>
    <w:rsid w:val="00AC176D"/>
    <w:rsid w:val="00AC1D45"/>
    <w:rsid w:val="00AC4295"/>
    <w:rsid w:val="00AC7C0C"/>
    <w:rsid w:val="00AD000B"/>
    <w:rsid w:val="00AD05CA"/>
    <w:rsid w:val="00AD17D4"/>
    <w:rsid w:val="00AD4C32"/>
    <w:rsid w:val="00AD7ECC"/>
    <w:rsid w:val="00AE2D4B"/>
    <w:rsid w:val="00AE3FB3"/>
    <w:rsid w:val="00AE4F99"/>
    <w:rsid w:val="00AE51C7"/>
    <w:rsid w:val="00AE5450"/>
    <w:rsid w:val="00AE6E8E"/>
    <w:rsid w:val="00AE74BE"/>
    <w:rsid w:val="00AF1061"/>
    <w:rsid w:val="00AF19C9"/>
    <w:rsid w:val="00AF1B3A"/>
    <w:rsid w:val="00AF303E"/>
    <w:rsid w:val="00AF4924"/>
    <w:rsid w:val="00AF5E9C"/>
    <w:rsid w:val="00AF7A4E"/>
    <w:rsid w:val="00B005DF"/>
    <w:rsid w:val="00B05B2E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7525"/>
    <w:rsid w:val="00B25A73"/>
    <w:rsid w:val="00B26160"/>
    <w:rsid w:val="00B267B0"/>
    <w:rsid w:val="00B30291"/>
    <w:rsid w:val="00B31E5A"/>
    <w:rsid w:val="00B32DF7"/>
    <w:rsid w:val="00B33BA1"/>
    <w:rsid w:val="00B35061"/>
    <w:rsid w:val="00B3599D"/>
    <w:rsid w:val="00B35E7B"/>
    <w:rsid w:val="00B36F27"/>
    <w:rsid w:val="00B37BB7"/>
    <w:rsid w:val="00B37EB2"/>
    <w:rsid w:val="00B407D3"/>
    <w:rsid w:val="00B41DBE"/>
    <w:rsid w:val="00B41DFD"/>
    <w:rsid w:val="00B42455"/>
    <w:rsid w:val="00B45219"/>
    <w:rsid w:val="00B4641A"/>
    <w:rsid w:val="00B47CB4"/>
    <w:rsid w:val="00B52B28"/>
    <w:rsid w:val="00B538AC"/>
    <w:rsid w:val="00B5405F"/>
    <w:rsid w:val="00B54B42"/>
    <w:rsid w:val="00B54D52"/>
    <w:rsid w:val="00B5616E"/>
    <w:rsid w:val="00B57B4F"/>
    <w:rsid w:val="00B6142B"/>
    <w:rsid w:val="00B64AF3"/>
    <w:rsid w:val="00B653AB"/>
    <w:rsid w:val="00B65F9E"/>
    <w:rsid w:val="00B66B19"/>
    <w:rsid w:val="00B66FFF"/>
    <w:rsid w:val="00B677B3"/>
    <w:rsid w:val="00B75532"/>
    <w:rsid w:val="00B76621"/>
    <w:rsid w:val="00B8129D"/>
    <w:rsid w:val="00B81852"/>
    <w:rsid w:val="00B81880"/>
    <w:rsid w:val="00B81E92"/>
    <w:rsid w:val="00B82EB4"/>
    <w:rsid w:val="00B85693"/>
    <w:rsid w:val="00B87A5A"/>
    <w:rsid w:val="00B914E9"/>
    <w:rsid w:val="00B92FD4"/>
    <w:rsid w:val="00B9356F"/>
    <w:rsid w:val="00B935E9"/>
    <w:rsid w:val="00B956EE"/>
    <w:rsid w:val="00B95A49"/>
    <w:rsid w:val="00B968F9"/>
    <w:rsid w:val="00B96AD0"/>
    <w:rsid w:val="00BA0FBD"/>
    <w:rsid w:val="00BA2BA1"/>
    <w:rsid w:val="00BA31CD"/>
    <w:rsid w:val="00BA32A4"/>
    <w:rsid w:val="00BA6D5B"/>
    <w:rsid w:val="00BB29D4"/>
    <w:rsid w:val="00BB2DCF"/>
    <w:rsid w:val="00BB4436"/>
    <w:rsid w:val="00BB4F09"/>
    <w:rsid w:val="00BB50B6"/>
    <w:rsid w:val="00BB59B0"/>
    <w:rsid w:val="00BB6CDD"/>
    <w:rsid w:val="00BB77D5"/>
    <w:rsid w:val="00BC1105"/>
    <w:rsid w:val="00BC1DCC"/>
    <w:rsid w:val="00BC2340"/>
    <w:rsid w:val="00BD2577"/>
    <w:rsid w:val="00BD2AFE"/>
    <w:rsid w:val="00BD2B43"/>
    <w:rsid w:val="00BD31C8"/>
    <w:rsid w:val="00BD4E33"/>
    <w:rsid w:val="00BD53EE"/>
    <w:rsid w:val="00BD676A"/>
    <w:rsid w:val="00BD6DC0"/>
    <w:rsid w:val="00BD6EC5"/>
    <w:rsid w:val="00BD7792"/>
    <w:rsid w:val="00BE1BF3"/>
    <w:rsid w:val="00BE1D3B"/>
    <w:rsid w:val="00BE58EB"/>
    <w:rsid w:val="00BE6548"/>
    <w:rsid w:val="00BE6AB1"/>
    <w:rsid w:val="00BE7401"/>
    <w:rsid w:val="00BE7B58"/>
    <w:rsid w:val="00BF005C"/>
    <w:rsid w:val="00BF04DA"/>
    <w:rsid w:val="00BF06D8"/>
    <w:rsid w:val="00BF5A59"/>
    <w:rsid w:val="00BF5A69"/>
    <w:rsid w:val="00C030DE"/>
    <w:rsid w:val="00C12D05"/>
    <w:rsid w:val="00C1445B"/>
    <w:rsid w:val="00C14485"/>
    <w:rsid w:val="00C15DF8"/>
    <w:rsid w:val="00C168D4"/>
    <w:rsid w:val="00C207FF"/>
    <w:rsid w:val="00C21628"/>
    <w:rsid w:val="00C22105"/>
    <w:rsid w:val="00C230EE"/>
    <w:rsid w:val="00C244B6"/>
    <w:rsid w:val="00C27E88"/>
    <w:rsid w:val="00C30AC7"/>
    <w:rsid w:val="00C3411F"/>
    <w:rsid w:val="00C341E7"/>
    <w:rsid w:val="00C34DFE"/>
    <w:rsid w:val="00C367B9"/>
    <w:rsid w:val="00C3702F"/>
    <w:rsid w:val="00C4118F"/>
    <w:rsid w:val="00C45C6B"/>
    <w:rsid w:val="00C46C64"/>
    <w:rsid w:val="00C477D5"/>
    <w:rsid w:val="00C47820"/>
    <w:rsid w:val="00C47E73"/>
    <w:rsid w:val="00C47F03"/>
    <w:rsid w:val="00C50C8C"/>
    <w:rsid w:val="00C546E9"/>
    <w:rsid w:val="00C55EA2"/>
    <w:rsid w:val="00C579F3"/>
    <w:rsid w:val="00C605D3"/>
    <w:rsid w:val="00C61739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346B"/>
    <w:rsid w:val="00C769EB"/>
    <w:rsid w:val="00C76B2F"/>
    <w:rsid w:val="00C77A62"/>
    <w:rsid w:val="00C77C0E"/>
    <w:rsid w:val="00C77D61"/>
    <w:rsid w:val="00C81BB7"/>
    <w:rsid w:val="00C81E05"/>
    <w:rsid w:val="00C86F50"/>
    <w:rsid w:val="00C91258"/>
    <w:rsid w:val="00C91687"/>
    <w:rsid w:val="00C91EDB"/>
    <w:rsid w:val="00C924A8"/>
    <w:rsid w:val="00C945FE"/>
    <w:rsid w:val="00C94D80"/>
    <w:rsid w:val="00C96E79"/>
    <w:rsid w:val="00C96FAA"/>
    <w:rsid w:val="00C97135"/>
    <w:rsid w:val="00C97596"/>
    <w:rsid w:val="00C97A04"/>
    <w:rsid w:val="00CA107B"/>
    <w:rsid w:val="00CA2DC0"/>
    <w:rsid w:val="00CA484D"/>
    <w:rsid w:val="00CA56E2"/>
    <w:rsid w:val="00CA5A72"/>
    <w:rsid w:val="00CB137D"/>
    <w:rsid w:val="00CB1714"/>
    <w:rsid w:val="00CB17F1"/>
    <w:rsid w:val="00CB2E97"/>
    <w:rsid w:val="00CB6DD9"/>
    <w:rsid w:val="00CB77FC"/>
    <w:rsid w:val="00CC0A96"/>
    <w:rsid w:val="00CC1C7C"/>
    <w:rsid w:val="00CC20F2"/>
    <w:rsid w:val="00CC3119"/>
    <w:rsid w:val="00CC3D49"/>
    <w:rsid w:val="00CC5399"/>
    <w:rsid w:val="00CC739E"/>
    <w:rsid w:val="00CD07B6"/>
    <w:rsid w:val="00CD19A6"/>
    <w:rsid w:val="00CD58B7"/>
    <w:rsid w:val="00CE04C2"/>
    <w:rsid w:val="00CE3A47"/>
    <w:rsid w:val="00CE7D7D"/>
    <w:rsid w:val="00CF0172"/>
    <w:rsid w:val="00CF0937"/>
    <w:rsid w:val="00CF35F4"/>
    <w:rsid w:val="00CF4099"/>
    <w:rsid w:val="00CF58C8"/>
    <w:rsid w:val="00CF6575"/>
    <w:rsid w:val="00CF66F0"/>
    <w:rsid w:val="00D00796"/>
    <w:rsid w:val="00D03E05"/>
    <w:rsid w:val="00D0437C"/>
    <w:rsid w:val="00D0689A"/>
    <w:rsid w:val="00D110E3"/>
    <w:rsid w:val="00D1198D"/>
    <w:rsid w:val="00D12174"/>
    <w:rsid w:val="00D13E4D"/>
    <w:rsid w:val="00D14246"/>
    <w:rsid w:val="00D16AE5"/>
    <w:rsid w:val="00D23432"/>
    <w:rsid w:val="00D23C58"/>
    <w:rsid w:val="00D242D7"/>
    <w:rsid w:val="00D247EC"/>
    <w:rsid w:val="00D254E8"/>
    <w:rsid w:val="00D2614A"/>
    <w:rsid w:val="00D261A2"/>
    <w:rsid w:val="00D3100F"/>
    <w:rsid w:val="00D319AA"/>
    <w:rsid w:val="00D31EF5"/>
    <w:rsid w:val="00D326B3"/>
    <w:rsid w:val="00D33CF7"/>
    <w:rsid w:val="00D34DB9"/>
    <w:rsid w:val="00D3785A"/>
    <w:rsid w:val="00D37F7E"/>
    <w:rsid w:val="00D40EE5"/>
    <w:rsid w:val="00D41349"/>
    <w:rsid w:val="00D41E92"/>
    <w:rsid w:val="00D41F22"/>
    <w:rsid w:val="00D43C5B"/>
    <w:rsid w:val="00D44740"/>
    <w:rsid w:val="00D45A80"/>
    <w:rsid w:val="00D52431"/>
    <w:rsid w:val="00D54994"/>
    <w:rsid w:val="00D569E3"/>
    <w:rsid w:val="00D57544"/>
    <w:rsid w:val="00D57B57"/>
    <w:rsid w:val="00D6027A"/>
    <w:rsid w:val="00D604E6"/>
    <w:rsid w:val="00D611CB"/>
    <w:rsid w:val="00D616D2"/>
    <w:rsid w:val="00D63B5F"/>
    <w:rsid w:val="00D66632"/>
    <w:rsid w:val="00D70EF7"/>
    <w:rsid w:val="00D7204D"/>
    <w:rsid w:val="00D72420"/>
    <w:rsid w:val="00D732E9"/>
    <w:rsid w:val="00D75AC8"/>
    <w:rsid w:val="00D82434"/>
    <w:rsid w:val="00D82D42"/>
    <w:rsid w:val="00D8397C"/>
    <w:rsid w:val="00D84227"/>
    <w:rsid w:val="00D84674"/>
    <w:rsid w:val="00D909DE"/>
    <w:rsid w:val="00D9348C"/>
    <w:rsid w:val="00D93B52"/>
    <w:rsid w:val="00D94303"/>
    <w:rsid w:val="00D94370"/>
    <w:rsid w:val="00D944D5"/>
    <w:rsid w:val="00D94EED"/>
    <w:rsid w:val="00D96026"/>
    <w:rsid w:val="00DA2545"/>
    <w:rsid w:val="00DA6EA0"/>
    <w:rsid w:val="00DA7B02"/>
    <w:rsid w:val="00DA7C1C"/>
    <w:rsid w:val="00DB147A"/>
    <w:rsid w:val="00DB1B7A"/>
    <w:rsid w:val="00DB34F6"/>
    <w:rsid w:val="00DB397E"/>
    <w:rsid w:val="00DB536E"/>
    <w:rsid w:val="00DB562E"/>
    <w:rsid w:val="00DB794F"/>
    <w:rsid w:val="00DC04FC"/>
    <w:rsid w:val="00DC1417"/>
    <w:rsid w:val="00DC4F14"/>
    <w:rsid w:val="00DC55FE"/>
    <w:rsid w:val="00DC622B"/>
    <w:rsid w:val="00DC660E"/>
    <w:rsid w:val="00DC6708"/>
    <w:rsid w:val="00DD11D3"/>
    <w:rsid w:val="00DD4DFB"/>
    <w:rsid w:val="00DD581E"/>
    <w:rsid w:val="00DD6499"/>
    <w:rsid w:val="00DD7927"/>
    <w:rsid w:val="00DE1FF8"/>
    <w:rsid w:val="00DE3D0B"/>
    <w:rsid w:val="00DE526D"/>
    <w:rsid w:val="00DE7495"/>
    <w:rsid w:val="00DF0DB3"/>
    <w:rsid w:val="00DF18C1"/>
    <w:rsid w:val="00DF1F1F"/>
    <w:rsid w:val="00DF217B"/>
    <w:rsid w:val="00DF2C5B"/>
    <w:rsid w:val="00DF347E"/>
    <w:rsid w:val="00DF5EAB"/>
    <w:rsid w:val="00E01432"/>
    <w:rsid w:val="00E01436"/>
    <w:rsid w:val="00E019E8"/>
    <w:rsid w:val="00E0283E"/>
    <w:rsid w:val="00E045BD"/>
    <w:rsid w:val="00E04DA7"/>
    <w:rsid w:val="00E0590E"/>
    <w:rsid w:val="00E05D9B"/>
    <w:rsid w:val="00E14D38"/>
    <w:rsid w:val="00E15B87"/>
    <w:rsid w:val="00E15D68"/>
    <w:rsid w:val="00E17B77"/>
    <w:rsid w:val="00E20016"/>
    <w:rsid w:val="00E20A2F"/>
    <w:rsid w:val="00E2320E"/>
    <w:rsid w:val="00E23337"/>
    <w:rsid w:val="00E259EA"/>
    <w:rsid w:val="00E260BD"/>
    <w:rsid w:val="00E27C44"/>
    <w:rsid w:val="00E27E57"/>
    <w:rsid w:val="00E30E0C"/>
    <w:rsid w:val="00E32061"/>
    <w:rsid w:val="00E34341"/>
    <w:rsid w:val="00E35326"/>
    <w:rsid w:val="00E358B8"/>
    <w:rsid w:val="00E365E7"/>
    <w:rsid w:val="00E36CA6"/>
    <w:rsid w:val="00E41755"/>
    <w:rsid w:val="00E42FF9"/>
    <w:rsid w:val="00E43DDD"/>
    <w:rsid w:val="00E440D3"/>
    <w:rsid w:val="00E44115"/>
    <w:rsid w:val="00E4455C"/>
    <w:rsid w:val="00E46149"/>
    <w:rsid w:val="00E46A0F"/>
    <w:rsid w:val="00E4714C"/>
    <w:rsid w:val="00E47D3C"/>
    <w:rsid w:val="00E50E6D"/>
    <w:rsid w:val="00E51A21"/>
    <w:rsid w:val="00E51AEB"/>
    <w:rsid w:val="00E51E6D"/>
    <w:rsid w:val="00E522A7"/>
    <w:rsid w:val="00E52BE5"/>
    <w:rsid w:val="00E54452"/>
    <w:rsid w:val="00E564CB"/>
    <w:rsid w:val="00E566AA"/>
    <w:rsid w:val="00E608B4"/>
    <w:rsid w:val="00E61B1D"/>
    <w:rsid w:val="00E641D0"/>
    <w:rsid w:val="00E64644"/>
    <w:rsid w:val="00E65AD8"/>
    <w:rsid w:val="00E664C5"/>
    <w:rsid w:val="00E671A2"/>
    <w:rsid w:val="00E67A9D"/>
    <w:rsid w:val="00E71A71"/>
    <w:rsid w:val="00E72AEF"/>
    <w:rsid w:val="00E74EFD"/>
    <w:rsid w:val="00E76D26"/>
    <w:rsid w:val="00E77CA0"/>
    <w:rsid w:val="00E82417"/>
    <w:rsid w:val="00E8241F"/>
    <w:rsid w:val="00E827C6"/>
    <w:rsid w:val="00E839A3"/>
    <w:rsid w:val="00E83E5B"/>
    <w:rsid w:val="00E911D8"/>
    <w:rsid w:val="00E91F20"/>
    <w:rsid w:val="00E927BF"/>
    <w:rsid w:val="00E92C50"/>
    <w:rsid w:val="00E933C8"/>
    <w:rsid w:val="00E94640"/>
    <w:rsid w:val="00E9796C"/>
    <w:rsid w:val="00EA08FC"/>
    <w:rsid w:val="00EA29C5"/>
    <w:rsid w:val="00EA66F1"/>
    <w:rsid w:val="00EA7720"/>
    <w:rsid w:val="00EB1390"/>
    <w:rsid w:val="00EB2C71"/>
    <w:rsid w:val="00EB4340"/>
    <w:rsid w:val="00EB556D"/>
    <w:rsid w:val="00EB597B"/>
    <w:rsid w:val="00EB5A7D"/>
    <w:rsid w:val="00EB62AD"/>
    <w:rsid w:val="00EC41E1"/>
    <w:rsid w:val="00EC4857"/>
    <w:rsid w:val="00EC6929"/>
    <w:rsid w:val="00ED0DA5"/>
    <w:rsid w:val="00ED162C"/>
    <w:rsid w:val="00ED190D"/>
    <w:rsid w:val="00ED382A"/>
    <w:rsid w:val="00ED3946"/>
    <w:rsid w:val="00ED55C0"/>
    <w:rsid w:val="00ED682B"/>
    <w:rsid w:val="00ED6887"/>
    <w:rsid w:val="00ED7F24"/>
    <w:rsid w:val="00EE104A"/>
    <w:rsid w:val="00EE41D5"/>
    <w:rsid w:val="00EE747D"/>
    <w:rsid w:val="00EE77C6"/>
    <w:rsid w:val="00EE7B74"/>
    <w:rsid w:val="00EF0084"/>
    <w:rsid w:val="00EF0EFB"/>
    <w:rsid w:val="00EF2747"/>
    <w:rsid w:val="00EF2EF3"/>
    <w:rsid w:val="00EF37B7"/>
    <w:rsid w:val="00EF46CC"/>
    <w:rsid w:val="00EF52F7"/>
    <w:rsid w:val="00EF7BDA"/>
    <w:rsid w:val="00F02404"/>
    <w:rsid w:val="00F02688"/>
    <w:rsid w:val="00F02AC8"/>
    <w:rsid w:val="00F037A4"/>
    <w:rsid w:val="00F10DEB"/>
    <w:rsid w:val="00F11A4E"/>
    <w:rsid w:val="00F135F5"/>
    <w:rsid w:val="00F141C5"/>
    <w:rsid w:val="00F16725"/>
    <w:rsid w:val="00F2097F"/>
    <w:rsid w:val="00F21E25"/>
    <w:rsid w:val="00F25E93"/>
    <w:rsid w:val="00F279C1"/>
    <w:rsid w:val="00F27C8F"/>
    <w:rsid w:val="00F30026"/>
    <w:rsid w:val="00F31E41"/>
    <w:rsid w:val="00F32749"/>
    <w:rsid w:val="00F35B03"/>
    <w:rsid w:val="00F35F67"/>
    <w:rsid w:val="00F3689B"/>
    <w:rsid w:val="00F36FBC"/>
    <w:rsid w:val="00F37172"/>
    <w:rsid w:val="00F428FB"/>
    <w:rsid w:val="00F42B79"/>
    <w:rsid w:val="00F43718"/>
    <w:rsid w:val="00F4477E"/>
    <w:rsid w:val="00F5176B"/>
    <w:rsid w:val="00F56387"/>
    <w:rsid w:val="00F564AF"/>
    <w:rsid w:val="00F56E08"/>
    <w:rsid w:val="00F6158E"/>
    <w:rsid w:val="00F63CF6"/>
    <w:rsid w:val="00F64547"/>
    <w:rsid w:val="00F64AC1"/>
    <w:rsid w:val="00F65B96"/>
    <w:rsid w:val="00F6649C"/>
    <w:rsid w:val="00F67AC9"/>
    <w:rsid w:val="00F67D8F"/>
    <w:rsid w:val="00F72D50"/>
    <w:rsid w:val="00F742E9"/>
    <w:rsid w:val="00F7520F"/>
    <w:rsid w:val="00F75289"/>
    <w:rsid w:val="00F75EFD"/>
    <w:rsid w:val="00F76881"/>
    <w:rsid w:val="00F76935"/>
    <w:rsid w:val="00F775A7"/>
    <w:rsid w:val="00F802BE"/>
    <w:rsid w:val="00F84706"/>
    <w:rsid w:val="00F86024"/>
    <w:rsid w:val="00F8611A"/>
    <w:rsid w:val="00F8742E"/>
    <w:rsid w:val="00F93B0D"/>
    <w:rsid w:val="00F94C36"/>
    <w:rsid w:val="00F95916"/>
    <w:rsid w:val="00F9784B"/>
    <w:rsid w:val="00FA1F0C"/>
    <w:rsid w:val="00FA1FBA"/>
    <w:rsid w:val="00FA5128"/>
    <w:rsid w:val="00FA544B"/>
    <w:rsid w:val="00FA6130"/>
    <w:rsid w:val="00FB42D4"/>
    <w:rsid w:val="00FB5472"/>
    <w:rsid w:val="00FB57EA"/>
    <w:rsid w:val="00FB5906"/>
    <w:rsid w:val="00FB5CE7"/>
    <w:rsid w:val="00FB73D5"/>
    <w:rsid w:val="00FB762F"/>
    <w:rsid w:val="00FB7D0A"/>
    <w:rsid w:val="00FC0A3C"/>
    <w:rsid w:val="00FC19E8"/>
    <w:rsid w:val="00FC2AED"/>
    <w:rsid w:val="00FC3A72"/>
    <w:rsid w:val="00FC3D6D"/>
    <w:rsid w:val="00FC72BB"/>
    <w:rsid w:val="00FD021B"/>
    <w:rsid w:val="00FD440A"/>
    <w:rsid w:val="00FD4A9C"/>
    <w:rsid w:val="00FD5EA7"/>
    <w:rsid w:val="00FE0E7F"/>
    <w:rsid w:val="00FE17E2"/>
    <w:rsid w:val="00FE51A2"/>
    <w:rsid w:val="00FE638A"/>
    <w:rsid w:val="00FE6CB4"/>
    <w:rsid w:val="00FF0242"/>
    <w:rsid w:val="00FF1064"/>
    <w:rsid w:val="00FF147C"/>
    <w:rsid w:val="00FF407B"/>
    <w:rsid w:val="00FF45E1"/>
    <w:rsid w:val="00FF4B2F"/>
    <w:rsid w:val="00FF4D12"/>
    <w:rsid w:val="00FF4E3F"/>
    <w:rsid w:val="00FF6474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5F08DB01-66BD-4E2A-B46A-6C7560A1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99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9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9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6.png"/><Relationship Id="rId39" Type="http://schemas.openxmlformats.org/officeDocument/2006/relationships/hyperlink" Target="http://swaid.stat.gov.pl/SitePagesDBW/Budownictwo.aspx" TargetMode="External"/><Relationship Id="rId21" Type="http://schemas.openxmlformats.org/officeDocument/2006/relationships/header" Target="header3.xml"/><Relationship Id="rId34" Type="http://schemas.openxmlformats.org/officeDocument/2006/relationships/hyperlink" Target="http://stat.gov.pl/metainformacje/slownik-pojec/pojecia-stosowane-w-statystyce-publicznej/1021,pojecie.html" TargetMode="External"/><Relationship Id="rId42" Type="http://schemas.openxmlformats.org/officeDocument/2006/relationships/hyperlink" Target="https://stat.gov.pl/metainformacje/slownik-pojec/pojecia-stosowane-w-statystyce-publicznej/1018,pojecie.html" TargetMode="External"/><Relationship Id="rId47" Type="http://schemas.openxmlformats.org/officeDocument/2006/relationships/hyperlink" Target="http://stat.gov.pl/metainformacje/slownik-pojec/pojecia-stosowane-w-statystyce-publicznej/329,pojecie.htm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hyperlink" Target="http://swaid.stat.gov.pl/SitePagesDBW/Budownictwo.aspx" TargetMode="External"/><Relationship Id="rId11" Type="http://schemas.openxmlformats.org/officeDocument/2006/relationships/image" Target="media/image6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at.gov.pl/metainformacje/slownik-pojec/pojecia-stosowane-w-statystyce-publicznej/1018,pojecie.html" TargetMode="External"/><Relationship Id="rId37" Type="http://schemas.openxmlformats.org/officeDocument/2006/relationships/hyperlink" Target="http://stat.gov.pl/metainformacje/slownik-pojec/pojecia-stosowane-w-statystyce-publicznej/329,pojecie.html" TargetMode="External"/><Relationship Id="rId40" Type="http://schemas.openxmlformats.org/officeDocument/2006/relationships/hyperlink" Target="https://bdl.stat.gov.pl/BDL/start" TargetMode="External"/><Relationship Id="rId45" Type="http://schemas.openxmlformats.org/officeDocument/2006/relationships/hyperlink" Target="http://stat.gov.pl/metainformacje/slownik-pojec/pojecia-stosowane-w-statystyce-publicznej/3176,pojecie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stat.gov.pl/obszary-tematyczne/przemysl-budownictwo-srodki-trwale/budownictwo/budownictwo-mieszkaniowe-i-iii-kwartal-2018-roku,4,35.html" TargetMode="External"/><Relationship Id="rId36" Type="http://schemas.openxmlformats.org/officeDocument/2006/relationships/hyperlink" Target="http://stat.gov.pl/metainformacje/slownik-pojec/pojecia-stosowane-w-statystyce-publicznej/1743,pojecie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26,pojecie.html" TargetMode="External"/><Relationship Id="rId44" Type="http://schemas.openxmlformats.org/officeDocument/2006/relationships/hyperlink" Target="http://stat.gov.pl/metainformacje/slownik-pojec/pojecia-stosowane-w-statystyce-publicznej/1021,pojeci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mailto:Z.Kurlej@stat.gov.pl" TargetMode="External"/><Relationship Id="rId27" Type="http://schemas.openxmlformats.org/officeDocument/2006/relationships/image" Target="media/image17.png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metainformacje/slownik-pojec/pojecia-stosowane-w-statystyce-publicznej/3176,pojecie.html" TargetMode="External"/><Relationship Id="rId43" Type="http://schemas.openxmlformats.org/officeDocument/2006/relationships/hyperlink" Target="https://stat.gov.pl/metainformacje/slownik-pojec/pojecia-stosowane-w-statystyce-publicznej/202,pojecie.html" TargetMode="External"/><Relationship Id="rId48" Type="http://schemas.openxmlformats.org/officeDocument/2006/relationships/header" Target="header4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5.png"/><Relationship Id="rId33" Type="http://schemas.openxmlformats.org/officeDocument/2006/relationships/hyperlink" Target="https://stat.gov.pl/metainformacje/slownik-pojec/pojecia-stosowane-w-statystyce-publicznej/202,pojecie.html" TargetMode="External"/><Relationship Id="rId38" Type="http://schemas.openxmlformats.org/officeDocument/2006/relationships/hyperlink" Target="https://stat.gov.pl/obszary-tematyczne/przemysl-budownictwo-srodki-trwale/budownictwo/budownictwo-mieszkaniowe-i-iii-kwartal-2018-roku,4,35.html" TargetMode="External"/><Relationship Id="rId46" Type="http://schemas.openxmlformats.org/officeDocument/2006/relationships/hyperlink" Target="http://stat.gov.pl/metainformacje/slownik-pojec/pojecia-stosowane-w-statystyce-publicznej/1743,pojecie.html" TargetMode="External"/><Relationship Id="rId20" Type="http://schemas.openxmlformats.org/officeDocument/2006/relationships/header" Target="header2.xml"/><Relationship Id="rId41" Type="http://schemas.openxmlformats.org/officeDocument/2006/relationships/hyperlink" Target="http://stat.gov.pl/metainformacje/slownik-pojec/pojecia-stosowane-w-statystyce-publicznej/26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CB2F-8B10-43DF-A683-2F2358E7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2320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pierwszym kwartale 2019 roku</dc:title>
  <dc:creator>GUS</dc:creator>
  <cp:lastPrinted>2019-06-12T10:40:00Z</cp:lastPrinted>
  <dcterms:created xsi:type="dcterms:W3CDTF">2019-06-12T08:17:00Z</dcterms:created>
  <dcterms:modified xsi:type="dcterms:W3CDTF">2019-06-14T05:02:00Z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0x00FBEB7090D5ED8B4AADA9FC396769AC9B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</Properties>
</file>