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431673">
        <w:rPr>
          <w:rFonts w:ascii="Fira Sans Extra Condensed SemiB" w:hAnsi="Fira Sans Extra Condensed SemiB" w:cs="Arial"/>
          <w:color w:val="auto"/>
          <w:sz w:val="40"/>
          <w:szCs w:val="40"/>
        </w:rPr>
        <w:t>lipiec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</w:p>
    <w:p w:rsidR="00FD5DDE" w:rsidRDefault="00FD5DDE" w:rsidP="00074DD8">
      <w:pPr>
        <w:pStyle w:val="tytuinformacji"/>
        <w:rPr>
          <w:sz w:val="32"/>
        </w:rPr>
      </w:pP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Pr="009A5C86" w:rsidRDefault="00726212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 xml:space="preserve">Wskaźnik dynamiki </w:t>
                            </w:r>
                            <w:r>
                              <w:t>importu (w PLN)</w:t>
                            </w:r>
                            <w:r w:rsidRPr="00A5504C">
                              <w:t xml:space="preserve"> wyniósł </w:t>
                            </w:r>
                            <w:r>
                              <w:t>105,0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26212" w:rsidRPr="009A5C86" w:rsidRDefault="00726212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 xml:space="preserve">Wskaźnik dynamiki </w:t>
                      </w:r>
                      <w:r>
                        <w:t>importu (w PLN)</w:t>
                      </w:r>
                      <w:r w:rsidRPr="00A5504C">
                        <w:t xml:space="preserve"> wyniósł </w:t>
                      </w:r>
                      <w:r>
                        <w:t>105,0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Pr="00B66B19" w:rsidRDefault="00091C7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55pt;height:25.0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2621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262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106,6</w:t>
                            </w:r>
                          </w:p>
                          <w:p w:rsidR="00726212" w:rsidRPr="00B747B6" w:rsidRDefault="00726212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747B6">
                              <w:t xml:space="preserve">Wskaźnik dynamiki </w:t>
                            </w:r>
                            <w:r>
                              <w:t>eksportu</w:t>
                            </w:r>
                            <w:r w:rsidRPr="00B747B6">
                              <w:t xml:space="preserve"> w </w:t>
                            </w:r>
                            <w:r>
                              <w:t>PLN (analogiczny okres ub.r. = 100)</w:t>
                            </w:r>
                          </w:p>
                          <w:p w:rsidR="00726212" w:rsidRPr="00FF0040" w:rsidRDefault="0072621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726212" w:rsidRPr="00B66B19" w:rsidRDefault="0072621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5pt;height:2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106,6</w:t>
                      </w:r>
                    </w:p>
                    <w:p w:rsidR="00726212" w:rsidRPr="00B747B6" w:rsidRDefault="00726212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747B6">
                        <w:t xml:space="preserve">Wskaźnik dynamiki </w:t>
                      </w:r>
                      <w:r>
                        <w:t>eksportu</w:t>
                      </w:r>
                      <w:r w:rsidRPr="00B747B6">
                        <w:t xml:space="preserve"> w </w:t>
                      </w:r>
                      <w:r>
                        <w:t>PLN (analogiczny okres ub.r. = 100)</w:t>
                      </w:r>
                    </w:p>
                    <w:p w:rsidR="00726212" w:rsidRPr="00FF0040" w:rsidRDefault="0072621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4D02B5">
        <w:rPr>
          <w:rFonts w:cs="Arial"/>
        </w:rPr>
        <w:t xml:space="preserve">w okresie styczeń - </w:t>
      </w:r>
      <w:r w:rsidR="00AB12B8">
        <w:rPr>
          <w:rFonts w:cs="Arial"/>
        </w:rPr>
        <w:t>lipiec</w:t>
      </w:r>
      <w:r w:rsidR="004D02B5">
        <w:rPr>
          <w:rFonts w:cs="Arial"/>
        </w:rPr>
        <w:t xml:space="preserve"> br.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AB12B8">
        <w:rPr>
          <w:rFonts w:cs="Arial"/>
          <w:bCs/>
          <w:color w:val="000000"/>
        </w:rPr>
        <w:t>578,5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90129" w:rsidRPr="00690129">
        <w:rPr>
          <w:rFonts w:cs="Arial"/>
        </w:rPr>
        <w:t> </w:t>
      </w:r>
      <w:r w:rsidR="00243108">
        <w:rPr>
          <w:rFonts w:cs="Arial"/>
          <w:bCs/>
          <w:color w:val="000000"/>
        </w:rPr>
        <w:t>579</w:t>
      </w:r>
      <w:r w:rsidR="00CC140A">
        <w:rPr>
          <w:rFonts w:cs="Arial"/>
          <w:bCs/>
          <w:color w:val="000000"/>
        </w:rPr>
        <w:t>,2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44566C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CC140A">
        <w:rPr>
          <w:rFonts w:cs="Arial"/>
          <w:spacing w:val="-3"/>
        </w:rPr>
        <w:t>0,7</w:t>
      </w:r>
      <w:r w:rsidR="006A53FB">
        <w:rPr>
          <w:rFonts w:cs="Arial"/>
          <w:spacing w:val="-3"/>
        </w:rPr>
        <w:t xml:space="preserve">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>
        <w:rPr>
          <w:rFonts w:cs="Arial"/>
          <w:spacing w:val="-3"/>
        </w:rPr>
        <w:t xml:space="preserve">minus </w:t>
      </w:r>
      <w:r w:rsidR="006A53FB">
        <w:rPr>
          <w:rFonts w:cs="Arial"/>
          <w:spacing w:val="-3"/>
        </w:rPr>
        <w:t>8,8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E76EC6">
        <w:t>lipcem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243BE1">
        <w:t>6,6</w:t>
      </w:r>
      <w:r w:rsidR="004B64A7" w:rsidRPr="009A5C86">
        <w:rPr>
          <w:rFonts w:cs="Arial"/>
        </w:rPr>
        <w:t>%, a import o </w:t>
      </w:r>
      <w:r w:rsidR="00243BE1">
        <w:rPr>
          <w:rFonts w:cs="Arial"/>
        </w:rPr>
        <w:t>5,</w:t>
      </w:r>
      <w:r w:rsidR="00CC140A">
        <w:rPr>
          <w:rFonts w:cs="Arial"/>
        </w:rPr>
        <w:t>0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Pr="00D616D2" w:rsidRDefault="0072621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726212" w:rsidRPr="00D616D2" w:rsidRDefault="0072621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A719E1">
        <w:rPr>
          <w:rFonts w:cs="Arial"/>
          <w:bCs/>
          <w:color w:val="000000"/>
          <w:szCs w:val="19"/>
        </w:rPr>
        <w:t>152,3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A719E1">
        <w:rPr>
          <w:rFonts w:cs="Arial"/>
          <w:bCs/>
          <w:color w:val="000000"/>
          <w:szCs w:val="19"/>
        </w:rPr>
        <w:t>15</w:t>
      </w:r>
      <w:r w:rsidR="00CC140A">
        <w:rPr>
          <w:rFonts w:cs="Arial"/>
          <w:bCs/>
          <w:color w:val="000000"/>
          <w:szCs w:val="19"/>
        </w:rPr>
        <w:t>2</w:t>
      </w:r>
      <w:r w:rsidR="00A719E1">
        <w:rPr>
          <w:rFonts w:cs="Arial"/>
          <w:bCs/>
          <w:color w:val="000000"/>
          <w:szCs w:val="19"/>
        </w:rPr>
        <w:t>,5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501314">
        <w:rPr>
          <w:rFonts w:cs="Arial"/>
          <w:spacing w:val="-3"/>
          <w:szCs w:val="19"/>
        </w:rPr>
        <w:t>1</w:t>
      </w:r>
      <w:r w:rsidR="00243BE1">
        <w:rPr>
          <w:rFonts w:cs="Arial"/>
          <w:spacing w:val="-3"/>
          <w:szCs w:val="19"/>
        </w:rPr>
        <w:t>,8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CC140A">
        <w:rPr>
          <w:rFonts w:cs="Arial"/>
          <w:spacing w:val="-3"/>
          <w:szCs w:val="19"/>
        </w:rPr>
        <w:t>3,3</w:t>
      </w:r>
      <w:r w:rsidRPr="0084092E">
        <w:rPr>
          <w:rFonts w:cs="Arial"/>
          <w:spacing w:val="-3"/>
          <w:szCs w:val="19"/>
        </w:rPr>
        <w:t xml:space="preserve">%). </w:t>
      </w:r>
      <w:r w:rsidR="009127E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CC140A">
        <w:rPr>
          <w:rFonts w:cs="Arial"/>
          <w:bCs/>
          <w:color w:val="000000"/>
          <w:szCs w:val="19"/>
        </w:rPr>
        <w:t>0</w:t>
      </w:r>
      <w:r w:rsidR="00CF79F6">
        <w:rPr>
          <w:rFonts w:cs="Arial"/>
          <w:bCs/>
          <w:color w:val="000000"/>
          <w:szCs w:val="19"/>
        </w:rPr>
        <w:t>,2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wyniosło </w:t>
      </w:r>
      <w:r w:rsidR="00922F19">
        <w:rPr>
          <w:rFonts w:cs="Arial"/>
          <w:spacing w:val="-3"/>
          <w:szCs w:val="19"/>
        </w:rPr>
        <w:t xml:space="preserve">minus </w:t>
      </w:r>
      <w:r w:rsidR="00CF79F6">
        <w:rPr>
          <w:rFonts w:cs="Arial"/>
          <w:spacing w:val="-3"/>
          <w:szCs w:val="19"/>
        </w:rPr>
        <w:t>2,5</w:t>
      </w:r>
      <w:r w:rsidR="00657AC6">
        <w:rPr>
          <w:rFonts w:cs="Arial"/>
          <w:spacing w:val="-3"/>
          <w:szCs w:val="19"/>
        </w:rPr>
        <w:t xml:space="preserve"> mld </w:t>
      </w:r>
      <w:r w:rsidR="00A5504C">
        <w:rPr>
          <w:rFonts w:cs="Arial"/>
          <w:spacing w:val="-3"/>
          <w:szCs w:val="19"/>
        </w:rPr>
        <w:t>USD</w:t>
      </w:r>
      <w:r w:rsidR="00657AC6" w:rsidRPr="00277A82">
        <w:rPr>
          <w:rFonts w:cs="Arial"/>
          <w:szCs w:val="19"/>
        </w:rPr>
        <w:t>.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60742F">
        <w:rPr>
          <w:rFonts w:cs="Arial"/>
          <w:bCs/>
          <w:color w:val="000000"/>
          <w:szCs w:val="19"/>
        </w:rPr>
        <w:t>134,8</w:t>
      </w:r>
      <w:r w:rsidR="00442FC5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CC140A">
        <w:rPr>
          <w:rFonts w:cs="Arial"/>
          <w:bCs/>
          <w:color w:val="000000"/>
          <w:szCs w:val="19"/>
        </w:rPr>
        <w:t>134,9</w:t>
      </w:r>
      <w:r w:rsidR="00EB4BA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</w:t>
      </w:r>
      <w:r w:rsidR="00682774">
        <w:rPr>
          <w:rFonts w:cs="Arial"/>
          <w:szCs w:val="19"/>
        </w:rPr>
        <w:t>(wzrost w eksporcie o </w:t>
      </w:r>
      <w:r w:rsidR="00243BE1">
        <w:rPr>
          <w:rFonts w:cs="Arial"/>
          <w:szCs w:val="19"/>
        </w:rPr>
        <w:t>4,8</w:t>
      </w:r>
      <w:r w:rsidRPr="00277A82">
        <w:rPr>
          <w:rFonts w:cs="Arial"/>
          <w:szCs w:val="19"/>
        </w:rPr>
        <w:t xml:space="preserve">%, a w imporcie o </w:t>
      </w:r>
      <w:r w:rsidR="00243BE1">
        <w:rPr>
          <w:rFonts w:cs="Arial"/>
          <w:szCs w:val="19"/>
        </w:rPr>
        <w:t>3,</w:t>
      </w:r>
      <w:r w:rsidR="00CC140A">
        <w:rPr>
          <w:rFonts w:cs="Arial"/>
          <w:szCs w:val="19"/>
        </w:rPr>
        <w:t>2</w:t>
      </w:r>
      <w:r w:rsidRPr="00277A82">
        <w:rPr>
          <w:rFonts w:cs="Arial"/>
          <w:szCs w:val="19"/>
        </w:rPr>
        <w:t xml:space="preserve">%). </w:t>
      </w:r>
      <w:r w:rsidR="000C130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</w:t>
      </w:r>
      <w:r w:rsidR="00EB4BA2" w:rsidRPr="00277A82">
        <w:rPr>
          <w:rFonts w:cs="Arial"/>
          <w:szCs w:val="19"/>
        </w:rPr>
        <w:t>wyniosło</w:t>
      </w:r>
      <w:r w:rsidR="00D54D58">
        <w:rPr>
          <w:rFonts w:cs="Arial"/>
          <w:szCs w:val="19"/>
        </w:rPr>
        <w:t xml:space="preserve"> </w:t>
      </w:r>
      <w:r w:rsidR="00996BA0">
        <w:rPr>
          <w:rFonts w:cs="Arial"/>
          <w:szCs w:val="19"/>
        </w:rPr>
        <w:t>0,1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EB4BA2">
        <w:t>ml</w:t>
      </w:r>
      <w:r w:rsidR="00A844E6" w:rsidRPr="00EB4BA2">
        <w:t>d</w:t>
      </w:r>
      <w:r w:rsidR="00EB4BA2">
        <w:t xml:space="preserve"> </w:t>
      </w:r>
      <w:r w:rsidRPr="00EB4BA2">
        <w:t>EUR</w:t>
      </w:r>
      <w:r w:rsidR="00D54D58">
        <w:t xml:space="preserve">, a </w:t>
      </w:r>
      <w:r w:rsidR="00D54D58" w:rsidRPr="0084092E">
        <w:rPr>
          <w:rFonts w:cs="Arial"/>
          <w:spacing w:val="-3"/>
          <w:szCs w:val="19"/>
        </w:rPr>
        <w:t xml:space="preserve">w analogicznym okresie </w:t>
      </w:r>
      <w:r w:rsidR="00D54D58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D54D58">
        <w:rPr>
          <w:rFonts w:cs="Arial"/>
          <w:spacing w:val="-3"/>
          <w:szCs w:val="19"/>
        </w:rPr>
        <w:t xml:space="preserve"> wyniosło </w:t>
      </w:r>
      <w:r w:rsidR="00B22A2B">
        <w:rPr>
          <w:rFonts w:cs="Arial"/>
          <w:spacing w:val="-3"/>
          <w:szCs w:val="19"/>
        </w:rPr>
        <w:t xml:space="preserve">minus </w:t>
      </w:r>
      <w:r w:rsidR="005D0A93">
        <w:rPr>
          <w:rFonts w:cs="Arial"/>
          <w:spacing w:val="-3"/>
          <w:szCs w:val="19"/>
        </w:rPr>
        <w:t>2,1</w:t>
      </w:r>
      <w:r w:rsidR="00D54D58">
        <w:rPr>
          <w:rFonts w:cs="Arial"/>
          <w:spacing w:val="-3"/>
          <w:szCs w:val="19"/>
        </w:rPr>
        <w:t xml:space="preserve"> mld EUR</w:t>
      </w:r>
      <w:r w:rsidRPr="00277A82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Default="00726212" w:rsidP="00F802BE">
                            <w:pPr>
                              <w:pStyle w:val="tekstzboku"/>
                            </w:pPr>
                          </w:p>
                          <w:p w:rsidR="00726212" w:rsidRPr="00074DD8" w:rsidRDefault="00726212" w:rsidP="00F802BE">
                            <w:pPr>
                              <w:pStyle w:val="tekstzboku"/>
                            </w:pPr>
                          </w:p>
                          <w:p w:rsidR="00726212" w:rsidRPr="00D616D2" w:rsidRDefault="0072621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Default="00726212" w:rsidP="00F802BE">
                      <w:pPr>
                        <w:pStyle w:val="tekstzboku"/>
                      </w:pPr>
                    </w:p>
                    <w:p w:rsidR="00726212" w:rsidRPr="00074DD8" w:rsidRDefault="00726212" w:rsidP="00F802BE">
                      <w:pPr>
                        <w:pStyle w:val="tekstzboku"/>
                      </w:pPr>
                    </w:p>
                    <w:p w:rsidR="00726212" w:rsidRPr="00D616D2" w:rsidRDefault="0072621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87,</w:t>
      </w:r>
      <w:r w:rsidR="002D0C2D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2D0C2D">
        <w:rPr>
          <w:rFonts w:cs="Arial"/>
          <w:spacing w:val="-3"/>
        </w:rPr>
        <w:t>79,9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6,</w:t>
      </w:r>
      <w:r w:rsidR="009A4604">
        <w:rPr>
          <w:rFonts w:cs="Arial"/>
          <w:spacing w:val="-3"/>
        </w:rPr>
        <w:t>4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385406">
        <w:rPr>
          <w:rFonts w:cs="Arial"/>
          <w:spacing w:val="-3"/>
        </w:rPr>
        <w:t>8,</w:t>
      </w:r>
      <w:r w:rsidR="009A4604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941B33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9D538B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941B33">
        <w:rPr>
          <w:rFonts w:cs="Arial"/>
          <w:spacing w:val="-3"/>
        </w:rPr>
        <w:t>7,1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9D538B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941B33">
        <w:rPr>
          <w:rFonts w:cs="Arial"/>
          <w:spacing w:val="-3"/>
        </w:rPr>
        <w:t>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941B33">
        <w:rPr>
          <w:rFonts w:cs="Arial"/>
          <w:spacing w:val="-3"/>
        </w:rPr>
        <w:t>7,7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941B33">
        <w:rPr>
          <w:rFonts w:cs="Arial"/>
          <w:spacing w:val="-3"/>
        </w:rPr>
        <w:t>6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941B33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 xml:space="preserve">w </w:t>
      </w:r>
      <w:r w:rsidR="00243BE1">
        <w:rPr>
          <w:rFonts w:cs="Arial"/>
          <w:spacing w:val="-3"/>
        </w:rPr>
        <w:t xml:space="preserve">okresie </w:t>
      </w:r>
      <w:r w:rsidR="00036E65">
        <w:rPr>
          <w:rFonts w:cs="Arial"/>
          <w:spacing w:val="-3"/>
        </w:rPr>
        <w:t>stycz</w:t>
      </w:r>
      <w:r w:rsidR="00243BE1">
        <w:rPr>
          <w:rFonts w:cs="Arial"/>
          <w:spacing w:val="-3"/>
        </w:rPr>
        <w:t>eń</w:t>
      </w:r>
      <w:r w:rsidR="009D3B83">
        <w:rPr>
          <w:rFonts w:cs="Arial"/>
          <w:spacing w:val="-3"/>
        </w:rPr>
        <w:t xml:space="preserve"> </w:t>
      </w:r>
      <w:r w:rsidR="00B36F0D">
        <w:rPr>
          <w:rFonts w:cs="Arial"/>
          <w:spacing w:val="-3"/>
        </w:rPr>
        <w:t>–</w:t>
      </w:r>
      <w:r w:rsidR="009D3B83">
        <w:rPr>
          <w:rFonts w:cs="Arial"/>
          <w:spacing w:val="-3"/>
        </w:rPr>
        <w:t xml:space="preserve"> </w:t>
      </w:r>
      <w:r w:rsidR="00B36F0D">
        <w:rPr>
          <w:rFonts w:cs="Arial"/>
          <w:spacing w:val="-3"/>
        </w:rPr>
        <w:t>lip</w:t>
      </w:r>
      <w:r w:rsidR="00243BE1">
        <w:rPr>
          <w:rFonts w:cs="Arial"/>
          <w:spacing w:val="-3"/>
        </w:rPr>
        <w:t>iec</w:t>
      </w:r>
      <w:r w:rsidR="00B36F0D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>Ujemne salda odnotowano z kr</w:t>
      </w:r>
      <w:r w:rsidR="00C1043C">
        <w:rPr>
          <w:rFonts w:cs="Arial"/>
          <w:spacing w:val="-3"/>
        </w:rPr>
        <w:t>ajami rozwijającymi się – minus 108</w:t>
      </w:r>
      <w:r w:rsidR="00C1043C">
        <w:rPr>
          <w:rFonts w:cs="Arial"/>
          <w:color w:val="000000"/>
        </w:rPr>
        <w:t>,6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9D6D75">
        <w:rPr>
          <w:rFonts w:cs="Arial"/>
          <w:spacing w:val="-3"/>
        </w:rPr>
        <w:t>2</w:t>
      </w:r>
      <w:r w:rsidR="00C1043C">
        <w:rPr>
          <w:rFonts w:cs="Arial"/>
          <w:spacing w:val="-3"/>
        </w:rPr>
        <w:t>8,6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A45440">
        <w:rPr>
          <w:rFonts w:cs="Arial"/>
          <w:color w:val="000000"/>
        </w:rPr>
        <w:t>25</w:t>
      </w:r>
      <w:r w:rsidR="0032506F">
        <w:rPr>
          <w:rFonts w:cs="Arial"/>
          <w:color w:val="000000"/>
        </w:rPr>
        <w:t>,</w:t>
      </w:r>
      <w:r w:rsidR="00A45440">
        <w:rPr>
          <w:rFonts w:cs="Arial"/>
          <w:color w:val="000000"/>
        </w:rPr>
        <w:t>3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F31D96">
        <w:rPr>
          <w:rFonts w:cs="Arial"/>
          <w:spacing w:val="-3"/>
        </w:rPr>
        <w:t>10</w:t>
      </w:r>
      <w:r w:rsidR="004F5D89">
        <w:rPr>
          <w:rFonts w:cs="Arial"/>
          <w:spacing w:val="-3"/>
        </w:rPr>
        <w:t>,</w:t>
      </w:r>
      <w:r w:rsidR="000B2A9C">
        <w:rPr>
          <w:rFonts w:cs="Arial"/>
          <w:spacing w:val="-3"/>
        </w:rPr>
        <w:t>9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0B2A9C">
        <w:rPr>
          <w:rFonts w:cs="Arial"/>
          <w:spacing w:val="-3"/>
        </w:rPr>
        <w:t>2,8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0B2A9C">
        <w:rPr>
          <w:rFonts w:cs="Arial"/>
          <w:spacing w:val="-3"/>
        </w:rPr>
        <w:t>2,6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9A4604">
        <w:rPr>
          <w:rFonts w:cs="Arial"/>
          <w:color w:val="000000"/>
        </w:rPr>
        <w:t>118,7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zł (</w:t>
      </w:r>
      <w:r w:rsidR="00D9370A">
        <w:rPr>
          <w:rFonts w:cs="Arial"/>
          <w:spacing w:val="-3"/>
        </w:rPr>
        <w:t>3</w:t>
      </w:r>
      <w:r w:rsidR="009A4604">
        <w:rPr>
          <w:rFonts w:cs="Arial"/>
          <w:spacing w:val="-3"/>
        </w:rPr>
        <w:t>1</w:t>
      </w:r>
      <w:r w:rsidR="00D9370A">
        <w:rPr>
          <w:rFonts w:cs="Arial"/>
          <w:spacing w:val="-3"/>
        </w:rPr>
        <w:t>,3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9A4604">
        <w:rPr>
          <w:rFonts w:cs="Arial"/>
          <w:spacing w:val="-3"/>
        </w:rPr>
        <w:t>27,7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9A4604">
        <w:rPr>
          <w:rFonts w:cs="Arial"/>
          <w:color w:val="000000"/>
        </w:rPr>
        <w:t>122,4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9A4604">
        <w:rPr>
          <w:rFonts w:cs="Arial"/>
          <w:spacing w:val="-3"/>
        </w:rPr>
        <w:t>32,2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9A4604">
        <w:rPr>
          <w:rFonts w:cs="Arial"/>
          <w:spacing w:val="-3"/>
        </w:rPr>
        <w:t>28,5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 w:rsidR="000B484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 w:rsidR="000B484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33544C">
              <w:rPr>
                <w:rFonts w:cs="Arial"/>
                <w:sz w:val="16"/>
                <w:szCs w:val="16"/>
              </w:rPr>
              <w:t>I</w:t>
            </w:r>
            <w:r w:rsidR="000B484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91FF3" w:rsidRPr="00E33A76" w:rsidTr="00FE08D1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578,5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152,3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91FF3" w:rsidTr="00FE08D1">
        <w:trPr>
          <w:trHeight w:val="35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503,2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</w:tr>
      <w:tr w:rsidR="00991FF3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462,3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0F7952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79,9</w:t>
            </w:r>
          </w:p>
        </w:tc>
      </w:tr>
      <w:tr w:rsidR="00991FF3" w:rsidTr="00FE08D1">
        <w:trPr>
          <w:trHeight w:val="270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333,3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E4D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57,6</w:t>
            </w:r>
          </w:p>
        </w:tc>
      </w:tr>
      <w:tr w:rsidR="00991FF3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</w:tr>
      <w:tr w:rsidR="00991FF3" w:rsidTr="00FE08D1">
        <w:trPr>
          <w:trHeight w:val="308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</w:tr>
      <w:tr w:rsidR="00991FF3" w:rsidRPr="00E33A76" w:rsidTr="00FE08D1">
        <w:trPr>
          <w:trHeight w:val="342"/>
        </w:trPr>
        <w:tc>
          <w:tcPr>
            <w:tcW w:w="2552" w:type="dxa"/>
            <w:vAlign w:val="center"/>
          </w:tcPr>
          <w:p w:rsidR="00991FF3" w:rsidRPr="00A00ADB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579,2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2F6FF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105,</w:t>
            </w:r>
            <w:r w:rsidR="002F6FF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91FF3" w:rsidTr="00FE08D1">
        <w:trPr>
          <w:trHeight w:val="35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384,5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FC5F2F" w:rsidRDefault="00FC5F2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FC5F2F">
              <w:rPr>
                <w:rFonts w:cs="Calibri"/>
                <w:sz w:val="16"/>
                <w:szCs w:val="16"/>
              </w:rPr>
              <w:t>103,7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C26CCF" w:rsidRDefault="00C26CC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95,5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C26CCF" w:rsidRDefault="006A2BAA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102,0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66,4</w:t>
            </w:r>
          </w:p>
        </w:tc>
      </w:tr>
      <w:tr w:rsidR="00991FF3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339,9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FC5F2F" w:rsidRDefault="00FC5F2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FC5F2F">
              <w:rPr>
                <w:rFonts w:cs="Calibri"/>
                <w:sz w:val="16"/>
                <w:szCs w:val="16"/>
              </w:rPr>
              <w:t>102,8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C26CCF" w:rsidRDefault="00C26CC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C26CCF" w:rsidRDefault="006A2BAA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101,2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382AF0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58,7</w:t>
            </w:r>
          </w:p>
        </w:tc>
      </w:tr>
      <w:tr w:rsidR="00991FF3" w:rsidTr="00FE08D1">
        <w:trPr>
          <w:trHeight w:val="35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270,6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C26CCF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C26CCF" w:rsidP="00C26C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FC5F2F" w:rsidRDefault="00FC5F2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FC5F2F">
              <w:rPr>
                <w:rFonts w:cs="Calibri"/>
                <w:sz w:val="16"/>
                <w:szCs w:val="16"/>
              </w:rPr>
              <w:t>102,0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C26CCF" w:rsidRDefault="00C26CC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95,3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C26CCF" w:rsidRDefault="00C26CCF" w:rsidP="00991FF3">
            <w:pPr>
              <w:jc w:val="right"/>
              <w:rPr>
                <w:rFonts w:cs="Calibri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100,4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8D4BAD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</w:tr>
      <w:tr w:rsidR="00991FF3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05568D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2F6FF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</w:tr>
      <w:tr w:rsidR="00991FF3" w:rsidTr="00FE08D1">
        <w:trPr>
          <w:trHeight w:val="355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243BE1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05568D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1854DB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</w:tr>
      <w:tr w:rsidR="00991FF3" w:rsidRPr="00E33A76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1854DB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461F90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461F9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="00461F90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BE462F" w:rsidP="00461F90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461F90">
              <w:rPr>
                <w:rFonts w:cs="Calibri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91FF3" w:rsidRPr="00E33A76" w:rsidTr="00FE08D1">
        <w:trPr>
          <w:trHeight w:val="35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461F90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91FF3" w:rsidRPr="00E33A76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461F90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1F90">
              <w:rPr>
                <w:rFonts w:cs="Calibri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91FF3" w:rsidRPr="00E33A76" w:rsidTr="00FE08D1">
        <w:trPr>
          <w:trHeight w:val="35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A4604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91FF3" w:rsidRPr="00E33A76" w:rsidTr="00FE08D1">
        <w:trPr>
          <w:trHeight w:val="342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-108,6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91FF3" w:rsidRPr="00E33A76" w:rsidTr="00FE08D1">
        <w:trPr>
          <w:trHeight w:val="258"/>
        </w:trPr>
        <w:tc>
          <w:tcPr>
            <w:tcW w:w="2552" w:type="dxa"/>
            <w:vAlign w:val="center"/>
          </w:tcPr>
          <w:p w:rsidR="00991FF3" w:rsidRPr="00E33A76" w:rsidRDefault="00991FF3" w:rsidP="00991F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-10,9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FF3" w:rsidRPr="00991FF3" w:rsidRDefault="00991FF3" w:rsidP="00991FF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Default="00726212" w:rsidP="00345F7C">
                            <w:pPr>
                              <w:pStyle w:val="tekstzboku"/>
                            </w:pPr>
                          </w:p>
                          <w:p w:rsidR="00726212" w:rsidRPr="00074DD8" w:rsidRDefault="00726212" w:rsidP="00345F7C">
                            <w:pPr>
                              <w:pStyle w:val="tekstzboku"/>
                            </w:pPr>
                          </w:p>
                          <w:p w:rsidR="00726212" w:rsidRPr="00D616D2" w:rsidRDefault="0072621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Default="00726212" w:rsidP="00345F7C">
                      <w:pPr>
                        <w:pStyle w:val="tekstzboku"/>
                      </w:pPr>
                    </w:p>
                    <w:p w:rsidR="00726212" w:rsidRPr="00074DD8" w:rsidRDefault="00726212" w:rsidP="00345F7C">
                      <w:pPr>
                        <w:pStyle w:val="tekstzboku"/>
                      </w:pPr>
                    </w:p>
                    <w:p w:rsidR="00726212" w:rsidRPr="00D616D2" w:rsidRDefault="0072621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E64E91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05568D">
        <w:rPr>
          <w:rFonts w:cs="Arial"/>
        </w:rPr>
        <w:t xml:space="preserve">okresie </w:t>
      </w:r>
      <w:r w:rsidRPr="00951F4F">
        <w:rPr>
          <w:rFonts w:cs="Arial"/>
          <w:szCs w:val="19"/>
        </w:rPr>
        <w:t>stycz</w:t>
      </w:r>
      <w:r w:rsidR="0005568D">
        <w:rPr>
          <w:rFonts w:cs="Arial"/>
          <w:szCs w:val="19"/>
        </w:rPr>
        <w:t>eń</w:t>
      </w:r>
      <w:r w:rsidR="00614ABB">
        <w:rPr>
          <w:rFonts w:cs="Arial"/>
          <w:szCs w:val="19"/>
        </w:rPr>
        <w:t xml:space="preserve"> – </w:t>
      </w:r>
      <w:r w:rsidR="00B25C00">
        <w:rPr>
          <w:rFonts w:cs="Arial"/>
          <w:szCs w:val="19"/>
        </w:rPr>
        <w:t>lip</w:t>
      </w:r>
      <w:r w:rsidR="0005568D">
        <w:rPr>
          <w:rFonts w:cs="Arial"/>
          <w:szCs w:val="19"/>
        </w:rPr>
        <w:t>iec</w:t>
      </w:r>
      <w:r w:rsidR="00B25C00">
        <w:rPr>
          <w:rFonts w:cs="Arial"/>
          <w:szCs w:val="19"/>
        </w:rPr>
        <w:t xml:space="preserve"> </w:t>
      </w:r>
      <w:r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>, a importu –</w:t>
      </w:r>
      <w:r w:rsidR="0005568D">
        <w:rPr>
          <w:rFonts w:cs="Arial"/>
          <w:szCs w:val="19"/>
        </w:rPr>
        <w:t xml:space="preserve"> </w:t>
      </w:r>
      <w:r w:rsidR="00951F4F" w:rsidRPr="00951F4F">
        <w:rPr>
          <w:rFonts w:cs="Arial"/>
          <w:szCs w:val="19"/>
        </w:rPr>
        <w:t xml:space="preserve"> </w:t>
      </w:r>
      <w:r w:rsidRPr="00951F4F">
        <w:rPr>
          <w:rFonts w:cs="Arial"/>
          <w:szCs w:val="19"/>
        </w:rPr>
        <w:t>z</w:t>
      </w:r>
      <w:r w:rsidR="00B25C00">
        <w:rPr>
          <w:rFonts w:cs="Arial"/>
          <w:szCs w:val="19"/>
        </w:rPr>
        <w:t xml:space="preserve"> </w:t>
      </w:r>
      <w:r w:rsidRPr="00951F4F">
        <w:rPr>
          <w:rFonts w:cs="Arial"/>
          <w:szCs w:val="19"/>
        </w:rPr>
        <w:t>Chin,</w:t>
      </w:r>
      <w:r>
        <w:rPr>
          <w:rFonts w:cs="Arial"/>
          <w:szCs w:val="19"/>
        </w:rPr>
        <w:t xml:space="preserve"> </w:t>
      </w:r>
      <w:r w:rsidR="00B25C00">
        <w:rPr>
          <w:rFonts w:cs="Arial"/>
          <w:szCs w:val="19"/>
        </w:rPr>
        <w:t>Stanów Zjednoczonych,</w:t>
      </w:r>
      <w:r w:rsidR="00183104">
        <w:rPr>
          <w:rFonts w:cs="Arial"/>
          <w:szCs w:val="19"/>
        </w:rPr>
        <w:t xml:space="preserve"> </w:t>
      </w:r>
      <w:r w:rsidR="00947F29">
        <w:rPr>
          <w:rFonts w:cs="Arial"/>
          <w:szCs w:val="19"/>
        </w:rPr>
        <w:t xml:space="preserve">Hiszpanii, </w:t>
      </w:r>
      <w:r w:rsidR="00614ABB">
        <w:rPr>
          <w:rFonts w:cs="Arial"/>
          <w:szCs w:val="19"/>
        </w:rPr>
        <w:t xml:space="preserve">Holandii, Francji oraz </w:t>
      </w:r>
      <w:r w:rsidR="00B420C3">
        <w:rPr>
          <w:rFonts w:cs="Arial"/>
          <w:szCs w:val="19"/>
        </w:rPr>
        <w:t>Niemiec</w:t>
      </w:r>
      <w:r w:rsidR="00614ABB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6955FC">
        <w:rPr>
          <w:rFonts w:cs="Arial"/>
        </w:rPr>
        <w:t>1</w:t>
      </w:r>
      <w:r w:rsidRPr="00483835">
        <w:rPr>
          <w:rFonts w:cs="Arial"/>
        </w:rPr>
        <w:t xml:space="preserve">% eksportu (w analogicznym okresie ub. r. </w:t>
      </w:r>
      <w:r>
        <w:rPr>
          <w:rFonts w:cs="Arial"/>
        </w:rPr>
        <w:t>6</w:t>
      </w:r>
      <w:r w:rsidR="00E57771">
        <w:rPr>
          <w:rFonts w:cs="Arial"/>
        </w:rPr>
        <w:t>6</w:t>
      </w:r>
      <w:r>
        <w:rPr>
          <w:rFonts w:cs="Arial"/>
        </w:rPr>
        <w:t>,</w:t>
      </w:r>
      <w:r w:rsidR="00E57771">
        <w:rPr>
          <w:rFonts w:cs="Arial"/>
        </w:rPr>
        <w:t>7</w:t>
      </w:r>
      <w:r w:rsidRPr="00483835">
        <w:rPr>
          <w:rFonts w:cs="Arial"/>
        </w:rPr>
        <w:t xml:space="preserve">%), a importu ogółem – </w:t>
      </w:r>
      <w:r w:rsidR="004260F2">
        <w:rPr>
          <w:rFonts w:cs="Arial"/>
        </w:rPr>
        <w:t>6</w:t>
      </w:r>
      <w:r w:rsidR="00947F29">
        <w:rPr>
          <w:rFonts w:cs="Arial"/>
        </w:rPr>
        <w:t>3</w:t>
      </w:r>
      <w:r>
        <w:rPr>
          <w:rFonts w:cs="Arial"/>
        </w:rPr>
        <w:t>,</w:t>
      </w:r>
      <w:r w:rsidR="00B55492">
        <w:rPr>
          <w:rFonts w:cs="Arial"/>
        </w:rPr>
        <w:t>8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436B8E">
        <w:rPr>
          <w:rFonts w:cs="Arial"/>
        </w:rPr>
        <w:t>5</w:t>
      </w:r>
      <w:r>
        <w:rPr>
          <w:rFonts w:cs="Arial"/>
        </w:rPr>
        <w:t>,</w:t>
      </w:r>
      <w:r w:rsidR="00436B8E">
        <w:rPr>
          <w:rFonts w:cs="Arial"/>
        </w:rPr>
        <w:t>3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6955FC">
        <w:rPr>
          <w:rFonts w:cs="Arial"/>
        </w:rPr>
        <w:t>lipcu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625919">
        <w:rPr>
          <w:szCs w:val="19"/>
        </w:rPr>
        <w:t>8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AF1C38">
        <w:rPr>
          <w:rFonts w:cs="Arial"/>
          <w:szCs w:val="19"/>
        </w:rPr>
        <w:t>3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625919">
        <w:rPr>
          <w:rFonts w:cs="Arial"/>
          <w:szCs w:val="19"/>
        </w:rPr>
        <w:t>9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625919">
        <w:rPr>
          <w:rFonts w:cs="Arial"/>
          <w:szCs w:val="19"/>
        </w:rPr>
        <w:t>0</w:t>
      </w:r>
      <w:r w:rsidRPr="00483835">
        <w:rPr>
          <w:rFonts w:cs="Arial"/>
          <w:szCs w:val="19"/>
        </w:rPr>
        <w:t xml:space="preserve">%. Dodatnie saldo wyniosło </w:t>
      </w:r>
      <w:r w:rsidR="00625919">
        <w:rPr>
          <w:rFonts w:cs="Arial"/>
          <w:szCs w:val="19"/>
        </w:rPr>
        <w:t>29,5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625919">
        <w:rPr>
          <w:rFonts w:cs="Arial"/>
          <w:szCs w:val="19"/>
        </w:rPr>
        <w:t>7,8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625919">
        <w:rPr>
          <w:rFonts w:cs="Arial"/>
          <w:szCs w:val="19"/>
        </w:rPr>
        <w:t>6,9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553670">
        <w:rPr>
          <w:rFonts w:cs="Arial"/>
          <w:szCs w:val="19"/>
        </w:rPr>
        <w:t>26,5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553670">
        <w:rPr>
          <w:rFonts w:cs="Arial"/>
          <w:szCs w:val="19"/>
        </w:rPr>
        <w:t>7,6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F20E2E">
        <w:rPr>
          <w:rFonts w:cs="Arial"/>
          <w:szCs w:val="19"/>
        </w:rPr>
        <w:t>6</w:t>
      </w:r>
      <w:r w:rsidR="00553670">
        <w:rPr>
          <w:rFonts w:cs="Arial"/>
          <w:szCs w:val="19"/>
        </w:rPr>
        <w:t>,2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366025" w:rsidRPr="00E25E36" w:rsidRDefault="002D45CF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>
        <w:rPr>
          <w:rFonts w:cs="Arial"/>
          <w:b/>
          <w:spacing w:val="-3"/>
          <w:sz w:val="18"/>
          <w:szCs w:val="18"/>
        </w:rPr>
        <w:lastRenderedPageBreak/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  <w:r w:rsidR="00A00ADB"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5321300</wp:posOffset>
                </wp:positionH>
                <wp:positionV relativeFrom="paragraph">
                  <wp:posOffset>4056380</wp:posOffset>
                </wp:positionV>
                <wp:extent cx="1725295" cy="99314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Pr="00FF1498" w:rsidRDefault="00726212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 w:rsidR="00F32C43">
                              <w:rPr>
                                <w:rFonts w:cs="Arial"/>
                              </w:rPr>
                              <w:t>. o 1,0</w:t>
                            </w:r>
                            <w:r w:rsidR="002B1B9F">
                              <w:rPr>
                                <w:rFonts w:cs="Arial"/>
                              </w:rPr>
                              <w:t xml:space="preserve"> p. proc. i stanowił 6,0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Default="00726212" w:rsidP="00A00ADB">
                            <w:pPr>
                              <w:pStyle w:val="tekstzboku"/>
                            </w:pPr>
                          </w:p>
                          <w:p w:rsidR="00726212" w:rsidRPr="00074DD8" w:rsidRDefault="00726212" w:rsidP="00A00ADB">
                            <w:pPr>
                              <w:pStyle w:val="tekstzboku"/>
                            </w:pPr>
                          </w:p>
                          <w:p w:rsidR="00726212" w:rsidRPr="00D616D2" w:rsidRDefault="0072621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981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9pt;margin-top:319.4pt;width:135.85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" filled="f" stroked="f">
                <v:textbox>
                  <w:txbxContent>
                    <w:p w:rsidR="00726212" w:rsidRPr="00FF1498" w:rsidRDefault="00726212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 w:rsidR="00F32C43">
                        <w:rPr>
                          <w:rFonts w:cs="Arial"/>
                        </w:rPr>
                        <w:t xml:space="preserve">. o </w:t>
                      </w:r>
                      <w:r w:rsidR="00F32C43">
                        <w:rPr>
                          <w:rFonts w:cs="Arial"/>
                        </w:rPr>
                        <w:t>1,0</w:t>
                      </w:r>
                      <w:bookmarkStart w:id="1" w:name="_GoBack"/>
                      <w:bookmarkEnd w:id="1"/>
                      <w:r w:rsidR="002B1B9F">
                        <w:rPr>
                          <w:rFonts w:cs="Arial"/>
                        </w:rPr>
                        <w:t xml:space="preserve"> p. proc. i stanowił 6,0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Default="00726212" w:rsidP="00A00ADB">
                      <w:pPr>
                        <w:pStyle w:val="tekstzboku"/>
                      </w:pPr>
                    </w:p>
                    <w:p w:rsidR="00726212" w:rsidRPr="00074DD8" w:rsidRDefault="00726212" w:rsidP="00A00ADB">
                      <w:pPr>
                        <w:pStyle w:val="tekstzboku"/>
                      </w:pPr>
                    </w:p>
                    <w:p w:rsidR="00726212" w:rsidRPr="00D616D2" w:rsidRDefault="0072621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165CF8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165CF8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165CF8">
              <w:rPr>
                <w:rFonts w:cs="Arial"/>
                <w:sz w:val="16"/>
                <w:szCs w:val="16"/>
              </w:rPr>
              <w:t>I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157,9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27,3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6,1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5,9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5,9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4,7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4,7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3,0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3,0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F34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="00F34221"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2,8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34221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308F3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18449E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33,8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22,9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C868D4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22,0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69,1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114,7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C868D4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11,9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34,5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82,7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97932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6,0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97932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5,0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97932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3,8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697932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3,7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C868D4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3,3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206A1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F523C7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206A18" w:rsidRDefault="00C868D4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3,2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FC5F2F" w:rsidRDefault="00206A18" w:rsidP="00F34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4A3F92">
              <w:rPr>
                <w:rFonts w:cs="Arial"/>
                <w:sz w:val="16"/>
                <w:szCs w:val="16"/>
              </w:rPr>
              <w:t xml:space="preserve">9. </w:t>
            </w:r>
            <w:r w:rsidR="00F34221" w:rsidRPr="004A3F92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106,5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947F29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06A18" w:rsidRPr="00947F29" w:rsidRDefault="00947F29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2,5</w:t>
            </w:r>
          </w:p>
        </w:tc>
      </w:tr>
      <w:tr w:rsidR="00206A18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206A18" w:rsidP="00F34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="00F34221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9F66FB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90,2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ED55E0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206A18" w:rsidRPr="00206A18" w:rsidRDefault="00C868D4" w:rsidP="00206A1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6D3569" w:rsidRPr="006D3569">
        <w:rPr>
          <w:rFonts w:cs="Arial"/>
          <w:spacing w:val="-3"/>
        </w:rPr>
        <w:t>427,8</w:t>
      </w:r>
      <w:r w:rsidR="006D3569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6D3569" w:rsidRPr="006D3569">
        <w:rPr>
          <w:rFonts w:cs="Arial"/>
          <w:spacing w:val="-3"/>
        </w:rPr>
        <w:t>399,9</w:t>
      </w:r>
      <w:r w:rsidR="006D3569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EF1DA5">
        <w:rPr>
          <w:rFonts w:cs="Arial"/>
          <w:spacing w:val="-3"/>
        </w:rPr>
        <w:t>416,8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EF1DA5">
        <w:rPr>
          <w:rFonts w:cs="Arial"/>
          <w:spacing w:val="-3"/>
        </w:rPr>
        <w:t>390,8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535E77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4260F2" w:rsidRDefault="004260F2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6308F3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BD3701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BD3701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27BF4" w:rsidRPr="0051165C" w:rsidTr="008A4451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927BF4" w:rsidRPr="00A00ADB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FC5F2F" w:rsidP="00927BF4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579,2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FC5F2F" w:rsidP="00927BF4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FC5F2F" w:rsidP="00927BF4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D828B7" w:rsidP="00FC5F2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105,</w:t>
            </w:r>
            <w:r w:rsidR="00FC5F2F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FC5F2F" w:rsidP="00927BF4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D828B7" w:rsidP="00FC5F2F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</w:t>
            </w:r>
            <w:r w:rsidR="00FC5F2F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27BF4" w:rsidRPr="0051165C" w:rsidTr="008A4451">
        <w:trPr>
          <w:trHeight w:val="352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464B6B" w:rsidP="00464B6B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427,8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113,7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99,7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102,6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95,5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D828B7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75,</w:t>
            </w:r>
            <w:r w:rsidR="00D828B7"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73,9</w:t>
            </w:r>
          </w:p>
        </w:tc>
      </w:tr>
      <w:tr w:rsidR="00927BF4" w:rsidRPr="0051165C" w:rsidTr="008A4451">
        <w:trPr>
          <w:trHeight w:val="342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399,9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105,3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93,2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94,3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 xml:space="preserve">100,7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D828B7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70,</w:t>
            </w:r>
            <w:r w:rsidR="00D828B7" w:rsidRPr="007478F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69,0</w:t>
            </w:r>
          </w:p>
        </w:tc>
      </w:tr>
      <w:tr w:rsidR="00927BF4" w:rsidRPr="0051165C" w:rsidTr="008A4451">
        <w:trPr>
          <w:trHeight w:val="352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325,0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117BE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85,6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464B6B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75,7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94,3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100,6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D828B7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57,</w:t>
            </w:r>
            <w:r w:rsidR="00D828B7"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7478FE" w:rsidRDefault="00464B6B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56,1</w:t>
            </w:r>
          </w:p>
        </w:tc>
      </w:tr>
      <w:tr w:rsidR="00927BF4" w:rsidRPr="0051165C" w:rsidTr="008A4451">
        <w:trPr>
          <w:trHeight w:val="342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122,7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113,1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120,7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D828B7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15,</w:t>
            </w:r>
            <w:r w:rsidR="00D828B7"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17,9</w:t>
            </w:r>
          </w:p>
        </w:tc>
      </w:tr>
      <w:tr w:rsidR="00927BF4" w:rsidRPr="0051165C" w:rsidTr="008A4451">
        <w:trPr>
          <w:trHeight w:val="355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51165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51165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94,5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87,2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92,9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8,2</w:t>
            </w:r>
          </w:p>
        </w:tc>
      </w:tr>
      <w:tr w:rsidR="007478FE" w:rsidRPr="0051165C" w:rsidTr="008A4451">
        <w:trPr>
          <w:trHeight w:val="342"/>
        </w:trPr>
        <w:tc>
          <w:tcPr>
            <w:tcW w:w="2268" w:type="dxa"/>
            <w:vAlign w:val="center"/>
          </w:tcPr>
          <w:p w:rsidR="007478FE" w:rsidRPr="0051165C" w:rsidRDefault="007478FE" w:rsidP="007478F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91FF3" w:rsidRDefault="00077687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91FF3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91FF3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27BF4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27BF4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27BF4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78FE" w:rsidRPr="00927BF4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478FE" w:rsidRPr="00927BF4" w:rsidRDefault="007478FE" w:rsidP="007478F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27BF4" w:rsidRPr="0051165C" w:rsidTr="008A4451">
        <w:trPr>
          <w:trHeight w:val="352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75,4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18,8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27BF4" w:rsidRPr="0051165C" w:rsidTr="008A4451">
        <w:trPr>
          <w:trHeight w:val="342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62,4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16,5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14,5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27BF4" w:rsidRPr="0051165C" w:rsidTr="008A4451">
        <w:trPr>
          <w:trHeight w:val="313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8,3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2,2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7478FE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2,0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27BF4" w:rsidRPr="0051165C" w:rsidTr="008A4451">
        <w:trPr>
          <w:trHeight w:val="405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-62,5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-16,4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-14,6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927BF4" w:rsidRPr="0051165C" w:rsidTr="008A4451">
        <w:trPr>
          <w:trHeight w:val="258"/>
        </w:trPr>
        <w:tc>
          <w:tcPr>
            <w:tcW w:w="2268" w:type="dxa"/>
            <w:vAlign w:val="center"/>
          </w:tcPr>
          <w:p w:rsidR="00927BF4" w:rsidRPr="0051165C" w:rsidRDefault="00927BF4" w:rsidP="00927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51165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51165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-13,7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-3,6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7478FE" w:rsidRDefault="00927BF4" w:rsidP="00927BF4">
            <w:pPr>
              <w:jc w:val="right"/>
              <w:rPr>
                <w:rFonts w:cs="Calibri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-3,2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BF4" w:rsidRPr="00927BF4" w:rsidRDefault="00927BF4" w:rsidP="00927BF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38490F" w:rsidRPr="001521EB" w:rsidRDefault="00032C1F" w:rsidP="0038490F">
      <w:pPr>
        <w:pStyle w:val="Nagwek1"/>
        <w:rPr>
          <w:sz w:val="18"/>
          <w:szCs w:val="18"/>
        </w:rPr>
      </w:pPr>
      <w:r>
        <w:rPr>
          <w:sz w:val="18"/>
          <w:szCs w:val="18"/>
        </w:rPr>
        <w:t xml:space="preserve">Tablica 4. </w:t>
      </w:r>
      <w:r w:rsidR="0038490F" w:rsidRPr="001521EB">
        <w:rPr>
          <w:sz w:val="18"/>
          <w:szCs w:val="18"/>
        </w:rPr>
        <w:t>Import według kraju wysyłki</w:t>
      </w:r>
      <w:r w:rsidR="004F39A5" w:rsidRPr="001521EB">
        <w:rPr>
          <w:sz w:val="18"/>
          <w:szCs w:val="18"/>
        </w:rPr>
        <w:t xml:space="preserve"> – według krajów</w:t>
      </w:r>
    </w:p>
    <w:p w:rsidR="008935C5" w:rsidRDefault="003718AC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5264999</wp:posOffset>
                </wp:positionH>
                <wp:positionV relativeFrom="paragraph">
                  <wp:posOffset>1776178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Pr="009A5C86" w:rsidRDefault="00726212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pochodzenia był </w:t>
                            </w:r>
                            <w:r w:rsidR="00433D77">
                              <w:t>mniejszy o 3,9</w:t>
                            </w:r>
                            <w:r>
                              <w:t>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66AD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14.55pt;margin-top:139.8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DIcifF3wAAAAwBAAAPAAAAAAAAAAAAAAAAAGwEAABkcnMvZG93bnJldi54bWxQSwUGAAAAAAQA&#10;BADzAAAAeAUAAAAA&#10;" filled="f" stroked="f">
                <v:textbox>
                  <w:txbxContent>
                    <w:p w:rsidR="00726212" w:rsidRPr="009A5C86" w:rsidRDefault="00726212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pochodzenia był </w:t>
                      </w:r>
                      <w:r w:rsidR="00433D77">
                        <w:t>mniejszy o 3,9</w:t>
                      </w:r>
                      <w:r>
                        <w:t>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17B6" w:rsidRPr="001521EB">
        <w:rPr>
          <w:sz w:val="18"/>
          <w:szCs w:val="18"/>
        </w:rPr>
        <w:t xml:space="preserve">Udział Niemiec w imporcie według  </w:t>
      </w:r>
      <w:r w:rsidR="009C17B6" w:rsidRPr="001521EB">
        <w:rPr>
          <w:rFonts w:cs="Arial"/>
          <w:sz w:val="18"/>
          <w:szCs w:val="18"/>
        </w:rPr>
        <w:t>kraju wysyłki</w:t>
      </w:r>
      <w:r w:rsidR="001866D5" w:rsidRPr="001521EB">
        <w:rPr>
          <w:rFonts w:cs="Arial"/>
          <w:sz w:val="18"/>
          <w:szCs w:val="18"/>
        </w:rPr>
        <w:t>,</w:t>
      </w:r>
      <w:r w:rsidR="009C17B6" w:rsidRPr="001521EB">
        <w:rPr>
          <w:rFonts w:cs="Arial"/>
          <w:sz w:val="18"/>
          <w:szCs w:val="18"/>
        </w:rPr>
        <w:t xml:space="preserve"> </w:t>
      </w:r>
      <w:r w:rsidR="001866D5" w:rsidRPr="001521EB">
        <w:rPr>
          <w:rFonts w:cs="Arial"/>
          <w:sz w:val="18"/>
          <w:szCs w:val="18"/>
        </w:rPr>
        <w:t xml:space="preserve">w porównaniu z </w:t>
      </w:r>
      <w:r w:rsidR="009C17B6" w:rsidRPr="001521EB">
        <w:rPr>
          <w:rFonts w:cs="Arial"/>
          <w:sz w:val="18"/>
          <w:szCs w:val="18"/>
        </w:rPr>
        <w:t>import</w:t>
      </w:r>
      <w:r w:rsidR="001866D5" w:rsidRPr="001521EB">
        <w:rPr>
          <w:rFonts w:cs="Arial"/>
          <w:sz w:val="18"/>
          <w:szCs w:val="18"/>
        </w:rPr>
        <w:t>em</w:t>
      </w:r>
      <w:r w:rsidR="009C17B6" w:rsidRPr="001521EB">
        <w:rPr>
          <w:rFonts w:cs="Arial"/>
          <w:sz w:val="18"/>
          <w:szCs w:val="18"/>
        </w:rPr>
        <w:t xml:space="preserve"> według kraju pochodzenia</w:t>
      </w:r>
      <w:r w:rsidR="001866D5" w:rsidRPr="001521EB">
        <w:rPr>
          <w:rFonts w:cs="Arial"/>
          <w:sz w:val="18"/>
          <w:szCs w:val="18"/>
        </w:rPr>
        <w:t>,</w:t>
      </w:r>
      <w:r w:rsidR="009C17B6"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="009C17B6" w:rsidRPr="001521EB">
        <w:rPr>
          <w:rFonts w:cs="Arial"/>
          <w:sz w:val="18"/>
          <w:szCs w:val="18"/>
        </w:rPr>
        <w:t xml:space="preserve"> o </w:t>
      </w:r>
      <w:r w:rsidR="0099454C" w:rsidRPr="001521EB">
        <w:rPr>
          <w:rFonts w:cs="Arial"/>
          <w:sz w:val="18"/>
          <w:szCs w:val="18"/>
        </w:rPr>
        <w:t>4,</w:t>
      </w:r>
      <w:r w:rsidR="00726212">
        <w:rPr>
          <w:rFonts w:cs="Arial"/>
          <w:sz w:val="18"/>
          <w:szCs w:val="18"/>
        </w:rPr>
        <w:t>7</w:t>
      </w:r>
      <w:r w:rsidR="009C17B6"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="009C17B6"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123B39">
        <w:rPr>
          <w:rFonts w:cs="Arial"/>
          <w:sz w:val="18"/>
          <w:szCs w:val="18"/>
        </w:rPr>
        <w:t>8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123B39">
        <w:rPr>
          <w:rFonts w:cs="Arial"/>
          <w:sz w:val="18"/>
          <w:szCs w:val="18"/>
        </w:rPr>
        <w:t>Czech o 0,</w:t>
      </w:r>
      <w:r w:rsidR="00A72EB5">
        <w:rPr>
          <w:rFonts w:cs="Arial"/>
          <w:sz w:val="18"/>
          <w:szCs w:val="18"/>
        </w:rPr>
        <w:t>6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="00316AB5" w:rsidRPr="001521EB">
        <w:rPr>
          <w:rFonts w:cs="Arial"/>
          <w:sz w:val="18"/>
          <w:szCs w:val="18"/>
        </w:rPr>
        <w:t>, a </w:t>
      </w:r>
      <w:r w:rsidR="002A67F5" w:rsidRPr="001521EB">
        <w:rPr>
          <w:rFonts w:cs="Arial"/>
          <w:sz w:val="18"/>
          <w:szCs w:val="18"/>
        </w:rPr>
        <w:t>Rosji o 0,</w:t>
      </w:r>
      <w:r w:rsidR="00A72EB5">
        <w:rPr>
          <w:rFonts w:cs="Arial"/>
          <w:sz w:val="18"/>
          <w:szCs w:val="18"/>
        </w:rPr>
        <w:t>2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="009C17B6" w:rsidRPr="001521EB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265411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>– V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 w:rsidR="000B58F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107C8" w:rsidRPr="005F3D74" w:rsidTr="00265411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0B58F5">
              <w:rPr>
                <w:rFonts w:cs="Arial"/>
                <w:sz w:val="16"/>
                <w:szCs w:val="16"/>
              </w:rPr>
              <w:t>I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 w:rsidR="000B58F5">
              <w:rPr>
                <w:rFonts w:cs="Arial"/>
                <w:sz w:val="16"/>
                <w:szCs w:val="16"/>
              </w:rPr>
              <w:t>I</w:t>
            </w:r>
            <w:r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265411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154,8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40,8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36,1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22" w:type="dxa"/>
            <w:vAlign w:val="center"/>
          </w:tcPr>
          <w:p w:rsidR="008107C8" w:rsidRDefault="00726212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26,7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46,1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123,0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121,0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22" w:type="dxa"/>
            <w:vAlign w:val="center"/>
          </w:tcPr>
          <w:p w:rsidR="008107C8" w:rsidRDefault="00726212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8,0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36,0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82,7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22" w:type="dxa"/>
            <w:vAlign w:val="center"/>
          </w:tcPr>
          <w:p w:rsidR="008107C8" w:rsidRDefault="00726212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6,2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32,0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22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5,5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28,7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45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90,0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96,1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22" w:type="dxa"/>
            <w:vAlign w:val="center"/>
          </w:tcPr>
          <w:p w:rsidR="008107C8" w:rsidRDefault="00726212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5,0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23,7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45" w:type="dxa"/>
            <w:vAlign w:val="center"/>
          </w:tcPr>
          <w:p w:rsidR="008107C8" w:rsidRDefault="00D206DA" w:rsidP="00EF1DA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95,</w:t>
            </w:r>
            <w:r w:rsidR="00EF1DA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22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4,1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22,4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45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94,2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8107C8" w:rsidRDefault="00726212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3,9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8107C8" w:rsidP="008107C8">
            <w:pPr>
              <w:tabs>
                <w:tab w:val="left" w:leader="dot" w:pos="2381"/>
              </w:tabs>
              <w:spacing w:before="0"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22,1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45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3,8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FC5F2F" w:rsidRDefault="008107C8" w:rsidP="00E85DAA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5F053E">
              <w:rPr>
                <w:rFonts w:cs="Arial"/>
                <w:sz w:val="16"/>
                <w:szCs w:val="16"/>
              </w:rPr>
              <w:t xml:space="preserve">9.  </w:t>
            </w:r>
            <w:r w:rsidR="00E85DAA" w:rsidRPr="005F053E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center"/>
          </w:tcPr>
          <w:p w:rsidR="008107C8" w:rsidRPr="006D3569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D3569"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43" w:type="dxa"/>
            <w:vAlign w:val="center"/>
          </w:tcPr>
          <w:p w:rsidR="008107C8" w:rsidRPr="006D3569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D3569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43" w:type="dxa"/>
            <w:vAlign w:val="center"/>
          </w:tcPr>
          <w:p w:rsidR="008107C8" w:rsidRPr="006D3569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D3569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5" w:type="dxa"/>
            <w:vAlign w:val="center"/>
          </w:tcPr>
          <w:p w:rsidR="008107C8" w:rsidRPr="009E03E7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45" w:type="dxa"/>
            <w:vAlign w:val="center"/>
          </w:tcPr>
          <w:p w:rsidR="008107C8" w:rsidRPr="009E03E7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48" w:type="dxa"/>
            <w:vAlign w:val="center"/>
          </w:tcPr>
          <w:p w:rsidR="008107C8" w:rsidRPr="009E03E7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19" w:type="dxa"/>
            <w:vAlign w:val="center"/>
          </w:tcPr>
          <w:p w:rsidR="008107C8" w:rsidRPr="009E03E7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8107C8" w:rsidRPr="009E03E7" w:rsidRDefault="006D3569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2,6</w:t>
            </w:r>
          </w:p>
        </w:tc>
      </w:tr>
      <w:tr w:rsidR="008107C8" w:rsidTr="00265411">
        <w:trPr>
          <w:trHeight w:val="316"/>
        </w:trPr>
        <w:tc>
          <w:tcPr>
            <w:tcW w:w="2317" w:type="dxa"/>
            <w:vAlign w:val="center"/>
          </w:tcPr>
          <w:p w:rsidR="008107C8" w:rsidRPr="0038490F" w:rsidRDefault="00B52E7B" w:rsidP="008107C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bookmarkStart w:id="0" w:name="_GoBack"/>
            <w:bookmarkEnd w:id="0"/>
            <w:r w:rsidR="00E85DAA" w:rsidRPr="00E85DAA">
              <w:rPr>
                <w:rFonts w:cs="Arial"/>
                <w:sz w:val="16"/>
                <w:szCs w:val="16"/>
              </w:rPr>
              <w:t>W. Brytania</w:t>
            </w:r>
          </w:p>
        </w:tc>
        <w:tc>
          <w:tcPr>
            <w:tcW w:w="743" w:type="dxa"/>
            <w:vAlign w:val="center"/>
          </w:tcPr>
          <w:p w:rsidR="008107C8" w:rsidRDefault="004D6BE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43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center"/>
          </w:tcPr>
          <w:p w:rsidR="008107C8" w:rsidRDefault="002625B6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45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48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19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center"/>
          </w:tcPr>
          <w:p w:rsidR="008107C8" w:rsidRDefault="00D206DA" w:rsidP="008107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265411" w:rsidRPr="00265411" w:rsidRDefault="00265411" w:rsidP="00265411">
      <w:pPr>
        <w:rPr>
          <w:sz w:val="18"/>
          <w:szCs w:val="18"/>
          <w:lang w:eastAsia="pl-PL"/>
        </w:rPr>
      </w:pPr>
      <w:r w:rsidRPr="00265411">
        <w:rPr>
          <w:sz w:val="18"/>
          <w:szCs w:val="18"/>
          <w:lang w:eastAsia="pl-PL"/>
        </w:rPr>
        <w:lastRenderedPageBreak/>
        <w:t xml:space="preserve">W okresie styczeń – lipiec br. w obrotach towarowych wg nomenklatury SITC w porównaniu z siedmioma miesiącami ub. r.  odnotowano wzrost we wszystkich sekcjach towarowych po stronie eksportu i w większości po stronie importu. </w:t>
      </w:r>
    </w:p>
    <w:p w:rsidR="00265411" w:rsidRPr="00265411" w:rsidRDefault="00265411" w:rsidP="00265411">
      <w:pPr>
        <w:rPr>
          <w:sz w:val="18"/>
          <w:szCs w:val="18"/>
          <w:lang w:eastAsia="pl-PL"/>
        </w:rPr>
      </w:pPr>
      <w:r w:rsidRPr="00265411">
        <w:rPr>
          <w:sz w:val="18"/>
          <w:szCs w:val="18"/>
          <w:lang w:eastAsia="pl-PL"/>
        </w:rPr>
        <w:t>W eksporcie największy wzrost dotyczył</w:t>
      </w:r>
      <w:r>
        <w:rPr>
          <w:sz w:val="18"/>
          <w:szCs w:val="18"/>
          <w:lang w:eastAsia="pl-PL"/>
        </w:rPr>
        <w:t xml:space="preserve"> </w:t>
      </w:r>
      <w:r w:rsidRPr="00265411">
        <w:rPr>
          <w:sz w:val="18"/>
          <w:szCs w:val="18"/>
          <w:lang w:eastAsia="pl-PL"/>
        </w:rPr>
        <w:t>napojów i tytoniu (o 23,</w:t>
      </w:r>
      <w:r w:rsidR="00C45944">
        <w:rPr>
          <w:sz w:val="18"/>
          <w:szCs w:val="18"/>
          <w:lang w:eastAsia="pl-PL"/>
        </w:rPr>
        <w:t>6</w:t>
      </w:r>
      <w:r w:rsidRPr="00265411">
        <w:rPr>
          <w:sz w:val="18"/>
          <w:szCs w:val="18"/>
          <w:lang w:eastAsia="pl-PL"/>
        </w:rPr>
        <w:t xml:space="preserve">%), </w:t>
      </w:r>
      <w:r w:rsidR="00450148" w:rsidRPr="00265411">
        <w:rPr>
          <w:sz w:val="18"/>
          <w:szCs w:val="18"/>
          <w:lang w:eastAsia="pl-PL"/>
        </w:rPr>
        <w:t>olei</w:t>
      </w:r>
      <w:r w:rsidR="00450148" w:rsidRPr="00450148">
        <w:rPr>
          <w:sz w:val="18"/>
          <w:szCs w:val="18"/>
          <w:lang w:eastAsia="pl-PL"/>
        </w:rPr>
        <w:t xml:space="preserve"> </w:t>
      </w:r>
      <w:r w:rsidR="00450148" w:rsidRPr="00265411">
        <w:rPr>
          <w:sz w:val="18"/>
          <w:szCs w:val="18"/>
          <w:lang w:eastAsia="pl-PL"/>
        </w:rPr>
        <w:t xml:space="preserve">oraz tłuszczów, wosków, zwierzęcych i roślinnych (o </w:t>
      </w:r>
      <w:r w:rsidR="00450148">
        <w:rPr>
          <w:sz w:val="18"/>
          <w:szCs w:val="18"/>
          <w:lang w:eastAsia="pl-PL"/>
        </w:rPr>
        <w:t>20,8</w:t>
      </w:r>
      <w:r w:rsidR="00450148" w:rsidRPr="00265411">
        <w:rPr>
          <w:sz w:val="18"/>
          <w:szCs w:val="18"/>
          <w:lang w:eastAsia="pl-PL"/>
        </w:rPr>
        <w:t xml:space="preserve">%) </w:t>
      </w:r>
      <w:r w:rsidRPr="00265411">
        <w:rPr>
          <w:sz w:val="18"/>
          <w:szCs w:val="18"/>
          <w:lang w:eastAsia="pl-PL"/>
        </w:rPr>
        <w:t>natomiast najmniejszy wzrost odnotowano w surowcach niejadalnych</w:t>
      </w:r>
      <w:r>
        <w:rPr>
          <w:sz w:val="18"/>
          <w:szCs w:val="18"/>
          <w:lang w:eastAsia="pl-PL"/>
        </w:rPr>
        <w:t xml:space="preserve"> z wyjąt</w:t>
      </w:r>
      <w:r w:rsidRPr="00265411">
        <w:rPr>
          <w:sz w:val="18"/>
          <w:szCs w:val="18"/>
          <w:lang w:eastAsia="pl-PL"/>
        </w:rPr>
        <w:t xml:space="preserve">kiem paliw (o </w:t>
      </w:r>
      <w:r w:rsidR="00450148">
        <w:rPr>
          <w:sz w:val="18"/>
          <w:szCs w:val="18"/>
          <w:lang w:eastAsia="pl-PL"/>
        </w:rPr>
        <w:t>0</w:t>
      </w:r>
      <w:r w:rsidRPr="00265411">
        <w:rPr>
          <w:sz w:val="18"/>
          <w:szCs w:val="18"/>
          <w:lang w:eastAsia="pl-PL"/>
        </w:rPr>
        <w:t xml:space="preserve">,2%). </w:t>
      </w:r>
    </w:p>
    <w:p w:rsidR="00265411" w:rsidRPr="00265411" w:rsidRDefault="00265411" w:rsidP="00265411">
      <w:pPr>
        <w:rPr>
          <w:sz w:val="18"/>
          <w:szCs w:val="18"/>
          <w:lang w:eastAsia="pl-PL"/>
        </w:rPr>
      </w:pPr>
      <w:r w:rsidRPr="00265411">
        <w:rPr>
          <w:sz w:val="18"/>
          <w:szCs w:val="18"/>
          <w:lang w:eastAsia="pl-PL"/>
        </w:rPr>
        <w:t>W imporcie największy wzrost zanotowano w napojach i tytoniu (o 25,</w:t>
      </w:r>
      <w:r w:rsidR="005F053E">
        <w:rPr>
          <w:sz w:val="18"/>
          <w:szCs w:val="18"/>
          <w:lang w:eastAsia="pl-PL"/>
        </w:rPr>
        <w:t>0</w:t>
      </w:r>
      <w:r w:rsidRPr="00265411">
        <w:rPr>
          <w:sz w:val="18"/>
          <w:szCs w:val="18"/>
          <w:lang w:eastAsia="pl-PL"/>
        </w:rPr>
        <w:t xml:space="preserve">%) oraz maszynach, urządzeniach i sprzęcie transportowym (o </w:t>
      </w:r>
      <w:r w:rsidR="005F053E">
        <w:rPr>
          <w:sz w:val="18"/>
          <w:szCs w:val="18"/>
          <w:lang w:eastAsia="pl-PL"/>
        </w:rPr>
        <w:t>8,6</w:t>
      </w:r>
      <w:r w:rsidRPr="00265411">
        <w:rPr>
          <w:sz w:val="18"/>
          <w:szCs w:val="18"/>
          <w:lang w:eastAsia="pl-PL"/>
        </w:rPr>
        <w:t>%) nato</w:t>
      </w:r>
      <w:r w:rsidR="00266603">
        <w:rPr>
          <w:sz w:val="18"/>
          <w:szCs w:val="18"/>
          <w:lang w:eastAsia="pl-PL"/>
        </w:rPr>
        <w:t>miast spadek obserwowano w pali</w:t>
      </w:r>
      <w:r w:rsidRPr="00265411">
        <w:rPr>
          <w:sz w:val="18"/>
          <w:szCs w:val="18"/>
          <w:lang w:eastAsia="pl-PL"/>
        </w:rPr>
        <w:t xml:space="preserve">wach mineralnych, smarach i materiałach pochodnych (o </w:t>
      </w:r>
      <w:r w:rsidR="00DC157F">
        <w:rPr>
          <w:sz w:val="18"/>
          <w:szCs w:val="18"/>
          <w:lang w:eastAsia="pl-PL"/>
        </w:rPr>
        <w:t>3,</w:t>
      </w:r>
      <w:r w:rsidR="005F053E">
        <w:rPr>
          <w:sz w:val="18"/>
          <w:szCs w:val="18"/>
          <w:lang w:eastAsia="pl-PL"/>
        </w:rPr>
        <w:t>3</w:t>
      </w:r>
      <w:r w:rsidR="00DC157F">
        <w:rPr>
          <w:sz w:val="18"/>
          <w:szCs w:val="18"/>
          <w:lang w:eastAsia="pl-PL"/>
        </w:rPr>
        <w:t>%) oraz w surowcach niejadal</w:t>
      </w:r>
      <w:r w:rsidRPr="00265411">
        <w:rPr>
          <w:sz w:val="18"/>
          <w:szCs w:val="18"/>
          <w:lang w:eastAsia="pl-PL"/>
        </w:rPr>
        <w:t xml:space="preserve">nych z wyjątkiem paliw (o </w:t>
      </w:r>
      <w:r w:rsidR="005F053E">
        <w:rPr>
          <w:sz w:val="18"/>
          <w:szCs w:val="18"/>
          <w:lang w:eastAsia="pl-PL"/>
        </w:rPr>
        <w:t>1,1</w:t>
      </w:r>
      <w:r w:rsidRPr="00265411">
        <w:rPr>
          <w:sz w:val="18"/>
          <w:szCs w:val="18"/>
          <w:lang w:eastAsia="pl-PL"/>
        </w:rPr>
        <w:t>%).</w:t>
      </w:r>
    </w:p>
    <w:p w:rsidR="00831663" w:rsidRPr="00544975" w:rsidRDefault="00831663" w:rsidP="003D744D">
      <w:pPr>
        <w:rPr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99"/>
        <w:tblW w:w="10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2"/>
        <w:gridCol w:w="2225"/>
      </w:tblGrid>
      <w:tr w:rsidR="00267A5E" w:rsidRPr="00321DFA" w:rsidTr="007F2FD2">
        <w:trPr>
          <w:trHeight w:val="1912"/>
        </w:trPr>
        <w:tc>
          <w:tcPr>
            <w:tcW w:w="8322" w:type="dxa"/>
          </w:tcPr>
          <w:p w:rsidR="00267A5E" w:rsidRDefault="00267A5E" w:rsidP="00267A5E">
            <w:pPr>
              <w:spacing w:before="0" w:after="0" w:line="276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Wykres 1</w:t>
            </w:r>
            <w:r w:rsidRPr="003C18D2">
              <w:rPr>
                <w:b/>
                <w:lang w:eastAsia="pl-PL"/>
              </w:rPr>
              <w:t>. Struktura eksportu według sekcji nomenklatury SITC w okresie I-VII 2019 r.</w:t>
            </w:r>
          </w:p>
          <w:p w:rsidR="00267A5E" w:rsidRDefault="00267A5E" w:rsidP="00267A5E">
            <w:pPr>
              <w:spacing w:before="0" w:after="0" w:line="276" w:lineRule="auto"/>
              <w:rPr>
                <w:b/>
                <w:lang w:eastAsia="pl-PL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2B9B9CF" wp14:editId="3A1A0C19">
                  <wp:extent cx="4969565" cy="2488758"/>
                  <wp:effectExtent l="0" t="0" r="2540" b="6985"/>
                  <wp:docPr id="32" name="Wykres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267A5E" w:rsidRDefault="00267A5E" w:rsidP="00267A5E">
            <w:pPr>
              <w:spacing w:before="0" w:after="0" w:line="276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67A5E">
              <w:rPr>
                <w:rFonts w:cs="Arial"/>
                <w:b/>
                <w:color w:val="000000" w:themeColor="text1"/>
                <w:szCs w:val="19"/>
              </w:rPr>
              <w:t xml:space="preserve">Wykres 2. Struktura importu według sekcji nomenklatury SITC w okresie I-VII 2019 r  </w:t>
            </w:r>
          </w:p>
          <w:p w:rsidR="00267A5E" w:rsidRPr="003C18D2" w:rsidRDefault="007F2FD2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2F22276" wp14:editId="533E7BF1">
                  <wp:extent cx="4651513" cy="2671638"/>
                  <wp:effectExtent l="0" t="0" r="0" b="0"/>
                  <wp:docPr id="1" name="Wykres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267A5E" w:rsidRPr="00321DFA" w:rsidRDefault="00267A5E" w:rsidP="00267A5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4B7A56" w:rsidRDefault="004B7A56" w:rsidP="004B7A56">
      <w:pPr>
        <w:pStyle w:val="Nagwek1"/>
        <w:rPr>
          <w:color w:val="auto"/>
          <w:sz w:val="18"/>
          <w:szCs w:val="18"/>
          <w:shd w:val="clear" w:color="auto" w:fill="FFFFFF"/>
        </w:rPr>
      </w:pPr>
    </w:p>
    <w:p w:rsidR="003C18D2" w:rsidRDefault="003C18D2" w:rsidP="003C18D2">
      <w:pPr>
        <w:rPr>
          <w:lang w:eastAsia="pl-PL"/>
        </w:rPr>
      </w:pPr>
    </w:p>
    <w:p w:rsidR="00321DFA" w:rsidRPr="003C18D2" w:rsidRDefault="00321DFA" w:rsidP="003C18D2">
      <w:pPr>
        <w:rPr>
          <w:b/>
          <w:lang w:eastAsia="pl-PL"/>
        </w:rPr>
      </w:pPr>
    </w:p>
    <w:p w:rsidR="00321DFA" w:rsidRDefault="00321DFA" w:rsidP="00321DFA">
      <w:pPr>
        <w:rPr>
          <w:sz w:val="18"/>
          <w:szCs w:val="18"/>
          <w:lang w:eastAsia="pl-PL"/>
        </w:rPr>
      </w:pPr>
    </w:p>
    <w:p w:rsidR="00321DFA" w:rsidRDefault="00321DFA" w:rsidP="00321DFA">
      <w:pPr>
        <w:rPr>
          <w:sz w:val="18"/>
          <w:szCs w:val="18"/>
          <w:lang w:eastAsia="pl-PL"/>
        </w:rPr>
      </w:pPr>
    </w:p>
    <w:p w:rsidR="00792508" w:rsidRPr="00321DFA" w:rsidRDefault="00792508" w:rsidP="00321DFA">
      <w:pPr>
        <w:rPr>
          <w:sz w:val="18"/>
          <w:szCs w:val="18"/>
          <w:lang w:eastAsia="pl-PL"/>
        </w:rPr>
        <w:sectPr w:rsidR="00792508" w:rsidRPr="00321DFA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3C18D2" w:rsidRPr="008F3638" w:rsidRDefault="003C18D2" w:rsidP="00321DFA">
      <w:pPr>
        <w:framePr w:hSpace="141" w:wrap="around" w:vAnchor="text" w:hAnchor="page" w:x="1037" w:y="337"/>
        <w:spacing w:before="0" w:after="0" w:line="276" w:lineRule="auto"/>
        <w:rPr>
          <w:rFonts w:cs="Arial"/>
          <w:color w:val="000000" w:themeColor="text1"/>
          <w:sz w:val="20"/>
        </w:rPr>
      </w:pPr>
      <w:r w:rsidRPr="008F3638">
        <w:rPr>
          <w:rFonts w:cs="Arial"/>
          <w:color w:val="000000" w:themeColor="text1"/>
          <w:sz w:val="20"/>
        </w:rPr>
        <w:lastRenderedPageBreak/>
        <w:t>Opracowanie merytoryczne:</w:t>
      </w:r>
      <w:r>
        <w:rPr>
          <w:rFonts w:cs="Arial"/>
          <w:color w:val="000000" w:themeColor="text1"/>
          <w:sz w:val="20"/>
        </w:rPr>
        <w:t xml:space="preserve">                                      </w:t>
      </w:r>
      <w:r>
        <w:rPr>
          <w:rFonts w:cs="Arial"/>
          <w:color w:val="000000" w:themeColor="text1"/>
          <w:sz w:val="20"/>
        </w:rPr>
        <w:tab/>
      </w:r>
      <w:r w:rsidRPr="003C18D2">
        <w:rPr>
          <w:rFonts w:cs="Arial"/>
          <w:color w:val="000000" w:themeColor="text1"/>
          <w:sz w:val="20"/>
        </w:rPr>
        <w:t>Rozpowszechnianie</w:t>
      </w:r>
    </w:p>
    <w:p w:rsidR="003C18D2" w:rsidRPr="008F3638" w:rsidRDefault="003C18D2" w:rsidP="00321DFA">
      <w:pPr>
        <w:framePr w:hSpace="141" w:wrap="around" w:vAnchor="text" w:hAnchor="page" w:x="1037" w:y="337"/>
        <w:spacing w:before="0" w:after="0" w:line="240" w:lineRule="auto"/>
        <w:rPr>
          <w:rFonts w:cs="Arial"/>
          <w:b/>
          <w:color w:val="000000" w:themeColor="text1"/>
          <w:sz w:val="20"/>
        </w:rPr>
      </w:pPr>
      <w:r w:rsidRPr="008F3638">
        <w:rPr>
          <w:rFonts w:cs="Arial"/>
          <w:b/>
          <w:color w:val="000000" w:themeColor="text1"/>
          <w:sz w:val="20"/>
        </w:rPr>
        <w:t xml:space="preserve">Departament </w:t>
      </w:r>
      <w:r>
        <w:rPr>
          <w:rFonts w:cs="Arial"/>
          <w:b/>
          <w:color w:val="000000" w:themeColor="text1"/>
          <w:sz w:val="20"/>
        </w:rPr>
        <w:t xml:space="preserve">Handlu i Usług  </w:t>
      </w:r>
      <w:r>
        <w:rPr>
          <w:rFonts w:cs="Arial"/>
          <w:b/>
          <w:color w:val="000000" w:themeColor="text1"/>
          <w:sz w:val="20"/>
        </w:rPr>
        <w:tab/>
      </w:r>
      <w:r>
        <w:rPr>
          <w:rFonts w:cs="Arial"/>
          <w:b/>
          <w:color w:val="000000" w:themeColor="text1"/>
          <w:sz w:val="20"/>
        </w:rPr>
        <w:tab/>
      </w:r>
      <w:r>
        <w:rPr>
          <w:rFonts w:cs="Arial"/>
          <w:b/>
          <w:color w:val="000000" w:themeColor="text1"/>
          <w:sz w:val="20"/>
        </w:rPr>
        <w:tab/>
      </w:r>
      <w:r>
        <w:rPr>
          <w:rFonts w:cs="Arial"/>
          <w:b/>
          <w:color w:val="000000" w:themeColor="text1"/>
          <w:sz w:val="20"/>
        </w:rPr>
        <w:tab/>
      </w:r>
      <w:r w:rsidRPr="003C18D2">
        <w:rPr>
          <w:rFonts w:cs="Arial"/>
          <w:b/>
          <w:color w:val="000000" w:themeColor="text1"/>
          <w:sz w:val="20"/>
        </w:rPr>
        <w:t>Rzecznik Prasowy Prezesa GUS</w:t>
      </w:r>
    </w:p>
    <w:p w:rsidR="003C18D2" w:rsidRPr="00B92654" w:rsidRDefault="003C18D2" w:rsidP="00321DFA">
      <w:pPr>
        <w:pStyle w:val="Nagwek3"/>
        <w:framePr w:hSpace="141" w:wrap="around" w:vAnchor="text" w:hAnchor="page" w:x="1037" w:y="337"/>
        <w:spacing w:before="0" w:line="240" w:lineRule="auto"/>
        <w:rPr>
          <w:rFonts w:ascii="Fira Sans" w:hAnsi="Fira Sans" w:cs="Arial"/>
          <w:color w:val="auto"/>
          <w:sz w:val="20"/>
          <w:lang w:val="fi-FI"/>
        </w:rPr>
      </w:pPr>
      <w:r w:rsidRPr="00B92654">
        <w:rPr>
          <w:rFonts w:ascii="Fira Sans" w:hAnsi="Fira Sans" w:cs="Arial"/>
          <w:b/>
          <w:color w:val="auto"/>
          <w:sz w:val="20"/>
        </w:rPr>
        <w:t>Aldona B. Matejak</w:t>
      </w:r>
      <w:r w:rsidRPr="00B92654">
        <w:rPr>
          <w:rFonts w:ascii="Fira Sans" w:hAnsi="Fira Sans" w:cs="Arial"/>
          <w:color w:val="auto"/>
          <w:sz w:val="20"/>
          <w:lang w:val="fi-FI"/>
        </w:rPr>
        <w:t xml:space="preserve"> </w:t>
      </w:r>
      <w:r>
        <w:rPr>
          <w:rFonts w:ascii="Fira Sans" w:hAnsi="Fira Sans" w:cs="Arial"/>
          <w:color w:val="auto"/>
          <w:sz w:val="20"/>
          <w:lang w:val="fi-FI"/>
        </w:rPr>
        <w:tab/>
      </w:r>
      <w:r>
        <w:rPr>
          <w:rFonts w:ascii="Fira Sans" w:hAnsi="Fira Sans" w:cs="Arial"/>
          <w:color w:val="auto"/>
          <w:sz w:val="20"/>
          <w:lang w:val="fi-FI"/>
        </w:rPr>
        <w:tab/>
      </w:r>
      <w:r>
        <w:rPr>
          <w:rFonts w:ascii="Fira Sans" w:hAnsi="Fira Sans" w:cs="Arial"/>
          <w:color w:val="auto"/>
          <w:sz w:val="20"/>
          <w:lang w:val="fi-FI"/>
        </w:rPr>
        <w:tab/>
      </w:r>
      <w:r>
        <w:rPr>
          <w:rFonts w:ascii="Fira Sans" w:hAnsi="Fira Sans" w:cs="Arial"/>
          <w:color w:val="auto"/>
          <w:sz w:val="20"/>
          <w:lang w:val="fi-FI"/>
        </w:rPr>
        <w:tab/>
      </w:r>
      <w:r>
        <w:rPr>
          <w:rFonts w:ascii="Fira Sans" w:hAnsi="Fira Sans" w:cs="Arial"/>
          <w:color w:val="auto"/>
          <w:sz w:val="20"/>
          <w:lang w:val="fi-FI"/>
        </w:rPr>
        <w:tab/>
      </w:r>
      <w:r w:rsidRPr="003C18D2">
        <w:rPr>
          <w:rFonts w:ascii="Fira Sans" w:hAnsi="Fira Sans" w:cs="Arial"/>
          <w:b/>
          <w:color w:val="auto"/>
          <w:sz w:val="20"/>
          <w:lang w:val="fi-FI"/>
        </w:rPr>
        <w:t>Karolina Banaszek</w:t>
      </w:r>
    </w:p>
    <w:p w:rsidR="003C18D2" w:rsidRPr="00267A5E" w:rsidRDefault="003C18D2" w:rsidP="00321DFA">
      <w:pPr>
        <w:pStyle w:val="Nagwek3"/>
        <w:framePr w:hSpace="141" w:wrap="around" w:vAnchor="text" w:hAnchor="page" w:x="1037" w:y="337"/>
        <w:spacing w:before="0" w:line="240" w:lineRule="auto"/>
        <w:rPr>
          <w:rFonts w:cs="Arial"/>
          <w:color w:val="000000" w:themeColor="text1"/>
          <w:sz w:val="20"/>
        </w:rPr>
      </w:pPr>
      <w:r w:rsidRPr="008F3638">
        <w:rPr>
          <w:rFonts w:ascii="Fira Sans" w:hAnsi="Fira Sans" w:cs="Arial"/>
          <w:color w:val="000000" w:themeColor="text1"/>
          <w:sz w:val="20"/>
          <w:lang w:val="fi-FI"/>
        </w:rPr>
        <w:t xml:space="preserve">Tel: </w:t>
      </w:r>
      <w:r w:rsidRPr="00267A5E">
        <w:rPr>
          <w:rFonts w:ascii="Fira Sans" w:hAnsi="Fira Sans"/>
          <w:color w:val="auto"/>
          <w:sz w:val="20"/>
        </w:rPr>
        <w:t>22</w:t>
      </w:r>
      <w:r w:rsidRPr="00267A5E">
        <w:rPr>
          <w:color w:val="auto"/>
          <w:sz w:val="20"/>
        </w:rPr>
        <w:t xml:space="preserve"> </w:t>
      </w:r>
      <w:r>
        <w:rPr>
          <w:rFonts w:ascii="Fira Sans" w:hAnsi="Fira Sans" w:cs="Arial"/>
          <w:color w:val="000000" w:themeColor="text1"/>
          <w:sz w:val="20"/>
          <w:lang w:val="fi-FI"/>
        </w:rPr>
        <w:t>608 34 83</w:t>
      </w:r>
      <w:r>
        <w:rPr>
          <w:rFonts w:ascii="Fira Sans" w:hAnsi="Fira Sans" w:cs="Arial"/>
          <w:color w:val="000000" w:themeColor="text1"/>
          <w:sz w:val="20"/>
          <w:lang w:val="fi-FI"/>
        </w:rPr>
        <w:tab/>
      </w:r>
      <w:r>
        <w:rPr>
          <w:rFonts w:ascii="Fira Sans" w:hAnsi="Fira Sans" w:cs="Arial"/>
          <w:color w:val="000000" w:themeColor="text1"/>
          <w:sz w:val="20"/>
          <w:lang w:val="fi-FI"/>
        </w:rPr>
        <w:tab/>
      </w:r>
      <w:r>
        <w:rPr>
          <w:rFonts w:ascii="Fira Sans" w:hAnsi="Fira Sans" w:cs="Arial"/>
          <w:color w:val="000000" w:themeColor="text1"/>
          <w:sz w:val="20"/>
          <w:lang w:val="fi-FI"/>
        </w:rPr>
        <w:tab/>
      </w:r>
      <w:r>
        <w:rPr>
          <w:rFonts w:ascii="Fira Sans" w:hAnsi="Fira Sans" w:cs="Arial"/>
          <w:color w:val="000000" w:themeColor="text1"/>
          <w:sz w:val="20"/>
          <w:lang w:val="fi-FI"/>
        </w:rPr>
        <w:tab/>
      </w:r>
      <w:r>
        <w:rPr>
          <w:rFonts w:ascii="Fira Sans" w:hAnsi="Fira Sans" w:cs="Arial"/>
          <w:color w:val="000000" w:themeColor="text1"/>
          <w:sz w:val="20"/>
          <w:lang w:val="fi-FI"/>
        </w:rPr>
        <w:tab/>
      </w:r>
      <w:r w:rsidRPr="003C18D2">
        <w:rPr>
          <w:rFonts w:ascii="Fira Sans" w:hAnsi="Fira Sans" w:cs="Arial"/>
          <w:color w:val="000000" w:themeColor="text1"/>
          <w:sz w:val="20"/>
          <w:lang w:val="fi-FI"/>
        </w:rPr>
        <w:t>Tel: 22 608 34 75, 22 608 30 09</w:t>
      </w:r>
      <w:r w:rsidRPr="00267A5E">
        <w:rPr>
          <w:rFonts w:cs="Arial"/>
          <w:color w:val="000000" w:themeColor="text1"/>
          <w:sz w:val="20"/>
        </w:rPr>
        <w:tab/>
      </w:r>
    </w:p>
    <w:p w:rsidR="003C18D2" w:rsidRPr="003C18D2" w:rsidRDefault="003C18D2" w:rsidP="00321DFA">
      <w:pPr>
        <w:pStyle w:val="Nagwek3"/>
        <w:framePr w:hSpace="141" w:wrap="around" w:vAnchor="text" w:hAnchor="page" w:x="1037" w:y="337"/>
        <w:spacing w:before="0" w:line="240" w:lineRule="auto"/>
        <w:rPr>
          <w:rFonts w:ascii="Fira Sans" w:hAnsi="Fira Sans" w:cs="Arial"/>
          <w:color w:val="000000" w:themeColor="text1"/>
          <w:sz w:val="20"/>
          <w:lang w:val="fi-FI"/>
        </w:rPr>
      </w:pPr>
      <w:r>
        <w:rPr>
          <w:rFonts w:cs="Arial"/>
          <w:color w:val="000000" w:themeColor="text1"/>
          <w:sz w:val="20"/>
          <w:lang w:val="en-US"/>
        </w:rPr>
        <w:t>e-mail: a.matejak@stat.gov.pl</w:t>
      </w:r>
      <w:r w:rsidRPr="003C18D2">
        <w:rPr>
          <w:rFonts w:cs="Arial"/>
          <w:color w:val="000000" w:themeColor="text1"/>
          <w:sz w:val="20"/>
          <w:lang w:val="en-US"/>
        </w:rPr>
        <w:tab/>
      </w:r>
      <w:r w:rsidRPr="003C18D2">
        <w:rPr>
          <w:rFonts w:cs="Arial"/>
          <w:color w:val="000000" w:themeColor="text1"/>
          <w:sz w:val="20"/>
          <w:lang w:val="en-US"/>
        </w:rPr>
        <w:tab/>
      </w:r>
      <w:r w:rsidRPr="003C18D2">
        <w:rPr>
          <w:rFonts w:cs="Arial"/>
          <w:color w:val="000000" w:themeColor="text1"/>
          <w:sz w:val="20"/>
          <w:lang w:val="en-US"/>
        </w:rPr>
        <w:tab/>
      </w:r>
      <w:r>
        <w:rPr>
          <w:rFonts w:cs="Arial"/>
          <w:color w:val="000000" w:themeColor="text1"/>
          <w:sz w:val="20"/>
          <w:lang w:val="en-US"/>
        </w:rPr>
        <w:tab/>
      </w:r>
      <w:r w:rsidRPr="003C18D2">
        <w:rPr>
          <w:rFonts w:cs="Arial"/>
          <w:color w:val="000000" w:themeColor="text1"/>
          <w:sz w:val="20"/>
          <w:lang w:val="en-US"/>
        </w:rPr>
        <w:t>e-mail: rzecznik@stat.gov.pl</w:t>
      </w:r>
    </w:p>
    <w:p w:rsidR="003C18D2" w:rsidRPr="00831663" w:rsidRDefault="003C18D2" w:rsidP="00321DFA">
      <w:pPr>
        <w:framePr w:hSpace="141" w:wrap="around" w:vAnchor="text" w:hAnchor="page" w:x="1037" w:y="337"/>
        <w:spacing w:before="0" w:after="0" w:line="276" w:lineRule="auto"/>
        <w:rPr>
          <w:rFonts w:cs="Arial"/>
          <w:color w:val="000000" w:themeColor="text1"/>
          <w:sz w:val="20"/>
          <w:lang w:val="en-US"/>
        </w:rPr>
      </w:pPr>
    </w:p>
    <w:p w:rsidR="003C18D2" w:rsidRPr="003C18D2" w:rsidRDefault="003C18D2" w:rsidP="000470AA">
      <w:pPr>
        <w:rPr>
          <w:sz w:val="18"/>
          <w:lang w:val="en-US"/>
        </w:rPr>
      </w:pPr>
    </w:p>
    <w:tbl>
      <w:tblPr>
        <w:tblStyle w:val="Tabela-Siatka"/>
        <w:tblW w:w="54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595"/>
        <w:gridCol w:w="3082"/>
      </w:tblGrid>
      <w:tr w:rsidR="000470AA" w:rsidTr="000D7926">
        <w:trPr>
          <w:trHeight w:val="610"/>
        </w:trPr>
        <w:tc>
          <w:tcPr>
            <w:tcW w:w="2906" w:type="pct"/>
            <w:vMerge w:val="restart"/>
            <w:vAlign w:val="center"/>
          </w:tcPr>
          <w:p w:rsidR="000470AA" w:rsidRPr="00C91687" w:rsidRDefault="000470AA" w:rsidP="000D7926">
            <w:pPr>
              <w:ind w:firstLine="227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D7926">
            <w:pPr>
              <w:ind w:firstLine="227"/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D7926">
            <w:pPr>
              <w:ind w:firstLine="227"/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6779F7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39" w:type="pct"/>
            <w:vAlign w:val="center"/>
          </w:tcPr>
          <w:p w:rsidR="000470AA" w:rsidRPr="00690129" w:rsidRDefault="000470AA" w:rsidP="000D7926">
            <w:pPr>
              <w:ind w:left="-194" w:firstLine="142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D7926">
        <w:trPr>
          <w:trHeight w:val="436"/>
        </w:trPr>
        <w:tc>
          <w:tcPr>
            <w:tcW w:w="2906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3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D7926">
        <w:trPr>
          <w:trHeight w:val="436"/>
        </w:trPr>
        <w:tc>
          <w:tcPr>
            <w:tcW w:w="2906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3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212" w:rsidRDefault="0072621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26212" w:rsidRPr="00A00ADB" w:rsidRDefault="00726212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26212" w:rsidRPr="006779F7" w:rsidRDefault="00091C7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726212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726212" w:rsidRPr="006779F7" w:rsidRDefault="00091C70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726212" w:rsidRPr="006779F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726212" w:rsidRPr="006779F7" w:rsidRDefault="00726212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726212" w:rsidRPr="00A00ADB" w:rsidRDefault="00726212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726212" w:rsidRPr="00A00ADB" w:rsidRDefault="007262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26212" w:rsidRPr="006779F7" w:rsidRDefault="00726212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726212" w:rsidRPr="006779F7" w:rsidRDefault="0072621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726212" w:rsidRPr="00A00ADB" w:rsidRDefault="007262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26212" w:rsidRDefault="007262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26212" w:rsidRPr="006779F7" w:rsidRDefault="00091C7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726212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726212" w:rsidRPr="006779F7" w:rsidRDefault="00091C7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726212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726212" w:rsidRPr="006779F7" w:rsidRDefault="0072621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726212" w:rsidRPr="00020CD4" w:rsidRDefault="0072621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726212" w:rsidRPr="00020CD4" w:rsidRDefault="007262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726212" w:rsidRDefault="00726212" w:rsidP="00AB6D25">
                      <w:pPr>
                        <w:rPr>
                          <w:b/>
                        </w:rPr>
                      </w:pPr>
                    </w:p>
                    <w:p w:rsidR="00726212" w:rsidRPr="00A00ADB" w:rsidRDefault="00726212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726212" w:rsidRPr="006779F7" w:rsidRDefault="00726212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726212" w:rsidRPr="006779F7" w:rsidRDefault="00726212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6779F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726212" w:rsidRPr="006779F7" w:rsidRDefault="00726212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726212" w:rsidRPr="00A00ADB" w:rsidRDefault="00726212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726212" w:rsidRPr="00A00ADB" w:rsidRDefault="007262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726212" w:rsidRPr="006779F7" w:rsidRDefault="0072621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1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726212" w:rsidRPr="006779F7" w:rsidRDefault="0072621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726212" w:rsidRPr="00A00ADB" w:rsidRDefault="007262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26212" w:rsidRDefault="007262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726212" w:rsidRPr="006779F7" w:rsidRDefault="0072621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726212" w:rsidRPr="006779F7" w:rsidRDefault="0072621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726212" w:rsidRPr="006779F7" w:rsidRDefault="0072621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726212" w:rsidRPr="00020CD4" w:rsidRDefault="0072621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726212" w:rsidRPr="00020CD4" w:rsidRDefault="007262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70" w:rsidRDefault="00091C70" w:rsidP="000662E2">
      <w:pPr>
        <w:spacing w:after="0" w:line="240" w:lineRule="auto"/>
      </w:pPr>
      <w:r>
        <w:separator/>
      </w:r>
    </w:p>
  </w:endnote>
  <w:endnote w:type="continuationSeparator" w:id="0">
    <w:p w:rsidR="00091C70" w:rsidRDefault="00091C7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527847"/>
      <w:docPartObj>
        <w:docPartGallery w:val="Page Numbers (Bottom of Page)"/>
        <w:docPartUnique/>
      </w:docPartObj>
    </w:sdtPr>
    <w:sdtEndPr/>
    <w:sdtContent>
      <w:p w:rsidR="00726212" w:rsidRDefault="007262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7B">
          <w:rPr>
            <w:noProof/>
          </w:rPr>
          <w:t>6</w:t>
        </w:r>
        <w:r>
          <w:fldChar w:fldCharType="end"/>
        </w:r>
      </w:p>
    </w:sdtContent>
  </w:sdt>
  <w:p w:rsidR="00726212" w:rsidRDefault="007262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718096"/>
      <w:docPartObj>
        <w:docPartGallery w:val="Page Numbers (Bottom of Page)"/>
        <w:docPartUnique/>
      </w:docPartObj>
    </w:sdtPr>
    <w:sdtEndPr/>
    <w:sdtContent>
      <w:p w:rsidR="00726212" w:rsidRDefault="007262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7B">
          <w:rPr>
            <w:noProof/>
          </w:rPr>
          <w:t>1</w:t>
        </w:r>
        <w:r>
          <w:fldChar w:fldCharType="end"/>
        </w:r>
      </w:p>
    </w:sdtContent>
  </w:sdt>
  <w:p w:rsidR="00726212" w:rsidRDefault="007262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70" w:rsidRDefault="00091C70" w:rsidP="000662E2">
      <w:pPr>
        <w:spacing w:after="0" w:line="240" w:lineRule="auto"/>
      </w:pPr>
      <w:r>
        <w:separator/>
      </w:r>
    </w:p>
  </w:footnote>
  <w:footnote w:type="continuationSeparator" w:id="0">
    <w:p w:rsidR="00091C70" w:rsidRDefault="00091C70" w:rsidP="000662E2">
      <w:pPr>
        <w:spacing w:after="0" w:line="240" w:lineRule="auto"/>
      </w:pPr>
      <w:r>
        <w:continuationSeparator/>
      </w:r>
    </w:p>
  </w:footnote>
  <w:footnote w:id="1">
    <w:p w:rsidR="00726212" w:rsidRPr="006779F7" w:rsidRDefault="00726212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726212" w:rsidRPr="004926AC" w:rsidRDefault="00726212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726212" w:rsidRPr="006779F7" w:rsidRDefault="00726212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726212" w:rsidRPr="001521EB" w:rsidRDefault="00726212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12" w:rsidRDefault="007262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27EB5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26212" w:rsidRDefault="007262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12" w:rsidRDefault="007262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26212" w:rsidRPr="003C6C8D" w:rsidRDefault="0072621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26212" w:rsidRPr="003C6C8D" w:rsidRDefault="0072621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1EE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59" name="Obraz 5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6212" w:rsidRDefault="007262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6212" w:rsidRPr="00C97596" w:rsidRDefault="0072621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12.09.2019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26212" w:rsidRPr="00C97596" w:rsidRDefault="0072621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12.09.2019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12" w:rsidRDefault="00726212">
    <w:pPr>
      <w:pStyle w:val="Nagwek"/>
    </w:pPr>
  </w:p>
  <w:p w:rsidR="00726212" w:rsidRDefault="007262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41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463A"/>
    <w:rsid w:val="00036E65"/>
    <w:rsid w:val="00042C5D"/>
    <w:rsid w:val="0004582E"/>
    <w:rsid w:val="00045AE7"/>
    <w:rsid w:val="000470AA"/>
    <w:rsid w:val="0005568D"/>
    <w:rsid w:val="00057CA1"/>
    <w:rsid w:val="00061882"/>
    <w:rsid w:val="00062B95"/>
    <w:rsid w:val="000662E2"/>
    <w:rsid w:val="00066883"/>
    <w:rsid w:val="00074DD8"/>
    <w:rsid w:val="000757CE"/>
    <w:rsid w:val="00076A47"/>
    <w:rsid w:val="00077687"/>
    <w:rsid w:val="000806F7"/>
    <w:rsid w:val="0008639F"/>
    <w:rsid w:val="000877D5"/>
    <w:rsid w:val="00091C70"/>
    <w:rsid w:val="00091E91"/>
    <w:rsid w:val="00097DDE"/>
    <w:rsid w:val="000A1EEF"/>
    <w:rsid w:val="000A52DD"/>
    <w:rsid w:val="000B0727"/>
    <w:rsid w:val="000B2A9C"/>
    <w:rsid w:val="000B3A5D"/>
    <w:rsid w:val="000B3CED"/>
    <w:rsid w:val="000B4844"/>
    <w:rsid w:val="000B58F5"/>
    <w:rsid w:val="000B6C36"/>
    <w:rsid w:val="000C1304"/>
    <w:rsid w:val="000C135D"/>
    <w:rsid w:val="000C1736"/>
    <w:rsid w:val="000D1D43"/>
    <w:rsid w:val="000D225C"/>
    <w:rsid w:val="000D2A5C"/>
    <w:rsid w:val="000D40B2"/>
    <w:rsid w:val="000D7926"/>
    <w:rsid w:val="000E0918"/>
    <w:rsid w:val="000E25E9"/>
    <w:rsid w:val="000F0682"/>
    <w:rsid w:val="000F0ADB"/>
    <w:rsid w:val="000F0CF3"/>
    <w:rsid w:val="000F7952"/>
    <w:rsid w:val="001011C3"/>
    <w:rsid w:val="00101311"/>
    <w:rsid w:val="001051ED"/>
    <w:rsid w:val="00107F69"/>
    <w:rsid w:val="00110D87"/>
    <w:rsid w:val="001146CE"/>
    <w:rsid w:val="00114DB9"/>
    <w:rsid w:val="00116087"/>
    <w:rsid w:val="00117BEB"/>
    <w:rsid w:val="00123B39"/>
    <w:rsid w:val="001249C0"/>
    <w:rsid w:val="00130296"/>
    <w:rsid w:val="00133770"/>
    <w:rsid w:val="001423B6"/>
    <w:rsid w:val="00142DAE"/>
    <w:rsid w:val="001440E1"/>
    <w:rsid w:val="001448A7"/>
    <w:rsid w:val="00146621"/>
    <w:rsid w:val="001478E5"/>
    <w:rsid w:val="00150575"/>
    <w:rsid w:val="0015098A"/>
    <w:rsid w:val="001521EB"/>
    <w:rsid w:val="00152273"/>
    <w:rsid w:val="001527EB"/>
    <w:rsid w:val="00162325"/>
    <w:rsid w:val="00165CF8"/>
    <w:rsid w:val="0017078D"/>
    <w:rsid w:val="00180078"/>
    <w:rsid w:val="00181344"/>
    <w:rsid w:val="00183104"/>
    <w:rsid w:val="0018449E"/>
    <w:rsid w:val="001854DB"/>
    <w:rsid w:val="00185BAA"/>
    <w:rsid w:val="001866D5"/>
    <w:rsid w:val="001876B3"/>
    <w:rsid w:val="001951DA"/>
    <w:rsid w:val="001B232A"/>
    <w:rsid w:val="001B5922"/>
    <w:rsid w:val="001C21E8"/>
    <w:rsid w:val="001C3269"/>
    <w:rsid w:val="001C3CA0"/>
    <w:rsid w:val="001C54F0"/>
    <w:rsid w:val="001D111C"/>
    <w:rsid w:val="001D1DB4"/>
    <w:rsid w:val="001D2F4A"/>
    <w:rsid w:val="001D3D88"/>
    <w:rsid w:val="001D5C53"/>
    <w:rsid w:val="00206276"/>
    <w:rsid w:val="00206A18"/>
    <w:rsid w:val="0021324D"/>
    <w:rsid w:val="0021507D"/>
    <w:rsid w:val="002263FD"/>
    <w:rsid w:val="002313C5"/>
    <w:rsid w:val="00233D8A"/>
    <w:rsid w:val="002359A9"/>
    <w:rsid w:val="00235ACD"/>
    <w:rsid w:val="00240783"/>
    <w:rsid w:val="00243108"/>
    <w:rsid w:val="00243BE1"/>
    <w:rsid w:val="00246534"/>
    <w:rsid w:val="002574F9"/>
    <w:rsid w:val="002625B6"/>
    <w:rsid w:val="00265411"/>
    <w:rsid w:val="00266603"/>
    <w:rsid w:val="00267A5E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926DF"/>
    <w:rsid w:val="00293800"/>
    <w:rsid w:val="00296697"/>
    <w:rsid w:val="002A0DB5"/>
    <w:rsid w:val="002A2450"/>
    <w:rsid w:val="002A29DF"/>
    <w:rsid w:val="002A67F5"/>
    <w:rsid w:val="002A744A"/>
    <w:rsid w:val="002B0472"/>
    <w:rsid w:val="002B0F39"/>
    <w:rsid w:val="002B1B9F"/>
    <w:rsid w:val="002B6B12"/>
    <w:rsid w:val="002C3693"/>
    <w:rsid w:val="002D0C2D"/>
    <w:rsid w:val="002D45CF"/>
    <w:rsid w:val="002E14D1"/>
    <w:rsid w:val="002E6140"/>
    <w:rsid w:val="002E6985"/>
    <w:rsid w:val="002E71B6"/>
    <w:rsid w:val="002F2768"/>
    <w:rsid w:val="002F6FF1"/>
    <w:rsid w:val="002F77C8"/>
    <w:rsid w:val="00304F22"/>
    <w:rsid w:val="00306C7C"/>
    <w:rsid w:val="00316AB5"/>
    <w:rsid w:val="0032060E"/>
    <w:rsid w:val="00320D7D"/>
    <w:rsid w:val="003216C9"/>
    <w:rsid w:val="00321DFA"/>
    <w:rsid w:val="0032239E"/>
    <w:rsid w:val="00322EDD"/>
    <w:rsid w:val="0032494F"/>
    <w:rsid w:val="00325007"/>
    <w:rsid w:val="0032506F"/>
    <w:rsid w:val="00332320"/>
    <w:rsid w:val="00334AFD"/>
    <w:rsid w:val="0033544C"/>
    <w:rsid w:val="00341E6A"/>
    <w:rsid w:val="00345F7C"/>
    <w:rsid w:val="00347D72"/>
    <w:rsid w:val="003538DC"/>
    <w:rsid w:val="0035478B"/>
    <w:rsid w:val="00357611"/>
    <w:rsid w:val="00361DB6"/>
    <w:rsid w:val="00366025"/>
    <w:rsid w:val="00367237"/>
    <w:rsid w:val="0037077F"/>
    <w:rsid w:val="00370BA7"/>
    <w:rsid w:val="003718AC"/>
    <w:rsid w:val="00371FC0"/>
    <w:rsid w:val="00373882"/>
    <w:rsid w:val="003749BC"/>
    <w:rsid w:val="0037765E"/>
    <w:rsid w:val="00380ACD"/>
    <w:rsid w:val="00380F5A"/>
    <w:rsid w:val="00382AF0"/>
    <w:rsid w:val="0038341F"/>
    <w:rsid w:val="003843DB"/>
    <w:rsid w:val="0038490F"/>
    <w:rsid w:val="00385406"/>
    <w:rsid w:val="003910FE"/>
    <w:rsid w:val="00393761"/>
    <w:rsid w:val="0039743C"/>
    <w:rsid w:val="00397D18"/>
    <w:rsid w:val="003A1B36"/>
    <w:rsid w:val="003A6F6A"/>
    <w:rsid w:val="003A7475"/>
    <w:rsid w:val="003B1454"/>
    <w:rsid w:val="003B2C69"/>
    <w:rsid w:val="003C18D2"/>
    <w:rsid w:val="003C491B"/>
    <w:rsid w:val="003C5369"/>
    <w:rsid w:val="003C59E0"/>
    <w:rsid w:val="003C6B82"/>
    <w:rsid w:val="003C6C8D"/>
    <w:rsid w:val="003D23E6"/>
    <w:rsid w:val="003D2F99"/>
    <w:rsid w:val="003D4F95"/>
    <w:rsid w:val="003D5F42"/>
    <w:rsid w:val="003D60A9"/>
    <w:rsid w:val="003D744D"/>
    <w:rsid w:val="003E06AE"/>
    <w:rsid w:val="003E0EA7"/>
    <w:rsid w:val="003F4C97"/>
    <w:rsid w:val="003F4E15"/>
    <w:rsid w:val="003F7FE6"/>
    <w:rsid w:val="00400193"/>
    <w:rsid w:val="00403C1A"/>
    <w:rsid w:val="0040410B"/>
    <w:rsid w:val="004045B9"/>
    <w:rsid w:val="00404EF4"/>
    <w:rsid w:val="00411B7F"/>
    <w:rsid w:val="00411C0A"/>
    <w:rsid w:val="00415EEB"/>
    <w:rsid w:val="00420CC6"/>
    <w:rsid w:val="004212E7"/>
    <w:rsid w:val="0042446D"/>
    <w:rsid w:val="00424EA5"/>
    <w:rsid w:val="0042526E"/>
    <w:rsid w:val="004260F2"/>
    <w:rsid w:val="0042788C"/>
    <w:rsid w:val="00427BF8"/>
    <w:rsid w:val="0043023F"/>
    <w:rsid w:val="00431673"/>
    <w:rsid w:val="00431C02"/>
    <w:rsid w:val="00433D77"/>
    <w:rsid w:val="00434D16"/>
    <w:rsid w:val="00436B8E"/>
    <w:rsid w:val="00437395"/>
    <w:rsid w:val="004376C1"/>
    <w:rsid w:val="00442FC5"/>
    <w:rsid w:val="00445047"/>
    <w:rsid w:val="0044566C"/>
    <w:rsid w:val="00450148"/>
    <w:rsid w:val="00450EC0"/>
    <w:rsid w:val="0045590E"/>
    <w:rsid w:val="00455BDD"/>
    <w:rsid w:val="004606DA"/>
    <w:rsid w:val="00461F90"/>
    <w:rsid w:val="004633F8"/>
    <w:rsid w:val="00463E39"/>
    <w:rsid w:val="00464B6B"/>
    <w:rsid w:val="004657FC"/>
    <w:rsid w:val="0046619C"/>
    <w:rsid w:val="00471416"/>
    <w:rsid w:val="004733F6"/>
    <w:rsid w:val="00474E69"/>
    <w:rsid w:val="00476D65"/>
    <w:rsid w:val="0048231B"/>
    <w:rsid w:val="00482378"/>
    <w:rsid w:val="00483835"/>
    <w:rsid w:val="00484A9E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AD"/>
    <w:rsid w:val="004A3208"/>
    <w:rsid w:val="004A3F92"/>
    <w:rsid w:val="004B2FBB"/>
    <w:rsid w:val="004B3135"/>
    <w:rsid w:val="004B64A7"/>
    <w:rsid w:val="004B7A56"/>
    <w:rsid w:val="004C1895"/>
    <w:rsid w:val="004C67E3"/>
    <w:rsid w:val="004C6D40"/>
    <w:rsid w:val="004D02B5"/>
    <w:rsid w:val="004D03FC"/>
    <w:rsid w:val="004D100F"/>
    <w:rsid w:val="004D6BE6"/>
    <w:rsid w:val="004E06A9"/>
    <w:rsid w:val="004F0C3C"/>
    <w:rsid w:val="004F1349"/>
    <w:rsid w:val="004F396B"/>
    <w:rsid w:val="004F39A5"/>
    <w:rsid w:val="004F44A4"/>
    <w:rsid w:val="004F4BB0"/>
    <w:rsid w:val="004F5D89"/>
    <w:rsid w:val="004F63FC"/>
    <w:rsid w:val="004F6793"/>
    <w:rsid w:val="004F68CF"/>
    <w:rsid w:val="00500AE5"/>
    <w:rsid w:val="00501314"/>
    <w:rsid w:val="00504FF0"/>
    <w:rsid w:val="00505A92"/>
    <w:rsid w:val="0051165C"/>
    <w:rsid w:val="00514E23"/>
    <w:rsid w:val="005203F1"/>
    <w:rsid w:val="00521BC3"/>
    <w:rsid w:val="00533632"/>
    <w:rsid w:val="005344A0"/>
    <w:rsid w:val="005354A1"/>
    <w:rsid w:val="00535E77"/>
    <w:rsid w:val="00542062"/>
    <w:rsid w:val="0054251F"/>
    <w:rsid w:val="00544975"/>
    <w:rsid w:val="00550618"/>
    <w:rsid w:val="005516EE"/>
    <w:rsid w:val="005520D8"/>
    <w:rsid w:val="00553670"/>
    <w:rsid w:val="005549A9"/>
    <w:rsid w:val="00556A37"/>
    <w:rsid w:val="00556CF1"/>
    <w:rsid w:val="00557D1E"/>
    <w:rsid w:val="00557EBD"/>
    <w:rsid w:val="0057408C"/>
    <w:rsid w:val="005762A7"/>
    <w:rsid w:val="00577171"/>
    <w:rsid w:val="00577D1B"/>
    <w:rsid w:val="00582A71"/>
    <w:rsid w:val="00582DB3"/>
    <w:rsid w:val="00585385"/>
    <w:rsid w:val="00586936"/>
    <w:rsid w:val="005916D7"/>
    <w:rsid w:val="00596F08"/>
    <w:rsid w:val="005A698C"/>
    <w:rsid w:val="005A729A"/>
    <w:rsid w:val="005C161A"/>
    <w:rsid w:val="005C3C14"/>
    <w:rsid w:val="005C40DB"/>
    <w:rsid w:val="005C4C4F"/>
    <w:rsid w:val="005C5358"/>
    <w:rsid w:val="005D0A93"/>
    <w:rsid w:val="005E0799"/>
    <w:rsid w:val="005E67F5"/>
    <w:rsid w:val="005E711B"/>
    <w:rsid w:val="005E76AC"/>
    <w:rsid w:val="005F053E"/>
    <w:rsid w:val="005F0F6A"/>
    <w:rsid w:val="005F30B8"/>
    <w:rsid w:val="005F364D"/>
    <w:rsid w:val="005F39A7"/>
    <w:rsid w:val="005F3D74"/>
    <w:rsid w:val="005F5A80"/>
    <w:rsid w:val="005F7CBF"/>
    <w:rsid w:val="00603F82"/>
    <w:rsid w:val="006044FF"/>
    <w:rsid w:val="0060742F"/>
    <w:rsid w:val="00607CC5"/>
    <w:rsid w:val="0061112C"/>
    <w:rsid w:val="00614ABB"/>
    <w:rsid w:val="0062279C"/>
    <w:rsid w:val="00625919"/>
    <w:rsid w:val="006308F3"/>
    <w:rsid w:val="00633014"/>
    <w:rsid w:val="0063437B"/>
    <w:rsid w:val="006401A1"/>
    <w:rsid w:val="006413C7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3305"/>
    <w:rsid w:val="00673C26"/>
    <w:rsid w:val="0067455E"/>
    <w:rsid w:val="0067678F"/>
    <w:rsid w:val="006779F7"/>
    <w:rsid w:val="006812AF"/>
    <w:rsid w:val="00682774"/>
    <w:rsid w:val="0068327D"/>
    <w:rsid w:val="00690129"/>
    <w:rsid w:val="00694AF0"/>
    <w:rsid w:val="006955FC"/>
    <w:rsid w:val="00695756"/>
    <w:rsid w:val="00697932"/>
    <w:rsid w:val="006A215D"/>
    <w:rsid w:val="006A2BAA"/>
    <w:rsid w:val="006A53FB"/>
    <w:rsid w:val="006A7B80"/>
    <w:rsid w:val="006B0E9E"/>
    <w:rsid w:val="006B3EE4"/>
    <w:rsid w:val="006B53C4"/>
    <w:rsid w:val="006B5AE4"/>
    <w:rsid w:val="006B7487"/>
    <w:rsid w:val="006C57ED"/>
    <w:rsid w:val="006D31C0"/>
    <w:rsid w:val="006D3569"/>
    <w:rsid w:val="006D4054"/>
    <w:rsid w:val="006E02EC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6212"/>
    <w:rsid w:val="0072766B"/>
    <w:rsid w:val="00727D29"/>
    <w:rsid w:val="007324AA"/>
    <w:rsid w:val="00743D83"/>
    <w:rsid w:val="00744F3A"/>
    <w:rsid w:val="00746187"/>
    <w:rsid w:val="007476ED"/>
    <w:rsid w:val="007478FE"/>
    <w:rsid w:val="00751740"/>
    <w:rsid w:val="0076254F"/>
    <w:rsid w:val="00772D14"/>
    <w:rsid w:val="00773E91"/>
    <w:rsid w:val="007801F5"/>
    <w:rsid w:val="00783CA4"/>
    <w:rsid w:val="007842FB"/>
    <w:rsid w:val="00786124"/>
    <w:rsid w:val="007906BE"/>
    <w:rsid w:val="00792508"/>
    <w:rsid w:val="0079514B"/>
    <w:rsid w:val="0079518C"/>
    <w:rsid w:val="007A2DC1"/>
    <w:rsid w:val="007A3200"/>
    <w:rsid w:val="007A43AE"/>
    <w:rsid w:val="007B6E5D"/>
    <w:rsid w:val="007C5BFA"/>
    <w:rsid w:val="007D3319"/>
    <w:rsid w:val="007D335D"/>
    <w:rsid w:val="007D3F3F"/>
    <w:rsid w:val="007D6BC4"/>
    <w:rsid w:val="007E035E"/>
    <w:rsid w:val="007E3314"/>
    <w:rsid w:val="007E3777"/>
    <w:rsid w:val="007E4B03"/>
    <w:rsid w:val="007E745C"/>
    <w:rsid w:val="007F2FD2"/>
    <w:rsid w:val="007F324B"/>
    <w:rsid w:val="0080296F"/>
    <w:rsid w:val="00802EA8"/>
    <w:rsid w:val="008034A9"/>
    <w:rsid w:val="0080553C"/>
    <w:rsid w:val="00805B46"/>
    <w:rsid w:val="00807E55"/>
    <w:rsid w:val="008107C8"/>
    <w:rsid w:val="0081161B"/>
    <w:rsid w:val="0081655E"/>
    <w:rsid w:val="00825DC2"/>
    <w:rsid w:val="00825F5C"/>
    <w:rsid w:val="00826962"/>
    <w:rsid w:val="00831663"/>
    <w:rsid w:val="00832FBE"/>
    <w:rsid w:val="00833E1C"/>
    <w:rsid w:val="00834AD3"/>
    <w:rsid w:val="0084092E"/>
    <w:rsid w:val="00843795"/>
    <w:rsid w:val="008443C6"/>
    <w:rsid w:val="00847F0F"/>
    <w:rsid w:val="00852448"/>
    <w:rsid w:val="0085493C"/>
    <w:rsid w:val="00856DB8"/>
    <w:rsid w:val="008649C0"/>
    <w:rsid w:val="00864AF5"/>
    <w:rsid w:val="0087185E"/>
    <w:rsid w:val="008720A0"/>
    <w:rsid w:val="00881A4D"/>
    <w:rsid w:val="0088258A"/>
    <w:rsid w:val="00886332"/>
    <w:rsid w:val="00887BD4"/>
    <w:rsid w:val="008935C5"/>
    <w:rsid w:val="008A10A2"/>
    <w:rsid w:val="008A26D9"/>
    <w:rsid w:val="008A2AAB"/>
    <w:rsid w:val="008A4451"/>
    <w:rsid w:val="008A5AF9"/>
    <w:rsid w:val="008A697A"/>
    <w:rsid w:val="008B4B4D"/>
    <w:rsid w:val="008C0C29"/>
    <w:rsid w:val="008C317D"/>
    <w:rsid w:val="008C3310"/>
    <w:rsid w:val="008D4BAD"/>
    <w:rsid w:val="008E4435"/>
    <w:rsid w:val="008F3638"/>
    <w:rsid w:val="008F6F31"/>
    <w:rsid w:val="008F74DF"/>
    <w:rsid w:val="0090441A"/>
    <w:rsid w:val="00905115"/>
    <w:rsid w:val="0090586A"/>
    <w:rsid w:val="00907540"/>
    <w:rsid w:val="009127BA"/>
    <w:rsid w:val="009127E7"/>
    <w:rsid w:val="00916E7F"/>
    <w:rsid w:val="00921F50"/>
    <w:rsid w:val="009227A6"/>
    <w:rsid w:val="00922F19"/>
    <w:rsid w:val="00926CDA"/>
    <w:rsid w:val="00927BF4"/>
    <w:rsid w:val="009317BB"/>
    <w:rsid w:val="00932408"/>
    <w:rsid w:val="00932D33"/>
    <w:rsid w:val="00933EC1"/>
    <w:rsid w:val="00935A2E"/>
    <w:rsid w:val="00941B33"/>
    <w:rsid w:val="00947486"/>
    <w:rsid w:val="00947F29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449"/>
    <w:rsid w:val="00987A98"/>
    <w:rsid w:val="00991BAC"/>
    <w:rsid w:val="00991FF3"/>
    <w:rsid w:val="00992926"/>
    <w:rsid w:val="00992930"/>
    <w:rsid w:val="0099454C"/>
    <w:rsid w:val="009949DA"/>
    <w:rsid w:val="00996BA0"/>
    <w:rsid w:val="009A0646"/>
    <w:rsid w:val="009A0F70"/>
    <w:rsid w:val="009A39CF"/>
    <w:rsid w:val="009A4604"/>
    <w:rsid w:val="009A5C86"/>
    <w:rsid w:val="009A6EA0"/>
    <w:rsid w:val="009B122A"/>
    <w:rsid w:val="009B14E6"/>
    <w:rsid w:val="009B3523"/>
    <w:rsid w:val="009C1335"/>
    <w:rsid w:val="009C17B6"/>
    <w:rsid w:val="009C1AB2"/>
    <w:rsid w:val="009C3D37"/>
    <w:rsid w:val="009C5A21"/>
    <w:rsid w:val="009C5D06"/>
    <w:rsid w:val="009C7251"/>
    <w:rsid w:val="009D0070"/>
    <w:rsid w:val="009D1900"/>
    <w:rsid w:val="009D3B83"/>
    <w:rsid w:val="009D538B"/>
    <w:rsid w:val="009D6D75"/>
    <w:rsid w:val="009E03E7"/>
    <w:rsid w:val="009E2E91"/>
    <w:rsid w:val="009E31C1"/>
    <w:rsid w:val="009E397A"/>
    <w:rsid w:val="009E4DE1"/>
    <w:rsid w:val="009F21D8"/>
    <w:rsid w:val="009F50B3"/>
    <w:rsid w:val="009F59A3"/>
    <w:rsid w:val="009F66FB"/>
    <w:rsid w:val="00A00ADB"/>
    <w:rsid w:val="00A04D4B"/>
    <w:rsid w:val="00A05404"/>
    <w:rsid w:val="00A139F5"/>
    <w:rsid w:val="00A1510C"/>
    <w:rsid w:val="00A165B0"/>
    <w:rsid w:val="00A26BFE"/>
    <w:rsid w:val="00A365F4"/>
    <w:rsid w:val="00A369DD"/>
    <w:rsid w:val="00A416B1"/>
    <w:rsid w:val="00A44ACB"/>
    <w:rsid w:val="00A44C71"/>
    <w:rsid w:val="00A45156"/>
    <w:rsid w:val="00A45440"/>
    <w:rsid w:val="00A47D80"/>
    <w:rsid w:val="00A53132"/>
    <w:rsid w:val="00A5504C"/>
    <w:rsid w:val="00A563F2"/>
    <w:rsid w:val="00A566E8"/>
    <w:rsid w:val="00A60420"/>
    <w:rsid w:val="00A62DF9"/>
    <w:rsid w:val="00A66EF2"/>
    <w:rsid w:val="00A719E1"/>
    <w:rsid w:val="00A72EB5"/>
    <w:rsid w:val="00A77F02"/>
    <w:rsid w:val="00A810F9"/>
    <w:rsid w:val="00A81F44"/>
    <w:rsid w:val="00A83658"/>
    <w:rsid w:val="00A844E6"/>
    <w:rsid w:val="00A86ECC"/>
    <w:rsid w:val="00A86EFC"/>
    <w:rsid w:val="00A86FCC"/>
    <w:rsid w:val="00A876AE"/>
    <w:rsid w:val="00A913B8"/>
    <w:rsid w:val="00A96827"/>
    <w:rsid w:val="00AA020F"/>
    <w:rsid w:val="00AA710D"/>
    <w:rsid w:val="00AB12B8"/>
    <w:rsid w:val="00AB6D25"/>
    <w:rsid w:val="00AC7857"/>
    <w:rsid w:val="00AC7C36"/>
    <w:rsid w:val="00AD002E"/>
    <w:rsid w:val="00AD2C9F"/>
    <w:rsid w:val="00AD34B4"/>
    <w:rsid w:val="00AE2D4B"/>
    <w:rsid w:val="00AE4F99"/>
    <w:rsid w:val="00AE636C"/>
    <w:rsid w:val="00AF1C38"/>
    <w:rsid w:val="00B04285"/>
    <w:rsid w:val="00B05382"/>
    <w:rsid w:val="00B10B0A"/>
    <w:rsid w:val="00B14952"/>
    <w:rsid w:val="00B15BEB"/>
    <w:rsid w:val="00B16932"/>
    <w:rsid w:val="00B2094C"/>
    <w:rsid w:val="00B217B3"/>
    <w:rsid w:val="00B21D4D"/>
    <w:rsid w:val="00B22A2B"/>
    <w:rsid w:val="00B25357"/>
    <w:rsid w:val="00B2555E"/>
    <w:rsid w:val="00B25C00"/>
    <w:rsid w:val="00B31E5A"/>
    <w:rsid w:val="00B34243"/>
    <w:rsid w:val="00B3462D"/>
    <w:rsid w:val="00B36F0D"/>
    <w:rsid w:val="00B409DC"/>
    <w:rsid w:val="00B420C3"/>
    <w:rsid w:val="00B459A0"/>
    <w:rsid w:val="00B5279C"/>
    <w:rsid w:val="00B52E7B"/>
    <w:rsid w:val="00B55492"/>
    <w:rsid w:val="00B62719"/>
    <w:rsid w:val="00B653AB"/>
    <w:rsid w:val="00B65F9E"/>
    <w:rsid w:val="00B66555"/>
    <w:rsid w:val="00B66B1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D2BC3"/>
    <w:rsid w:val="00BD2D4A"/>
    <w:rsid w:val="00BD3701"/>
    <w:rsid w:val="00BD4E33"/>
    <w:rsid w:val="00BD6945"/>
    <w:rsid w:val="00BE060A"/>
    <w:rsid w:val="00BE2DB9"/>
    <w:rsid w:val="00BE462F"/>
    <w:rsid w:val="00BE4961"/>
    <w:rsid w:val="00BE588F"/>
    <w:rsid w:val="00BF31C8"/>
    <w:rsid w:val="00BF713B"/>
    <w:rsid w:val="00C02127"/>
    <w:rsid w:val="00C030DE"/>
    <w:rsid w:val="00C05B49"/>
    <w:rsid w:val="00C1043C"/>
    <w:rsid w:val="00C132A6"/>
    <w:rsid w:val="00C22105"/>
    <w:rsid w:val="00C244B6"/>
    <w:rsid w:val="00C2457D"/>
    <w:rsid w:val="00C26CCF"/>
    <w:rsid w:val="00C30406"/>
    <w:rsid w:val="00C3702F"/>
    <w:rsid w:val="00C425A6"/>
    <w:rsid w:val="00C45944"/>
    <w:rsid w:val="00C52F34"/>
    <w:rsid w:val="00C530F9"/>
    <w:rsid w:val="00C5627C"/>
    <w:rsid w:val="00C62708"/>
    <w:rsid w:val="00C64A37"/>
    <w:rsid w:val="00C6783A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868D4"/>
    <w:rsid w:val="00C91687"/>
    <w:rsid w:val="00C924A8"/>
    <w:rsid w:val="00C945FE"/>
    <w:rsid w:val="00C96FAA"/>
    <w:rsid w:val="00C97A04"/>
    <w:rsid w:val="00CA107B"/>
    <w:rsid w:val="00CA484D"/>
    <w:rsid w:val="00CA58E8"/>
    <w:rsid w:val="00CB44FA"/>
    <w:rsid w:val="00CB5036"/>
    <w:rsid w:val="00CC0691"/>
    <w:rsid w:val="00CC140A"/>
    <w:rsid w:val="00CC303A"/>
    <w:rsid w:val="00CC38CB"/>
    <w:rsid w:val="00CC67E6"/>
    <w:rsid w:val="00CC739E"/>
    <w:rsid w:val="00CD1F4B"/>
    <w:rsid w:val="00CD2FE9"/>
    <w:rsid w:val="00CD58B7"/>
    <w:rsid w:val="00CE082C"/>
    <w:rsid w:val="00CF0D73"/>
    <w:rsid w:val="00CF2D58"/>
    <w:rsid w:val="00CF4099"/>
    <w:rsid w:val="00CF79F6"/>
    <w:rsid w:val="00D00796"/>
    <w:rsid w:val="00D107E8"/>
    <w:rsid w:val="00D115A8"/>
    <w:rsid w:val="00D206DA"/>
    <w:rsid w:val="00D214B3"/>
    <w:rsid w:val="00D261A2"/>
    <w:rsid w:val="00D34807"/>
    <w:rsid w:val="00D34D98"/>
    <w:rsid w:val="00D37998"/>
    <w:rsid w:val="00D41FA3"/>
    <w:rsid w:val="00D53D5E"/>
    <w:rsid w:val="00D5479C"/>
    <w:rsid w:val="00D54D58"/>
    <w:rsid w:val="00D616D2"/>
    <w:rsid w:val="00D626BB"/>
    <w:rsid w:val="00D63B5F"/>
    <w:rsid w:val="00D67CD3"/>
    <w:rsid w:val="00D70EF7"/>
    <w:rsid w:val="00D7529C"/>
    <w:rsid w:val="00D828B7"/>
    <w:rsid w:val="00D8397C"/>
    <w:rsid w:val="00D90FF5"/>
    <w:rsid w:val="00D9370A"/>
    <w:rsid w:val="00D94EED"/>
    <w:rsid w:val="00D96026"/>
    <w:rsid w:val="00D975DE"/>
    <w:rsid w:val="00DA7C1C"/>
    <w:rsid w:val="00DB10D9"/>
    <w:rsid w:val="00DB147A"/>
    <w:rsid w:val="00DB1B7A"/>
    <w:rsid w:val="00DB562E"/>
    <w:rsid w:val="00DB6839"/>
    <w:rsid w:val="00DC1533"/>
    <w:rsid w:val="00DC157F"/>
    <w:rsid w:val="00DC6708"/>
    <w:rsid w:val="00DD08C1"/>
    <w:rsid w:val="00DD31F2"/>
    <w:rsid w:val="00DD47E8"/>
    <w:rsid w:val="00DF0EAD"/>
    <w:rsid w:val="00DF10D1"/>
    <w:rsid w:val="00DF4D6E"/>
    <w:rsid w:val="00DF5570"/>
    <w:rsid w:val="00E01436"/>
    <w:rsid w:val="00E045BD"/>
    <w:rsid w:val="00E12DB3"/>
    <w:rsid w:val="00E17B77"/>
    <w:rsid w:val="00E17C86"/>
    <w:rsid w:val="00E17F92"/>
    <w:rsid w:val="00E23337"/>
    <w:rsid w:val="00E2374C"/>
    <w:rsid w:val="00E259EA"/>
    <w:rsid w:val="00E25E36"/>
    <w:rsid w:val="00E31FA1"/>
    <w:rsid w:val="00E32061"/>
    <w:rsid w:val="00E33A76"/>
    <w:rsid w:val="00E42FF9"/>
    <w:rsid w:val="00E441B4"/>
    <w:rsid w:val="00E4479F"/>
    <w:rsid w:val="00E44BC0"/>
    <w:rsid w:val="00E4714C"/>
    <w:rsid w:val="00E51AEB"/>
    <w:rsid w:val="00E522A7"/>
    <w:rsid w:val="00E53C35"/>
    <w:rsid w:val="00E54452"/>
    <w:rsid w:val="00E57771"/>
    <w:rsid w:val="00E57F7F"/>
    <w:rsid w:val="00E64E91"/>
    <w:rsid w:val="00E664C5"/>
    <w:rsid w:val="00E671A2"/>
    <w:rsid w:val="00E76D26"/>
    <w:rsid w:val="00E76EC6"/>
    <w:rsid w:val="00E77410"/>
    <w:rsid w:val="00E85DAA"/>
    <w:rsid w:val="00E91F67"/>
    <w:rsid w:val="00E93AC6"/>
    <w:rsid w:val="00EA5CD2"/>
    <w:rsid w:val="00EA5FCE"/>
    <w:rsid w:val="00EA7416"/>
    <w:rsid w:val="00EB1390"/>
    <w:rsid w:val="00EB2C71"/>
    <w:rsid w:val="00EB370B"/>
    <w:rsid w:val="00EB4340"/>
    <w:rsid w:val="00EB46E9"/>
    <w:rsid w:val="00EB4BA2"/>
    <w:rsid w:val="00EB556D"/>
    <w:rsid w:val="00EB5A7D"/>
    <w:rsid w:val="00ED06AE"/>
    <w:rsid w:val="00ED0E44"/>
    <w:rsid w:val="00ED55C0"/>
    <w:rsid w:val="00ED55E0"/>
    <w:rsid w:val="00ED682B"/>
    <w:rsid w:val="00EE41D5"/>
    <w:rsid w:val="00EE6CE0"/>
    <w:rsid w:val="00EF11BF"/>
    <w:rsid w:val="00EF1DA5"/>
    <w:rsid w:val="00EF4F31"/>
    <w:rsid w:val="00EF7FB1"/>
    <w:rsid w:val="00F002F9"/>
    <w:rsid w:val="00F0226D"/>
    <w:rsid w:val="00F02C7E"/>
    <w:rsid w:val="00F02FC9"/>
    <w:rsid w:val="00F037A4"/>
    <w:rsid w:val="00F067F4"/>
    <w:rsid w:val="00F1200E"/>
    <w:rsid w:val="00F152E6"/>
    <w:rsid w:val="00F2007B"/>
    <w:rsid w:val="00F20E2E"/>
    <w:rsid w:val="00F24CA1"/>
    <w:rsid w:val="00F26C6B"/>
    <w:rsid w:val="00F274D0"/>
    <w:rsid w:val="00F27C8F"/>
    <w:rsid w:val="00F31D96"/>
    <w:rsid w:val="00F32749"/>
    <w:rsid w:val="00F32C43"/>
    <w:rsid w:val="00F3415A"/>
    <w:rsid w:val="00F34221"/>
    <w:rsid w:val="00F35284"/>
    <w:rsid w:val="00F35F16"/>
    <w:rsid w:val="00F37172"/>
    <w:rsid w:val="00F42440"/>
    <w:rsid w:val="00F4477E"/>
    <w:rsid w:val="00F453BB"/>
    <w:rsid w:val="00F523C7"/>
    <w:rsid w:val="00F600D4"/>
    <w:rsid w:val="00F657FD"/>
    <w:rsid w:val="00F67D8F"/>
    <w:rsid w:val="00F70DA2"/>
    <w:rsid w:val="00F802BE"/>
    <w:rsid w:val="00F86024"/>
    <w:rsid w:val="00F8611A"/>
    <w:rsid w:val="00F87ED1"/>
    <w:rsid w:val="00F9355F"/>
    <w:rsid w:val="00F94807"/>
    <w:rsid w:val="00FA258F"/>
    <w:rsid w:val="00FA2A0D"/>
    <w:rsid w:val="00FA5128"/>
    <w:rsid w:val="00FA5E2C"/>
    <w:rsid w:val="00FB42D4"/>
    <w:rsid w:val="00FB50BD"/>
    <w:rsid w:val="00FB5906"/>
    <w:rsid w:val="00FB762F"/>
    <w:rsid w:val="00FC0B7D"/>
    <w:rsid w:val="00FC2AED"/>
    <w:rsid w:val="00FC43DA"/>
    <w:rsid w:val="00FC5F2F"/>
    <w:rsid w:val="00FC71CA"/>
    <w:rsid w:val="00FD2E48"/>
    <w:rsid w:val="00FD5DDE"/>
    <w:rsid w:val="00FD5EA7"/>
    <w:rsid w:val="00FD784B"/>
    <w:rsid w:val="00FE08D1"/>
    <w:rsid w:val="00FE4723"/>
    <w:rsid w:val="00FF0040"/>
    <w:rsid w:val="00FF1498"/>
    <w:rsid w:val="00FF29C2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tat.gov.pl/banki-i-bazy-danych/handel-zagraniczny/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119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tat.gov.pl/metainformacje/slownik-pojec/pojecia-stosowane-w-statystyce-publicznej/74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://stat.gov.pl/obszary-tematyczne/roczniki-statystyczne/roczniki-statystyczne/rocznik-statystyczny-handlu-zagranicznego-2018,9,1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://stat.gov.pl/banki-i-bazy-danych/handel-zagraniczny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roczniki-statystyczne/roczniki-statystyczne/rocznik-statystyczny-handlu-zagranicznego-2018,9,12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SitePagesDBW/HandelZagranicz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Arkusz1!$C$3:$K$3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pochodne</c:v>
                </c:pt>
                <c:pt idx="4">
                  <c:v>Oleje, tłuszcze, woski, zwierzęce i roślinne</c:v>
                </c:pt>
                <c:pt idx="5">
                  <c:v>Paliwa mineralne, smary i materiały pokrewne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247310304"/>
        <c:axId val="-1247308672"/>
      </c:barChart>
      <c:catAx>
        <c:axId val="-1247310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47308672"/>
        <c:crosses val="autoZero"/>
        <c:auto val="1"/>
        <c:lblAlgn val="ctr"/>
        <c:lblOffset val="100"/>
        <c:noMultiLvlLbl val="0"/>
      </c:catAx>
      <c:valAx>
        <c:axId val="-12473086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247310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Arkusz1!$C$26:$K$26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pochodne</c:v>
                </c:pt>
                <c:pt idx="4">
                  <c:v>Oleje, tłuszcze, woski, zwierzęce i roślinne</c:v>
                </c:pt>
                <c:pt idx="5">
                  <c:v>Paliwa mineralne, smary i materiały pokrewne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Arkusz1!$C$27:$K$27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247306496"/>
        <c:axId val="-1247305952"/>
      </c:barChart>
      <c:catAx>
        <c:axId val="-1247306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47305952"/>
        <c:crosses val="autoZero"/>
        <c:auto val="1"/>
        <c:lblAlgn val="ctr"/>
        <c:lblOffset val="100"/>
        <c:noMultiLvlLbl val="0"/>
      </c:catAx>
      <c:valAx>
        <c:axId val="-12473059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24730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54C82-C463-4F51-B5A7-56FA1DA6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Witkowski Pawel</cp:lastModifiedBy>
  <cp:revision>20</cp:revision>
  <cp:lastPrinted>2019-09-09T11:28:00Z</cp:lastPrinted>
  <dcterms:created xsi:type="dcterms:W3CDTF">2019-09-09T10:48:00Z</dcterms:created>
  <dcterms:modified xsi:type="dcterms:W3CDTF">2019-09-10T07:36:00Z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