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bookmarkStart w:id="0" w:name="_GoBack"/>
      <w:bookmarkEnd w:id="0"/>
      <w:r w:rsidRPr="00E76D26">
        <w:t xml:space="preserve">Koniunktura w </w:t>
      </w:r>
      <w:r w:rsidR="00D33ADF">
        <w:t>przetwórstwie przemysłowym</w:t>
      </w:r>
      <w:r w:rsidRPr="00E76D26">
        <w:t xml:space="preserve">, </w:t>
      </w:r>
      <w:r w:rsidR="001B48F9">
        <w:br/>
      </w:r>
      <w:r w:rsidRPr="00E76D26">
        <w:t>b</w:t>
      </w:r>
      <w:r w:rsidR="00E76D26" w:rsidRPr="00E76D26">
        <w:t xml:space="preserve">udownictwie, handlu i usługach </w:t>
      </w:r>
      <w:r w:rsidR="00347D72" w:rsidRPr="00E76D26">
        <w:t xml:space="preserve">– </w:t>
      </w:r>
      <w:r w:rsidR="000958A9">
        <w:t>maj</w:t>
      </w:r>
      <w:r w:rsidR="00526B0F">
        <w:t xml:space="preserve"> 2019</w:t>
      </w:r>
      <w:r w:rsidR="00003437">
        <w:t xml:space="preserve"> r.</w:t>
      </w:r>
    </w:p>
    <w:p w:rsidR="0098135C" w:rsidRPr="00001C5B" w:rsidRDefault="000806F7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266065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D616D2" w:rsidRDefault="007A2DC1" w:rsidP="008F74D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15pt;margin-top:20.95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CfzmLt8AAAALAQAADwAAAAAAAAAAAAAAAABqBAAAZHJzL2Rvd25yZXYueG1sUEsFBgAAAAAEAAQA&#10;8wAAAHYFAAAAAA==&#10;" filled="f" stroked="f">
                <v:textbox>
                  <w:txbxContent>
                    <w:p w:rsidR="007A2DC1" w:rsidRPr="00D616D2" w:rsidRDefault="007A2DC1" w:rsidP="008F74D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33014" w:rsidRDefault="00003437" w:rsidP="00482FAD">
      <w:pPr>
        <w:pStyle w:val="LID"/>
        <w:rPr>
          <w:color w:val="212492"/>
          <w:sz w:val="20"/>
        </w:rPr>
      </w:pPr>
      <w:r w:rsidRPr="00001C5B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5298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1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9F46A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A36E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0958A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,3</w:t>
                            </w:r>
                          </w:p>
                          <w:p w:rsidR="00933EC1" w:rsidRPr="007D3319" w:rsidRDefault="00276811" w:rsidP="00633014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Ogólny wskaźnik syntetyczny </w:t>
                            </w:r>
                            <w:r w:rsidR="0000343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koniunktury gospodarczej GUS (SI)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177.4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9F46A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A36E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0958A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,3</w:t>
                      </w:r>
                    </w:p>
                    <w:p w:rsidR="00933EC1" w:rsidRPr="007D3319" w:rsidRDefault="00276811" w:rsidP="00633014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Ogólny wskaźnik syntetyczny </w:t>
                      </w:r>
                      <w:r w:rsidR="0000343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koniunktury gospodarczej GUS (SI)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FAD" w:rsidRPr="00482FAD">
        <w:t xml:space="preserve">Ogólny wskaźnik syntetyczny koniunktury gospodarczej GUS (SI) w </w:t>
      </w:r>
      <w:r w:rsidR="0067076B">
        <w:t>maju</w:t>
      </w:r>
      <w:r w:rsidR="00482FAD" w:rsidRPr="00482FAD">
        <w:t xml:space="preserve"> 201</w:t>
      </w:r>
      <w:r w:rsidR="00804892">
        <w:t>9</w:t>
      </w:r>
      <w:r w:rsidR="00482FAD" w:rsidRPr="00482FAD">
        <w:t xml:space="preserve"> r. kształtuje się na poziomie </w:t>
      </w:r>
      <w:r w:rsidR="0067076B">
        <w:t>zbliżonym do</w:t>
      </w:r>
      <w:r w:rsidR="000F42CD">
        <w:t xml:space="preserve"> </w:t>
      </w:r>
      <w:r w:rsidR="00E0664E">
        <w:t>notowanego w </w:t>
      </w:r>
      <w:r w:rsidR="0067076B">
        <w:t>kwietniu</w:t>
      </w:r>
      <w:r w:rsidR="003C4464">
        <w:t xml:space="preserve"> 2019</w:t>
      </w:r>
      <w:r w:rsidR="00A051F6">
        <w:t xml:space="preserve"> r.</w:t>
      </w:r>
      <w:r w:rsidR="0067076B">
        <w:t>, ale niższym niż w</w:t>
      </w:r>
      <w:r w:rsidR="005A6F50">
        <w:t xml:space="preserve"> </w:t>
      </w:r>
      <w:r w:rsidR="00B836C6">
        <w:t>maju</w:t>
      </w:r>
      <w:r w:rsidR="005A6F50">
        <w:t xml:space="preserve"> 2018 r.</w:t>
      </w:r>
      <w:r w:rsidR="003C4464">
        <w:t xml:space="preserve"> </w:t>
      </w:r>
      <w:r w:rsidR="00482FAD" w:rsidRPr="00482FAD">
        <w:t xml:space="preserve">Wskaźnik ten </w:t>
      </w:r>
      <w:r w:rsidR="00482BBE">
        <w:t xml:space="preserve">od </w:t>
      </w:r>
      <w:r w:rsidR="00804892">
        <w:t>stycznia</w:t>
      </w:r>
      <w:r w:rsidR="00482BBE">
        <w:t xml:space="preserve"> 201</w:t>
      </w:r>
      <w:r w:rsidR="00D41C37">
        <w:t xml:space="preserve">7 </w:t>
      </w:r>
      <w:r w:rsidR="00880870" w:rsidRPr="00482FAD">
        <w:t>r.</w:t>
      </w:r>
      <w:r w:rsidR="00880870">
        <w:t xml:space="preserve"> </w:t>
      </w:r>
      <w:r w:rsidR="00482FAD" w:rsidRPr="00482FAD">
        <w:t>przyjmuje wartości powyżej średniej długookresowej</w:t>
      </w:r>
      <w:r w:rsidR="00880870">
        <w:t>.</w:t>
      </w:r>
      <w:r w:rsidR="00482FAD" w:rsidRPr="00482FAD">
        <w:t xml:space="preserve"> 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3E170B" w:rsidRDefault="000F42CD" w:rsidP="00E76D26">
      <w:pPr>
        <w:pStyle w:val="Nagwek1"/>
        <w:spacing w:before="0"/>
        <w:rPr>
          <w:rFonts w:ascii="Fira Sans" w:hAnsi="Fira Sans"/>
          <w:b/>
          <w:szCs w:val="19"/>
        </w:rPr>
      </w:pPr>
      <w:r w:rsidRPr="003E170B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5223477</wp:posOffset>
                </wp:positionH>
                <wp:positionV relativeFrom="paragraph">
                  <wp:posOffset>165058</wp:posOffset>
                </wp:positionV>
                <wp:extent cx="1725295" cy="1223010"/>
                <wp:effectExtent l="0" t="0" r="0" b="0"/>
                <wp:wrapTight wrapText="bothSides">
                  <wp:wrapPolygon edited="0">
                    <wp:start x="715" y="0"/>
                    <wp:lineTo x="715" y="21196"/>
                    <wp:lineTo x="20749" y="21196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D616D2" w:rsidRDefault="00FD3DD3" w:rsidP="00D616D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ć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kładow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914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dla </w:t>
                            </w:r>
                            <w:r w:rsidR="00011A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budownictwa</w:t>
                            </w:r>
                            <w:r w:rsidR="007B1B5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się </w:t>
                            </w:r>
                            <w:r w:rsidR="005E14A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2914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E747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maju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9655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poziomie </w:t>
                            </w:r>
                            <w:r w:rsidR="001E747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niższym</w:t>
                            </w:r>
                            <w:r w:rsidR="00011A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E747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</w:t>
                            </w:r>
                            <w:r w:rsid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0664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2914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E747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kwietniu</w:t>
                            </w:r>
                            <w:r w:rsidR="003231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</w:t>
                            </w:r>
                            <w:r w:rsidR="005F6DFA" w:rsidRP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3pt;margin-top:13pt;width:135.85pt;height:96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" filled="f" stroked="f">
                <v:textbox>
                  <w:txbxContent>
                    <w:p w:rsidR="00D616D2" w:rsidRPr="00D616D2" w:rsidRDefault="00FD3DD3" w:rsidP="00D616D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ć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kładow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914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dla </w:t>
                      </w:r>
                      <w:r w:rsidR="00011A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budownictwa</w:t>
                      </w:r>
                      <w:r w:rsidR="007B1B5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się </w:t>
                      </w:r>
                      <w:r w:rsidR="005E14A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2914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E747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maju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9655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poziomie </w:t>
                      </w:r>
                      <w:r w:rsidR="001E747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niższym</w:t>
                      </w:r>
                      <w:r w:rsidR="00011A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E747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</w:t>
                      </w:r>
                      <w:r w:rsid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0664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2914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E747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kwietniu</w:t>
                      </w:r>
                      <w:r w:rsidR="003231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</w:t>
                      </w:r>
                      <w:r w:rsidR="005F6DFA" w:rsidRP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6811" w:rsidRPr="003E170B">
        <w:rPr>
          <w:rFonts w:ascii="Fira Sans" w:hAnsi="Fira Sans"/>
          <w:b/>
          <w:spacing w:val="-2"/>
          <w:szCs w:val="19"/>
        </w:rPr>
        <w:t xml:space="preserve">Ogólny wskaźnik </w:t>
      </w:r>
      <w:r w:rsidR="00276811" w:rsidRPr="003E170B">
        <w:rPr>
          <w:rFonts w:ascii="Fira Sans" w:hAnsi="Fira Sans"/>
          <w:b/>
        </w:rPr>
        <w:t>syntetyczny k</w:t>
      </w:r>
      <w:r w:rsidR="00276811" w:rsidRPr="003E170B">
        <w:rPr>
          <w:rFonts w:ascii="Fira Sans" w:hAnsi="Fira Sans"/>
          <w:b/>
          <w:spacing w:val="-2"/>
          <w:szCs w:val="19"/>
        </w:rPr>
        <w:t>oniunktury gospodarczej GUS dla Polski (</w:t>
      </w:r>
      <w:r w:rsidR="00EB4340" w:rsidRPr="003E170B">
        <w:rPr>
          <w:rFonts w:ascii="Fira Sans" w:hAnsi="Fira Sans"/>
          <w:b/>
          <w:spacing w:val="-2"/>
          <w:szCs w:val="19"/>
        </w:rPr>
        <w:t>SI</w:t>
      </w:r>
      <w:r w:rsidR="00276811" w:rsidRPr="003E170B">
        <w:rPr>
          <w:rFonts w:ascii="Fira Sans" w:hAnsi="Fira Sans"/>
          <w:b/>
          <w:spacing w:val="-2"/>
          <w:szCs w:val="19"/>
        </w:rPr>
        <w:t xml:space="preserve">) w </w:t>
      </w:r>
      <w:r w:rsidR="0067076B">
        <w:rPr>
          <w:rFonts w:ascii="Fira Sans" w:hAnsi="Fira Sans"/>
          <w:b/>
          <w:spacing w:val="-2"/>
          <w:szCs w:val="19"/>
        </w:rPr>
        <w:t>maju</w:t>
      </w:r>
      <w:r w:rsidR="00804892">
        <w:rPr>
          <w:rFonts w:ascii="Fira Sans" w:hAnsi="Fira Sans"/>
          <w:b/>
          <w:spacing w:val="-2"/>
          <w:szCs w:val="19"/>
        </w:rPr>
        <w:t xml:space="preserve"> 2019</w:t>
      </w:r>
      <w:r w:rsidR="003E170B" w:rsidRPr="003E170B">
        <w:rPr>
          <w:rFonts w:ascii="Fira Sans" w:hAnsi="Fira Sans"/>
          <w:b/>
          <w:spacing w:val="-2"/>
          <w:szCs w:val="19"/>
        </w:rPr>
        <w:t> </w:t>
      </w:r>
      <w:r w:rsidR="00276811" w:rsidRPr="003E170B">
        <w:rPr>
          <w:rFonts w:ascii="Fira Sans" w:hAnsi="Fira Sans"/>
          <w:b/>
          <w:spacing w:val="-2"/>
          <w:szCs w:val="19"/>
        </w:rPr>
        <w:t>r.</w:t>
      </w:r>
    </w:p>
    <w:p w:rsidR="005F0DD0" w:rsidRDefault="00DA0179" w:rsidP="00532B4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rFonts w:ascii="Fira Sans" w:hAnsi="Fira Sans"/>
          <w:spacing w:val="-4"/>
          <w:sz w:val="19"/>
          <w:szCs w:val="19"/>
        </w:rPr>
        <w:t>Składowa</w:t>
      </w:r>
      <w:r w:rsidR="00D41C37" w:rsidRPr="00C75940">
        <w:rPr>
          <w:rFonts w:ascii="Fira Sans" w:hAnsi="Fira Sans"/>
          <w:spacing w:val="-4"/>
          <w:sz w:val="19"/>
          <w:szCs w:val="19"/>
        </w:rPr>
        <w:t xml:space="preserve"> </w:t>
      </w:r>
      <w:r w:rsidR="00E87851">
        <w:rPr>
          <w:rFonts w:ascii="Fira Sans" w:hAnsi="Fira Sans"/>
          <w:spacing w:val="-4"/>
          <w:sz w:val="19"/>
          <w:szCs w:val="19"/>
        </w:rPr>
        <w:t xml:space="preserve">dla przetwórstwa przemysłowego i usług </w:t>
      </w:r>
      <w:r w:rsidR="005F0DD0">
        <w:rPr>
          <w:rFonts w:ascii="Fira Sans" w:hAnsi="Fira Sans"/>
          <w:spacing w:val="-4"/>
          <w:sz w:val="19"/>
          <w:szCs w:val="19"/>
        </w:rPr>
        <w:t xml:space="preserve">kształtuje się na poziomie </w:t>
      </w:r>
      <w:r w:rsidR="00011A11">
        <w:rPr>
          <w:rFonts w:ascii="Fira Sans" w:hAnsi="Fira Sans"/>
          <w:spacing w:val="-4"/>
          <w:sz w:val="19"/>
          <w:szCs w:val="19"/>
        </w:rPr>
        <w:t>zbliżonym do notowanego w </w:t>
      </w:r>
      <w:r w:rsidR="00E87851">
        <w:rPr>
          <w:rFonts w:ascii="Fira Sans" w:hAnsi="Fira Sans"/>
          <w:spacing w:val="-4"/>
          <w:sz w:val="19"/>
          <w:szCs w:val="19"/>
        </w:rPr>
        <w:t>kwietniu</w:t>
      </w:r>
      <w:r w:rsidR="00FC50D1">
        <w:rPr>
          <w:rFonts w:ascii="Fira Sans" w:hAnsi="Fira Sans"/>
          <w:spacing w:val="-4"/>
          <w:sz w:val="19"/>
          <w:szCs w:val="19"/>
        </w:rPr>
        <w:t xml:space="preserve"> br.</w:t>
      </w:r>
      <w:r w:rsidR="00E87851">
        <w:rPr>
          <w:rFonts w:ascii="Fira Sans" w:hAnsi="Fira Sans"/>
          <w:spacing w:val="-4"/>
          <w:sz w:val="19"/>
          <w:szCs w:val="19"/>
        </w:rPr>
        <w:t xml:space="preserve">, </w:t>
      </w:r>
      <w:r w:rsidR="005F0DD0">
        <w:rPr>
          <w:rFonts w:ascii="Fira Sans" w:hAnsi="Fira Sans"/>
          <w:spacing w:val="-4"/>
          <w:sz w:val="19"/>
          <w:szCs w:val="19"/>
        </w:rPr>
        <w:t xml:space="preserve">dotycząca </w:t>
      </w:r>
      <w:r w:rsidR="00011A11">
        <w:rPr>
          <w:rFonts w:ascii="Fira Sans" w:hAnsi="Fira Sans"/>
          <w:spacing w:val="-4"/>
          <w:sz w:val="19"/>
          <w:szCs w:val="19"/>
        </w:rPr>
        <w:t>handlu detalicznego</w:t>
      </w:r>
      <w:r w:rsidR="005F0DD0">
        <w:rPr>
          <w:rFonts w:ascii="Fira Sans" w:hAnsi="Fira Sans"/>
          <w:spacing w:val="-4"/>
          <w:sz w:val="19"/>
          <w:szCs w:val="19"/>
        </w:rPr>
        <w:t xml:space="preserve"> na poziomie </w:t>
      </w:r>
      <w:r w:rsidR="00E87851">
        <w:rPr>
          <w:rFonts w:ascii="Fira Sans" w:hAnsi="Fira Sans"/>
          <w:spacing w:val="-4"/>
          <w:sz w:val="19"/>
          <w:szCs w:val="19"/>
        </w:rPr>
        <w:t>wyższym, natomiast budownictwa - niższym</w:t>
      </w:r>
      <w:r w:rsidR="002914E4">
        <w:rPr>
          <w:rFonts w:ascii="Fira Sans" w:hAnsi="Fira Sans"/>
          <w:spacing w:val="-4"/>
          <w:sz w:val="19"/>
          <w:szCs w:val="19"/>
        </w:rPr>
        <w:t>. W </w:t>
      </w:r>
      <w:r w:rsidR="005F0DD0">
        <w:rPr>
          <w:rFonts w:ascii="Fira Sans" w:hAnsi="Fira Sans"/>
          <w:spacing w:val="-4"/>
          <w:sz w:val="19"/>
          <w:szCs w:val="19"/>
        </w:rPr>
        <w:t xml:space="preserve">stosunku </w:t>
      </w:r>
      <w:r w:rsidR="005F0DD0" w:rsidRPr="002B746F">
        <w:rPr>
          <w:rFonts w:ascii="Fira Sans" w:hAnsi="Fira Sans"/>
          <w:spacing w:val="-4"/>
          <w:sz w:val="19"/>
          <w:szCs w:val="19"/>
        </w:rPr>
        <w:t xml:space="preserve">do </w:t>
      </w:r>
      <w:r w:rsidR="00333F88" w:rsidRPr="002B746F">
        <w:rPr>
          <w:rFonts w:ascii="Fira Sans" w:hAnsi="Fira Sans"/>
          <w:spacing w:val="-4"/>
          <w:sz w:val="19"/>
          <w:szCs w:val="19"/>
        </w:rPr>
        <w:t>maja</w:t>
      </w:r>
      <w:r w:rsidR="00133B51" w:rsidRPr="002B746F">
        <w:rPr>
          <w:rFonts w:ascii="Fira Sans" w:hAnsi="Fira Sans"/>
          <w:spacing w:val="-4"/>
          <w:sz w:val="19"/>
          <w:szCs w:val="19"/>
        </w:rPr>
        <w:t xml:space="preserve"> 2018</w:t>
      </w:r>
      <w:r w:rsidR="00133B51">
        <w:rPr>
          <w:rFonts w:ascii="Fira Sans" w:hAnsi="Fira Sans"/>
          <w:spacing w:val="-4"/>
          <w:sz w:val="19"/>
          <w:szCs w:val="19"/>
        </w:rPr>
        <w:t xml:space="preserve"> r. wartości </w:t>
      </w:r>
      <w:r w:rsidR="00E87851">
        <w:rPr>
          <w:rFonts w:ascii="Fira Sans" w:hAnsi="Fira Sans"/>
          <w:spacing w:val="-4"/>
          <w:sz w:val="19"/>
          <w:szCs w:val="19"/>
        </w:rPr>
        <w:t xml:space="preserve">wszystkich </w:t>
      </w:r>
      <w:r w:rsidR="005F0DD0">
        <w:rPr>
          <w:rFonts w:ascii="Fira Sans" w:hAnsi="Fira Sans"/>
          <w:spacing w:val="-4"/>
          <w:sz w:val="19"/>
          <w:szCs w:val="19"/>
        </w:rPr>
        <w:t xml:space="preserve">składowych </w:t>
      </w:r>
      <w:r w:rsidR="00E87851">
        <w:rPr>
          <w:rFonts w:ascii="Fira Sans" w:hAnsi="Fira Sans"/>
          <w:spacing w:val="-4"/>
          <w:sz w:val="19"/>
          <w:szCs w:val="19"/>
        </w:rPr>
        <w:t>są niższe</w:t>
      </w:r>
      <w:r w:rsidR="005F0DD0">
        <w:rPr>
          <w:rFonts w:ascii="Fira Sans" w:hAnsi="Fira Sans"/>
          <w:spacing w:val="-4"/>
          <w:sz w:val="19"/>
          <w:szCs w:val="19"/>
        </w:rPr>
        <w:t xml:space="preserve">. </w:t>
      </w:r>
    </w:p>
    <w:p w:rsidR="00482BBE" w:rsidRDefault="006D4318" w:rsidP="00532B4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374CAC">
        <w:rPr>
          <w:rFonts w:ascii="Fira Sans" w:hAnsi="Fira Sans"/>
          <w:noProof/>
          <w:spacing w:val="-4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1712" behindDoc="1" locked="0" layoutInCell="1" allowOverlap="1" wp14:anchorId="502640BE" wp14:editId="668E98DB">
                <wp:simplePos x="0" y="0"/>
                <wp:positionH relativeFrom="column">
                  <wp:posOffset>5224145</wp:posOffset>
                </wp:positionH>
                <wp:positionV relativeFrom="paragraph">
                  <wp:posOffset>467386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SI w ostatnich sześciu </w:t>
                            </w: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640BE" id="Pole tekstowe 4" o:spid="_x0000_s1029" type="#_x0000_t202" style="position:absolute;margin-left:411.35pt;margin-top:36.8pt;width:135.85pt;height:38.55pt;z-index:-25142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" filled="f" stroked="f">
                <v:textbox>
                  <w:txbxContent>
                    <w:p w:rsidR="00193BDE" w:rsidRPr="00445683" w:rsidRDefault="00193BDE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SI w ostatnich sześciu </w:t>
                      </w: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1A11" w:rsidRPr="00482FAD">
        <w:rPr>
          <w:rFonts w:ascii="Fira Sans" w:hAnsi="Fira Sans"/>
          <w:spacing w:val="-4"/>
          <w:sz w:val="19"/>
          <w:szCs w:val="19"/>
        </w:rPr>
        <w:t>Wskaźnik</w:t>
      </w:r>
      <w:r w:rsidR="00011A11">
        <w:rPr>
          <w:rFonts w:ascii="Fira Sans" w:hAnsi="Fira Sans"/>
          <w:spacing w:val="-4"/>
          <w:sz w:val="19"/>
          <w:szCs w:val="19"/>
        </w:rPr>
        <w:t>i</w:t>
      </w:r>
      <w:r w:rsidR="00011A11" w:rsidRPr="00482FAD">
        <w:rPr>
          <w:rFonts w:ascii="Fira Sans" w:hAnsi="Fira Sans"/>
          <w:spacing w:val="-4"/>
          <w:sz w:val="19"/>
          <w:szCs w:val="19"/>
        </w:rPr>
        <w:t xml:space="preserve"> ocen diagnostycznych i prognostycznych </w:t>
      </w:r>
      <w:r w:rsidR="00011A11">
        <w:rPr>
          <w:rFonts w:ascii="Fira Sans" w:hAnsi="Fira Sans"/>
          <w:spacing w:val="-4"/>
          <w:sz w:val="19"/>
          <w:szCs w:val="19"/>
        </w:rPr>
        <w:t>są</w:t>
      </w:r>
      <w:r w:rsidR="00374CAC" w:rsidRPr="00374CAC">
        <w:rPr>
          <w:rFonts w:ascii="Fira Sans" w:hAnsi="Fira Sans"/>
          <w:spacing w:val="-4"/>
          <w:sz w:val="19"/>
          <w:szCs w:val="19"/>
        </w:rPr>
        <w:t xml:space="preserve"> </w:t>
      </w:r>
      <w:r w:rsidR="00DE3577">
        <w:rPr>
          <w:rFonts w:ascii="Fira Sans" w:hAnsi="Fira Sans"/>
          <w:spacing w:val="-4"/>
          <w:sz w:val="19"/>
          <w:szCs w:val="19"/>
        </w:rPr>
        <w:t xml:space="preserve">zbliżone do </w:t>
      </w:r>
      <w:r w:rsidR="00011A11" w:rsidRPr="00482FAD">
        <w:rPr>
          <w:rFonts w:ascii="Fira Sans" w:hAnsi="Fira Sans"/>
          <w:spacing w:val="-4"/>
          <w:sz w:val="19"/>
          <w:szCs w:val="19"/>
        </w:rPr>
        <w:t>zgłaszan</w:t>
      </w:r>
      <w:r w:rsidR="00011A11">
        <w:rPr>
          <w:rFonts w:ascii="Fira Sans" w:hAnsi="Fira Sans"/>
          <w:spacing w:val="-4"/>
          <w:sz w:val="19"/>
          <w:szCs w:val="19"/>
        </w:rPr>
        <w:t>ych przed miesiącem</w:t>
      </w:r>
      <w:r w:rsidR="00DE3577">
        <w:rPr>
          <w:rFonts w:ascii="Fira Sans" w:hAnsi="Fira Sans"/>
          <w:spacing w:val="-4"/>
          <w:sz w:val="19"/>
          <w:szCs w:val="19"/>
        </w:rPr>
        <w:t>, ale niższe</w:t>
      </w:r>
      <w:r w:rsidR="00DE3577" w:rsidRPr="00374CAC">
        <w:rPr>
          <w:rFonts w:ascii="Fira Sans" w:hAnsi="Fira Sans"/>
          <w:spacing w:val="-4"/>
          <w:sz w:val="19"/>
          <w:szCs w:val="19"/>
        </w:rPr>
        <w:t xml:space="preserve"> </w:t>
      </w:r>
      <w:r w:rsidR="00DE3577">
        <w:rPr>
          <w:rFonts w:ascii="Fira Sans" w:hAnsi="Fira Sans"/>
          <w:spacing w:val="-4"/>
          <w:sz w:val="19"/>
          <w:szCs w:val="19"/>
        </w:rPr>
        <w:t xml:space="preserve">niż </w:t>
      </w:r>
      <w:r w:rsidR="00133B51">
        <w:rPr>
          <w:rFonts w:ascii="Fira Sans" w:hAnsi="Fira Sans"/>
          <w:spacing w:val="-4"/>
          <w:sz w:val="19"/>
          <w:szCs w:val="19"/>
        </w:rPr>
        <w:t>przed rokiem</w:t>
      </w:r>
      <w:r w:rsidR="00374CAC" w:rsidRPr="00374CAC">
        <w:rPr>
          <w:rFonts w:ascii="Fira Sans" w:hAnsi="Fira Sans"/>
          <w:spacing w:val="-4"/>
          <w:sz w:val="19"/>
          <w:szCs w:val="19"/>
        </w:rPr>
        <w:t>.</w:t>
      </w:r>
      <w:r w:rsidR="00482BBE">
        <w:rPr>
          <w:rFonts w:ascii="Fira Sans" w:hAnsi="Fira Sans"/>
          <w:spacing w:val="-4"/>
          <w:sz w:val="19"/>
          <w:szCs w:val="19"/>
        </w:rPr>
        <w:t xml:space="preserve"> </w:t>
      </w:r>
    </w:p>
    <w:p w:rsidR="00DA0179" w:rsidRDefault="00CA44F3" w:rsidP="001B48F9">
      <w:pPr>
        <w:spacing w:before="120" w:after="120"/>
        <w:ind w:left="794" w:hanging="794"/>
        <w:rPr>
          <w:rFonts w:ascii="Fira Sans" w:hAnsi="Fira Sans"/>
          <w:b/>
          <w:spacing w:val="-2"/>
          <w:sz w:val="18"/>
        </w:rPr>
      </w:pPr>
      <w:r w:rsidRPr="00CA44F3">
        <w:rPr>
          <w:noProof/>
          <w:lang w:eastAsia="pl-PL"/>
        </w:rPr>
        <w:drawing>
          <wp:anchor distT="0" distB="0" distL="114300" distR="114300" simplePos="0" relativeHeight="2519521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356904</wp:posOffset>
            </wp:positionV>
            <wp:extent cx="5076000" cy="1947600"/>
            <wp:effectExtent l="0" t="0" r="0" b="0"/>
            <wp:wrapTopAndBottom/>
            <wp:docPr id="49" name="Obraz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00" cy="1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1FB" w:rsidRPr="000011FB">
        <w:rPr>
          <w:noProof/>
          <w:lang w:eastAsia="pl-PL"/>
        </w:rPr>
        <w:drawing>
          <wp:anchor distT="0" distB="0" distL="114300" distR="114300" simplePos="0" relativeHeight="251950080" behindDoc="0" locked="0" layoutInCell="1" allowOverlap="1">
            <wp:simplePos x="0" y="0"/>
            <wp:positionH relativeFrom="column">
              <wp:posOffset>5281295</wp:posOffset>
            </wp:positionH>
            <wp:positionV relativeFrom="paragraph">
              <wp:posOffset>381635</wp:posOffset>
            </wp:positionV>
            <wp:extent cx="1396365" cy="1947545"/>
            <wp:effectExtent l="0" t="0" r="0" b="0"/>
            <wp:wrapTopAndBottom/>
            <wp:docPr id="45" name="Obraz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1FB" w:rsidRPr="000011FB">
        <w:t xml:space="preserve"> </w:t>
      </w:r>
      <w:r w:rsidR="006D4318" w:rsidRPr="003E170B">
        <w:rPr>
          <w:rFonts w:ascii="Fira Sans" w:hAnsi="Fira Sans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3760" behindDoc="1" locked="0" layoutInCell="1" allowOverlap="1" wp14:anchorId="0B5A7663" wp14:editId="287C693E">
                <wp:simplePos x="0" y="0"/>
                <wp:positionH relativeFrom="column">
                  <wp:posOffset>5224780</wp:posOffset>
                </wp:positionH>
                <wp:positionV relativeFrom="paragraph">
                  <wp:posOffset>2219325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 oraz EU.ESI w 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A7663" id="Pole tekstowe 5" o:spid="_x0000_s1030" type="#_x0000_t202" style="position:absolute;left:0;text-align:left;margin-left:411.4pt;margin-top:174.75pt;width:135.85pt;height:38.55pt;z-index:-25142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" filled="f" stroked="f">
                <v:textbox>
                  <w:txbxContent>
                    <w:p w:rsidR="00193BDE" w:rsidRPr="00445683" w:rsidRDefault="00193BDE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 oraz EU.ESI w 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0179" w:rsidRPr="00001C5B">
        <w:rPr>
          <w:rFonts w:ascii="Fira Sans" w:hAnsi="Fira Sans"/>
          <w:b/>
          <w:spacing w:val="-2"/>
          <w:sz w:val="18"/>
        </w:rPr>
        <w:t xml:space="preserve">Wykres </w:t>
      </w:r>
      <w:r w:rsidR="00DA0179">
        <w:rPr>
          <w:rFonts w:ascii="Fira Sans" w:hAnsi="Fira Sans"/>
          <w:b/>
          <w:spacing w:val="-2"/>
          <w:sz w:val="18"/>
        </w:rPr>
        <w:t>1</w:t>
      </w:r>
      <w:r w:rsidR="00DA0179" w:rsidRPr="00001C5B">
        <w:rPr>
          <w:rFonts w:ascii="Fira Sans" w:hAnsi="Fira Sans"/>
          <w:b/>
          <w:spacing w:val="-2"/>
          <w:sz w:val="18"/>
        </w:rPr>
        <w:t xml:space="preserve">. Ogólny wskaźnik syntetyczny koniunktury gospodarczej GUS dla Polski </w:t>
      </w:r>
      <w:r w:rsidR="00DA0179">
        <w:rPr>
          <w:rFonts w:ascii="Fira Sans" w:hAnsi="Fira Sans"/>
          <w:b/>
          <w:spacing w:val="-2"/>
          <w:sz w:val="18"/>
        </w:rPr>
        <w:t xml:space="preserve">(SI) </w:t>
      </w:r>
      <w:r w:rsidR="00DA0179">
        <w:rPr>
          <w:rFonts w:ascii="Fira Sans" w:hAnsi="Fira Sans"/>
          <w:b/>
          <w:spacing w:val="-2"/>
          <w:sz w:val="18"/>
        </w:rPr>
        <w:br/>
      </w:r>
      <w:r w:rsidR="00DA0179" w:rsidRPr="00001C5B">
        <w:rPr>
          <w:rFonts w:ascii="Fira Sans" w:hAnsi="Fira Sans"/>
          <w:b/>
          <w:spacing w:val="-2"/>
          <w:sz w:val="18"/>
        </w:rPr>
        <w:t>i jego dekompozycja</w:t>
      </w:r>
      <w:r w:rsidR="00134852" w:rsidRPr="00134852">
        <w:rPr>
          <w:rFonts w:ascii="Fira Sans" w:hAnsi="Fira Sans"/>
          <w:b/>
          <w:spacing w:val="-2"/>
          <w:sz w:val="18"/>
        </w:rPr>
        <w:t xml:space="preserve"> </w:t>
      </w:r>
    </w:p>
    <w:p w:rsidR="0098156A" w:rsidRDefault="00CA44F3" w:rsidP="001B48F9">
      <w:pPr>
        <w:pStyle w:val="tytuwykresu"/>
        <w:ind w:left="794" w:hanging="794"/>
      </w:pPr>
      <w:r w:rsidRPr="00CA44F3">
        <w:t xml:space="preserve"> </w:t>
      </w:r>
      <w:r w:rsidR="000011FB" w:rsidRPr="000011FB">
        <w:rPr>
          <w:noProof/>
          <w:lang w:eastAsia="pl-PL"/>
        </w:rPr>
        <w:drawing>
          <wp:anchor distT="0" distB="0" distL="114300" distR="114300" simplePos="0" relativeHeight="251951104" behindDoc="0" locked="0" layoutInCell="1" allowOverlap="1">
            <wp:simplePos x="0" y="0"/>
            <wp:positionH relativeFrom="column">
              <wp:posOffset>5258774</wp:posOffset>
            </wp:positionH>
            <wp:positionV relativeFrom="paragraph">
              <wp:posOffset>2318821</wp:posOffset>
            </wp:positionV>
            <wp:extent cx="1396800" cy="1947600"/>
            <wp:effectExtent l="0" t="0" r="0" b="0"/>
            <wp:wrapTopAndBottom/>
            <wp:docPr id="46" name="Obraz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00" cy="1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A2E" w:rsidRPr="00E57A2E">
        <w:t xml:space="preserve"> </w:t>
      </w:r>
      <w:r w:rsidRPr="00CA44F3">
        <w:t xml:space="preserve"> </w:t>
      </w:r>
      <w:r w:rsidR="009C1AB2" w:rsidRPr="00001C5B">
        <w:t xml:space="preserve">Wykres </w:t>
      </w:r>
      <w:r w:rsidR="00DA0179">
        <w:t>2</w:t>
      </w:r>
      <w:r w:rsidR="009C1AB2" w:rsidRPr="00001C5B">
        <w:t>. Ogóln</w:t>
      </w:r>
      <w:r w:rsidR="004118D1">
        <w:t>y</w:t>
      </w:r>
      <w:r w:rsidR="009C1AB2" w:rsidRPr="00001C5B">
        <w:t xml:space="preserve"> wskaźnik syntetyczny koniunktury gospodarczej GUS dla Polski</w:t>
      </w:r>
      <w:r w:rsidR="003D5EA6">
        <w:t xml:space="preserve"> (SI)</w:t>
      </w:r>
      <w:r w:rsidR="009C1AB2" w:rsidRPr="00001C5B">
        <w:t xml:space="preserve">, wskaźnik </w:t>
      </w:r>
      <w:r w:rsidR="001B48F9">
        <w:br/>
      </w:r>
      <w:r w:rsidR="009C1AB2" w:rsidRPr="00001C5B">
        <w:t xml:space="preserve">odczuć ekonomicznych dla Unii Europejskiej </w:t>
      </w:r>
      <w:r w:rsidR="000E7ED0">
        <w:t>(EU.ESI)</w:t>
      </w:r>
      <w:r w:rsidR="0037077F" w:rsidRPr="00001C5B">
        <w:rPr>
          <w:rStyle w:val="Odwoanieprzypisudolnego"/>
        </w:rPr>
        <w:footnoteReference w:id="1"/>
      </w:r>
      <w:r w:rsidR="00D715DF" w:rsidRPr="00D715DF">
        <w:rPr>
          <w:b w:val="0"/>
        </w:rPr>
        <w:t xml:space="preserve"> </w:t>
      </w:r>
    </w:p>
    <w:p w:rsidR="00804892" w:rsidRPr="00001C5B" w:rsidRDefault="0017455C" w:rsidP="00E664C5">
      <w:pPr>
        <w:pStyle w:val="tytuwykresu"/>
      </w:pPr>
      <w:r w:rsidRPr="0017455C">
        <w:rPr>
          <w:noProof/>
          <w:lang w:eastAsia="pl-PL"/>
        </w:rPr>
        <w:drawing>
          <wp:anchor distT="0" distB="0" distL="114300" distR="114300" simplePos="0" relativeHeight="2519490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76000" cy="1947600"/>
            <wp:effectExtent l="0" t="0" r="0" b="0"/>
            <wp:wrapTopAndBottom/>
            <wp:docPr id="44" name="Obraz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00" cy="1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56A" w:rsidRPr="00001C5B" w:rsidRDefault="00996693" w:rsidP="00E76D26">
      <w:pPr>
        <w:pStyle w:val="Nagwek1"/>
        <w:rPr>
          <w:szCs w:val="19"/>
        </w:rPr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CE46F4" wp14:editId="0184C0F5">
                <wp:simplePos x="0" y="0"/>
                <wp:positionH relativeFrom="rightMargin">
                  <wp:posOffset>131445</wp:posOffset>
                </wp:positionH>
                <wp:positionV relativeFrom="paragraph">
                  <wp:posOffset>147922</wp:posOffset>
                </wp:positionV>
                <wp:extent cx="1725295" cy="101663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BE8" w:rsidRPr="00D616D2" w:rsidRDefault="006516CF" w:rsidP="009C0165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516C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przetwórstwie przemy</w:t>
                            </w:r>
                            <w:r w:rsidR="00333F88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słowym kształtuje </w:t>
                            </w:r>
                            <w:r w:rsidR="00333F88" w:rsidRPr="002B746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się w maju</w:t>
                            </w:r>
                            <w:r w:rsidRPr="002B746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 dodatnim</w:t>
                            </w:r>
                            <w:r w:rsidRPr="006516C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poziomie, </w:t>
                            </w:r>
                            <w:r w:rsidR="00FC7D3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zbliżonym do</w:t>
                            </w:r>
                            <w:r w:rsidRPr="006516C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notowanego w ubiegłym miesiącu.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E46F4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31" type="#_x0000_t202" style="position:absolute;margin-left:10.35pt;margin-top:11.65pt;width:135.85pt;height:80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" filled="f" stroked="f">
                <v:textbox>
                  <w:txbxContent>
                    <w:p w:rsidR="00391BE8" w:rsidRPr="00D616D2" w:rsidRDefault="006516CF" w:rsidP="009C0165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516C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przetwórstwie przemy</w:t>
                      </w:r>
                      <w:r w:rsidR="00333F88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słowym kształtuje </w:t>
                      </w:r>
                      <w:r w:rsidR="00333F88" w:rsidRPr="002B746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się w maju</w:t>
                      </w:r>
                      <w:r w:rsidRPr="002B746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 dodatnim</w:t>
                      </w:r>
                      <w:r w:rsidRPr="006516C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poziomie, </w:t>
                      </w:r>
                      <w:r w:rsidR="00FC7D3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zbliżonym do</w:t>
                      </w:r>
                      <w:r w:rsidRPr="006516C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notowanego w ubiegłym miesiącu.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P</w:t>
      </w:r>
      <w:r w:rsidR="00276811" w:rsidRPr="00E01436">
        <w:rPr>
          <w:rFonts w:ascii="Fira Sans" w:hAnsi="Fira Sans"/>
          <w:b/>
          <w:spacing w:val="-2"/>
          <w:szCs w:val="19"/>
        </w:rPr>
        <w:t>rzetwórstwo przemysłowe</w:t>
      </w:r>
    </w:p>
    <w:p w:rsidR="00E5190C" w:rsidRPr="00E5190C" w:rsidRDefault="00A0232F" w:rsidP="00711297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A0232F">
        <w:rPr>
          <w:rFonts w:ascii="Fira Sans" w:hAnsi="Fira Sans"/>
          <w:spacing w:val="-4"/>
          <w:sz w:val="19"/>
          <w:szCs w:val="19"/>
        </w:rPr>
        <w:t xml:space="preserve">W maju </w:t>
      </w:r>
      <w:r w:rsidR="00FC7D3D">
        <w:rPr>
          <w:rFonts w:ascii="Fira Sans" w:hAnsi="Fira Sans"/>
          <w:spacing w:val="-4"/>
          <w:sz w:val="19"/>
          <w:szCs w:val="19"/>
        </w:rPr>
        <w:t xml:space="preserve">2019 r. </w:t>
      </w:r>
      <w:r w:rsidRPr="00A0232F">
        <w:rPr>
          <w:rFonts w:ascii="Fira Sans" w:hAnsi="Fira Sans"/>
          <w:spacing w:val="-4"/>
          <w:sz w:val="19"/>
          <w:szCs w:val="19"/>
        </w:rPr>
        <w:t>wskaźnik ufności w przetwórstwie przemysłowym kształtuje się na poziomie dodatnim, podobnie jak w kwietniu</w:t>
      </w:r>
      <w:r w:rsidR="00FC7D3D">
        <w:rPr>
          <w:rFonts w:ascii="Fira Sans" w:hAnsi="Fira Sans"/>
          <w:spacing w:val="-4"/>
          <w:sz w:val="19"/>
          <w:szCs w:val="19"/>
        </w:rPr>
        <w:t xml:space="preserve"> br</w:t>
      </w:r>
      <w:r w:rsidRPr="00A0232F">
        <w:rPr>
          <w:rFonts w:ascii="Fira Sans" w:hAnsi="Fira Sans"/>
          <w:spacing w:val="-4"/>
          <w:sz w:val="19"/>
          <w:szCs w:val="19"/>
        </w:rPr>
        <w:t>. Bieżący portfel zamówień (krajowy i zagraniczny) oceniany jest bardziej korzystnie niż przed miesiącem. Prognozy produkcji są nieznacznie negatywne</w:t>
      </w:r>
      <w:r w:rsidR="00FC7D3D">
        <w:rPr>
          <w:rFonts w:ascii="Fira Sans" w:hAnsi="Fira Sans"/>
          <w:spacing w:val="-4"/>
          <w:sz w:val="19"/>
          <w:szCs w:val="19"/>
        </w:rPr>
        <w:t xml:space="preserve"> i</w:t>
      </w:r>
      <w:r w:rsidRPr="00A0232F">
        <w:rPr>
          <w:rFonts w:ascii="Fira Sans" w:hAnsi="Fira Sans"/>
          <w:spacing w:val="-4"/>
          <w:sz w:val="19"/>
          <w:szCs w:val="19"/>
        </w:rPr>
        <w:t xml:space="preserve"> zbliżone do formułowanych w kwietniu. Zgłaszany jest niedobór zapasów wyrobów gotowych - niższy od odnotowanego w ubiegłym miesiącu.</w:t>
      </w:r>
    </w:p>
    <w:p w:rsidR="0098156A" w:rsidRDefault="004C516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4C5169">
        <w:rPr>
          <w:noProof/>
          <w:lang w:eastAsia="pl-PL"/>
        </w:rPr>
        <w:drawing>
          <wp:anchor distT="0" distB="0" distL="114300" distR="114300" simplePos="0" relativeHeight="251962368" behindDoc="0" locked="0" layoutInCell="1" allowOverlap="1">
            <wp:simplePos x="0" y="0"/>
            <wp:positionH relativeFrom="column">
              <wp:posOffset>5323840</wp:posOffset>
            </wp:positionH>
            <wp:positionV relativeFrom="paragraph">
              <wp:posOffset>353060</wp:posOffset>
            </wp:positionV>
            <wp:extent cx="1407160" cy="1906270"/>
            <wp:effectExtent l="0" t="0" r="0" b="0"/>
            <wp:wrapTopAndBottom/>
            <wp:docPr id="12" name="Obraz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169">
        <w:rPr>
          <w:noProof/>
          <w:lang w:eastAsia="pl-PL"/>
        </w:rPr>
        <w:drawing>
          <wp:anchor distT="0" distB="0" distL="114300" distR="114300" simplePos="0" relativeHeight="2519613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235230</wp:posOffset>
            </wp:positionV>
            <wp:extent cx="5122800" cy="2268000"/>
            <wp:effectExtent l="0" t="0" r="1905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3.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przetwórstw</w:t>
      </w:r>
      <w:r w:rsidR="00EB4340" w:rsidRPr="00001C5B">
        <w:rPr>
          <w:rFonts w:ascii="Fira Sans" w:hAnsi="Fira Sans"/>
          <w:b/>
          <w:spacing w:val="-2"/>
          <w:sz w:val="18"/>
        </w:rPr>
        <w:t>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przemysłowe </w:t>
      </w:r>
    </w:p>
    <w:p w:rsidR="00D74A5A" w:rsidRPr="00001C5B" w:rsidRDefault="00D74A5A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8156A" w:rsidRPr="00E01436" w:rsidRDefault="00D74A5A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BB2F61" wp14:editId="1C15448D">
                <wp:simplePos x="0" y="0"/>
                <wp:positionH relativeFrom="column">
                  <wp:posOffset>5251004</wp:posOffset>
                </wp:positionH>
                <wp:positionV relativeFrom="paragraph">
                  <wp:posOffset>231742</wp:posOffset>
                </wp:positionV>
                <wp:extent cx="1725295" cy="1075055"/>
                <wp:effectExtent l="0" t="0" r="0" b="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377D20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F01047">
                              <w:rPr>
                                <w:rFonts w:ascii="Fira Sans" w:hAnsi="Fira Sans"/>
                                <w:bCs/>
                                <w:color w:val="001D77"/>
                                <w:sz w:val="19"/>
                                <w:szCs w:val="19"/>
                              </w:rPr>
                              <w:t xml:space="preserve">Wskaźnik ufności w budownictwie kształtuje się na poziomie dodatnim, </w:t>
                            </w:r>
                            <w:r>
                              <w:rPr>
                                <w:rFonts w:ascii="Fira Sans" w:hAnsi="Fira Sans"/>
                                <w:bCs/>
                                <w:color w:val="001D77"/>
                                <w:sz w:val="19"/>
                                <w:szCs w:val="19"/>
                              </w:rPr>
                              <w:t>choć nieco niższym od</w:t>
                            </w:r>
                            <w:r w:rsidRPr="00F01047">
                              <w:rPr>
                                <w:rFonts w:ascii="Fira Sans" w:hAnsi="Fira Sans"/>
                                <w:bCs/>
                                <w:color w:val="001D77"/>
                                <w:sz w:val="19"/>
                                <w:szCs w:val="19"/>
                              </w:rPr>
                              <w:t xml:space="preserve"> notowanego w </w:t>
                            </w:r>
                            <w:r>
                              <w:rPr>
                                <w:rFonts w:ascii="Fira Sans" w:hAnsi="Fira Sans"/>
                                <w:bCs/>
                                <w:color w:val="001D77"/>
                                <w:sz w:val="19"/>
                                <w:szCs w:val="19"/>
                              </w:rPr>
                              <w:t>kwietniu</w:t>
                            </w:r>
                            <w:r w:rsidRPr="00F01047">
                              <w:rPr>
                                <w:rFonts w:ascii="Fira Sans" w:hAnsi="Fira Sans"/>
                                <w:bCs/>
                                <w:color w:val="001D77"/>
                                <w:sz w:val="19"/>
                                <w:szCs w:val="19"/>
                              </w:rPr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2F61" id="Pole tekstowe 18" o:spid="_x0000_s1032" type="#_x0000_t202" style="position:absolute;margin-left:413.45pt;margin-top:18.25pt;width:135.85pt;height:84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" filled="f" stroked="f">
                <v:textbox>
                  <w:txbxContent>
                    <w:p w:rsidR="00397D18" w:rsidRPr="00D616D2" w:rsidRDefault="00377D20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F01047">
                        <w:rPr>
                          <w:rFonts w:ascii="Fira Sans" w:hAnsi="Fira Sans"/>
                          <w:bCs/>
                          <w:color w:val="001D77"/>
                          <w:sz w:val="19"/>
                          <w:szCs w:val="19"/>
                        </w:rPr>
                        <w:t xml:space="preserve">Wskaźnik ufności w budownictwie kształtuje się na poziomie dodatnim, </w:t>
                      </w:r>
                      <w:r>
                        <w:rPr>
                          <w:rFonts w:ascii="Fira Sans" w:hAnsi="Fira Sans"/>
                          <w:bCs/>
                          <w:color w:val="001D77"/>
                          <w:sz w:val="19"/>
                          <w:szCs w:val="19"/>
                        </w:rPr>
                        <w:t>choć nieco niższym od</w:t>
                      </w:r>
                      <w:r w:rsidRPr="00F01047">
                        <w:rPr>
                          <w:rFonts w:ascii="Fira Sans" w:hAnsi="Fira Sans"/>
                          <w:bCs/>
                          <w:color w:val="001D77"/>
                          <w:sz w:val="19"/>
                          <w:szCs w:val="19"/>
                        </w:rPr>
                        <w:t xml:space="preserve"> notowanego w </w:t>
                      </w:r>
                      <w:r>
                        <w:rPr>
                          <w:rFonts w:ascii="Fira Sans" w:hAnsi="Fira Sans"/>
                          <w:bCs/>
                          <w:color w:val="001D77"/>
                          <w:sz w:val="19"/>
                          <w:szCs w:val="19"/>
                        </w:rPr>
                        <w:t>kwietniu</w:t>
                      </w:r>
                      <w:r w:rsidRPr="00F01047">
                        <w:rPr>
                          <w:rFonts w:ascii="Fira Sans" w:hAnsi="Fira Sans"/>
                          <w:bCs/>
                          <w:color w:val="001D77"/>
                          <w:sz w:val="19"/>
                          <w:szCs w:val="19"/>
                        </w:rPr>
                        <w:t xml:space="preserve"> 2019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B</w:t>
      </w:r>
      <w:r w:rsidR="00276811" w:rsidRPr="00E01436">
        <w:rPr>
          <w:rFonts w:ascii="Fira Sans" w:hAnsi="Fira Sans"/>
          <w:b/>
          <w:spacing w:val="-2"/>
          <w:szCs w:val="19"/>
        </w:rPr>
        <w:t>udownictwo</w:t>
      </w:r>
    </w:p>
    <w:p w:rsidR="0098156A" w:rsidRPr="00001C5B" w:rsidRDefault="00885FEC" w:rsidP="00711297">
      <w:pPr>
        <w:spacing w:before="120" w:after="120"/>
        <w:rPr>
          <w:rFonts w:ascii="Fira Sans" w:hAnsi="Fira Sans"/>
          <w:sz w:val="19"/>
          <w:szCs w:val="19"/>
        </w:rPr>
      </w:pPr>
      <w:r w:rsidRPr="00A0232F">
        <w:rPr>
          <w:rFonts w:ascii="Fira Sans" w:hAnsi="Fira Sans"/>
          <w:spacing w:val="-4"/>
          <w:sz w:val="19"/>
          <w:szCs w:val="19"/>
        </w:rPr>
        <w:t xml:space="preserve">W maju </w:t>
      </w:r>
      <w:r>
        <w:rPr>
          <w:rFonts w:ascii="Fira Sans" w:hAnsi="Fira Sans"/>
          <w:spacing w:val="-4"/>
          <w:sz w:val="19"/>
          <w:szCs w:val="19"/>
        </w:rPr>
        <w:t>2019 r. w</w:t>
      </w:r>
      <w:r w:rsidR="00377D20" w:rsidRPr="00F01047">
        <w:rPr>
          <w:rFonts w:ascii="Fira Sans" w:hAnsi="Fira Sans"/>
          <w:sz w:val="19"/>
          <w:szCs w:val="19"/>
        </w:rPr>
        <w:t>skaźnik ufności w bud</w:t>
      </w:r>
      <w:r w:rsidR="00377D20">
        <w:rPr>
          <w:rFonts w:ascii="Fira Sans" w:hAnsi="Fira Sans"/>
          <w:sz w:val="19"/>
          <w:szCs w:val="19"/>
        </w:rPr>
        <w:t xml:space="preserve">ownictwie kształtuje się </w:t>
      </w:r>
      <w:r w:rsidR="00377D20" w:rsidRPr="00F01047">
        <w:rPr>
          <w:rFonts w:ascii="Fira Sans" w:hAnsi="Fira Sans"/>
          <w:sz w:val="19"/>
          <w:szCs w:val="19"/>
        </w:rPr>
        <w:t xml:space="preserve">na dodatnim poziomie, </w:t>
      </w:r>
      <w:r w:rsidR="00377D20">
        <w:rPr>
          <w:rFonts w:ascii="Fira Sans" w:hAnsi="Fira Sans"/>
          <w:sz w:val="19"/>
          <w:szCs w:val="19"/>
        </w:rPr>
        <w:t>nieznacznie niższym od</w:t>
      </w:r>
      <w:r w:rsidR="00377D20" w:rsidRPr="00F01047">
        <w:rPr>
          <w:rFonts w:ascii="Fira Sans" w:hAnsi="Fira Sans"/>
          <w:sz w:val="19"/>
          <w:szCs w:val="19"/>
        </w:rPr>
        <w:t xml:space="preserve"> notowanego </w:t>
      </w:r>
      <w:r w:rsidR="00F44980">
        <w:rPr>
          <w:rFonts w:ascii="Fira Sans" w:hAnsi="Fira Sans"/>
          <w:sz w:val="19"/>
          <w:szCs w:val="19"/>
        </w:rPr>
        <w:t>w kwietniu</w:t>
      </w:r>
      <w:r w:rsidR="00377D20" w:rsidRPr="00F01047">
        <w:rPr>
          <w:rFonts w:ascii="Fira Sans" w:hAnsi="Fira Sans"/>
          <w:sz w:val="19"/>
          <w:szCs w:val="19"/>
        </w:rPr>
        <w:t xml:space="preserve">. </w:t>
      </w:r>
      <w:r w:rsidR="00377D20">
        <w:rPr>
          <w:rFonts w:ascii="Fira Sans" w:hAnsi="Fira Sans"/>
          <w:sz w:val="19"/>
          <w:szCs w:val="19"/>
        </w:rPr>
        <w:t>Bieżący portfel</w:t>
      </w:r>
      <w:r w:rsidR="00377D20" w:rsidRPr="00F01047">
        <w:rPr>
          <w:rFonts w:ascii="Fira Sans" w:hAnsi="Fira Sans"/>
          <w:sz w:val="19"/>
          <w:szCs w:val="19"/>
        </w:rPr>
        <w:t xml:space="preserve"> zamówień na r</w:t>
      </w:r>
      <w:r w:rsidR="00333F88">
        <w:rPr>
          <w:rFonts w:ascii="Fira Sans" w:hAnsi="Fira Sans"/>
          <w:sz w:val="19"/>
          <w:szCs w:val="19"/>
        </w:rPr>
        <w:t>ynku krajowym i </w:t>
      </w:r>
      <w:r w:rsidR="00377D20">
        <w:rPr>
          <w:rFonts w:ascii="Fira Sans" w:hAnsi="Fira Sans"/>
          <w:sz w:val="19"/>
          <w:szCs w:val="19"/>
        </w:rPr>
        <w:t>zagranicznym oceniany jest mniej pozytywnie niż</w:t>
      </w:r>
      <w:r w:rsidR="00F44980" w:rsidRPr="00F44980">
        <w:rPr>
          <w:rFonts w:ascii="Fira Sans" w:hAnsi="Fira Sans"/>
          <w:sz w:val="19"/>
          <w:szCs w:val="19"/>
        </w:rPr>
        <w:t xml:space="preserve"> </w:t>
      </w:r>
      <w:r w:rsidR="00F44980" w:rsidRPr="00F01047">
        <w:rPr>
          <w:rFonts w:ascii="Fira Sans" w:hAnsi="Fira Sans"/>
          <w:sz w:val="19"/>
          <w:szCs w:val="19"/>
        </w:rPr>
        <w:t>przed miesiącem</w:t>
      </w:r>
      <w:r w:rsidR="00377D20">
        <w:rPr>
          <w:rFonts w:ascii="Fira Sans" w:hAnsi="Fira Sans"/>
          <w:sz w:val="19"/>
          <w:szCs w:val="19"/>
        </w:rPr>
        <w:t xml:space="preserve">, a </w:t>
      </w:r>
      <w:r w:rsidR="00377D20" w:rsidRPr="00F01047">
        <w:rPr>
          <w:rFonts w:ascii="Fira Sans" w:hAnsi="Fira Sans"/>
          <w:sz w:val="19"/>
          <w:szCs w:val="19"/>
        </w:rPr>
        <w:t xml:space="preserve">prognozy </w:t>
      </w:r>
      <w:r w:rsidR="00377D20">
        <w:rPr>
          <w:rFonts w:ascii="Fira Sans" w:hAnsi="Fira Sans"/>
          <w:sz w:val="19"/>
          <w:szCs w:val="19"/>
        </w:rPr>
        <w:t xml:space="preserve">zatrudnienia są </w:t>
      </w:r>
      <w:r w:rsidR="00377D20" w:rsidRPr="00F01047">
        <w:rPr>
          <w:rFonts w:ascii="Fira Sans" w:hAnsi="Fira Sans"/>
          <w:sz w:val="19"/>
          <w:szCs w:val="19"/>
        </w:rPr>
        <w:t>mniej optymistyc</w:t>
      </w:r>
      <w:r w:rsidR="00377D20">
        <w:rPr>
          <w:rFonts w:ascii="Fira Sans" w:hAnsi="Fira Sans"/>
          <w:sz w:val="19"/>
          <w:szCs w:val="19"/>
        </w:rPr>
        <w:t xml:space="preserve">zne od formułowanych w </w:t>
      </w:r>
      <w:r w:rsidR="00F44980">
        <w:rPr>
          <w:rFonts w:ascii="Fira Sans" w:hAnsi="Fira Sans"/>
          <w:sz w:val="19"/>
          <w:szCs w:val="19"/>
        </w:rPr>
        <w:t>kwietniu</w:t>
      </w:r>
      <w:r w:rsidR="00377D20" w:rsidRPr="00F01047">
        <w:rPr>
          <w:rFonts w:ascii="Fira Sans" w:hAnsi="Fira Sans"/>
          <w:sz w:val="19"/>
          <w:szCs w:val="19"/>
        </w:rPr>
        <w:t>.</w:t>
      </w:r>
    </w:p>
    <w:p w:rsidR="007E3314" w:rsidRPr="00001C5B" w:rsidRDefault="00FC4E4E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3C6A94">
        <w:rPr>
          <w:noProof/>
          <w:lang w:eastAsia="pl-PL"/>
        </w:rPr>
        <w:drawing>
          <wp:anchor distT="0" distB="0" distL="114300" distR="114300" simplePos="0" relativeHeight="251956224" behindDoc="0" locked="0" layoutInCell="1" allowOverlap="1">
            <wp:simplePos x="0" y="0"/>
            <wp:positionH relativeFrom="column">
              <wp:posOffset>5323205</wp:posOffset>
            </wp:positionH>
            <wp:positionV relativeFrom="paragraph">
              <wp:posOffset>260985</wp:posOffset>
            </wp:positionV>
            <wp:extent cx="1407160" cy="1968500"/>
            <wp:effectExtent l="0" t="0" r="0" b="0"/>
            <wp:wrapTopAndBottom/>
            <wp:docPr id="54" name="Obraz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A94" w:rsidRPr="003C6A94">
        <w:rPr>
          <w:noProof/>
          <w:lang w:eastAsia="pl-PL"/>
        </w:rPr>
        <w:drawing>
          <wp:anchor distT="0" distB="0" distL="114300" distR="114300" simplePos="0" relativeHeight="2519552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223207</wp:posOffset>
            </wp:positionV>
            <wp:extent cx="5122800" cy="2268000"/>
            <wp:effectExtent l="0" t="0" r="1905" b="0"/>
            <wp:wrapTopAndBottom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4.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  <w:r w:rsidR="00EB4340" w:rsidRPr="00001C5B">
        <w:rPr>
          <w:rFonts w:ascii="Fira Sans" w:hAnsi="Fira Sans"/>
          <w:b/>
          <w:spacing w:val="-2"/>
          <w:sz w:val="18"/>
        </w:rPr>
        <w:t>budownictwo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886332" w:rsidRDefault="00886332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Pr="00001C5B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886332" w:rsidRPr="00E01436" w:rsidRDefault="00582408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0C744C" wp14:editId="09D65324">
                <wp:simplePos x="0" y="0"/>
                <wp:positionH relativeFrom="column">
                  <wp:posOffset>5221312</wp:posOffset>
                </wp:positionH>
                <wp:positionV relativeFrom="paragraph">
                  <wp:posOffset>152986</wp:posOffset>
                </wp:positionV>
                <wp:extent cx="1725295" cy="91948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390" w:rsidRPr="00D616D2" w:rsidRDefault="006D1E5A" w:rsidP="00EB139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D1E5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handlu detalicznym kształtuje się na dodatnim poziomie, nieco </w:t>
                            </w:r>
                            <w:r w:rsidR="00530EF8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wyższym</w:t>
                            </w:r>
                            <w:r w:rsidRPr="006D1E5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niż w kwietniu </w:t>
                            </w:r>
                            <w:r w:rsidR="001F257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2019 </w:t>
                            </w:r>
                            <w:r w:rsidRPr="006D1E5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744C" id="Pole tekstowe 19" o:spid="_x0000_s1033" type="#_x0000_t202" style="position:absolute;margin-left:411.15pt;margin-top:12.05pt;width:135.85pt;height:7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" filled="f" stroked="f">
                <v:textbox>
                  <w:txbxContent>
                    <w:p w:rsidR="00EB1390" w:rsidRPr="00D616D2" w:rsidRDefault="006D1E5A" w:rsidP="00EB139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D1E5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handlu detalicznym kształtuje się na dodatnim poziomie, nieco </w:t>
                      </w:r>
                      <w:r w:rsidR="00530EF8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wyższym</w:t>
                      </w:r>
                      <w:r w:rsidRPr="006D1E5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niż w kwietniu </w:t>
                      </w:r>
                      <w:r w:rsidR="001F257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2019 </w:t>
                      </w:r>
                      <w:r w:rsidRPr="006D1E5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H</w:t>
      </w:r>
      <w:r w:rsidR="00276811" w:rsidRPr="00E01436">
        <w:rPr>
          <w:rFonts w:ascii="Fira Sans" w:hAnsi="Fira Sans"/>
          <w:b/>
          <w:spacing w:val="-2"/>
          <w:szCs w:val="19"/>
        </w:rPr>
        <w:t>andel detaliczny</w:t>
      </w:r>
    </w:p>
    <w:p w:rsidR="008E6D40" w:rsidRDefault="006D1E5A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6D1E5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maju 2019 r. wskaźnik ufności w handlu detalicznym kształtuje się na dodatnim poziomie, nieco </w:t>
      </w:r>
      <w:r w:rsidR="00F741F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wyższym</w:t>
      </w:r>
      <w:r w:rsidRPr="006D1E5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niż w kwietniu br. Oceny sprzedaży zrealizowanej w ostatnich trzech miesiącach są bardziej korzystne od sygnalizowanych </w:t>
      </w:r>
      <w:r w:rsidR="001F257B" w:rsidRPr="006D1E5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kwietniu</w:t>
      </w:r>
      <w:r w:rsidR="001F257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br</w:t>
      </w:r>
      <w:r w:rsidRPr="006D1E5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 Przewidywania dotyczące sprzedaży są najmniej optymistyczne od grudnia 2016 r. Bieżący stan zapasów towarów jest uznawany za zbliżony do odpowiedniego w stosunku do zapotrzebowania.</w:t>
      </w:r>
    </w:p>
    <w:p w:rsidR="003D60A9" w:rsidRDefault="00FE19AE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FE19AE">
        <w:rPr>
          <w:noProof/>
          <w:lang w:eastAsia="pl-PL"/>
        </w:rPr>
        <w:drawing>
          <wp:anchor distT="0" distB="0" distL="114300" distR="114300" simplePos="0" relativeHeight="251964416" behindDoc="0" locked="0" layoutInCell="1" allowOverlap="1">
            <wp:simplePos x="0" y="0"/>
            <wp:positionH relativeFrom="column">
              <wp:posOffset>5241290</wp:posOffset>
            </wp:positionH>
            <wp:positionV relativeFrom="paragraph">
              <wp:posOffset>275590</wp:posOffset>
            </wp:positionV>
            <wp:extent cx="1407160" cy="1988820"/>
            <wp:effectExtent l="0" t="0" r="0" b="0"/>
            <wp:wrapTopAndBottom/>
            <wp:docPr id="15" name="Obraz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19AE">
        <w:rPr>
          <w:noProof/>
          <w:lang w:eastAsia="pl-PL"/>
        </w:rPr>
        <w:drawing>
          <wp:anchor distT="0" distB="0" distL="114300" distR="114300" simplePos="0" relativeHeight="251963392" behindDoc="0" locked="0" layoutInCell="1" allowOverlap="1">
            <wp:simplePos x="0" y="0"/>
            <wp:positionH relativeFrom="margin">
              <wp:posOffset>-1905</wp:posOffset>
            </wp:positionH>
            <wp:positionV relativeFrom="paragraph">
              <wp:posOffset>244586</wp:posOffset>
            </wp:positionV>
            <wp:extent cx="5122800" cy="2268000"/>
            <wp:effectExtent l="0" t="0" r="1905" b="0"/>
            <wp:wrapTopAndBottom/>
            <wp:docPr id="14" name="Obraz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72A" w:rsidRPr="0068372A">
        <w:rPr>
          <w:rFonts w:ascii="Fira Sans" w:hAnsi="Fira Sans"/>
          <w:b/>
          <w:spacing w:val="-2"/>
          <w:sz w:val="18"/>
        </w:rPr>
        <w:t xml:space="preserve"> </w:t>
      </w:r>
      <w:r w:rsidR="0068372A" w:rsidRPr="0068372A">
        <w:t xml:space="preserve"> 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Wykres 5.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hand</w:t>
      </w:r>
      <w:r w:rsidR="00EB4340" w:rsidRPr="00001C5B">
        <w:rPr>
          <w:rFonts w:ascii="Fira Sans" w:hAnsi="Fira Sans"/>
          <w:b/>
          <w:spacing w:val="-2"/>
          <w:sz w:val="18"/>
        </w:rPr>
        <w:t>e</w:t>
      </w:r>
      <w:r w:rsidR="003D60A9" w:rsidRPr="00001C5B">
        <w:rPr>
          <w:rFonts w:ascii="Fira Sans" w:hAnsi="Fira Sans"/>
          <w:b/>
          <w:spacing w:val="-2"/>
          <w:sz w:val="18"/>
        </w:rPr>
        <w:t>l detaliczn</w:t>
      </w:r>
      <w:r w:rsidR="00EB4340" w:rsidRPr="00001C5B">
        <w:rPr>
          <w:rFonts w:ascii="Fira Sans" w:hAnsi="Fira Sans"/>
          <w:b/>
          <w:spacing w:val="-2"/>
          <w:sz w:val="18"/>
        </w:rPr>
        <w:t>y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321A79" w:rsidRDefault="00321A7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86332" w:rsidRPr="00001C5B" w:rsidRDefault="00321A79" w:rsidP="00E76D26">
      <w:pPr>
        <w:pStyle w:val="Nagwek1"/>
      </w:pPr>
      <w:r w:rsidRPr="00001C5B">
        <w:rPr>
          <w:rFonts w:ascii="Fira Sans" w:hAnsi="Fira Sans"/>
          <w:b/>
          <w:noProof/>
          <w:color w:val="212492"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F9E8DD" wp14:editId="146730D7">
                <wp:simplePos x="0" y="0"/>
                <wp:positionH relativeFrom="column">
                  <wp:posOffset>5230749</wp:posOffset>
                </wp:positionH>
                <wp:positionV relativeFrom="paragraph">
                  <wp:posOffset>246253</wp:posOffset>
                </wp:positionV>
                <wp:extent cx="1725295" cy="906145"/>
                <wp:effectExtent l="0" t="0" r="0" b="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C0" w:rsidRPr="00D616D2" w:rsidRDefault="000366E9" w:rsidP="00ED55C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usługach kształtuje się na ujemnym poziomie, </w:t>
                            </w:r>
                            <w:r w:rsidR="005111EF" w:rsidRPr="005111E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zbliżonym do notowanego w kwietniu </w:t>
                            </w: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2019 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E8DD" id="Pole tekstowe 20" o:spid="_x0000_s1034" type="#_x0000_t202" style="position:absolute;margin-left:411.85pt;margin-top:19.4pt;width:135.85pt;height:71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" filled="f" stroked="f">
                <v:textbox>
                  <w:txbxContent>
                    <w:p w:rsidR="00ED55C0" w:rsidRPr="00D616D2" w:rsidRDefault="000366E9" w:rsidP="00ED55C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usługach kształtuje się na ujemnym poziomie, </w:t>
                      </w:r>
                      <w:r w:rsidR="005111EF" w:rsidRPr="005111E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zbliżonym do notowanego w kwietniu </w:t>
                      </w: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2019 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AB2" w:rsidRPr="00E01436">
        <w:rPr>
          <w:rFonts w:ascii="Fira Sans" w:hAnsi="Fira Sans"/>
          <w:b/>
          <w:spacing w:val="-2"/>
          <w:szCs w:val="19"/>
        </w:rPr>
        <w:t>Wskaźniki ufności – Usługi</w:t>
      </w:r>
    </w:p>
    <w:p w:rsidR="0044644A" w:rsidRPr="0044644A" w:rsidRDefault="000366E9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</w:t>
      </w:r>
      <w:r w:rsidR="0098728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maju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7C14F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2019 r.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wskaźnik ufności w usługach kształtuje się na ujemnym poziomie, </w:t>
      </w:r>
      <w:r w:rsidR="0098728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zbliżonym do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9D3868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notowanego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</w:t>
      </w:r>
      <w:r w:rsidR="0098728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kwietniu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br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. Oceny formułowane dla ostatnich trzech miesięcy zarówno </w:t>
      </w:r>
      <w:r w:rsidR="00FE2DD1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przypadku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ogólnej s</w:t>
      </w:r>
      <w:r w:rsidR="00D3676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ytuacji gospodarczej, jak i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popytu są negatywne. Prognozy popytu są pesymistyczne i </w:t>
      </w:r>
      <w:r w:rsidR="0098728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podobne do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przewidywań z </w:t>
      </w:r>
      <w:r w:rsidR="0098728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kwietnia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br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</w:t>
      </w:r>
      <w:r w:rsidR="00CB77D4" w:rsidRPr="00CB77D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</w:p>
    <w:p w:rsidR="00ED0A2A" w:rsidRDefault="003C509F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3C509F">
        <w:rPr>
          <w:noProof/>
          <w:lang w:eastAsia="pl-PL"/>
        </w:rPr>
        <w:drawing>
          <wp:anchor distT="0" distB="0" distL="114300" distR="114300" simplePos="0" relativeHeight="251966464" behindDoc="0" locked="0" layoutInCell="1" allowOverlap="1">
            <wp:simplePos x="0" y="0"/>
            <wp:positionH relativeFrom="column">
              <wp:posOffset>5281295</wp:posOffset>
            </wp:positionH>
            <wp:positionV relativeFrom="paragraph">
              <wp:posOffset>249555</wp:posOffset>
            </wp:positionV>
            <wp:extent cx="1407160" cy="1948180"/>
            <wp:effectExtent l="0" t="0" r="0" b="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09F">
        <w:rPr>
          <w:noProof/>
          <w:lang w:eastAsia="pl-PL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226060</wp:posOffset>
            </wp:positionV>
            <wp:extent cx="5122800" cy="2268000"/>
            <wp:effectExtent l="0" t="0" r="1905" b="0"/>
            <wp:wrapTopAndBottom/>
            <wp:docPr id="26" name="Obraz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6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usług</w:t>
      </w:r>
      <w:r w:rsidR="00EB4340" w:rsidRPr="00001C5B">
        <w:rPr>
          <w:rFonts w:ascii="Fira Sans" w:hAnsi="Fira Sans"/>
          <w:b/>
          <w:spacing w:val="-2"/>
          <w:sz w:val="18"/>
        </w:rPr>
        <w:t>i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D361F" w:rsidRDefault="008D361F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71CE1" w:rsidRDefault="00E71CE1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71CE1" w:rsidRPr="008D361F" w:rsidRDefault="00E71CE1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rFonts w:ascii="Fira Sans" w:hAnsi="Fira Sans"/>
          <w:b/>
          <w:spacing w:val="-2"/>
          <w:sz w:val="18"/>
        </w:rPr>
        <w:t>Analizy z zakresu barier</w:t>
      </w:r>
      <w:r w:rsidRPr="008D361F">
        <w:rPr>
          <w:rFonts w:ascii="Fira Sans" w:hAnsi="Fira Sans"/>
          <w:b/>
          <w:spacing w:val="-2"/>
          <w:sz w:val="18"/>
        </w:rPr>
        <w:t xml:space="preserve"> działalności przedsiębiorstw</w:t>
      </w:r>
      <w:r>
        <w:rPr>
          <w:rFonts w:ascii="Fira Sans" w:hAnsi="Fira Sans"/>
          <w:b/>
          <w:spacing w:val="-2"/>
          <w:sz w:val="18"/>
        </w:rPr>
        <w:t xml:space="preserve"> będą dostępne w publikacji </w:t>
      </w:r>
      <w:r>
        <w:rPr>
          <w:rFonts w:ascii="Fira Sans" w:hAnsi="Fira Sans"/>
          <w:b/>
          <w:i/>
          <w:spacing w:val="-2"/>
          <w:sz w:val="18"/>
        </w:rPr>
        <w:t>Koniunktura w przetwórstwie przemysłowym, budownictwie, handlu i usługach 2000-2019</w:t>
      </w:r>
      <w:r>
        <w:rPr>
          <w:rFonts w:ascii="Fira Sans" w:hAnsi="Fira Sans"/>
          <w:b/>
          <w:spacing w:val="-2"/>
          <w:sz w:val="18"/>
        </w:rPr>
        <w:t xml:space="preserve">, która ukaże się 24 </w:t>
      </w:r>
      <w:r w:rsidR="00685679">
        <w:rPr>
          <w:rFonts w:ascii="Fira Sans" w:hAnsi="Fira Sans"/>
          <w:b/>
          <w:spacing w:val="-2"/>
          <w:sz w:val="18"/>
        </w:rPr>
        <w:t>maja</w:t>
      </w:r>
      <w:r>
        <w:rPr>
          <w:rFonts w:ascii="Fira Sans" w:hAnsi="Fira Sans"/>
          <w:b/>
          <w:spacing w:val="-2"/>
          <w:sz w:val="18"/>
        </w:rPr>
        <w:t xml:space="preserve"> 2019 r.</w:t>
      </w:r>
    </w:p>
    <w:p w:rsidR="00B560E4" w:rsidRDefault="00DC10F1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spacing w:val="-2"/>
          <w:szCs w:val="19"/>
        </w:rPr>
        <w:t xml:space="preserve"> </w:t>
      </w:r>
      <w:r w:rsidR="00B560E4">
        <w:rPr>
          <w:rFonts w:ascii="Fira Sans" w:hAnsi="Fira Sans"/>
          <w:b/>
          <w:spacing w:val="-2"/>
          <w:szCs w:val="19"/>
        </w:rPr>
        <w:br w:type="page"/>
      </w:r>
    </w:p>
    <w:p w:rsidR="002F4E60" w:rsidRPr="00001C5B" w:rsidRDefault="002F4E60" w:rsidP="00E76D26">
      <w:pPr>
        <w:spacing w:before="120" w:after="120"/>
        <w:rPr>
          <w:rFonts w:ascii="Fira Sans" w:hAnsi="Fira Sans"/>
          <w:sz w:val="18"/>
        </w:rPr>
        <w:sectPr w:rsidR="002F4E60" w:rsidRPr="00001C5B" w:rsidSect="001448A7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AB6D25" w:rsidRPr="004C5169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A051F6" w:rsidRDefault="003E163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  <w:t>Olga Gaca</w:t>
            </w:r>
          </w:p>
          <w:p w:rsidR="00AB6D25" w:rsidRPr="00A051F6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Tel: 22 608 </w:t>
            </w:r>
            <w:r w:rsidR="001951DA"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3651</w:t>
            </w:r>
          </w:p>
          <w:p w:rsidR="001951DA" w:rsidRPr="008D361F" w:rsidRDefault="001951DA" w:rsidP="0088188F">
            <w:pPr>
              <w:rPr>
                <w:lang w:val="it-IT"/>
              </w:rPr>
            </w:pPr>
            <w:r w:rsidRPr="008D36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hyperlink r:id="rId26" w:history="1">
              <w:r w:rsidR="0088188F" w:rsidRPr="008D361F">
                <w:rPr>
                  <w:rStyle w:val="Hipercze"/>
                  <w:rFonts w:ascii="Fira Sans" w:eastAsiaTheme="majorEastAsia" w:hAnsi="Fira Sans" w:cs="Arial"/>
                  <w:b/>
                  <w:color w:val="000000" w:themeColor="text1"/>
                  <w:sz w:val="20"/>
                  <w:szCs w:val="20"/>
                  <w:lang w:val="it-IT"/>
                </w:rPr>
                <w:t>o.gaca@stat.gov.pl</w:t>
              </w:r>
            </w:hyperlink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3475, 22 608 3009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  <w:r w:rsidRPr="009F46A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hyperlink r:id="rId27" w:history="1">
              <w:r w:rsidRPr="009F46A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it-IT"/>
                </w:rPr>
                <w:t>rzecznik@stat.gov.pl</w:t>
              </w:r>
            </w:hyperlink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tel.: </w:t>
            </w:r>
            <w:r w:rsidRPr="00001C5B">
              <w:rPr>
                <w:rFonts w:ascii="Fira Sans" w:hAnsi="Fira Sans"/>
                <w:sz w:val="20"/>
              </w:rPr>
              <w:t xml:space="preserve">22 608 3491, </w:t>
            </w:r>
            <w:r w:rsidR="001B48F9">
              <w:rPr>
                <w:rFonts w:ascii="Fira Sans" w:hAnsi="Fira Sans"/>
                <w:sz w:val="20"/>
              </w:rPr>
              <w:t>22</w:t>
            </w:r>
            <w:r w:rsidRPr="00001C5B">
              <w:rPr>
                <w:rFonts w:ascii="Fira Sans" w:hAnsi="Fira Sans"/>
                <w:sz w:val="20"/>
              </w:rPr>
              <w:t xml:space="preserve"> 608 3804 </w:t>
            </w:r>
          </w:p>
          <w:p w:rsidR="00521BC3" w:rsidRPr="004C5169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  <w:r w:rsidRPr="004C5169">
              <w:rPr>
                <w:rFonts w:ascii="Fira Sans" w:hAnsi="Fira Sans"/>
                <w:b/>
                <w:sz w:val="20"/>
              </w:rPr>
              <w:t>e-mail:</w:t>
            </w:r>
            <w:r w:rsidRPr="004C5169">
              <w:rPr>
                <w:rFonts w:ascii="Fira Sans" w:hAnsi="Fira Sans"/>
                <w:sz w:val="20"/>
                <w:szCs w:val="20"/>
              </w:rPr>
              <w:t xml:space="preserve"> </w:t>
            </w:r>
            <w:hyperlink r:id="rId28" w:history="1">
              <w:r w:rsidRPr="004C5169">
                <w:rPr>
                  <w:rStyle w:val="Hipercze"/>
                  <w:rFonts w:ascii="Fira Sans" w:hAnsi="Fira Sans"/>
                  <w:b/>
                  <w:color w:val="auto"/>
                  <w:sz w:val="20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4C5169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D7684" id="Łącznik prosty 2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F8B24" id="Łącznik prosty 2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5.95pt;margin-top:444.7pt;width:426.55pt;height:4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  <w:r w:rsidRPr="005520D8">
                              <w:rPr>
                                <w:rFonts w:ascii="Fira Sans" w:hAnsi="Fira Sans"/>
                                <w:b/>
                              </w:rPr>
                              <w:t>Powiązane</w:t>
                            </w:r>
                            <w:r>
                              <w:rPr>
                                <w:rFonts w:ascii="Fira Sans" w:hAnsi="Fira Sans"/>
                                <w:b/>
                              </w:rPr>
                              <w:t xml:space="preserve"> opracowania</w:t>
                            </w:r>
                          </w:p>
                          <w:p w:rsidR="00A53132" w:rsidRPr="004C7599" w:rsidRDefault="002663D1" w:rsidP="00A5313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</w:t>
                              </w:r>
                              <w:r w:rsidR="00985CAD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r w:rsidR="00BC512B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przetwórstwie przemysłowym</w:t>
                              </w:r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, budownictwie, handlu i usługach 2000 – 201</w:t>
                              </w:r>
                            </w:hyperlink>
                            <w:r w:rsidR="00BC512B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9</w:t>
                            </w:r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A53132">
                            <w:pPr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11518C" w:rsidRDefault="002663D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5" w:history="1"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11518C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805B46" w:rsidRDefault="002663D1" w:rsidP="00A53132">
                            <w:pPr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B6D25" w:rsidRPr="00805B46" w:rsidRDefault="002663D1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2663D1" w:rsidP="00A53132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B6D25" w:rsidRPr="00805B46" w:rsidRDefault="002663D1" w:rsidP="00AB6D25">
                            <w:pPr>
                              <w:pStyle w:val="Nagwek4"/>
                              <w:spacing w:before="195" w:after="195"/>
                              <w:rPr>
                                <w:rFonts w:ascii="Fira Sans" w:hAnsi="Fira Sans"/>
                                <w:i w:val="0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9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7A3C6F" w:rsidRDefault="002663D1" w:rsidP="00AB6D25">
                            <w:pPr>
                              <w:pStyle w:val="Nagwek4"/>
                              <w:spacing w:before="195" w:after="195"/>
                              <w:rPr>
                                <w:rStyle w:val="Hipercze"/>
                                <w:rFonts w:ascii="Fira Sans" w:eastAsiaTheme="minorHAnsi" w:hAnsi="Fira Sans" w:cs="Arial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7A3C6F" w:rsidRPr="007A3C6F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Wskaźnik ufności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6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xx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WIc+7DB&#10;+pHEdziuAa0tHVp0vzjraQUq7n/uwEnO9GdLDVxM5/O4M8mYF+9nZLhTz+bUA1YQVMUDZ+NxHdKe&#10;Ra4Wr6jRjUoteGFy4EyjnTQ8rGHcnVM7Rb38LFZP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W1dxx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  <w:r w:rsidRPr="005520D8">
                        <w:rPr>
                          <w:rFonts w:ascii="Fira Sans" w:hAnsi="Fira Sans"/>
                          <w:b/>
                        </w:rPr>
                        <w:t>Powiązane</w:t>
                      </w:r>
                      <w:r>
                        <w:rPr>
                          <w:rFonts w:ascii="Fira Sans" w:hAnsi="Fira Sans"/>
                          <w:b/>
                        </w:rPr>
                        <w:t xml:space="preserve"> opracowania</w:t>
                      </w:r>
                    </w:p>
                    <w:p w:rsidR="00A53132" w:rsidRPr="004C7599" w:rsidRDefault="00812AC9" w:rsidP="00A5313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</w:t>
                        </w:r>
                        <w:r w:rsidR="00985CAD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r w:rsidR="00BC512B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przetwórstwie przemysłowym</w:t>
                        </w:r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, budownictwie, handlu i usługach 2000 – 201</w:t>
                        </w:r>
                      </w:hyperlink>
                      <w:r w:rsidR="00BC512B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9</w:t>
                      </w:r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A53132">
                      <w:pPr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11518C" w:rsidRDefault="00812AC9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2" w:history="1"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11518C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805B46" w:rsidRDefault="00812AC9" w:rsidP="00A53132">
                      <w:pPr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B6D25" w:rsidRPr="00805B46" w:rsidRDefault="00812AC9" w:rsidP="00AB6D2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812AC9" w:rsidP="00A53132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B6D25" w:rsidRPr="00805B46" w:rsidRDefault="00812AC9" w:rsidP="00AB6D25">
                      <w:pPr>
                        <w:pStyle w:val="Nagwek4"/>
                        <w:spacing w:before="195" w:after="195"/>
                        <w:rPr>
                          <w:rFonts w:ascii="Fira Sans" w:hAnsi="Fira Sans"/>
                          <w:i w:val="0"/>
                          <w:color w:val="001D77"/>
                          <w:sz w:val="18"/>
                          <w:szCs w:val="18"/>
                        </w:rPr>
                      </w:pPr>
                      <w:hyperlink r:id="rId46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Koniunktura gospodarcza</w:t>
                        </w:r>
                      </w:hyperlink>
                    </w:p>
                    <w:p w:rsidR="00AB6D25" w:rsidRPr="007A3C6F" w:rsidRDefault="00812AC9" w:rsidP="00AB6D25">
                      <w:pPr>
                        <w:pStyle w:val="Nagwek4"/>
                        <w:spacing w:before="195" w:after="195"/>
                        <w:rPr>
                          <w:rStyle w:val="Hipercze"/>
                          <w:rFonts w:ascii="Fira Sans" w:eastAsiaTheme="minorHAnsi" w:hAnsi="Fira Sans" w:cs="Arial"/>
                          <w:i w:val="0"/>
                          <w:iCs w:val="0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7" w:history="1">
                        <w:r w:rsidR="007A3C6F" w:rsidRPr="007A3C6F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Wskaźnik ufności</w:t>
                        </w:r>
                      </w:hyperlink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D1" w:rsidRDefault="002663D1" w:rsidP="000662E2">
      <w:pPr>
        <w:spacing w:after="0" w:line="240" w:lineRule="auto"/>
      </w:pPr>
      <w:r>
        <w:separator/>
      </w:r>
    </w:p>
  </w:endnote>
  <w:endnote w:type="continuationSeparator" w:id="0">
    <w:p w:rsidR="002663D1" w:rsidRDefault="002663D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7359B" w:rsidRPr="00B7359B" w:rsidRDefault="00B7359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450D47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B1A65" w:rsidRPr="002B1A65" w:rsidRDefault="002B1A6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450D47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D1" w:rsidRDefault="002663D1" w:rsidP="000662E2">
      <w:pPr>
        <w:spacing w:after="0" w:line="240" w:lineRule="auto"/>
      </w:pPr>
      <w:r>
        <w:separator/>
      </w:r>
    </w:p>
  </w:footnote>
  <w:footnote w:type="continuationSeparator" w:id="0">
    <w:p w:rsidR="002663D1" w:rsidRDefault="002663D1" w:rsidP="000662E2">
      <w:pPr>
        <w:spacing w:after="0" w:line="240" w:lineRule="auto"/>
      </w:pPr>
      <w:r>
        <w:continuationSeparator/>
      </w:r>
    </w:p>
  </w:footnote>
  <w:footnote w:id="1">
    <w:p w:rsidR="0037077F" w:rsidRPr="0037077F" w:rsidRDefault="0037077F" w:rsidP="0037077F">
      <w:pPr>
        <w:pStyle w:val="Tekstprzypisudolnego"/>
        <w:rPr>
          <w:rFonts w:ascii="Fira Sans" w:hAnsi="Fira Sans"/>
          <w:sz w:val="14"/>
          <w:szCs w:val="14"/>
          <w:lang w:val="en-US"/>
        </w:rPr>
      </w:pPr>
      <w:r>
        <w:rPr>
          <w:rStyle w:val="Odwoanieprzypisudolnego"/>
        </w:rPr>
        <w:footnoteRef/>
      </w:r>
      <w:r w:rsidRPr="0037077F">
        <w:rPr>
          <w:lang w:val="en-US"/>
        </w:rPr>
        <w:t xml:space="preserve"> </w:t>
      </w:r>
      <w:r w:rsidRPr="000F3461">
        <w:rPr>
          <w:rFonts w:ascii="Fira Sans" w:hAnsi="Fira Sans"/>
          <w:sz w:val="14"/>
          <w:szCs w:val="14"/>
          <w:lang w:val="en-GB"/>
        </w:rPr>
        <w:t>Patrz</w:t>
      </w:r>
      <w:r w:rsidRPr="00001C5B">
        <w:rPr>
          <w:rFonts w:ascii="Fira Sans" w:hAnsi="Fira Sans"/>
          <w:sz w:val="14"/>
          <w:szCs w:val="14"/>
          <w:lang w:val="en-US"/>
        </w:rPr>
        <w:t xml:space="preserve"> </w:t>
      </w:r>
      <w:r w:rsidRPr="00783CA4">
        <w:rPr>
          <w:rFonts w:ascii="Fira Sans" w:hAnsi="Fira Sans"/>
          <w:sz w:val="14"/>
          <w:szCs w:val="14"/>
          <w:lang w:val="en-US"/>
        </w:rPr>
        <w:t>Business and Consumer Surveys</w:t>
      </w:r>
      <w:r w:rsidRPr="00001C5B">
        <w:rPr>
          <w:rFonts w:ascii="Fira Sans" w:hAnsi="Fira Sans"/>
          <w:sz w:val="14"/>
          <w:szCs w:val="14"/>
          <w:lang w:val="en-US"/>
        </w:rPr>
        <w:t xml:space="preserve">, </w:t>
      </w:r>
      <w:r w:rsidRPr="000F3461">
        <w:rPr>
          <w:rFonts w:ascii="Fira Sans" w:hAnsi="Fira Sans"/>
          <w:sz w:val="14"/>
          <w:szCs w:val="14"/>
          <w:lang w:val="en-GB"/>
        </w:rPr>
        <w:t>Komisja Europejska</w:t>
      </w:r>
      <w:r w:rsidRPr="00001C5B">
        <w:rPr>
          <w:rFonts w:ascii="Fira Sans" w:hAnsi="Fira Sans"/>
          <w:sz w:val="14"/>
          <w:szCs w:val="14"/>
          <w:lang w:val="en-US"/>
        </w:rPr>
        <w:t>, DG ECFIN</w:t>
      </w:r>
    </w:p>
    <w:p w:rsidR="0037077F" w:rsidRPr="0037077F" w:rsidRDefault="002663D1" w:rsidP="0037077F">
      <w:pPr>
        <w:pStyle w:val="Tekstprzypisudolnego"/>
        <w:rPr>
          <w:lang w:val="en-US"/>
        </w:rPr>
      </w:pPr>
      <w:hyperlink r:id="rId1" w:history="1">
        <w:r w:rsidR="0037077F" w:rsidRPr="0037077F">
          <w:rPr>
            <w:rStyle w:val="Hipercze"/>
            <w:rFonts w:ascii="Fira Sans" w:hAnsi="Fira Sans" w:cstheme="minorBidi"/>
            <w:sz w:val="14"/>
            <w:szCs w:val="14"/>
            <w:lang w:val="en-US"/>
          </w:rPr>
          <w:t>http://ec.europa.eu/economy_finance/db_indicators/surveys/index_en.htm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6BE54E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CEA27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114E77">
      <w:rPr>
        <w:noProof/>
        <w:lang w:eastAsia="pl-PL"/>
      </w:rPr>
      <w:drawing>
        <wp:inline distT="0" distB="0" distL="0" distR="0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0958A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711297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71129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26B0F"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17.5pt;width:13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F37172" w:rsidRPr="00C97596" w:rsidRDefault="000958A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711297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71129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26B0F"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proofErr w:type="gramStart"/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>r</w:t>
                    </w:r>
                    <w:proofErr w:type="gramEnd"/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6.75pt;visibility:visible;mso-wrap-style:square" o:bullet="t">
        <v:imagedata r:id="rId1" o:title=""/>
      </v:shape>
    </w:pict>
  </w:numPicBullet>
  <w:numPicBullet w:numPicBulletId="1">
    <w:pict>
      <v:shape id="_x0000_i1031" type="#_x0000_t75" style="width:124.5pt;height:126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1FB"/>
    <w:rsid w:val="00001C5B"/>
    <w:rsid w:val="00003437"/>
    <w:rsid w:val="00005CE7"/>
    <w:rsid w:val="0000709F"/>
    <w:rsid w:val="000108B8"/>
    <w:rsid w:val="00011A11"/>
    <w:rsid w:val="00011C7D"/>
    <w:rsid w:val="000152F5"/>
    <w:rsid w:val="000259F3"/>
    <w:rsid w:val="00034B19"/>
    <w:rsid w:val="000366E9"/>
    <w:rsid w:val="0004582E"/>
    <w:rsid w:val="00051931"/>
    <w:rsid w:val="00057B5C"/>
    <w:rsid w:val="00057BCF"/>
    <w:rsid w:val="00057CA1"/>
    <w:rsid w:val="00061635"/>
    <w:rsid w:val="000662E2"/>
    <w:rsid w:val="00066883"/>
    <w:rsid w:val="00074600"/>
    <w:rsid w:val="00075359"/>
    <w:rsid w:val="00076C1A"/>
    <w:rsid w:val="00076EB8"/>
    <w:rsid w:val="000806F7"/>
    <w:rsid w:val="000834E9"/>
    <w:rsid w:val="00090DEE"/>
    <w:rsid w:val="0009359E"/>
    <w:rsid w:val="0009439B"/>
    <w:rsid w:val="000958A9"/>
    <w:rsid w:val="00096BB4"/>
    <w:rsid w:val="000A0C17"/>
    <w:rsid w:val="000A6754"/>
    <w:rsid w:val="000B0727"/>
    <w:rsid w:val="000B1421"/>
    <w:rsid w:val="000C061B"/>
    <w:rsid w:val="000C135D"/>
    <w:rsid w:val="000C362F"/>
    <w:rsid w:val="000C411C"/>
    <w:rsid w:val="000D1D43"/>
    <w:rsid w:val="000D225C"/>
    <w:rsid w:val="000E0918"/>
    <w:rsid w:val="000E7ED0"/>
    <w:rsid w:val="000F3461"/>
    <w:rsid w:val="000F42CD"/>
    <w:rsid w:val="001005D5"/>
    <w:rsid w:val="001011C3"/>
    <w:rsid w:val="00101BB6"/>
    <w:rsid w:val="001027F5"/>
    <w:rsid w:val="00110D87"/>
    <w:rsid w:val="00110DEB"/>
    <w:rsid w:val="00112E06"/>
    <w:rsid w:val="00114DB9"/>
    <w:rsid w:val="00114E77"/>
    <w:rsid w:val="00114F89"/>
    <w:rsid w:val="0011518C"/>
    <w:rsid w:val="00116087"/>
    <w:rsid w:val="00123319"/>
    <w:rsid w:val="00130296"/>
    <w:rsid w:val="00133B51"/>
    <w:rsid w:val="00134852"/>
    <w:rsid w:val="00134F39"/>
    <w:rsid w:val="001423B6"/>
    <w:rsid w:val="001448A7"/>
    <w:rsid w:val="00146621"/>
    <w:rsid w:val="001479AC"/>
    <w:rsid w:val="001523FD"/>
    <w:rsid w:val="001557B1"/>
    <w:rsid w:val="00162325"/>
    <w:rsid w:val="00163E39"/>
    <w:rsid w:val="00171A1E"/>
    <w:rsid w:val="00172E2E"/>
    <w:rsid w:val="0017455C"/>
    <w:rsid w:val="001762A6"/>
    <w:rsid w:val="0018029F"/>
    <w:rsid w:val="00186B0A"/>
    <w:rsid w:val="00187A01"/>
    <w:rsid w:val="00187EC6"/>
    <w:rsid w:val="00193BDE"/>
    <w:rsid w:val="001951DA"/>
    <w:rsid w:val="001A1B86"/>
    <w:rsid w:val="001A1D09"/>
    <w:rsid w:val="001A42E2"/>
    <w:rsid w:val="001B48F9"/>
    <w:rsid w:val="001B56B5"/>
    <w:rsid w:val="001B64F3"/>
    <w:rsid w:val="001C3269"/>
    <w:rsid w:val="001D1DB4"/>
    <w:rsid w:val="001D5205"/>
    <w:rsid w:val="001E14AC"/>
    <w:rsid w:val="001E155C"/>
    <w:rsid w:val="001E668B"/>
    <w:rsid w:val="001E7473"/>
    <w:rsid w:val="001F0E57"/>
    <w:rsid w:val="001F1BE1"/>
    <w:rsid w:val="001F257B"/>
    <w:rsid w:val="002053BC"/>
    <w:rsid w:val="00205BC2"/>
    <w:rsid w:val="00207ED8"/>
    <w:rsid w:val="002112C0"/>
    <w:rsid w:val="002140F5"/>
    <w:rsid w:val="00216024"/>
    <w:rsid w:val="002213DC"/>
    <w:rsid w:val="00223D5A"/>
    <w:rsid w:val="002248CD"/>
    <w:rsid w:val="00224BF7"/>
    <w:rsid w:val="00224FBD"/>
    <w:rsid w:val="00236D7C"/>
    <w:rsid w:val="0023792A"/>
    <w:rsid w:val="002476AC"/>
    <w:rsid w:val="00252628"/>
    <w:rsid w:val="002574F9"/>
    <w:rsid w:val="00263742"/>
    <w:rsid w:val="002663D1"/>
    <w:rsid w:val="00276811"/>
    <w:rsid w:val="00281218"/>
    <w:rsid w:val="00282699"/>
    <w:rsid w:val="002914E4"/>
    <w:rsid w:val="0029253E"/>
    <w:rsid w:val="002926DF"/>
    <w:rsid w:val="002946A4"/>
    <w:rsid w:val="00296697"/>
    <w:rsid w:val="002B0472"/>
    <w:rsid w:val="002B1A65"/>
    <w:rsid w:val="002B5972"/>
    <w:rsid w:val="002B6B12"/>
    <w:rsid w:val="002B746F"/>
    <w:rsid w:val="002C01DB"/>
    <w:rsid w:val="002C22D7"/>
    <w:rsid w:val="002C39DC"/>
    <w:rsid w:val="002C4FF0"/>
    <w:rsid w:val="002D3F81"/>
    <w:rsid w:val="002D5A7F"/>
    <w:rsid w:val="002E3115"/>
    <w:rsid w:val="002E6140"/>
    <w:rsid w:val="002E6985"/>
    <w:rsid w:val="002E71B6"/>
    <w:rsid w:val="002F14FA"/>
    <w:rsid w:val="002F2B58"/>
    <w:rsid w:val="002F4D66"/>
    <w:rsid w:val="002F4E60"/>
    <w:rsid w:val="002F77C8"/>
    <w:rsid w:val="00301633"/>
    <w:rsid w:val="00303D35"/>
    <w:rsid w:val="003041CB"/>
    <w:rsid w:val="00304F22"/>
    <w:rsid w:val="003065C9"/>
    <w:rsid w:val="00306C7C"/>
    <w:rsid w:val="00310C8E"/>
    <w:rsid w:val="00311059"/>
    <w:rsid w:val="00312C71"/>
    <w:rsid w:val="00321A79"/>
    <w:rsid w:val="00322D35"/>
    <w:rsid w:val="00322EDD"/>
    <w:rsid w:val="00323111"/>
    <w:rsid w:val="003239A4"/>
    <w:rsid w:val="00332320"/>
    <w:rsid w:val="00333F88"/>
    <w:rsid w:val="00335366"/>
    <w:rsid w:val="003407E4"/>
    <w:rsid w:val="00346D76"/>
    <w:rsid w:val="0034734A"/>
    <w:rsid w:val="00347A0E"/>
    <w:rsid w:val="00347D72"/>
    <w:rsid w:val="00354A53"/>
    <w:rsid w:val="00357F62"/>
    <w:rsid w:val="0036049A"/>
    <w:rsid w:val="00367237"/>
    <w:rsid w:val="0036763D"/>
    <w:rsid w:val="003703DC"/>
    <w:rsid w:val="0037077F"/>
    <w:rsid w:val="00371234"/>
    <w:rsid w:val="0037141A"/>
    <w:rsid w:val="00373882"/>
    <w:rsid w:val="00374CAC"/>
    <w:rsid w:val="00377D20"/>
    <w:rsid w:val="003904F8"/>
    <w:rsid w:val="00391BE8"/>
    <w:rsid w:val="003972AF"/>
    <w:rsid w:val="00397D18"/>
    <w:rsid w:val="003A0ABA"/>
    <w:rsid w:val="003A1B36"/>
    <w:rsid w:val="003A271E"/>
    <w:rsid w:val="003A2905"/>
    <w:rsid w:val="003A2DFB"/>
    <w:rsid w:val="003A42AD"/>
    <w:rsid w:val="003A48C2"/>
    <w:rsid w:val="003A5036"/>
    <w:rsid w:val="003B1FED"/>
    <w:rsid w:val="003B5B72"/>
    <w:rsid w:val="003C0845"/>
    <w:rsid w:val="003C4464"/>
    <w:rsid w:val="003C4528"/>
    <w:rsid w:val="003C509F"/>
    <w:rsid w:val="003C59E0"/>
    <w:rsid w:val="003C6A94"/>
    <w:rsid w:val="003C6C8D"/>
    <w:rsid w:val="003D2D75"/>
    <w:rsid w:val="003D2F16"/>
    <w:rsid w:val="003D4F95"/>
    <w:rsid w:val="003D5EA6"/>
    <w:rsid w:val="003D5F42"/>
    <w:rsid w:val="003D60A9"/>
    <w:rsid w:val="003E1635"/>
    <w:rsid w:val="003E170B"/>
    <w:rsid w:val="003E781B"/>
    <w:rsid w:val="003F4C97"/>
    <w:rsid w:val="003F7FE6"/>
    <w:rsid w:val="004002B7"/>
    <w:rsid w:val="00403C6B"/>
    <w:rsid w:val="004040CC"/>
    <w:rsid w:val="0040435C"/>
    <w:rsid w:val="004109C9"/>
    <w:rsid w:val="004118D1"/>
    <w:rsid w:val="004159FA"/>
    <w:rsid w:val="0042323E"/>
    <w:rsid w:val="004232C1"/>
    <w:rsid w:val="00423D86"/>
    <w:rsid w:val="0042406F"/>
    <w:rsid w:val="0042446D"/>
    <w:rsid w:val="00427BF8"/>
    <w:rsid w:val="00431C02"/>
    <w:rsid w:val="00432074"/>
    <w:rsid w:val="00432D84"/>
    <w:rsid w:val="00432E3F"/>
    <w:rsid w:val="004335CF"/>
    <w:rsid w:val="004366B1"/>
    <w:rsid w:val="00437395"/>
    <w:rsid w:val="00445047"/>
    <w:rsid w:val="00445683"/>
    <w:rsid w:val="0044644A"/>
    <w:rsid w:val="00450D47"/>
    <w:rsid w:val="0045269C"/>
    <w:rsid w:val="00454346"/>
    <w:rsid w:val="004546ED"/>
    <w:rsid w:val="00454A5C"/>
    <w:rsid w:val="004553E8"/>
    <w:rsid w:val="00463E39"/>
    <w:rsid w:val="004657FC"/>
    <w:rsid w:val="004662CE"/>
    <w:rsid w:val="00470A70"/>
    <w:rsid w:val="004733F6"/>
    <w:rsid w:val="00473463"/>
    <w:rsid w:val="00474E69"/>
    <w:rsid w:val="00482BBE"/>
    <w:rsid w:val="00482FAD"/>
    <w:rsid w:val="004853D3"/>
    <w:rsid w:val="0049621B"/>
    <w:rsid w:val="004A569A"/>
    <w:rsid w:val="004A592F"/>
    <w:rsid w:val="004A6CC2"/>
    <w:rsid w:val="004B059E"/>
    <w:rsid w:val="004B0752"/>
    <w:rsid w:val="004B1FEA"/>
    <w:rsid w:val="004B7384"/>
    <w:rsid w:val="004C0E8B"/>
    <w:rsid w:val="004C1895"/>
    <w:rsid w:val="004C21B2"/>
    <w:rsid w:val="004C5169"/>
    <w:rsid w:val="004C6D40"/>
    <w:rsid w:val="004C7599"/>
    <w:rsid w:val="004D211A"/>
    <w:rsid w:val="004D30A4"/>
    <w:rsid w:val="004D4BCB"/>
    <w:rsid w:val="004E070B"/>
    <w:rsid w:val="004E6AB5"/>
    <w:rsid w:val="004E7DEA"/>
    <w:rsid w:val="004F096D"/>
    <w:rsid w:val="004F0C3C"/>
    <w:rsid w:val="004F2AEE"/>
    <w:rsid w:val="004F4B2E"/>
    <w:rsid w:val="004F63FC"/>
    <w:rsid w:val="0050144E"/>
    <w:rsid w:val="0050225F"/>
    <w:rsid w:val="00505A92"/>
    <w:rsid w:val="005111EF"/>
    <w:rsid w:val="00512767"/>
    <w:rsid w:val="005203F1"/>
    <w:rsid w:val="00521BC3"/>
    <w:rsid w:val="00526B0F"/>
    <w:rsid w:val="00530791"/>
    <w:rsid w:val="00530B2D"/>
    <w:rsid w:val="00530EF8"/>
    <w:rsid w:val="00532B4D"/>
    <w:rsid w:val="0054251F"/>
    <w:rsid w:val="005436D8"/>
    <w:rsid w:val="005462FF"/>
    <w:rsid w:val="005520D8"/>
    <w:rsid w:val="00556CF1"/>
    <w:rsid w:val="00560493"/>
    <w:rsid w:val="005762A7"/>
    <w:rsid w:val="0057767A"/>
    <w:rsid w:val="00582408"/>
    <w:rsid w:val="005828BF"/>
    <w:rsid w:val="0058585A"/>
    <w:rsid w:val="005864BA"/>
    <w:rsid w:val="005916D7"/>
    <w:rsid w:val="005A698C"/>
    <w:rsid w:val="005A6F50"/>
    <w:rsid w:val="005B11DA"/>
    <w:rsid w:val="005B44E2"/>
    <w:rsid w:val="005B5280"/>
    <w:rsid w:val="005C4F00"/>
    <w:rsid w:val="005D77FB"/>
    <w:rsid w:val="005E0799"/>
    <w:rsid w:val="005E14A3"/>
    <w:rsid w:val="005E2CB6"/>
    <w:rsid w:val="005E4ABD"/>
    <w:rsid w:val="005E5E39"/>
    <w:rsid w:val="005F0DD0"/>
    <w:rsid w:val="005F5A80"/>
    <w:rsid w:val="005F6DFA"/>
    <w:rsid w:val="00601033"/>
    <w:rsid w:val="006044FF"/>
    <w:rsid w:val="00605F33"/>
    <w:rsid w:val="00606660"/>
    <w:rsid w:val="00607CC5"/>
    <w:rsid w:val="00611E75"/>
    <w:rsid w:val="0061219D"/>
    <w:rsid w:val="006140C6"/>
    <w:rsid w:val="00617632"/>
    <w:rsid w:val="006218D3"/>
    <w:rsid w:val="00632056"/>
    <w:rsid w:val="00633014"/>
    <w:rsid w:val="0063437B"/>
    <w:rsid w:val="0063792B"/>
    <w:rsid w:val="00640163"/>
    <w:rsid w:val="00640F41"/>
    <w:rsid w:val="006467C3"/>
    <w:rsid w:val="006516CF"/>
    <w:rsid w:val="00652FE9"/>
    <w:rsid w:val="0065356C"/>
    <w:rsid w:val="00655B16"/>
    <w:rsid w:val="00661D83"/>
    <w:rsid w:val="006650CE"/>
    <w:rsid w:val="006667DB"/>
    <w:rsid w:val="00666FE6"/>
    <w:rsid w:val="006673CA"/>
    <w:rsid w:val="00667C4F"/>
    <w:rsid w:val="0067076B"/>
    <w:rsid w:val="006715A8"/>
    <w:rsid w:val="00676B47"/>
    <w:rsid w:val="00683277"/>
    <w:rsid w:val="0068372A"/>
    <w:rsid w:val="00685679"/>
    <w:rsid w:val="00692138"/>
    <w:rsid w:val="006932A5"/>
    <w:rsid w:val="00694612"/>
    <w:rsid w:val="00695688"/>
    <w:rsid w:val="00695D66"/>
    <w:rsid w:val="006A41E2"/>
    <w:rsid w:val="006B05FA"/>
    <w:rsid w:val="006B0E9E"/>
    <w:rsid w:val="006B3239"/>
    <w:rsid w:val="006B3857"/>
    <w:rsid w:val="006B5AE4"/>
    <w:rsid w:val="006D1E5A"/>
    <w:rsid w:val="006D4054"/>
    <w:rsid w:val="006D4318"/>
    <w:rsid w:val="006D6347"/>
    <w:rsid w:val="006E02EC"/>
    <w:rsid w:val="006E1123"/>
    <w:rsid w:val="006E4BB4"/>
    <w:rsid w:val="006F40E0"/>
    <w:rsid w:val="006F40FA"/>
    <w:rsid w:val="006F57E5"/>
    <w:rsid w:val="00702737"/>
    <w:rsid w:val="00711297"/>
    <w:rsid w:val="00711571"/>
    <w:rsid w:val="007205CE"/>
    <w:rsid w:val="007211B1"/>
    <w:rsid w:val="00724410"/>
    <w:rsid w:val="00726B70"/>
    <w:rsid w:val="00730184"/>
    <w:rsid w:val="00732809"/>
    <w:rsid w:val="0073602C"/>
    <w:rsid w:val="00737ADD"/>
    <w:rsid w:val="00746187"/>
    <w:rsid w:val="00752B07"/>
    <w:rsid w:val="00754106"/>
    <w:rsid w:val="00754C63"/>
    <w:rsid w:val="007623ED"/>
    <w:rsid w:val="00762403"/>
    <w:rsid w:val="0076254F"/>
    <w:rsid w:val="007700E4"/>
    <w:rsid w:val="0077196D"/>
    <w:rsid w:val="00774C6B"/>
    <w:rsid w:val="007801F5"/>
    <w:rsid w:val="00783CA4"/>
    <w:rsid w:val="007842FB"/>
    <w:rsid w:val="00786124"/>
    <w:rsid w:val="00792ACE"/>
    <w:rsid w:val="0079514B"/>
    <w:rsid w:val="00797A85"/>
    <w:rsid w:val="007A2DC1"/>
    <w:rsid w:val="007A3C6F"/>
    <w:rsid w:val="007A7C0E"/>
    <w:rsid w:val="007B1B50"/>
    <w:rsid w:val="007B5805"/>
    <w:rsid w:val="007B7014"/>
    <w:rsid w:val="007C14FB"/>
    <w:rsid w:val="007D3319"/>
    <w:rsid w:val="007D335D"/>
    <w:rsid w:val="007D5ACA"/>
    <w:rsid w:val="007E2821"/>
    <w:rsid w:val="007E3301"/>
    <w:rsid w:val="007E3314"/>
    <w:rsid w:val="007E4B03"/>
    <w:rsid w:val="007F324B"/>
    <w:rsid w:val="007F3482"/>
    <w:rsid w:val="007F5697"/>
    <w:rsid w:val="00804892"/>
    <w:rsid w:val="0080553C"/>
    <w:rsid w:val="00805B46"/>
    <w:rsid w:val="0081118B"/>
    <w:rsid w:val="00812AC9"/>
    <w:rsid w:val="00825DC2"/>
    <w:rsid w:val="008278E4"/>
    <w:rsid w:val="00827A31"/>
    <w:rsid w:val="008325FD"/>
    <w:rsid w:val="00834AD3"/>
    <w:rsid w:val="0083594E"/>
    <w:rsid w:val="00835F27"/>
    <w:rsid w:val="00843795"/>
    <w:rsid w:val="008468C4"/>
    <w:rsid w:val="00846BFF"/>
    <w:rsid w:val="00847F0F"/>
    <w:rsid w:val="0085032D"/>
    <w:rsid w:val="00852448"/>
    <w:rsid w:val="00854334"/>
    <w:rsid w:val="008672E8"/>
    <w:rsid w:val="0087165C"/>
    <w:rsid w:val="00872B57"/>
    <w:rsid w:val="00875D1F"/>
    <w:rsid w:val="00880870"/>
    <w:rsid w:val="0088188F"/>
    <w:rsid w:val="0088258A"/>
    <w:rsid w:val="00883AA9"/>
    <w:rsid w:val="00884717"/>
    <w:rsid w:val="00885FEC"/>
    <w:rsid w:val="00886332"/>
    <w:rsid w:val="00886696"/>
    <w:rsid w:val="008A26D9"/>
    <w:rsid w:val="008A781A"/>
    <w:rsid w:val="008B1EC9"/>
    <w:rsid w:val="008B6C73"/>
    <w:rsid w:val="008C0242"/>
    <w:rsid w:val="008D361F"/>
    <w:rsid w:val="008E0426"/>
    <w:rsid w:val="008E3158"/>
    <w:rsid w:val="008E3FD2"/>
    <w:rsid w:val="008E6509"/>
    <w:rsid w:val="008E6D40"/>
    <w:rsid w:val="008E7B86"/>
    <w:rsid w:val="008F3638"/>
    <w:rsid w:val="008F423C"/>
    <w:rsid w:val="008F6CB7"/>
    <w:rsid w:val="008F6F31"/>
    <w:rsid w:val="008F74DF"/>
    <w:rsid w:val="00903EC3"/>
    <w:rsid w:val="00910C4C"/>
    <w:rsid w:val="009127BA"/>
    <w:rsid w:val="0091509B"/>
    <w:rsid w:val="00920B7D"/>
    <w:rsid w:val="009227A6"/>
    <w:rsid w:val="009269E1"/>
    <w:rsid w:val="0092753D"/>
    <w:rsid w:val="00933EC1"/>
    <w:rsid w:val="0094021A"/>
    <w:rsid w:val="00941C5E"/>
    <w:rsid w:val="00943F43"/>
    <w:rsid w:val="009530DB"/>
    <w:rsid w:val="00953676"/>
    <w:rsid w:val="009602FC"/>
    <w:rsid w:val="00961A8B"/>
    <w:rsid w:val="009647C9"/>
    <w:rsid w:val="00964B83"/>
    <w:rsid w:val="00967F99"/>
    <w:rsid w:val="009705EE"/>
    <w:rsid w:val="00977927"/>
    <w:rsid w:val="0098135C"/>
    <w:rsid w:val="0098156A"/>
    <w:rsid w:val="0098537F"/>
    <w:rsid w:val="00985CAD"/>
    <w:rsid w:val="0098728B"/>
    <w:rsid w:val="00996693"/>
    <w:rsid w:val="009A24B0"/>
    <w:rsid w:val="009A40B0"/>
    <w:rsid w:val="009B068E"/>
    <w:rsid w:val="009B4CC8"/>
    <w:rsid w:val="009C0165"/>
    <w:rsid w:val="009C1335"/>
    <w:rsid w:val="009C1AB2"/>
    <w:rsid w:val="009C22CC"/>
    <w:rsid w:val="009C5DCB"/>
    <w:rsid w:val="009C7251"/>
    <w:rsid w:val="009D0E86"/>
    <w:rsid w:val="009D3868"/>
    <w:rsid w:val="009D48BF"/>
    <w:rsid w:val="009E1846"/>
    <w:rsid w:val="009E1D0F"/>
    <w:rsid w:val="009E2E91"/>
    <w:rsid w:val="009F46AA"/>
    <w:rsid w:val="009F7BAC"/>
    <w:rsid w:val="00A0232F"/>
    <w:rsid w:val="00A0402E"/>
    <w:rsid w:val="00A051F6"/>
    <w:rsid w:val="00A068AA"/>
    <w:rsid w:val="00A06BD8"/>
    <w:rsid w:val="00A11D43"/>
    <w:rsid w:val="00A139F5"/>
    <w:rsid w:val="00A13D15"/>
    <w:rsid w:val="00A1570A"/>
    <w:rsid w:val="00A24EE1"/>
    <w:rsid w:val="00A25E14"/>
    <w:rsid w:val="00A321E4"/>
    <w:rsid w:val="00A33F4A"/>
    <w:rsid w:val="00A365F4"/>
    <w:rsid w:val="00A36BA6"/>
    <w:rsid w:val="00A36EB7"/>
    <w:rsid w:val="00A4019F"/>
    <w:rsid w:val="00A44AB4"/>
    <w:rsid w:val="00A47D80"/>
    <w:rsid w:val="00A521CD"/>
    <w:rsid w:val="00A53132"/>
    <w:rsid w:val="00A563F2"/>
    <w:rsid w:val="00A566E8"/>
    <w:rsid w:val="00A57A69"/>
    <w:rsid w:val="00A62657"/>
    <w:rsid w:val="00A643BB"/>
    <w:rsid w:val="00A66A57"/>
    <w:rsid w:val="00A66C2E"/>
    <w:rsid w:val="00A66EAC"/>
    <w:rsid w:val="00A70B9B"/>
    <w:rsid w:val="00A72F76"/>
    <w:rsid w:val="00A73ABE"/>
    <w:rsid w:val="00A74B25"/>
    <w:rsid w:val="00A758C8"/>
    <w:rsid w:val="00A852B4"/>
    <w:rsid w:val="00A86ECC"/>
    <w:rsid w:val="00A86FCC"/>
    <w:rsid w:val="00A94A12"/>
    <w:rsid w:val="00A96559"/>
    <w:rsid w:val="00AA6722"/>
    <w:rsid w:val="00AA710D"/>
    <w:rsid w:val="00AB5850"/>
    <w:rsid w:val="00AB6D25"/>
    <w:rsid w:val="00AC2BAC"/>
    <w:rsid w:val="00AC3527"/>
    <w:rsid w:val="00AC7777"/>
    <w:rsid w:val="00AD699B"/>
    <w:rsid w:val="00AE14B1"/>
    <w:rsid w:val="00AE269F"/>
    <w:rsid w:val="00AE2D4B"/>
    <w:rsid w:val="00AE4F99"/>
    <w:rsid w:val="00AE62E6"/>
    <w:rsid w:val="00AF2781"/>
    <w:rsid w:val="00AF4F89"/>
    <w:rsid w:val="00B14952"/>
    <w:rsid w:val="00B23D69"/>
    <w:rsid w:val="00B24A8B"/>
    <w:rsid w:val="00B25B97"/>
    <w:rsid w:val="00B31E5A"/>
    <w:rsid w:val="00B36FEF"/>
    <w:rsid w:val="00B41A2C"/>
    <w:rsid w:val="00B44F0A"/>
    <w:rsid w:val="00B50344"/>
    <w:rsid w:val="00B511F2"/>
    <w:rsid w:val="00B51E9F"/>
    <w:rsid w:val="00B560E4"/>
    <w:rsid w:val="00B56BFB"/>
    <w:rsid w:val="00B60A9B"/>
    <w:rsid w:val="00B60C8B"/>
    <w:rsid w:val="00B60CAA"/>
    <w:rsid w:val="00B60EB4"/>
    <w:rsid w:val="00B653AB"/>
    <w:rsid w:val="00B653BB"/>
    <w:rsid w:val="00B65F9E"/>
    <w:rsid w:val="00B66B19"/>
    <w:rsid w:val="00B7359B"/>
    <w:rsid w:val="00B76EA1"/>
    <w:rsid w:val="00B836C6"/>
    <w:rsid w:val="00B86633"/>
    <w:rsid w:val="00B8712B"/>
    <w:rsid w:val="00B914E9"/>
    <w:rsid w:val="00B956EE"/>
    <w:rsid w:val="00BA0245"/>
    <w:rsid w:val="00BA2BA1"/>
    <w:rsid w:val="00BB127F"/>
    <w:rsid w:val="00BC512B"/>
    <w:rsid w:val="00BD26FA"/>
    <w:rsid w:val="00BD4E33"/>
    <w:rsid w:val="00BE0358"/>
    <w:rsid w:val="00BE6E57"/>
    <w:rsid w:val="00BF1A32"/>
    <w:rsid w:val="00BF21DD"/>
    <w:rsid w:val="00C030DE"/>
    <w:rsid w:val="00C17BB9"/>
    <w:rsid w:val="00C22105"/>
    <w:rsid w:val="00C22830"/>
    <w:rsid w:val="00C244B6"/>
    <w:rsid w:val="00C2702E"/>
    <w:rsid w:val="00C3244F"/>
    <w:rsid w:val="00C3598D"/>
    <w:rsid w:val="00C41277"/>
    <w:rsid w:val="00C4751D"/>
    <w:rsid w:val="00C537C3"/>
    <w:rsid w:val="00C548B8"/>
    <w:rsid w:val="00C549B0"/>
    <w:rsid w:val="00C60C4B"/>
    <w:rsid w:val="00C64A37"/>
    <w:rsid w:val="00C6574D"/>
    <w:rsid w:val="00C7158E"/>
    <w:rsid w:val="00C7250B"/>
    <w:rsid w:val="00C7346B"/>
    <w:rsid w:val="00C75437"/>
    <w:rsid w:val="00C75940"/>
    <w:rsid w:val="00C77C0E"/>
    <w:rsid w:val="00C91687"/>
    <w:rsid w:val="00C924A8"/>
    <w:rsid w:val="00C93EB3"/>
    <w:rsid w:val="00C945FE"/>
    <w:rsid w:val="00C96FAA"/>
    <w:rsid w:val="00C97A04"/>
    <w:rsid w:val="00CA107B"/>
    <w:rsid w:val="00CA44F3"/>
    <w:rsid w:val="00CA484D"/>
    <w:rsid w:val="00CB61AE"/>
    <w:rsid w:val="00CB77D4"/>
    <w:rsid w:val="00CB7B94"/>
    <w:rsid w:val="00CC4F14"/>
    <w:rsid w:val="00CC739E"/>
    <w:rsid w:val="00CD58B7"/>
    <w:rsid w:val="00CE06F1"/>
    <w:rsid w:val="00CE738C"/>
    <w:rsid w:val="00CF0700"/>
    <w:rsid w:val="00CF3244"/>
    <w:rsid w:val="00CF4099"/>
    <w:rsid w:val="00D05C62"/>
    <w:rsid w:val="00D07944"/>
    <w:rsid w:val="00D144D4"/>
    <w:rsid w:val="00D23A75"/>
    <w:rsid w:val="00D261A2"/>
    <w:rsid w:val="00D31EDD"/>
    <w:rsid w:val="00D32E28"/>
    <w:rsid w:val="00D33ADF"/>
    <w:rsid w:val="00D33AF1"/>
    <w:rsid w:val="00D3676A"/>
    <w:rsid w:val="00D4076C"/>
    <w:rsid w:val="00D41C37"/>
    <w:rsid w:val="00D424E9"/>
    <w:rsid w:val="00D45C50"/>
    <w:rsid w:val="00D475CA"/>
    <w:rsid w:val="00D50F65"/>
    <w:rsid w:val="00D527B6"/>
    <w:rsid w:val="00D608CF"/>
    <w:rsid w:val="00D616D2"/>
    <w:rsid w:val="00D635A9"/>
    <w:rsid w:val="00D63B5F"/>
    <w:rsid w:val="00D64C6A"/>
    <w:rsid w:val="00D7099F"/>
    <w:rsid w:val="00D70EF7"/>
    <w:rsid w:val="00D715DF"/>
    <w:rsid w:val="00D738D3"/>
    <w:rsid w:val="00D742B6"/>
    <w:rsid w:val="00D74A5A"/>
    <w:rsid w:val="00D76E82"/>
    <w:rsid w:val="00D77205"/>
    <w:rsid w:val="00D816EE"/>
    <w:rsid w:val="00D8397C"/>
    <w:rsid w:val="00D90208"/>
    <w:rsid w:val="00D94EED"/>
    <w:rsid w:val="00D96026"/>
    <w:rsid w:val="00DA0110"/>
    <w:rsid w:val="00DA0179"/>
    <w:rsid w:val="00DA42BA"/>
    <w:rsid w:val="00DA70D1"/>
    <w:rsid w:val="00DB0097"/>
    <w:rsid w:val="00DB147A"/>
    <w:rsid w:val="00DB1B7A"/>
    <w:rsid w:val="00DC10F1"/>
    <w:rsid w:val="00DC25CD"/>
    <w:rsid w:val="00DC58EC"/>
    <w:rsid w:val="00DC6708"/>
    <w:rsid w:val="00DD4D9D"/>
    <w:rsid w:val="00DD54A4"/>
    <w:rsid w:val="00DD6C42"/>
    <w:rsid w:val="00DE0352"/>
    <w:rsid w:val="00DE2DE3"/>
    <w:rsid w:val="00DE3577"/>
    <w:rsid w:val="00DE6052"/>
    <w:rsid w:val="00DF3B68"/>
    <w:rsid w:val="00E00298"/>
    <w:rsid w:val="00E01436"/>
    <w:rsid w:val="00E045BD"/>
    <w:rsid w:val="00E0664E"/>
    <w:rsid w:val="00E06DD1"/>
    <w:rsid w:val="00E10FCD"/>
    <w:rsid w:val="00E16D71"/>
    <w:rsid w:val="00E17B77"/>
    <w:rsid w:val="00E21369"/>
    <w:rsid w:val="00E26998"/>
    <w:rsid w:val="00E30AAF"/>
    <w:rsid w:val="00E31714"/>
    <w:rsid w:val="00E318F3"/>
    <w:rsid w:val="00E32061"/>
    <w:rsid w:val="00E36AD5"/>
    <w:rsid w:val="00E42FF9"/>
    <w:rsid w:val="00E454B8"/>
    <w:rsid w:val="00E4714C"/>
    <w:rsid w:val="00E5190C"/>
    <w:rsid w:val="00E51AEB"/>
    <w:rsid w:val="00E522A7"/>
    <w:rsid w:val="00E54452"/>
    <w:rsid w:val="00E57A2E"/>
    <w:rsid w:val="00E664C5"/>
    <w:rsid w:val="00E671A2"/>
    <w:rsid w:val="00E7165D"/>
    <w:rsid w:val="00E7180B"/>
    <w:rsid w:val="00E71CE1"/>
    <w:rsid w:val="00E72C42"/>
    <w:rsid w:val="00E74B3C"/>
    <w:rsid w:val="00E76D26"/>
    <w:rsid w:val="00E77CC5"/>
    <w:rsid w:val="00E87851"/>
    <w:rsid w:val="00EA0278"/>
    <w:rsid w:val="00EA1D9A"/>
    <w:rsid w:val="00EA45BA"/>
    <w:rsid w:val="00EB1390"/>
    <w:rsid w:val="00EB2C71"/>
    <w:rsid w:val="00EB4340"/>
    <w:rsid w:val="00EC41F8"/>
    <w:rsid w:val="00EC526F"/>
    <w:rsid w:val="00EC5695"/>
    <w:rsid w:val="00ED0A2A"/>
    <w:rsid w:val="00ED55C0"/>
    <w:rsid w:val="00ED682B"/>
    <w:rsid w:val="00ED6FDF"/>
    <w:rsid w:val="00ED7F3A"/>
    <w:rsid w:val="00EE096A"/>
    <w:rsid w:val="00EE0F10"/>
    <w:rsid w:val="00EE4180"/>
    <w:rsid w:val="00EE41D5"/>
    <w:rsid w:val="00EF6153"/>
    <w:rsid w:val="00F037A4"/>
    <w:rsid w:val="00F0474B"/>
    <w:rsid w:val="00F070E2"/>
    <w:rsid w:val="00F07A6E"/>
    <w:rsid w:val="00F10EB2"/>
    <w:rsid w:val="00F27C8F"/>
    <w:rsid w:val="00F32749"/>
    <w:rsid w:val="00F37172"/>
    <w:rsid w:val="00F37483"/>
    <w:rsid w:val="00F37D5F"/>
    <w:rsid w:val="00F4061B"/>
    <w:rsid w:val="00F4477E"/>
    <w:rsid w:val="00F44980"/>
    <w:rsid w:val="00F67D8F"/>
    <w:rsid w:val="00F70A4C"/>
    <w:rsid w:val="00F71749"/>
    <w:rsid w:val="00F741F3"/>
    <w:rsid w:val="00F86024"/>
    <w:rsid w:val="00F8611A"/>
    <w:rsid w:val="00F86708"/>
    <w:rsid w:val="00F8700B"/>
    <w:rsid w:val="00F94BC4"/>
    <w:rsid w:val="00FA05E8"/>
    <w:rsid w:val="00FA2604"/>
    <w:rsid w:val="00FA3557"/>
    <w:rsid w:val="00FA5128"/>
    <w:rsid w:val="00FA733A"/>
    <w:rsid w:val="00FB42D4"/>
    <w:rsid w:val="00FB5906"/>
    <w:rsid w:val="00FB762F"/>
    <w:rsid w:val="00FC2AED"/>
    <w:rsid w:val="00FC4A0F"/>
    <w:rsid w:val="00FC4E4E"/>
    <w:rsid w:val="00FC50D1"/>
    <w:rsid w:val="00FC7D3D"/>
    <w:rsid w:val="00FD0C73"/>
    <w:rsid w:val="00FD36B3"/>
    <w:rsid w:val="00FD3DD3"/>
    <w:rsid w:val="00FD4C00"/>
    <w:rsid w:val="00FD52C7"/>
    <w:rsid w:val="00FE1393"/>
    <w:rsid w:val="00FE19AE"/>
    <w:rsid w:val="00FE2B04"/>
    <w:rsid w:val="00FE2DD1"/>
    <w:rsid w:val="00FE489B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hyperlink" Target="mailto:o.gaca@stat.gov.pl" TargetMode="External"/><Relationship Id="rId39" Type="http://schemas.openxmlformats.org/officeDocument/2006/relationships/hyperlink" Target="http://stat.gov.pl/metainformacje/slownik-pojec/pojecia-stosowane-w-statystyce-publicznej/2076,pojecie.html" TargetMode="External"/><Relationship Id="rId21" Type="http://schemas.openxmlformats.org/officeDocument/2006/relationships/image" Target="media/image15.emf"/><Relationship Id="rId34" Type="http://schemas.openxmlformats.org/officeDocument/2006/relationships/hyperlink" Target="http://stat.gov.pl/obszary-tematyczne/koniunktura/koniunktura/publikacja,4.html" TargetMode="External"/><Relationship Id="rId42" Type="http://schemas.openxmlformats.org/officeDocument/2006/relationships/hyperlink" Target="http://stat.gov.pl/infografiki-widzety/infografiki/publikacja,38.html" TargetMode="External"/><Relationship Id="rId47" Type="http://schemas.openxmlformats.org/officeDocument/2006/relationships/hyperlink" Target="http://stat.gov.pl/metainformacje/slownik-pojec/pojecia-stosowane-w-statystyce-publicznej/3977,pojecie.html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9" Type="http://schemas.openxmlformats.org/officeDocument/2006/relationships/image" Target="media/image17.png"/><Relationship Id="rId11" Type="http://schemas.openxmlformats.org/officeDocument/2006/relationships/image" Target="media/image5.emf"/><Relationship Id="rId24" Type="http://schemas.openxmlformats.org/officeDocument/2006/relationships/header" Target="header2.xml"/><Relationship Id="rId32" Type="http://schemas.openxmlformats.org/officeDocument/2006/relationships/image" Target="media/image20.png"/><Relationship Id="rId37" Type="http://schemas.openxmlformats.org/officeDocument/2006/relationships/hyperlink" Target="http://swaid.stat.gov.pl/SitePagesDBW/KoniunkturaGospodarcza.aspx" TargetMode="External"/><Relationship Id="rId40" Type="http://schemas.openxmlformats.org/officeDocument/2006/relationships/hyperlink" Target="http://stat.gov.pl/metainformacje/slownik-pojec/pojecia-stosowane-w-statystyce-publicznej/3977,pojecie.html" TargetMode="External"/><Relationship Id="rId45" Type="http://schemas.openxmlformats.org/officeDocument/2006/relationships/hyperlink" Target="http://bdm.stat.gov.p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://stat.gov.pl/obszary-tematyczne/koniunktura/koniunktura/badanie-koniunktury-gospodarczej-zeszyt-metodologiczny,5,9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19.png"/><Relationship Id="rId44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image" Target="media/image8.emf"/><Relationship Id="rId22" Type="http://schemas.openxmlformats.org/officeDocument/2006/relationships/header" Target="header1.xml"/><Relationship Id="rId27" Type="http://schemas.openxmlformats.org/officeDocument/2006/relationships/hyperlink" Target="mailto:rzecznik@stat.gov.pl" TargetMode="External"/><Relationship Id="rId30" Type="http://schemas.openxmlformats.org/officeDocument/2006/relationships/image" Target="media/image18.png"/><Relationship Id="rId35" Type="http://schemas.openxmlformats.org/officeDocument/2006/relationships/hyperlink" Target="http://stat.gov.pl/infografiki-widzety/infografiki/publikacja,38.html" TargetMode="External"/><Relationship Id="rId43" Type="http://schemas.openxmlformats.org/officeDocument/2006/relationships/hyperlink" Target="http://stat.gov.pl/obszary-tematyczne/koniunktura/koniunktura/badanie-koniunktury-gospodarczej-zeszyt-metodologiczny,5,9.html" TargetMode="External"/><Relationship Id="rId48" Type="http://schemas.openxmlformats.org/officeDocument/2006/relationships/header" Target="header3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oter" Target="footer2.xml"/><Relationship Id="rId33" Type="http://schemas.openxmlformats.org/officeDocument/2006/relationships/image" Target="media/image21.png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14.emf"/><Relationship Id="rId41" Type="http://schemas.openxmlformats.org/officeDocument/2006/relationships/hyperlink" Target="http://stat.gov.pl/obszary-tematyczne/koniunktura/koniunktura/publikacja,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conomy_finance/db_indicators/surveys/index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B30CA-1153-492D-9C5B-D62E71E2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w maju 2019 roku</dc:title>
  <dc:subject/>
  <cp:keywords/>
  <dc:description/>
  <cp:revision>2</cp:revision>
  <cp:lastPrinted>2019-03-21T08:33:00Z</cp:lastPrinted>
  <dcterms:created xsi:type="dcterms:W3CDTF">2019-05-22T06:19:00Z</dcterms:created>
  <dcterms:modified xsi:type="dcterms:W3CDTF">2019-05-22T06:19:00Z</dcterms:modified>
</cp:coreProperties>
</file>