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charts/chart3.xml" ContentType="application/vnd.openxmlformats-officedocument.drawingml.chart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Pr="008A1029" w:rsidRDefault="00D13520" w:rsidP="00074DD8">
      <w:pPr>
        <w:pStyle w:val="tytuinformacji"/>
        <w:rPr>
          <w:rFonts w:cs="Arial"/>
          <w:spacing w:val="-2"/>
          <w:szCs w:val="40"/>
        </w:rPr>
      </w:pPr>
      <w:r w:rsidRPr="008A1029">
        <w:rPr>
          <w:rFonts w:cs="Arial"/>
          <w:spacing w:val="-2"/>
          <w:szCs w:val="40"/>
        </w:rPr>
        <w:t xml:space="preserve">Dynamika sprzedaży detalicznej w </w:t>
      </w:r>
      <w:r w:rsidR="00253E31">
        <w:rPr>
          <w:rFonts w:cs="Arial"/>
          <w:spacing w:val="-2"/>
          <w:szCs w:val="40"/>
        </w:rPr>
        <w:t>kwietniu</w:t>
      </w:r>
      <w:r w:rsidR="00E202F8" w:rsidRPr="008A1029">
        <w:rPr>
          <w:rFonts w:cs="Arial"/>
          <w:spacing w:val="-2"/>
          <w:szCs w:val="40"/>
        </w:rPr>
        <w:t xml:space="preserve"> </w:t>
      </w:r>
      <w:r w:rsidRPr="008A1029">
        <w:rPr>
          <w:rFonts w:cs="Arial"/>
          <w:spacing w:val="-2"/>
          <w:szCs w:val="40"/>
        </w:rPr>
        <w:t>201</w:t>
      </w:r>
      <w:r w:rsidR="009979A1" w:rsidRPr="008A1029">
        <w:rPr>
          <w:rFonts w:cs="Arial"/>
          <w:spacing w:val="-2"/>
          <w:szCs w:val="40"/>
        </w:rPr>
        <w:t>9</w:t>
      </w:r>
      <w:r w:rsidR="00FD13C3" w:rsidRPr="008A1029">
        <w:rPr>
          <w:rFonts w:cs="Arial"/>
          <w:spacing w:val="-2"/>
          <w:szCs w:val="40"/>
        </w:rPr>
        <w:t> </w:t>
      </w:r>
      <w:r w:rsidRPr="008A1029">
        <w:rPr>
          <w:rFonts w:cs="Arial"/>
          <w:spacing w:val="-2"/>
          <w:szCs w:val="40"/>
        </w:rPr>
        <w:t>r.</w:t>
      </w:r>
    </w:p>
    <w:bookmarkStart w:id="0" w:name="_GoBack"/>
    <w:bookmarkEnd w:id="0"/>
    <w:p w:rsidR="00275EF3" w:rsidRPr="008578C9" w:rsidRDefault="00F97850" w:rsidP="00074DD8">
      <w:pPr>
        <w:pStyle w:val="tytuinformacji"/>
        <w:rPr>
          <w:b/>
          <w:spacing w:val="-10"/>
          <w:szCs w:val="40"/>
          <w:shd w:val="clear" w:color="auto" w:fill="FFFFFF"/>
        </w:rPr>
      </w:pPr>
      <w:r>
        <w:rPr>
          <w:rFonts w:asciiTheme="majorHAnsi" w:hAnsiTheme="majorHAnsi"/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>
                <wp:simplePos x="0" y="0"/>
                <wp:positionH relativeFrom="column">
                  <wp:posOffset>5243499</wp:posOffset>
                </wp:positionH>
                <wp:positionV relativeFrom="paragraph">
                  <wp:posOffset>280808</wp:posOffset>
                </wp:positionV>
                <wp:extent cx="1769745" cy="1231900"/>
                <wp:effectExtent l="0" t="0" r="0" b="6350"/>
                <wp:wrapTight wrapText="bothSides">
                  <wp:wrapPolygon edited="0">
                    <wp:start x="698" y="0"/>
                    <wp:lineTo x="698" y="21377"/>
                    <wp:lineTo x="20693" y="21377"/>
                    <wp:lineTo x="20693" y="0"/>
                    <wp:lineTo x="698" y="0"/>
                  </wp:wrapPolygon>
                </wp:wrapTight>
                <wp:docPr id="1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9745" cy="1231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1F5B" w:rsidRPr="00415861" w:rsidRDefault="007C6606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kwietniu 2019 r. sprzedaż detaliczna w cenach stałych była o 1</w:t>
                            </w:r>
                            <w:r w:rsidR="00776B8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1,9% wyższa niż przed rokiem.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="00776B8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ysokie tempo wzrostu </w:t>
                            </w:r>
                            <w:r w:rsidR="00776B8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związane było m.in. z</w:t>
                            </w:r>
                            <w:r w:rsidR="003F381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 </w:t>
                            </w:r>
                            <w:r w:rsidR="00776B8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przesunięciem terminu świąt (tzw.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efekt kalendarza</w:t>
                            </w:r>
                            <w:r w:rsidR="00776B8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2.85pt;margin-top:22.1pt;width:139.35pt;height:97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" filled="f" stroked="f">
                <v:textbox>
                  <w:txbxContent>
                    <w:p w:rsidR="00431F5B" w:rsidRPr="00415861" w:rsidRDefault="007C6606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kwietniu 2019 r. sprzedaż detaliczna w cenach stałych była o 1</w:t>
                      </w:r>
                      <w:r w:rsidR="00776B8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1,9% wyższa niż przed rokiem.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="00776B8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ysokie tempo wzrostu </w:t>
                      </w:r>
                      <w:r w:rsidR="00776B8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związane było m.in. z</w:t>
                      </w:r>
                      <w:r w:rsidR="003F381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 </w:t>
                      </w:r>
                      <w:r w:rsidR="00776B8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przesunięciem terminu świąt (tzw.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efekt kalendarza</w:t>
                      </w:r>
                      <w:r w:rsidR="00776B8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5737E1" w:rsidRPr="00BF2284" w:rsidRDefault="00F97850" w:rsidP="005B6AAA">
      <w:pPr>
        <w:pStyle w:val="LID"/>
        <w:rPr>
          <w:spacing w:val="-10"/>
        </w:rPr>
      </w:pPr>
      <w: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78740</wp:posOffset>
                </wp:positionV>
                <wp:extent cx="1828800" cy="118872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18872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1F5B" w:rsidRPr="00B66B19" w:rsidRDefault="00431F5B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>
                                  <wp:extent cx="342900" cy="333375"/>
                                  <wp:effectExtent l="0" t="0" r="0" b="9525"/>
                                  <wp:docPr id="12" name="Obraz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2900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</w:t>
                            </w:r>
                            <w:r w:rsidR="00A2119D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11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A2119D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9</w:t>
                            </w:r>
                          </w:p>
                          <w:p w:rsidR="00431F5B" w:rsidRPr="007C61E6" w:rsidRDefault="00431F5B" w:rsidP="00074DD8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7C61E6">
                              <w:t xml:space="preserve">Dynamika sprzedaży </w:t>
                            </w:r>
                            <w:r w:rsidRPr="007C61E6">
                              <w:br/>
                              <w:t xml:space="preserve">detalicznej </w:t>
                            </w:r>
                            <w:r>
                              <w:t>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6.2pt;width:2in;height:93.6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" fillcolor="#001d77" stroked="f">
                <v:textbox>
                  <w:txbxContent>
                    <w:p w:rsidR="00431F5B" w:rsidRPr="00B66B19" w:rsidRDefault="00431F5B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>
                            <wp:extent cx="342900" cy="333375"/>
                            <wp:effectExtent l="0" t="0" r="0" b="9525"/>
                            <wp:docPr id="12" name="Obraz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290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</w:t>
                      </w:r>
                      <w:r w:rsidR="00A2119D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11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A2119D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9</w:t>
                      </w:r>
                    </w:p>
                    <w:p w:rsidR="00431F5B" w:rsidRPr="007C61E6" w:rsidRDefault="00431F5B" w:rsidP="00074DD8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7C61E6">
                        <w:t xml:space="preserve">Dynamika sprzedaży </w:t>
                      </w:r>
                      <w:r w:rsidRPr="007C61E6">
                        <w:br/>
                        <w:t xml:space="preserve">detalicznej </w:t>
                      </w:r>
                      <w:r>
                        <w:t>r/r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62998" w:rsidRPr="009815A2">
        <w:t>S</w:t>
      </w:r>
      <w:r w:rsidR="003C2CAA" w:rsidRPr="009815A2">
        <w:t>przedaż</w:t>
      </w:r>
      <w:r w:rsidR="00C62998" w:rsidRPr="009815A2">
        <w:t xml:space="preserve"> detaliczna</w:t>
      </w:r>
      <w:r w:rsidR="00E80C30" w:rsidRPr="009815A2">
        <w:rPr>
          <w:rStyle w:val="Odwoanieprzypisudolnego"/>
        </w:rPr>
        <w:footnoteReference w:id="1"/>
      </w:r>
      <w:r w:rsidR="003C2CAA" w:rsidRPr="009815A2">
        <w:t xml:space="preserve"> </w:t>
      </w:r>
      <w:r w:rsidR="003C2CAA" w:rsidRPr="009815A2">
        <w:rPr>
          <w:rFonts w:cs="Arial"/>
          <w:szCs w:val="24"/>
        </w:rPr>
        <w:t xml:space="preserve">w cenach stałych </w:t>
      </w:r>
      <w:r w:rsidR="0096306A" w:rsidRPr="009815A2">
        <w:t>w</w:t>
      </w:r>
      <w:r w:rsidR="00C63D87" w:rsidRPr="009815A2">
        <w:t xml:space="preserve"> </w:t>
      </w:r>
      <w:r w:rsidR="0041049C">
        <w:t>kwietniu</w:t>
      </w:r>
      <w:r w:rsidR="002B76BF">
        <w:t xml:space="preserve"> </w:t>
      </w:r>
      <w:r w:rsidR="008418EB" w:rsidRPr="009815A2">
        <w:t>201</w:t>
      </w:r>
      <w:r w:rsidR="002B76BF">
        <w:t>9</w:t>
      </w:r>
      <w:r w:rsidR="002F77F4">
        <w:t> </w:t>
      </w:r>
      <w:r w:rsidR="008418EB" w:rsidRPr="009815A2">
        <w:t>r</w:t>
      </w:r>
      <w:r w:rsidR="003C2CAA" w:rsidRPr="009815A2">
        <w:t xml:space="preserve">. </w:t>
      </w:r>
      <w:r w:rsidR="00C62998" w:rsidRPr="009815A2">
        <w:t xml:space="preserve">była wyższa niż przed rokiem o </w:t>
      </w:r>
      <w:r w:rsidR="0041049C">
        <w:t>11</w:t>
      </w:r>
      <w:r w:rsidR="00C62998" w:rsidRPr="009815A2">
        <w:t>,</w:t>
      </w:r>
      <w:r w:rsidR="0041049C">
        <w:t>9</w:t>
      </w:r>
      <w:r w:rsidR="00C62998" w:rsidRPr="009815A2">
        <w:t>% (wobec wzrostu o</w:t>
      </w:r>
      <w:r w:rsidR="00511F40" w:rsidRPr="009815A2">
        <w:t> </w:t>
      </w:r>
      <w:r w:rsidR="00D42516">
        <w:t>4</w:t>
      </w:r>
      <w:r w:rsidR="00C62998" w:rsidRPr="009815A2">
        <w:t>,</w:t>
      </w:r>
      <w:r w:rsidR="00D42516">
        <w:t>0</w:t>
      </w:r>
      <w:r w:rsidR="00C62998" w:rsidRPr="009815A2">
        <w:t>% w</w:t>
      </w:r>
      <w:r w:rsidR="00C425AA" w:rsidRPr="009815A2">
        <w:t xml:space="preserve"> </w:t>
      </w:r>
      <w:r w:rsidR="00D42516">
        <w:t>kwietniu</w:t>
      </w:r>
      <w:r w:rsidR="00C62998" w:rsidRPr="009815A2">
        <w:t xml:space="preserve"> </w:t>
      </w:r>
      <w:r w:rsidR="008418EB" w:rsidRPr="009815A2">
        <w:t>201</w:t>
      </w:r>
      <w:r w:rsidR="00737243">
        <w:t>8</w:t>
      </w:r>
      <w:r w:rsidR="008418EB" w:rsidRPr="009815A2">
        <w:t xml:space="preserve"> r.</w:t>
      </w:r>
      <w:r w:rsidR="00C62998" w:rsidRPr="009815A2">
        <w:t>)</w:t>
      </w:r>
      <w:r w:rsidR="003C2CAA" w:rsidRPr="009815A2">
        <w:t xml:space="preserve">. </w:t>
      </w:r>
      <w:r w:rsidR="00017FFE" w:rsidRPr="009815A2">
        <w:rPr>
          <w:rFonts w:cs="Arial"/>
          <w:szCs w:val="24"/>
        </w:rPr>
        <w:t>W porównaniu z</w:t>
      </w:r>
      <w:r w:rsidR="00387315">
        <w:rPr>
          <w:rFonts w:cs="Arial"/>
          <w:szCs w:val="24"/>
        </w:rPr>
        <w:t> </w:t>
      </w:r>
      <w:r w:rsidR="00D42516">
        <w:rPr>
          <w:rFonts w:cs="Arial"/>
          <w:szCs w:val="24"/>
        </w:rPr>
        <w:t>marcem</w:t>
      </w:r>
      <w:r w:rsidR="00737243">
        <w:rPr>
          <w:rFonts w:cs="Arial"/>
          <w:szCs w:val="24"/>
        </w:rPr>
        <w:t xml:space="preserve"> </w:t>
      </w:r>
      <w:r w:rsidR="008418EB" w:rsidRPr="009815A2">
        <w:rPr>
          <w:rFonts w:cs="Arial"/>
          <w:szCs w:val="24"/>
        </w:rPr>
        <w:t>201</w:t>
      </w:r>
      <w:r w:rsidR="00DD5E07">
        <w:rPr>
          <w:rFonts w:cs="Arial"/>
          <w:szCs w:val="24"/>
        </w:rPr>
        <w:t>9</w:t>
      </w:r>
      <w:r w:rsidR="00737243">
        <w:rPr>
          <w:rFonts w:cs="Arial"/>
          <w:szCs w:val="24"/>
        </w:rPr>
        <w:t> </w:t>
      </w:r>
      <w:r w:rsidR="008418EB" w:rsidRPr="009815A2">
        <w:rPr>
          <w:rFonts w:cs="Arial"/>
          <w:szCs w:val="24"/>
        </w:rPr>
        <w:t>r</w:t>
      </w:r>
      <w:r w:rsidR="00976445" w:rsidRPr="009815A2">
        <w:rPr>
          <w:rFonts w:cs="Arial"/>
          <w:szCs w:val="24"/>
        </w:rPr>
        <w:t xml:space="preserve">. </w:t>
      </w:r>
      <w:r w:rsidR="00017FFE" w:rsidRPr="009815A2">
        <w:rPr>
          <w:rFonts w:cs="Arial"/>
          <w:szCs w:val="24"/>
        </w:rPr>
        <w:t xml:space="preserve">miał miejsce </w:t>
      </w:r>
      <w:r w:rsidR="00D42516">
        <w:rPr>
          <w:rFonts w:cs="Arial"/>
          <w:szCs w:val="24"/>
        </w:rPr>
        <w:t>wzrost</w:t>
      </w:r>
      <w:r w:rsidR="00737243">
        <w:rPr>
          <w:rFonts w:cs="Arial"/>
          <w:szCs w:val="24"/>
        </w:rPr>
        <w:t xml:space="preserve"> </w:t>
      </w:r>
      <w:r w:rsidR="00976445" w:rsidRPr="009815A2">
        <w:rPr>
          <w:rFonts w:cs="Arial"/>
          <w:szCs w:val="24"/>
        </w:rPr>
        <w:t xml:space="preserve">sprzedaży detalicznej </w:t>
      </w:r>
      <w:r w:rsidR="00976445" w:rsidRPr="009815A2">
        <w:rPr>
          <w:rFonts w:cs="Arial"/>
          <w:spacing w:val="-10"/>
          <w:szCs w:val="24"/>
        </w:rPr>
        <w:t>o</w:t>
      </w:r>
      <w:r w:rsidR="00BF2284" w:rsidRPr="009815A2">
        <w:rPr>
          <w:rFonts w:cs="Arial"/>
          <w:spacing w:val="-10"/>
          <w:szCs w:val="24"/>
        </w:rPr>
        <w:t> </w:t>
      </w:r>
      <w:r w:rsidR="00DD5E07">
        <w:rPr>
          <w:rFonts w:cs="Arial"/>
          <w:spacing w:val="-10"/>
          <w:szCs w:val="24"/>
        </w:rPr>
        <w:t>3</w:t>
      </w:r>
      <w:r w:rsidR="00017FFE" w:rsidRPr="009815A2">
        <w:rPr>
          <w:rFonts w:cs="Arial"/>
          <w:spacing w:val="-10"/>
          <w:szCs w:val="24"/>
        </w:rPr>
        <w:t>,</w:t>
      </w:r>
      <w:r w:rsidR="00D42516">
        <w:rPr>
          <w:rFonts w:cs="Arial"/>
          <w:spacing w:val="-10"/>
          <w:szCs w:val="24"/>
        </w:rPr>
        <w:t>5</w:t>
      </w:r>
      <w:r w:rsidR="00017FFE" w:rsidRPr="009815A2">
        <w:rPr>
          <w:rFonts w:cs="Arial"/>
          <w:spacing w:val="-10"/>
          <w:szCs w:val="24"/>
        </w:rPr>
        <w:t>%</w:t>
      </w:r>
      <w:r w:rsidR="001F67FE" w:rsidRPr="00BF2284">
        <w:rPr>
          <w:rFonts w:cs="Arial"/>
          <w:spacing w:val="-10"/>
          <w:szCs w:val="24"/>
        </w:rPr>
        <w:t>.</w:t>
      </w:r>
    </w:p>
    <w:p w:rsidR="005737E1" w:rsidRPr="0095396F" w:rsidRDefault="005737E1" w:rsidP="00074DD8">
      <w:pPr>
        <w:pStyle w:val="Nagwek1"/>
        <w:rPr>
          <w:rFonts w:asciiTheme="majorHAnsi" w:hAnsiTheme="majorHAnsi"/>
        </w:rPr>
      </w:pPr>
    </w:p>
    <w:p w:rsidR="00EA2B44" w:rsidRDefault="00EA2B44" w:rsidP="00074DD8">
      <w:pPr>
        <w:pStyle w:val="Nagwek1"/>
      </w:pPr>
    </w:p>
    <w:p w:rsidR="00C22105" w:rsidRPr="00E31581" w:rsidRDefault="00F97850" w:rsidP="00074DD8">
      <w:pPr>
        <w:pStyle w:val="Nagwek1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>
                <wp:simplePos x="0" y="0"/>
                <wp:positionH relativeFrom="page">
                  <wp:posOffset>5701030</wp:posOffset>
                </wp:positionH>
                <wp:positionV relativeFrom="paragraph">
                  <wp:posOffset>162560</wp:posOffset>
                </wp:positionV>
                <wp:extent cx="1760855" cy="1118235"/>
                <wp:effectExtent l="0" t="0" r="0" b="5715"/>
                <wp:wrapTight wrapText="bothSides">
                  <wp:wrapPolygon edited="0">
                    <wp:start x="701" y="0"/>
                    <wp:lineTo x="701" y="21342"/>
                    <wp:lineTo x="20798" y="21342"/>
                    <wp:lineTo x="20798" y="0"/>
                    <wp:lineTo x="701" y="0"/>
                  </wp:wrapPolygon>
                </wp:wrapTight>
                <wp:docPr id="11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0855" cy="1118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508A" w:rsidRPr="00D616D2" w:rsidRDefault="00A3508A" w:rsidP="00A3508A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</w:t>
                            </w:r>
                            <w:r w:rsidR="00D325F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kwietniu</w:t>
                            </w:r>
                            <w:r w:rsidR="008F7AC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201</w:t>
                            </w:r>
                            <w:r w:rsidR="001C7EB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9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r. wzrost sprzedaży detalicznej w cenach stałych w skali roku</w:t>
                            </w:r>
                            <w:r w:rsidR="00D44A2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odnotowano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</w:t>
                            </w:r>
                            <w:r w:rsidR="00E74A5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</w:t>
                            </w:r>
                            <w:r w:rsidR="00E74A5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szystkich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grup</w:t>
                            </w:r>
                            <w:r w:rsidR="00E74A5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6" o:spid="_x0000_s1028" type="#_x0000_t202" style="position:absolute;margin-left:448.9pt;margin-top:12.8pt;width:138.65pt;height:88.0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" filled="f" stroked="f">
                <v:textbox>
                  <w:txbxContent>
                    <w:p w:rsidR="00A3508A" w:rsidRPr="00D616D2" w:rsidRDefault="00A3508A" w:rsidP="00A3508A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</w:t>
                      </w:r>
                      <w:r w:rsidR="00D325F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kwietniu</w:t>
                      </w:r>
                      <w:r w:rsidR="008F7AC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201</w:t>
                      </w:r>
                      <w:r w:rsidR="001C7EB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9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r. wzrost sprzedaży detalicznej w cenach stałych w skali roku</w:t>
                      </w:r>
                      <w:r w:rsidR="00D44A2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odnotowano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</w:t>
                      </w:r>
                      <w:r w:rsidR="00E74A5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e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</w:t>
                      </w:r>
                      <w:r w:rsidR="00E74A5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szystkich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grup</w:t>
                      </w:r>
                      <w:r w:rsidR="00E74A5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17FFE" w:rsidRPr="00E31581">
        <w:t xml:space="preserve">Sprzedaż detaliczna towarów według rodzajów działalności </w:t>
      </w:r>
      <w:r w:rsidR="00C20E37">
        <w:t>przedsiębiorstwa</w:t>
      </w:r>
    </w:p>
    <w:p w:rsidR="002D7439" w:rsidRDefault="00E80C30" w:rsidP="00F05462">
      <w:pPr>
        <w:spacing w:before="0" w:after="0"/>
        <w:rPr>
          <w:rFonts w:cs="Arial"/>
        </w:rPr>
      </w:pPr>
      <w:r w:rsidRPr="009815A2">
        <w:rPr>
          <w:rFonts w:cs="Arial"/>
        </w:rPr>
        <w:t>Wśród grup o znaczącym udziale w sprzedaży detalicznej „ogółem</w:t>
      </w:r>
      <w:r w:rsidR="00E00E46" w:rsidRPr="009815A2">
        <w:rPr>
          <w:rFonts w:cs="Arial"/>
        </w:rPr>
        <w:t>”</w:t>
      </w:r>
      <w:r w:rsidR="00C20E37" w:rsidRPr="009815A2">
        <w:rPr>
          <w:rFonts w:cs="Arial"/>
        </w:rPr>
        <w:t xml:space="preserve"> </w:t>
      </w:r>
      <w:r w:rsidR="004B3E2B">
        <w:rPr>
          <w:rFonts w:cs="Arial"/>
        </w:rPr>
        <w:t xml:space="preserve">większy </w:t>
      </w:r>
      <w:r w:rsidR="006E1574">
        <w:rPr>
          <w:rFonts w:cs="Arial"/>
        </w:rPr>
        <w:t>niż przecię</w:t>
      </w:r>
      <w:r w:rsidR="004B3E2B">
        <w:rPr>
          <w:rFonts w:cs="Arial"/>
        </w:rPr>
        <w:t>tny</w:t>
      </w:r>
      <w:r w:rsidR="00063B71">
        <w:rPr>
          <w:rFonts w:cs="Arial"/>
        </w:rPr>
        <w:t xml:space="preserve"> </w:t>
      </w:r>
      <w:r w:rsidRPr="009815A2">
        <w:rPr>
          <w:rFonts w:cs="Arial"/>
        </w:rPr>
        <w:t>wzrost w</w:t>
      </w:r>
      <w:r w:rsidR="004B3E2B">
        <w:rPr>
          <w:rFonts w:cs="Arial"/>
        </w:rPr>
        <w:t xml:space="preserve"> kwietniu </w:t>
      </w:r>
      <w:r w:rsidRPr="009815A2">
        <w:t>201</w:t>
      </w:r>
      <w:r w:rsidR="006546EA">
        <w:t>9</w:t>
      </w:r>
      <w:r w:rsidR="00A44540" w:rsidRPr="009815A2">
        <w:t xml:space="preserve"> </w:t>
      </w:r>
      <w:r w:rsidRPr="009815A2">
        <w:t>r</w:t>
      </w:r>
      <w:r w:rsidRPr="009815A2">
        <w:rPr>
          <w:rFonts w:cs="Arial"/>
        </w:rPr>
        <w:t xml:space="preserve">. w porównaniu z analogicznym okresem </w:t>
      </w:r>
      <w:r w:rsidR="0028585A">
        <w:rPr>
          <w:rFonts w:cs="Arial"/>
        </w:rPr>
        <w:t>2018</w:t>
      </w:r>
      <w:r w:rsidRPr="009815A2">
        <w:rPr>
          <w:rFonts w:cs="Arial"/>
        </w:rPr>
        <w:t xml:space="preserve"> r</w:t>
      </w:r>
      <w:r w:rsidR="00D04158" w:rsidRPr="009815A2">
        <w:rPr>
          <w:rFonts w:cs="Arial"/>
        </w:rPr>
        <w:t>.</w:t>
      </w:r>
      <w:r w:rsidR="0008767F" w:rsidRPr="009815A2">
        <w:rPr>
          <w:rFonts w:cs="Arial"/>
        </w:rPr>
        <w:t xml:space="preserve"> (w cenach stałych)</w:t>
      </w:r>
      <w:r w:rsidRPr="009815A2">
        <w:rPr>
          <w:rFonts w:cs="Arial"/>
        </w:rPr>
        <w:t xml:space="preserve"> zaobse</w:t>
      </w:r>
      <w:r w:rsidR="00C943D6" w:rsidRPr="009815A2">
        <w:rPr>
          <w:rFonts w:cs="Arial"/>
        </w:rPr>
        <w:t xml:space="preserve">rwowano </w:t>
      </w:r>
      <w:r w:rsidR="003434AE" w:rsidRPr="009815A2">
        <w:rPr>
          <w:rFonts w:cs="Arial"/>
        </w:rPr>
        <w:t>w przedsiębiorstwach</w:t>
      </w:r>
      <w:r w:rsidR="00185DC0" w:rsidRPr="00185DC0">
        <w:rPr>
          <w:rFonts w:cs="Arial"/>
        </w:rPr>
        <w:t xml:space="preserve"> </w:t>
      </w:r>
      <w:r w:rsidR="00185DC0" w:rsidRPr="009815A2">
        <w:rPr>
          <w:rFonts w:cs="Arial"/>
        </w:rPr>
        <w:t>prowa</w:t>
      </w:r>
      <w:r w:rsidR="00185DC0">
        <w:rPr>
          <w:rFonts w:cs="Arial"/>
        </w:rPr>
        <w:t>dzących</w:t>
      </w:r>
      <w:r w:rsidR="00185DC0" w:rsidRPr="009815A2">
        <w:rPr>
          <w:rFonts w:cs="Arial"/>
        </w:rPr>
        <w:t xml:space="preserve"> pozostałą sprzedaż detaliczną w</w:t>
      </w:r>
      <w:r w:rsidR="003221DD">
        <w:rPr>
          <w:rFonts w:cs="Arial"/>
        </w:rPr>
        <w:t> </w:t>
      </w:r>
      <w:r w:rsidR="00185DC0" w:rsidRPr="009815A2">
        <w:rPr>
          <w:rFonts w:cs="Arial"/>
        </w:rPr>
        <w:t xml:space="preserve">niewyspecjalizowanych sklepach (o </w:t>
      </w:r>
      <w:r w:rsidR="003221DD">
        <w:rPr>
          <w:rFonts w:cs="Arial"/>
        </w:rPr>
        <w:t>20</w:t>
      </w:r>
      <w:r w:rsidR="00185DC0" w:rsidRPr="009815A2">
        <w:rPr>
          <w:rFonts w:cs="Arial"/>
        </w:rPr>
        <w:t>,</w:t>
      </w:r>
      <w:r w:rsidR="003221DD">
        <w:rPr>
          <w:rFonts w:cs="Arial"/>
        </w:rPr>
        <w:t>7</w:t>
      </w:r>
      <w:r w:rsidR="00185DC0" w:rsidRPr="009815A2">
        <w:rPr>
          <w:rFonts w:cs="Arial"/>
        </w:rPr>
        <w:t>%</w:t>
      </w:r>
      <w:r w:rsidR="0075448D">
        <w:rPr>
          <w:rFonts w:cs="Arial"/>
        </w:rPr>
        <w:t xml:space="preserve"> wobec </w:t>
      </w:r>
      <w:r w:rsidR="003221DD">
        <w:rPr>
          <w:rFonts w:cs="Arial"/>
        </w:rPr>
        <w:t>spadku o 1</w:t>
      </w:r>
      <w:r w:rsidR="0075448D">
        <w:rPr>
          <w:rFonts w:cs="Arial"/>
        </w:rPr>
        <w:t>,9% przed rokiem</w:t>
      </w:r>
      <w:r w:rsidR="00185DC0" w:rsidRPr="009815A2">
        <w:rPr>
          <w:rFonts w:cs="Arial"/>
        </w:rPr>
        <w:t>)</w:t>
      </w:r>
      <w:r w:rsidR="006E1574">
        <w:rPr>
          <w:rFonts w:cs="Arial"/>
        </w:rPr>
        <w:t xml:space="preserve">, podmiotach </w:t>
      </w:r>
      <w:r w:rsidR="00B27DA7">
        <w:rPr>
          <w:rFonts w:cs="Arial"/>
        </w:rPr>
        <w:t>sprzedających</w:t>
      </w:r>
      <w:r w:rsidR="006E1574">
        <w:rPr>
          <w:rFonts w:cs="Arial"/>
        </w:rPr>
        <w:t xml:space="preserve"> żywność, napoje i wyroby tytoniowe (o 18,2% wobec spadku o 10,4% przed rokiem)</w:t>
      </w:r>
      <w:r w:rsidR="00B27DA7">
        <w:rPr>
          <w:rFonts w:cs="Arial"/>
        </w:rPr>
        <w:t xml:space="preserve"> oraz w jednostkach handlujących pojazdami samochodow</w:t>
      </w:r>
      <w:r w:rsidR="00A622CB">
        <w:rPr>
          <w:rFonts w:cs="Arial"/>
        </w:rPr>
        <w:t>ymi</w:t>
      </w:r>
      <w:r w:rsidR="00B27DA7">
        <w:rPr>
          <w:rFonts w:cs="Arial"/>
        </w:rPr>
        <w:t>, motocyklami</w:t>
      </w:r>
      <w:r w:rsidR="00DC15F9">
        <w:rPr>
          <w:rFonts w:cs="Arial"/>
        </w:rPr>
        <w:t xml:space="preserve"> </w:t>
      </w:r>
      <w:r w:rsidR="00F84E75">
        <w:rPr>
          <w:rFonts w:cs="Arial"/>
        </w:rPr>
        <w:t>i</w:t>
      </w:r>
      <w:r w:rsidR="00A622CB">
        <w:rPr>
          <w:rFonts w:cs="Arial"/>
        </w:rPr>
        <w:t> </w:t>
      </w:r>
      <w:r w:rsidR="00B27DA7">
        <w:rPr>
          <w:rFonts w:cs="Arial"/>
        </w:rPr>
        <w:t xml:space="preserve">częściami </w:t>
      </w:r>
      <w:r w:rsidR="00DC15F9">
        <w:rPr>
          <w:rFonts w:cs="Arial"/>
        </w:rPr>
        <w:br/>
      </w:r>
      <w:r w:rsidR="00B27DA7">
        <w:rPr>
          <w:rFonts w:cs="Arial"/>
        </w:rPr>
        <w:t xml:space="preserve">(o 13,3% wobec wzrostu o 11,7% przed rokiem). </w:t>
      </w:r>
      <w:r w:rsidRPr="009815A2">
        <w:rPr>
          <w:rFonts w:cs="Arial"/>
        </w:rPr>
        <w:t>S</w:t>
      </w:r>
      <w:r w:rsidR="00C943D6" w:rsidRPr="009815A2">
        <w:rPr>
          <w:rFonts w:cs="Arial"/>
        </w:rPr>
        <w:t>pośród grup o</w:t>
      </w:r>
      <w:r w:rsidR="00B33CF7">
        <w:rPr>
          <w:rFonts w:cs="Arial"/>
        </w:rPr>
        <w:t xml:space="preserve"> </w:t>
      </w:r>
      <w:r w:rsidR="00C943D6" w:rsidRPr="009815A2">
        <w:rPr>
          <w:rFonts w:cs="Arial"/>
        </w:rPr>
        <w:t>niższym udziale w</w:t>
      </w:r>
      <w:r w:rsidR="00142877">
        <w:rPr>
          <w:rFonts w:cs="Arial"/>
        </w:rPr>
        <w:t> </w:t>
      </w:r>
      <w:r w:rsidRPr="009815A2">
        <w:rPr>
          <w:rFonts w:cs="Arial"/>
        </w:rPr>
        <w:t>sprzedaży detalicznej „</w:t>
      </w:r>
      <w:r w:rsidR="00A622CB">
        <w:rPr>
          <w:rFonts w:cs="Arial"/>
        </w:rPr>
        <w:t xml:space="preserve">ogółem” </w:t>
      </w:r>
      <w:r w:rsidR="00B33CF7">
        <w:rPr>
          <w:rFonts w:cs="Arial"/>
        </w:rPr>
        <w:t>największy wzrost</w:t>
      </w:r>
      <w:r w:rsidR="00E42091" w:rsidRPr="009815A2">
        <w:rPr>
          <w:rFonts w:cs="Arial"/>
        </w:rPr>
        <w:t xml:space="preserve"> wykazały </w:t>
      </w:r>
      <w:r w:rsidRPr="009815A2">
        <w:rPr>
          <w:rFonts w:cs="Arial"/>
        </w:rPr>
        <w:t xml:space="preserve">podmioty </w:t>
      </w:r>
      <w:r w:rsidR="003610E5" w:rsidRPr="009815A2">
        <w:rPr>
          <w:rFonts w:cs="Arial"/>
        </w:rPr>
        <w:t>zaklasyfikowane do</w:t>
      </w:r>
      <w:r w:rsidR="00A41D1B" w:rsidRPr="009815A2">
        <w:rPr>
          <w:rFonts w:cs="Arial"/>
        </w:rPr>
        <w:t xml:space="preserve"> grup</w:t>
      </w:r>
      <w:r w:rsidR="00B33CF7">
        <w:rPr>
          <w:rFonts w:cs="Arial"/>
        </w:rPr>
        <w:t>y</w:t>
      </w:r>
      <w:r w:rsidR="005910D0" w:rsidRPr="009815A2">
        <w:rPr>
          <w:rFonts w:cs="Arial"/>
        </w:rPr>
        <w:t xml:space="preserve"> </w:t>
      </w:r>
      <w:r w:rsidR="00E42091" w:rsidRPr="009815A2">
        <w:rPr>
          <w:rFonts w:cs="Arial"/>
        </w:rPr>
        <w:t xml:space="preserve">„meble, </w:t>
      </w:r>
      <w:proofErr w:type="spellStart"/>
      <w:r w:rsidR="00E42091" w:rsidRPr="009815A2">
        <w:rPr>
          <w:rFonts w:cs="Arial"/>
        </w:rPr>
        <w:t>rtv</w:t>
      </w:r>
      <w:proofErr w:type="spellEnd"/>
      <w:r w:rsidR="00E42091" w:rsidRPr="009815A2">
        <w:rPr>
          <w:rFonts w:cs="Arial"/>
        </w:rPr>
        <w:t xml:space="preserve">, </w:t>
      </w:r>
      <w:proofErr w:type="spellStart"/>
      <w:r w:rsidR="00E42091" w:rsidRPr="009815A2">
        <w:rPr>
          <w:rFonts w:cs="Arial"/>
        </w:rPr>
        <w:t>agd</w:t>
      </w:r>
      <w:proofErr w:type="spellEnd"/>
      <w:r w:rsidR="00E42091" w:rsidRPr="009815A2">
        <w:rPr>
          <w:rFonts w:cs="Arial"/>
        </w:rPr>
        <w:t>” (o </w:t>
      </w:r>
      <w:r w:rsidR="00111234">
        <w:rPr>
          <w:rFonts w:cs="Arial"/>
        </w:rPr>
        <w:t>1</w:t>
      </w:r>
      <w:r w:rsidR="00970E30">
        <w:rPr>
          <w:rFonts w:cs="Arial"/>
        </w:rPr>
        <w:t>9</w:t>
      </w:r>
      <w:r w:rsidR="00E42091" w:rsidRPr="009815A2">
        <w:rPr>
          <w:rFonts w:cs="Arial"/>
        </w:rPr>
        <w:t>,</w:t>
      </w:r>
      <w:r w:rsidR="00970E30">
        <w:rPr>
          <w:rFonts w:cs="Arial"/>
        </w:rPr>
        <w:t>5</w:t>
      </w:r>
      <w:r w:rsidR="00E42091" w:rsidRPr="009815A2">
        <w:rPr>
          <w:rFonts w:cs="Arial"/>
        </w:rPr>
        <w:t>%)</w:t>
      </w:r>
      <w:r w:rsidR="00B33CF7">
        <w:rPr>
          <w:rFonts w:cs="Arial"/>
        </w:rPr>
        <w:t>.</w:t>
      </w:r>
    </w:p>
    <w:p w:rsidR="00A233D9" w:rsidRPr="009815A2" w:rsidRDefault="00A233D9" w:rsidP="00F05462">
      <w:pPr>
        <w:spacing w:before="0" w:after="0"/>
        <w:rPr>
          <w:rFonts w:cs="Arial"/>
        </w:rPr>
      </w:pPr>
      <w:r>
        <w:rPr>
          <w:rFonts w:cs="Arial"/>
        </w:rPr>
        <w:t>W okresie styczeń-</w:t>
      </w:r>
      <w:r w:rsidR="000E3BEB">
        <w:rPr>
          <w:rFonts w:cs="Arial"/>
        </w:rPr>
        <w:t>kwiecień</w:t>
      </w:r>
      <w:r>
        <w:rPr>
          <w:rStyle w:val="Odwoanieprzypisudolnego"/>
          <w:rFonts w:cs="Arial"/>
        </w:rPr>
        <w:footnoteReference w:id="2"/>
      </w:r>
      <w:r w:rsidR="00E8395B">
        <w:rPr>
          <w:rFonts w:cs="Arial"/>
        </w:rPr>
        <w:t xml:space="preserve"> 2019 r. wzrost sprzedaży detalicznej r/r wyniósł </w:t>
      </w:r>
      <w:r w:rsidR="000E3BEB">
        <w:rPr>
          <w:rFonts w:cs="Arial"/>
        </w:rPr>
        <w:t>6</w:t>
      </w:r>
      <w:r w:rsidR="00E8395B">
        <w:rPr>
          <w:rFonts w:cs="Arial"/>
        </w:rPr>
        <w:t>,</w:t>
      </w:r>
      <w:r w:rsidR="000E3BEB">
        <w:rPr>
          <w:rFonts w:cs="Arial"/>
        </w:rPr>
        <w:t>5</w:t>
      </w:r>
      <w:r w:rsidR="00E8395B">
        <w:rPr>
          <w:rFonts w:cs="Arial"/>
        </w:rPr>
        <w:t xml:space="preserve">% (wobec wzrostu o </w:t>
      </w:r>
      <w:r w:rsidR="00A51123">
        <w:rPr>
          <w:rFonts w:cs="Arial"/>
        </w:rPr>
        <w:t>6</w:t>
      </w:r>
      <w:r w:rsidR="00E8395B">
        <w:rPr>
          <w:rFonts w:cs="Arial"/>
        </w:rPr>
        <w:t>,</w:t>
      </w:r>
      <w:r w:rsidR="00A51123">
        <w:rPr>
          <w:rFonts w:cs="Arial"/>
        </w:rPr>
        <w:t>9</w:t>
      </w:r>
      <w:r w:rsidR="00E8395B">
        <w:rPr>
          <w:rFonts w:cs="Arial"/>
        </w:rPr>
        <w:t>% w 2018 r.)</w:t>
      </w:r>
    </w:p>
    <w:p w:rsidR="00E80C30" w:rsidRDefault="00B25EE8" w:rsidP="006414A2">
      <w:pPr>
        <w:pStyle w:val="tytuwykresu"/>
        <w:rPr>
          <w:shd w:val="clear" w:color="auto" w:fill="FFFFFF"/>
        </w:rPr>
      </w:pPr>
      <w:r w:rsidRPr="00B5309C">
        <w:t>Wykres 1</w:t>
      </w:r>
      <w:r w:rsidR="00976445">
        <w:t>.</w:t>
      </w:r>
      <w:r w:rsidRPr="00B5309C">
        <w:rPr>
          <w:shd w:val="clear" w:color="auto" w:fill="FFFFFF"/>
        </w:rPr>
        <w:t xml:space="preserve"> Sprzedaż detaliczna towarów (ceny stałe) – analogiczny okres roku poprzedniego</w:t>
      </w:r>
      <w:r>
        <w:rPr>
          <w:shd w:val="clear" w:color="auto" w:fill="FFFFFF"/>
        </w:rPr>
        <w:t>=100</w:t>
      </w:r>
    </w:p>
    <w:p w:rsidR="003A010A" w:rsidRDefault="003A010A" w:rsidP="003A010A">
      <w:pPr>
        <w:pStyle w:val="tytuwykresu"/>
        <w:spacing w:before="0" w:after="0"/>
        <w:ind w:left="720"/>
        <w:rPr>
          <w:b w:val="0"/>
          <w:noProof/>
          <w:spacing w:val="-14"/>
          <w:sz w:val="16"/>
          <w:szCs w:val="16"/>
          <w:lang w:eastAsia="pl-PL"/>
        </w:rPr>
      </w:pPr>
      <w:r w:rsidRPr="00F05462">
        <w:rPr>
          <w:b w:val="0"/>
          <w:noProof/>
          <w:spacing w:val="-14"/>
          <w:sz w:val="16"/>
          <w:szCs w:val="16"/>
          <w:lang w:eastAsia="pl-PL"/>
        </w:rPr>
        <w:drawing>
          <wp:anchor distT="0" distB="0" distL="114300" distR="114300" simplePos="0" relativeHeight="251657216" behindDoc="0" locked="0" layoutInCell="1" allowOverlap="1" wp14:anchorId="36B28D11" wp14:editId="7ADA92A6">
            <wp:simplePos x="0" y="0"/>
            <wp:positionH relativeFrom="margin">
              <wp:posOffset>3175</wp:posOffset>
            </wp:positionH>
            <wp:positionV relativeFrom="margin">
              <wp:posOffset>4774565</wp:posOffset>
            </wp:positionV>
            <wp:extent cx="5048250" cy="2421255"/>
            <wp:effectExtent l="0" t="0" r="0" b="0"/>
            <wp:wrapSquare wrapText="bothSides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V relativeFrom="margin">
              <wp14:pctHeight>0</wp14:pctHeight>
            </wp14:sizeRelV>
          </wp:anchor>
        </w:drawing>
      </w:r>
    </w:p>
    <w:p w:rsidR="00F05462" w:rsidRPr="00F05462" w:rsidRDefault="00F05462" w:rsidP="00957ADF">
      <w:pPr>
        <w:pStyle w:val="tytuwykresu"/>
        <w:jc w:val="center"/>
        <w:rPr>
          <w:lang w:eastAsia="pl-PL"/>
        </w:rPr>
      </w:pPr>
    </w:p>
    <w:p w:rsidR="003F3D37" w:rsidRDefault="00F97850" w:rsidP="003F3D37">
      <w:pPr>
        <w:pStyle w:val="Nagwek1"/>
        <w:rPr>
          <w:rFonts w:ascii="Fira Sans" w:hAnsi="Fira Sans" w:cs="Arial"/>
          <w:b/>
          <w:color w:val="auto"/>
          <w:sz w:val="18"/>
          <w:szCs w:val="18"/>
        </w:rPr>
      </w:pPr>
      <w:r>
        <w:rPr>
          <w:rFonts w:ascii="Fira Sans" w:hAnsi="Fira Sans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>
                <wp:simplePos x="0" y="0"/>
                <wp:positionH relativeFrom="page">
                  <wp:posOffset>5681345</wp:posOffset>
                </wp:positionH>
                <wp:positionV relativeFrom="paragraph">
                  <wp:posOffset>377825</wp:posOffset>
                </wp:positionV>
                <wp:extent cx="1790065" cy="1285240"/>
                <wp:effectExtent l="0" t="0" r="0" b="0"/>
                <wp:wrapTight wrapText="bothSides">
                  <wp:wrapPolygon edited="0">
                    <wp:start x="690" y="0"/>
                    <wp:lineTo x="690" y="21130"/>
                    <wp:lineTo x="20688" y="21130"/>
                    <wp:lineTo x="20688" y="0"/>
                    <wp:lineTo x="690" y="0"/>
                  </wp:wrapPolygon>
                </wp:wrapTight>
                <wp:docPr id="7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065" cy="1285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572" w:rsidRPr="00D616D2" w:rsidRDefault="00A665CE" w:rsidP="003F3D3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</w:t>
                            </w:r>
                            <w:r w:rsidR="008E61B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okresie </w:t>
                            </w:r>
                            <w:r w:rsidR="00486C4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styczeń-kwiecień</w:t>
                            </w:r>
                            <w:r w:rsidR="008E61B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2019 r. dynamika sprzedaży detalicznej w</w:t>
                            </w:r>
                            <w:r w:rsidR="00486C4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cenach stałych r/r wyniosła 106,5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447.35pt;margin-top:29.75pt;width:140.95pt;height:101.2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" filled="f" stroked="f">
                <v:textbox>
                  <w:txbxContent>
                    <w:p w:rsidR="00E25572" w:rsidRPr="00D616D2" w:rsidRDefault="00A665CE" w:rsidP="003F3D3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</w:t>
                      </w:r>
                      <w:r w:rsidR="008E61B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okresie </w:t>
                      </w:r>
                      <w:r w:rsidR="00486C4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styczeń-kwiecień</w:t>
                      </w:r>
                      <w:r w:rsidR="008E61B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2019 r. dynamika sprzedaży detalicznej w</w:t>
                      </w:r>
                      <w:r w:rsidR="00486C4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cenach stałych r/r wyniosła 106,5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3F3D37" w:rsidRPr="008A1029">
        <w:rPr>
          <w:rFonts w:ascii="Fira Sans" w:hAnsi="Fira Sans"/>
          <w:b/>
          <w:color w:val="auto"/>
          <w:sz w:val="18"/>
          <w:szCs w:val="18"/>
        </w:rPr>
        <w:t>Tabela 1. Dynamika</w:t>
      </w:r>
      <w:r w:rsidR="003F3D37" w:rsidRPr="008A1029">
        <w:rPr>
          <w:rFonts w:ascii="Fira Sans" w:hAnsi="Fira Sans" w:cs="Arial"/>
          <w:b/>
          <w:color w:val="auto"/>
          <w:sz w:val="18"/>
          <w:szCs w:val="18"/>
        </w:rPr>
        <w:t xml:space="preserve"> sprzedaży</w:t>
      </w:r>
      <w:r w:rsidR="003F3D37" w:rsidRPr="009C5159">
        <w:rPr>
          <w:rFonts w:cs="Arial"/>
          <w:b/>
          <w:color w:val="auto"/>
          <w:sz w:val="18"/>
          <w:szCs w:val="18"/>
        </w:rPr>
        <w:t xml:space="preserve"> </w:t>
      </w:r>
      <w:r w:rsidR="003F3D37" w:rsidRPr="008A1029">
        <w:rPr>
          <w:rFonts w:ascii="Fira Sans" w:hAnsi="Fira Sans" w:cs="Arial"/>
          <w:b/>
          <w:color w:val="auto"/>
          <w:sz w:val="18"/>
          <w:szCs w:val="18"/>
        </w:rPr>
        <w:t xml:space="preserve">detalicznej </w:t>
      </w:r>
      <w:r w:rsidR="00C52092">
        <w:rPr>
          <w:rFonts w:ascii="Fira Sans" w:hAnsi="Fira Sans" w:cs="Arial"/>
          <w:b/>
          <w:color w:val="auto"/>
          <w:sz w:val="18"/>
          <w:szCs w:val="18"/>
        </w:rPr>
        <w:t>(ceny stałe</w:t>
      </w:r>
      <w:r w:rsidR="00C52092" w:rsidRPr="000275C3">
        <w:rPr>
          <w:rFonts w:ascii="Fira Sans" w:hAnsi="Fira Sans" w:cs="Arial"/>
          <w:b/>
          <w:color w:val="auto"/>
          <w:sz w:val="18"/>
          <w:szCs w:val="18"/>
        </w:rPr>
        <w:t>)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6"/>
        <w:gridCol w:w="1134"/>
        <w:gridCol w:w="1134"/>
        <w:gridCol w:w="1146"/>
      </w:tblGrid>
      <w:tr w:rsidR="00C613BD" w:rsidRPr="00F156AE" w:rsidTr="009304E4">
        <w:trPr>
          <w:gridAfter w:val="3"/>
          <w:wAfter w:w="3414" w:type="dxa"/>
          <w:cantSplit/>
          <w:trHeight w:val="360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C613BD" w:rsidRPr="00F156AE" w:rsidRDefault="00C613BD" w:rsidP="009304E4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C613BD" w:rsidRPr="0095396F" w:rsidTr="009304E4">
        <w:trPr>
          <w:cantSplit/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:rsidR="00C613BD" w:rsidRPr="00F156AE" w:rsidRDefault="00C613BD" w:rsidP="009304E4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613BD" w:rsidRPr="00F156AE" w:rsidRDefault="007B66DE" w:rsidP="00EE1B8B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I</w:t>
            </w:r>
            <w:r w:rsidR="00EE1B8B">
              <w:rPr>
                <w:rFonts w:cs="Arial"/>
                <w:color w:val="000000"/>
                <w:sz w:val="16"/>
                <w:szCs w:val="16"/>
              </w:rPr>
              <w:t>V</w:t>
            </w:r>
            <w:r w:rsidR="00C613BD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C613BD" w:rsidRPr="00F156AE">
              <w:rPr>
                <w:rFonts w:cs="Arial"/>
                <w:color w:val="000000"/>
                <w:sz w:val="16"/>
                <w:szCs w:val="16"/>
              </w:rPr>
              <w:t>201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:rsidR="00C613BD" w:rsidRPr="00F156AE" w:rsidRDefault="00C613BD" w:rsidP="00EE1B8B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I-</w:t>
            </w:r>
            <w:r w:rsidR="00EE1B8B">
              <w:rPr>
                <w:rFonts w:cs="Arial"/>
                <w:color w:val="000000"/>
                <w:sz w:val="16"/>
                <w:szCs w:val="16"/>
              </w:rPr>
              <w:t>IV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201</w:t>
            </w:r>
            <w:r w:rsidR="00965F65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C613BD" w:rsidRPr="0095396F" w:rsidTr="009304E4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:rsidR="00C613BD" w:rsidRPr="00F156AE" w:rsidRDefault="00C613BD" w:rsidP="009304E4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:rsidR="00C613BD" w:rsidRPr="00275EF3" w:rsidRDefault="007B66DE" w:rsidP="007B66D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I</w:t>
            </w:r>
            <w:r w:rsidR="00EE1B8B">
              <w:rPr>
                <w:rFonts w:cs="Arial"/>
                <w:sz w:val="16"/>
                <w:szCs w:val="16"/>
              </w:rPr>
              <w:t>II</w:t>
            </w:r>
            <w:r w:rsidR="00C613BD" w:rsidRPr="00275EF3">
              <w:rPr>
                <w:rFonts w:cs="Arial"/>
                <w:sz w:val="16"/>
                <w:szCs w:val="16"/>
              </w:rPr>
              <w:t xml:space="preserve"> 201</w:t>
            </w:r>
            <w:r>
              <w:rPr>
                <w:rFonts w:cs="Arial"/>
                <w:sz w:val="16"/>
                <w:szCs w:val="16"/>
              </w:rPr>
              <w:t>9</w:t>
            </w:r>
            <w:r w:rsidR="00C613BD" w:rsidRPr="00275EF3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C613BD" w:rsidRPr="00275EF3" w:rsidRDefault="007B66DE" w:rsidP="00071D8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I</w:t>
            </w:r>
            <w:r w:rsidR="00EE1B8B">
              <w:rPr>
                <w:rFonts w:cs="Arial"/>
                <w:sz w:val="16"/>
                <w:szCs w:val="16"/>
              </w:rPr>
              <w:t>V</w:t>
            </w:r>
            <w:r w:rsidR="00C613BD" w:rsidRPr="00275EF3">
              <w:rPr>
                <w:rFonts w:cs="Arial"/>
                <w:sz w:val="16"/>
                <w:szCs w:val="16"/>
              </w:rPr>
              <w:t xml:space="preserve"> 201</w:t>
            </w:r>
            <w:r w:rsidR="00071D8E">
              <w:rPr>
                <w:rFonts w:cs="Arial"/>
                <w:sz w:val="16"/>
                <w:szCs w:val="16"/>
              </w:rPr>
              <w:t>8</w:t>
            </w:r>
            <w:r w:rsidR="00C613BD" w:rsidRPr="00275EF3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C613BD" w:rsidRPr="00275EF3" w:rsidRDefault="00C613BD" w:rsidP="00EE1B8B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75EF3">
              <w:rPr>
                <w:rFonts w:cs="Arial"/>
                <w:sz w:val="16"/>
                <w:szCs w:val="16"/>
              </w:rPr>
              <w:t>I-</w:t>
            </w:r>
            <w:r w:rsidR="00965F65">
              <w:rPr>
                <w:rFonts w:cs="Arial"/>
                <w:sz w:val="16"/>
                <w:szCs w:val="16"/>
              </w:rPr>
              <w:t>I</w:t>
            </w:r>
            <w:r w:rsidR="00EE1B8B">
              <w:rPr>
                <w:rFonts w:cs="Arial"/>
                <w:sz w:val="16"/>
                <w:szCs w:val="16"/>
              </w:rPr>
              <w:t>V</w:t>
            </w:r>
            <w:r w:rsidRPr="00275EF3">
              <w:rPr>
                <w:rFonts w:cs="Arial"/>
                <w:sz w:val="16"/>
                <w:szCs w:val="16"/>
              </w:rPr>
              <w:t xml:space="preserve"> 201</w:t>
            </w:r>
            <w:r w:rsidR="00965F65">
              <w:rPr>
                <w:rFonts w:cs="Arial"/>
                <w:sz w:val="16"/>
                <w:szCs w:val="16"/>
              </w:rPr>
              <w:t>8</w:t>
            </w:r>
            <w:r w:rsidRPr="00275EF3">
              <w:rPr>
                <w:rFonts w:cs="Arial"/>
                <w:sz w:val="16"/>
                <w:szCs w:val="16"/>
              </w:rPr>
              <w:t>=100</w:t>
            </w:r>
          </w:p>
        </w:tc>
      </w:tr>
      <w:tr w:rsidR="00C613BD" w:rsidRPr="0095396F" w:rsidTr="009304E4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:rsidR="00C613BD" w:rsidRPr="00F156AE" w:rsidRDefault="00C613BD" w:rsidP="009304E4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C613BD" w:rsidRPr="00F156AE" w:rsidRDefault="007D0C5D" w:rsidP="009304E4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103,5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C613BD" w:rsidRPr="00F156AE" w:rsidRDefault="000A6155" w:rsidP="009304E4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111,9</w:t>
            </w: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C613BD" w:rsidRPr="00F156AE" w:rsidRDefault="006E58D4" w:rsidP="009304E4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106,5</w:t>
            </w:r>
          </w:p>
        </w:tc>
      </w:tr>
      <w:tr w:rsidR="00C613BD" w:rsidRPr="0095396F" w:rsidTr="009304E4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:rsidR="00C613BD" w:rsidRPr="00F156AE" w:rsidRDefault="00C613BD" w:rsidP="009304E4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C613BD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C613BD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:rsidR="00C613BD" w:rsidRPr="00F156A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C613BD" w:rsidRPr="0095396F" w:rsidTr="009304E4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:rsidR="00C613BD" w:rsidRPr="00F156A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7D0C5D" w:rsidP="009304E4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0A6155" w:rsidP="009304E4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113,3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C613BD" w:rsidRPr="00F156AE" w:rsidRDefault="006E58D4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110,5</w:t>
            </w:r>
          </w:p>
        </w:tc>
      </w:tr>
      <w:tr w:rsidR="00C613BD" w:rsidRPr="0095396F" w:rsidTr="009304E4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:rsidR="00C613BD" w:rsidRPr="00F156A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7D0C5D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0A6155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103,0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C613BD" w:rsidRPr="00F156AE" w:rsidRDefault="006E58D4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103,2</w:t>
            </w:r>
          </w:p>
        </w:tc>
      </w:tr>
      <w:tr w:rsidR="00C613BD" w:rsidRPr="0095396F" w:rsidTr="009304E4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:rsidR="00C613BD" w:rsidRPr="00F156A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7D0C5D" w:rsidP="009304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0A6155" w:rsidP="009304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118,2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C613BD" w:rsidRPr="00F156AE" w:rsidRDefault="006E58D4" w:rsidP="009304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102,7</w:t>
            </w:r>
          </w:p>
        </w:tc>
      </w:tr>
      <w:tr w:rsidR="00C613BD" w:rsidRPr="0095396F" w:rsidTr="009304E4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:rsidR="00C613BD" w:rsidRPr="00F156A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:rsidR="00C613BD" w:rsidRPr="00F156A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7D0C5D" w:rsidP="009304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0A6155" w:rsidP="009304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120,7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C613BD" w:rsidRPr="00F156AE" w:rsidRDefault="006E58D4" w:rsidP="009304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108,1</w:t>
            </w:r>
          </w:p>
        </w:tc>
      </w:tr>
      <w:tr w:rsidR="00C613BD" w:rsidRPr="0095396F" w:rsidTr="009304E4">
        <w:trPr>
          <w:cantSplit/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:rsidR="00C613BD" w:rsidRPr="00F156A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7D0C5D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0A6155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109,9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C613BD" w:rsidRPr="00F156AE" w:rsidRDefault="006E58D4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106,9</w:t>
            </w:r>
          </w:p>
        </w:tc>
      </w:tr>
      <w:tr w:rsidR="00C613BD" w:rsidRPr="0095396F" w:rsidTr="009304E4">
        <w:trPr>
          <w:cantSplit/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:rsidR="00C613BD" w:rsidRPr="00F156A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7D0C5D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0A6155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106,5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C613BD" w:rsidRPr="00F156AE" w:rsidRDefault="006E58D4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112,3</w:t>
            </w:r>
          </w:p>
        </w:tc>
      </w:tr>
      <w:tr w:rsidR="00C613BD" w:rsidRPr="0095396F" w:rsidTr="009304E4">
        <w:trPr>
          <w:cantSplit/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:rsidR="00C613BD" w:rsidRPr="00F156A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F156AE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F156AE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7D0C5D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0A6155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119,5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C613BD" w:rsidRPr="00F156AE" w:rsidRDefault="006E58D4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116,5</w:t>
            </w:r>
          </w:p>
        </w:tc>
      </w:tr>
      <w:tr w:rsidR="00C613BD" w:rsidRPr="0095396F" w:rsidTr="009304E4">
        <w:trPr>
          <w:cantSplit/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:rsidR="00C613BD" w:rsidRPr="00F156A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:rsidR="00C613BD" w:rsidRPr="00F156A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7D0C5D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F156AE" w:rsidRDefault="000A6155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103,3</w:t>
            </w:r>
          </w:p>
        </w:tc>
        <w:tc>
          <w:tcPr>
            <w:tcW w:w="1146" w:type="dxa"/>
            <w:shd w:val="clear" w:color="auto" w:fill="auto"/>
            <w:vAlign w:val="center"/>
          </w:tcPr>
          <w:p w:rsidR="00C613BD" w:rsidRPr="00F156AE" w:rsidRDefault="006E58D4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104,3</w:t>
            </w:r>
          </w:p>
        </w:tc>
      </w:tr>
      <w:tr w:rsidR="00C613BD" w:rsidRPr="0095396F" w:rsidTr="009304E4">
        <w:trPr>
          <w:cantSplit/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C613BD" w:rsidRPr="00F156A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C613BD" w:rsidRPr="00F156AE" w:rsidRDefault="007D0C5D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99,6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C613BD" w:rsidRPr="00F156AE" w:rsidRDefault="000A6155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102,2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:rsidR="00C613BD" w:rsidRPr="00F156AE" w:rsidRDefault="006E58D4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103,5</w:t>
            </w:r>
          </w:p>
        </w:tc>
      </w:tr>
    </w:tbl>
    <w:p w:rsidR="00C613BD" w:rsidRDefault="00C613BD" w:rsidP="00C613BD">
      <w:pPr>
        <w:rPr>
          <w:lang w:eastAsia="pl-PL"/>
        </w:rPr>
      </w:pPr>
    </w:p>
    <w:p w:rsidR="00C613BD" w:rsidRDefault="00C613BD" w:rsidP="00C613BD">
      <w:pPr>
        <w:pStyle w:val="tytuwykresu"/>
        <w:rPr>
          <w:rFonts w:ascii="Fira Sans SemiBold" w:hAnsi="Fira Sans SemiBold" w:cs="Arial"/>
          <w:sz w:val="19"/>
          <w:szCs w:val="19"/>
        </w:rPr>
      </w:pPr>
      <w:r w:rsidRPr="0088559B">
        <w:rPr>
          <w:rFonts w:ascii="Fira Sans SemiBold" w:hAnsi="Fira Sans SemiBold"/>
          <w:sz w:val="19"/>
          <w:szCs w:val="19"/>
        </w:rPr>
        <w:t>Tabela 2. Dynamika</w:t>
      </w:r>
      <w:r w:rsidRPr="0088559B">
        <w:rPr>
          <w:rFonts w:ascii="Fira Sans SemiBold" w:hAnsi="Fira Sans SemiBold" w:cs="Arial"/>
          <w:sz w:val="19"/>
          <w:szCs w:val="19"/>
        </w:rPr>
        <w:t xml:space="preserve"> sprzedaży detalicznej (ceny bieżące</w:t>
      </w:r>
      <w:r w:rsidR="00510BC5">
        <w:rPr>
          <w:rFonts w:ascii="Fira Sans SemiBold" w:hAnsi="Fira Sans SemiBold" w:cs="Arial"/>
          <w:sz w:val="19"/>
          <w:szCs w:val="19"/>
        </w:rPr>
        <w:t>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8"/>
        <w:gridCol w:w="1134"/>
        <w:gridCol w:w="1134"/>
        <w:gridCol w:w="1134"/>
      </w:tblGrid>
      <w:tr w:rsidR="00C613BD" w:rsidRPr="00DF0FFE" w:rsidTr="009304E4">
        <w:trPr>
          <w:gridAfter w:val="3"/>
          <w:wAfter w:w="3402" w:type="dxa"/>
          <w:cantSplit/>
          <w:trHeight w:val="360"/>
        </w:trPr>
        <w:tc>
          <w:tcPr>
            <w:tcW w:w="3628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C613BD" w:rsidRPr="00DF0FFE" w:rsidRDefault="00C613BD" w:rsidP="009304E4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C613BD" w:rsidRPr="00DF0FFE" w:rsidTr="009304E4">
        <w:trPr>
          <w:cantSplit/>
          <w:trHeight w:val="340"/>
        </w:trPr>
        <w:tc>
          <w:tcPr>
            <w:tcW w:w="3628" w:type="dxa"/>
            <w:vMerge/>
            <w:shd w:val="clear" w:color="auto" w:fill="auto"/>
            <w:vAlign w:val="center"/>
          </w:tcPr>
          <w:p w:rsidR="00C613BD" w:rsidRPr="00DF0FFE" w:rsidRDefault="00C613BD" w:rsidP="009304E4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C613BD" w:rsidRPr="00DF0FFE" w:rsidRDefault="003A2333" w:rsidP="003A2333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I</w:t>
            </w:r>
            <w:r w:rsidR="00375A5B">
              <w:rPr>
                <w:rFonts w:cs="Arial"/>
                <w:color w:val="000000"/>
                <w:sz w:val="16"/>
                <w:szCs w:val="16"/>
              </w:rPr>
              <w:t>V</w:t>
            </w:r>
            <w:r w:rsidR="00C613BD" w:rsidRPr="00DF0FFE">
              <w:rPr>
                <w:rFonts w:cs="Arial"/>
                <w:color w:val="000000"/>
                <w:sz w:val="16"/>
                <w:szCs w:val="16"/>
              </w:rPr>
              <w:t xml:space="preserve"> 201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:rsidR="00C613BD" w:rsidRPr="00DF0FFE" w:rsidRDefault="00C613BD" w:rsidP="00BD701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>I-</w:t>
            </w:r>
            <w:r w:rsidR="00BD701E">
              <w:rPr>
                <w:rFonts w:cs="Arial"/>
                <w:color w:val="000000"/>
                <w:sz w:val="16"/>
                <w:szCs w:val="16"/>
              </w:rPr>
              <w:t>I</w:t>
            </w:r>
            <w:r w:rsidR="00375A5B">
              <w:rPr>
                <w:rFonts w:cs="Arial"/>
                <w:color w:val="000000"/>
                <w:sz w:val="16"/>
                <w:szCs w:val="16"/>
              </w:rPr>
              <w:t>V</w:t>
            </w:r>
            <w:r w:rsidRPr="00DF0FFE">
              <w:rPr>
                <w:rFonts w:cs="Arial"/>
                <w:color w:val="000000"/>
                <w:sz w:val="16"/>
                <w:szCs w:val="16"/>
              </w:rPr>
              <w:t xml:space="preserve"> 201</w:t>
            </w:r>
            <w:r w:rsidR="00BD701E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C613BD" w:rsidRPr="00DF0FFE" w:rsidTr="009304E4">
        <w:trPr>
          <w:trHeight w:val="340"/>
        </w:trPr>
        <w:tc>
          <w:tcPr>
            <w:tcW w:w="3628" w:type="dxa"/>
            <w:vMerge/>
            <w:tcBorders>
              <w:bottom w:val="single" w:sz="12" w:space="0" w:color="001D77"/>
            </w:tcBorders>
            <w:vAlign w:val="center"/>
            <w:hideMark/>
          </w:tcPr>
          <w:p w:rsidR="00C613BD" w:rsidRPr="00DF0FFE" w:rsidRDefault="00C613BD" w:rsidP="009304E4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:rsidR="00C613BD" w:rsidRPr="00275EF3" w:rsidRDefault="00BD701E" w:rsidP="00BD701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I</w:t>
            </w:r>
            <w:r w:rsidR="00375A5B">
              <w:rPr>
                <w:rFonts w:cs="Arial"/>
                <w:sz w:val="16"/>
                <w:szCs w:val="16"/>
              </w:rPr>
              <w:t>II</w:t>
            </w:r>
            <w:r w:rsidR="00C613BD" w:rsidRPr="00275EF3">
              <w:rPr>
                <w:rFonts w:cs="Arial"/>
                <w:sz w:val="16"/>
                <w:szCs w:val="16"/>
              </w:rPr>
              <w:t xml:space="preserve"> 201</w:t>
            </w:r>
            <w:r>
              <w:rPr>
                <w:rFonts w:cs="Arial"/>
                <w:sz w:val="16"/>
                <w:szCs w:val="16"/>
              </w:rPr>
              <w:t>9</w:t>
            </w:r>
            <w:r w:rsidR="00C613BD" w:rsidRPr="00275EF3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C613BD" w:rsidRPr="00275EF3" w:rsidRDefault="00BD701E" w:rsidP="00D37235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I</w:t>
            </w:r>
            <w:r w:rsidR="00D37235">
              <w:rPr>
                <w:rFonts w:cs="Arial"/>
                <w:sz w:val="16"/>
                <w:szCs w:val="16"/>
              </w:rPr>
              <w:t xml:space="preserve">V </w:t>
            </w:r>
            <w:r w:rsidR="00C613BD" w:rsidRPr="00275EF3">
              <w:rPr>
                <w:rFonts w:cs="Arial"/>
                <w:sz w:val="16"/>
                <w:szCs w:val="16"/>
              </w:rPr>
              <w:t>201</w:t>
            </w:r>
            <w:r>
              <w:rPr>
                <w:rFonts w:cs="Arial"/>
                <w:sz w:val="16"/>
                <w:szCs w:val="16"/>
              </w:rPr>
              <w:t>8</w:t>
            </w:r>
            <w:r w:rsidR="00C613BD" w:rsidRPr="00275EF3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C613BD" w:rsidRPr="00275EF3" w:rsidRDefault="00C613BD" w:rsidP="00D37235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275EF3">
              <w:rPr>
                <w:rFonts w:cs="Arial"/>
                <w:sz w:val="16"/>
                <w:szCs w:val="16"/>
              </w:rPr>
              <w:t>I-</w:t>
            </w:r>
            <w:r w:rsidR="00BD701E">
              <w:rPr>
                <w:rFonts w:cs="Arial"/>
                <w:sz w:val="16"/>
                <w:szCs w:val="16"/>
              </w:rPr>
              <w:t>I</w:t>
            </w:r>
            <w:r w:rsidR="00D37235">
              <w:rPr>
                <w:rFonts w:cs="Arial"/>
                <w:sz w:val="16"/>
                <w:szCs w:val="16"/>
              </w:rPr>
              <w:t>V</w:t>
            </w:r>
            <w:r w:rsidRPr="00275EF3">
              <w:rPr>
                <w:rFonts w:cs="Arial"/>
                <w:sz w:val="16"/>
                <w:szCs w:val="16"/>
              </w:rPr>
              <w:t xml:space="preserve"> 201</w:t>
            </w:r>
            <w:r w:rsidR="00BD701E">
              <w:rPr>
                <w:rFonts w:cs="Arial"/>
                <w:sz w:val="16"/>
                <w:szCs w:val="16"/>
              </w:rPr>
              <w:t>8</w:t>
            </w:r>
            <w:r w:rsidRPr="00275EF3">
              <w:rPr>
                <w:rFonts w:cs="Arial"/>
                <w:sz w:val="16"/>
                <w:szCs w:val="16"/>
              </w:rPr>
              <w:t>=100</w:t>
            </w:r>
          </w:p>
        </w:tc>
      </w:tr>
      <w:tr w:rsidR="00C613BD" w:rsidRPr="00DF0FFE" w:rsidTr="009304E4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:rsidR="00C613BD" w:rsidRPr="00DF0FFE" w:rsidRDefault="00C613BD" w:rsidP="009304E4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C613BD" w:rsidRPr="00DF0FFE" w:rsidRDefault="00B67E49" w:rsidP="009304E4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104,4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C613BD" w:rsidRPr="00DF0FFE" w:rsidRDefault="00B67E49" w:rsidP="009304E4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113,6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C613BD" w:rsidRPr="00DF0FFE" w:rsidRDefault="00515DF5" w:rsidP="009304E4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107,6</w:t>
            </w:r>
          </w:p>
        </w:tc>
      </w:tr>
      <w:tr w:rsidR="00C613BD" w:rsidRPr="00DF0FFE" w:rsidTr="009304E4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C613BD" w:rsidRPr="00DF0FFE" w:rsidRDefault="00C613BD" w:rsidP="009304E4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C613BD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C613BD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C613BD" w:rsidRPr="00DF0FFE" w:rsidTr="009304E4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C613BD" w:rsidRPr="00DF0FF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B67E49" w:rsidP="009304E4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B67E49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705240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106,4</w:t>
            </w:r>
          </w:p>
        </w:tc>
      </w:tr>
      <w:tr w:rsidR="00C613BD" w:rsidRPr="00DF0FFE" w:rsidTr="009304E4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C613BD" w:rsidRPr="00DF0FF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B67E49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B67E49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705240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108,7</w:t>
            </w:r>
          </w:p>
        </w:tc>
      </w:tr>
      <w:tr w:rsidR="00C613BD" w:rsidRPr="00DF0FFE" w:rsidTr="009304E4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C613BD" w:rsidRPr="00DF0FF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B67E49" w:rsidP="009304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B67E49" w:rsidP="009304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121,5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705240" w:rsidP="009304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104,8</w:t>
            </w:r>
          </w:p>
        </w:tc>
      </w:tr>
      <w:tr w:rsidR="00C613BD" w:rsidRPr="00DF0FFE" w:rsidTr="009304E4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:rsidR="00C613BD" w:rsidRPr="00DF0FF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:rsidR="00C613BD" w:rsidRPr="00DF0FF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B67E49" w:rsidP="009304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B67E49" w:rsidP="009304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705240" w:rsidP="009304E4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108,2</w:t>
            </w:r>
          </w:p>
        </w:tc>
      </w:tr>
      <w:tr w:rsidR="00C613BD" w:rsidRPr="00DF0FFE" w:rsidTr="009304E4">
        <w:trPr>
          <w:cantSplit/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C613BD" w:rsidRPr="00DF0FF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B67E49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B67E49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705240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108,6</w:t>
            </w:r>
          </w:p>
        </w:tc>
      </w:tr>
      <w:tr w:rsidR="00C613BD" w:rsidRPr="00DF0FFE" w:rsidTr="009304E4">
        <w:trPr>
          <w:cantSplit/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C613BD" w:rsidRPr="00DF0FF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B67E49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B67E49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705240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109,5</w:t>
            </w:r>
          </w:p>
        </w:tc>
      </w:tr>
      <w:tr w:rsidR="00C613BD" w:rsidRPr="00DF0FFE" w:rsidTr="009304E4">
        <w:trPr>
          <w:cantSplit/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C613BD" w:rsidRPr="00DF0FF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DF0FFE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DF0FFE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DF0FFE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B67E49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B67E49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705240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117,2</w:t>
            </w:r>
          </w:p>
        </w:tc>
      </w:tr>
      <w:tr w:rsidR="00C613BD" w:rsidRPr="00DF0FFE" w:rsidTr="009304E4">
        <w:trPr>
          <w:cantSplit/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:rsidR="00C613BD" w:rsidRPr="00DF0FF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:rsidR="00C613BD" w:rsidRPr="00DF0FF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B67E49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B67E49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613BD" w:rsidRPr="00DF0FFE" w:rsidRDefault="00705240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104,7</w:t>
            </w:r>
          </w:p>
        </w:tc>
      </w:tr>
      <w:tr w:rsidR="00C613BD" w:rsidRPr="00DF0FFE" w:rsidTr="009304E4">
        <w:trPr>
          <w:cantSplit/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C613BD" w:rsidRPr="00DF0FFE" w:rsidRDefault="00C613BD" w:rsidP="009304E4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DF0FFE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C613BD" w:rsidRPr="00DF0FFE" w:rsidRDefault="00B67E49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C613BD" w:rsidRPr="00DF0FFE" w:rsidRDefault="00B67E49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103,3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C613BD" w:rsidRPr="00DF0FFE" w:rsidRDefault="00705240" w:rsidP="009304E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104,3</w:t>
            </w:r>
          </w:p>
        </w:tc>
      </w:tr>
    </w:tbl>
    <w:p w:rsidR="00C613BD" w:rsidRDefault="00C613BD" w:rsidP="00C613BD">
      <w:pPr>
        <w:rPr>
          <w:lang w:eastAsia="pl-PL"/>
        </w:rPr>
      </w:pPr>
    </w:p>
    <w:p w:rsidR="00C613BD" w:rsidRDefault="00C613BD" w:rsidP="00C613BD">
      <w:pPr>
        <w:rPr>
          <w:lang w:eastAsia="pl-PL"/>
        </w:rPr>
      </w:pPr>
    </w:p>
    <w:p w:rsidR="00035A97" w:rsidRDefault="00035A97" w:rsidP="005313FC">
      <w:pPr>
        <w:pStyle w:val="tytuwykresu"/>
        <w:spacing w:after="0"/>
      </w:pPr>
    </w:p>
    <w:p w:rsidR="00C613BD" w:rsidRDefault="00C613BD" w:rsidP="005313FC">
      <w:pPr>
        <w:pStyle w:val="tytuwykresu"/>
        <w:spacing w:after="0"/>
      </w:pPr>
    </w:p>
    <w:p w:rsidR="00C613BD" w:rsidRDefault="00C613BD" w:rsidP="005313FC">
      <w:pPr>
        <w:pStyle w:val="tytuwykresu"/>
        <w:spacing w:after="0"/>
      </w:pPr>
    </w:p>
    <w:p w:rsidR="00C613BD" w:rsidRDefault="00C613BD" w:rsidP="005313FC">
      <w:pPr>
        <w:pStyle w:val="tytuwykresu"/>
        <w:spacing w:after="0"/>
      </w:pPr>
    </w:p>
    <w:p w:rsidR="00C613BD" w:rsidRDefault="00C613BD" w:rsidP="005313FC">
      <w:pPr>
        <w:pStyle w:val="tytuwykresu"/>
        <w:spacing w:after="0"/>
      </w:pPr>
    </w:p>
    <w:p w:rsidR="00B25EE8" w:rsidRDefault="00FE7552" w:rsidP="005313FC">
      <w:pPr>
        <w:pStyle w:val="tytuwykresu"/>
        <w:spacing w:after="0"/>
        <w:rPr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655168" behindDoc="0" locked="0" layoutInCell="1" allowOverlap="1" wp14:anchorId="7FBB41AB" wp14:editId="4DD32D23">
            <wp:simplePos x="0" y="0"/>
            <wp:positionH relativeFrom="margin">
              <wp:posOffset>0</wp:posOffset>
            </wp:positionH>
            <wp:positionV relativeFrom="margin">
              <wp:posOffset>1017270</wp:posOffset>
            </wp:positionV>
            <wp:extent cx="5127625" cy="2933065"/>
            <wp:effectExtent l="0" t="0" r="0" b="0"/>
            <wp:wrapSquare wrapText="bothSides"/>
            <wp:docPr id="2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  <w:r w:rsidR="00B25EE8" w:rsidRPr="00B5309C">
        <w:t xml:space="preserve">Wykres </w:t>
      </w:r>
      <w:r w:rsidR="00B25EE8">
        <w:t>2</w:t>
      </w:r>
      <w:r w:rsidR="00976445">
        <w:t>.</w:t>
      </w:r>
      <w:r w:rsidR="00B25EE8" w:rsidRPr="00B5309C">
        <w:rPr>
          <w:shd w:val="clear" w:color="auto" w:fill="FFFFFF"/>
        </w:rPr>
        <w:t xml:space="preserve"> Sprzedaż detaliczna towarów </w:t>
      </w:r>
      <w:r w:rsidR="00B25EE8">
        <w:rPr>
          <w:shd w:val="clear" w:color="auto" w:fill="FFFFFF"/>
        </w:rPr>
        <w:t xml:space="preserve">w </w:t>
      </w:r>
      <w:r w:rsidR="007C6606">
        <w:rPr>
          <w:shd w:val="clear" w:color="auto" w:fill="FFFFFF"/>
        </w:rPr>
        <w:t xml:space="preserve">kwietniu </w:t>
      </w:r>
      <w:r w:rsidR="00B25EE8">
        <w:rPr>
          <w:shd w:val="clear" w:color="auto" w:fill="FFFFFF"/>
        </w:rPr>
        <w:t>201</w:t>
      </w:r>
      <w:r w:rsidR="00FF1A4B">
        <w:rPr>
          <w:shd w:val="clear" w:color="auto" w:fill="FFFFFF"/>
        </w:rPr>
        <w:t xml:space="preserve">9 </w:t>
      </w:r>
      <w:r w:rsidR="00B25EE8">
        <w:rPr>
          <w:shd w:val="clear" w:color="auto" w:fill="FFFFFF"/>
        </w:rPr>
        <w:t>r</w:t>
      </w:r>
      <w:r w:rsidR="006F2ACE">
        <w:rPr>
          <w:shd w:val="clear" w:color="auto" w:fill="FFFFFF"/>
        </w:rPr>
        <w:t xml:space="preserve">. </w:t>
      </w:r>
      <w:r w:rsidR="00320FEE">
        <w:rPr>
          <w:shd w:val="clear" w:color="auto" w:fill="FFFFFF"/>
        </w:rPr>
        <w:t>według rodzajów</w:t>
      </w:r>
      <w:r w:rsidR="00D90D7A">
        <w:rPr>
          <w:shd w:val="clear" w:color="auto" w:fill="FFFFFF"/>
        </w:rPr>
        <w:t xml:space="preserve"> działalności przeds</w:t>
      </w:r>
      <w:r w:rsidR="00205C7E">
        <w:rPr>
          <w:shd w:val="clear" w:color="auto" w:fill="FFFFFF"/>
        </w:rPr>
        <w:t>ię</w:t>
      </w:r>
      <w:r w:rsidR="00A01BD2">
        <w:rPr>
          <w:shd w:val="clear" w:color="auto" w:fill="FFFFFF"/>
        </w:rPr>
        <w:t>b</w:t>
      </w:r>
      <w:r w:rsidR="00205C7E">
        <w:rPr>
          <w:shd w:val="clear" w:color="auto" w:fill="FFFFFF"/>
        </w:rPr>
        <w:t>io</w:t>
      </w:r>
      <w:r w:rsidR="006812AE">
        <w:rPr>
          <w:shd w:val="clear" w:color="auto" w:fill="FFFFFF"/>
        </w:rPr>
        <w:t>r</w:t>
      </w:r>
      <w:r w:rsidR="00D90D7A">
        <w:rPr>
          <w:shd w:val="clear" w:color="auto" w:fill="FFFFFF"/>
        </w:rPr>
        <w:t>stwa</w:t>
      </w:r>
      <w:r w:rsidR="00375B9E">
        <w:rPr>
          <w:shd w:val="clear" w:color="auto" w:fill="FFFFFF"/>
        </w:rPr>
        <w:t xml:space="preserve"> (</w:t>
      </w:r>
      <w:r w:rsidR="00B25EE8" w:rsidRPr="00B5309C">
        <w:rPr>
          <w:shd w:val="clear" w:color="auto" w:fill="FFFFFF"/>
        </w:rPr>
        <w:t>ceny stałe) – analogiczny okres roku poprzedniego</w:t>
      </w:r>
      <w:r w:rsidR="00B25EE8">
        <w:rPr>
          <w:shd w:val="clear" w:color="auto" w:fill="FFFFFF"/>
        </w:rPr>
        <w:t>=100</w:t>
      </w:r>
    </w:p>
    <w:p w:rsidR="000A29D1" w:rsidRDefault="000A29D1" w:rsidP="00B25EE8">
      <w:pPr>
        <w:pStyle w:val="tytuwykresu"/>
        <w:rPr>
          <w:shd w:val="clear" w:color="auto" w:fill="FFFFFF"/>
        </w:rPr>
      </w:pPr>
    </w:p>
    <w:p w:rsidR="003416BB" w:rsidRDefault="003416BB" w:rsidP="00AC09F0">
      <w:pPr>
        <w:pStyle w:val="tytuwykresu"/>
        <w:rPr>
          <w:rFonts w:cs="Arial"/>
          <w:color w:val="002060"/>
          <w:szCs w:val="19"/>
        </w:rPr>
      </w:pPr>
    </w:p>
    <w:p w:rsidR="00C20E37" w:rsidRPr="00964F10" w:rsidRDefault="003416BB" w:rsidP="00AC09F0">
      <w:pPr>
        <w:pStyle w:val="tytuwykresu"/>
        <w:rPr>
          <w:rFonts w:cs="Arial"/>
          <w:b w:val="0"/>
          <w:color w:val="002060"/>
          <w:szCs w:val="19"/>
        </w:rPr>
      </w:pPr>
      <w:r>
        <w:rPr>
          <w:rFonts w:asciiTheme="majorHAnsi" w:hAnsiTheme="majorHAnsi"/>
          <w:b w:val="0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rightMargin">
                  <wp:posOffset>125316</wp:posOffset>
                </wp:positionH>
                <wp:positionV relativeFrom="paragraph">
                  <wp:posOffset>234591</wp:posOffset>
                </wp:positionV>
                <wp:extent cx="1768475" cy="834583"/>
                <wp:effectExtent l="0" t="0" r="0" b="3810"/>
                <wp:wrapNone/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8475" cy="8345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31F5B" w:rsidRPr="00F97850" w:rsidRDefault="00431F5B" w:rsidP="00C20E37">
                            <w:pPr>
                              <w:pStyle w:val="tytuwykresu"/>
                              <w:rPr>
                                <w:color w:val="001D77"/>
                              </w:rPr>
                            </w:pPr>
                            <w:r w:rsidRPr="00F97850">
                              <w:rPr>
                                <w:b w:val="0"/>
                                <w:color w:val="001D77"/>
                              </w:rPr>
                              <w:t>W</w:t>
                            </w:r>
                            <w:r w:rsidR="00BD39A4" w:rsidRPr="00F97850">
                              <w:rPr>
                                <w:b w:val="0"/>
                                <w:color w:val="001D77"/>
                              </w:rPr>
                              <w:t xml:space="preserve"> </w:t>
                            </w:r>
                            <w:r w:rsidR="00BE44A4" w:rsidRPr="00F97850">
                              <w:rPr>
                                <w:b w:val="0"/>
                                <w:color w:val="001D77"/>
                              </w:rPr>
                              <w:t>kwietniu</w:t>
                            </w:r>
                            <w:r w:rsidR="00BD39A4" w:rsidRPr="00F97850">
                              <w:rPr>
                                <w:b w:val="0"/>
                                <w:color w:val="001D77"/>
                              </w:rPr>
                              <w:t xml:space="preserve"> </w:t>
                            </w:r>
                            <w:r w:rsidRPr="00F97850">
                              <w:rPr>
                                <w:b w:val="0"/>
                                <w:color w:val="001D77"/>
                              </w:rPr>
                              <w:t>201</w:t>
                            </w:r>
                            <w:r w:rsidR="000A425C" w:rsidRPr="00F97850">
                              <w:rPr>
                                <w:b w:val="0"/>
                                <w:color w:val="001D77"/>
                              </w:rPr>
                              <w:t>9</w:t>
                            </w:r>
                            <w:r w:rsidRPr="00F97850">
                              <w:rPr>
                                <w:b w:val="0"/>
                                <w:color w:val="001D77"/>
                              </w:rPr>
                              <w:t xml:space="preserve"> r. </w:t>
                            </w:r>
                            <w:r w:rsidR="00F54764" w:rsidRPr="00F97850">
                              <w:rPr>
                                <w:b w:val="0"/>
                                <w:color w:val="001D77"/>
                              </w:rPr>
                              <w:t>odnotowano</w:t>
                            </w:r>
                            <w:r w:rsidR="006B2185" w:rsidRPr="00F97850">
                              <w:rPr>
                                <w:b w:val="0"/>
                                <w:color w:val="001D77"/>
                              </w:rPr>
                              <w:t xml:space="preserve"> wzrost</w:t>
                            </w:r>
                            <w:r w:rsidR="004478A5" w:rsidRPr="00F97850">
                              <w:rPr>
                                <w:b w:val="0"/>
                                <w:color w:val="001D77"/>
                              </w:rPr>
                              <w:t xml:space="preserve"> </w:t>
                            </w:r>
                            <w:r w:rsidRPr="00F97850">
                              <w:rPr>
                                <w:b w:val="0"/>
                                <w:color w:val="001D77"/>
                              </w:rPr>
                              <w:t>sprzedaż</w:t>
                            </w:r>
                            <w:r w:rsidR="00F54764" w:rsidRPr="00F97850">
                              <w:rPr>
                                <w:b w:val="0"/>
                                <w:color w:val="001D77"/>
                              </w:rPr>
                              <w:t>y</w:t>
                            </w:r>
                            <w:r w:rsidRPr="00F97850">
                              <w:rPr>
                                <w:b w:val="0"/>
                                <w:color w:val="001D77"/>
                              </w:rPr>
                              <w:t xml:space="preserve"> detaliczn</w:t>
                            </w:r>
                            <w:r w:rsidR="00F54764" w:rsidRPr="00F97850">
                              <w:rPr>
                                <w:b w:val="0"/>
                                <w:color w:val="001D77"/>
                              </w:rPr>
                              <w:t>ej</w:t>
                            </w:r>
                            <w:r w:rsidRPr="00F97850">
                              <w:rPr>
                                <w:b w:val="0"/>
                                <w:color w:val="001D77"/>
                              </w:rPr>
                              <w:t xml:space="preserve"> wyrównan</w:t>
                            </w:r>
                            <w:r w:rsidR="00F54764" w:rsidRPr="00F97850">
                              <w:rPr>
                                <w:b w:val="0"/>
                                <w:color w:val="001D77"/>
                              </w:rPr>
                              <w:t>ej</w:t>
                            </w:r>
                            <w:r w:rsidRPr="00F97850">
                              <w:rPr>
                                <w:b w:val="0"/>
                                <w:color w:val="001D77"/>
                              </w:rPr>
                              <w:t xml:space="preserve"> sezonowo </w:t>
                            </w:r>
                            <w:r w:rsidR="00F54764" w:rsidRPr="00F97850">
                              <w:rPr>
                                <w:b w:val="0"/>
                                <w:color w:val="001D77"/>
                              </w:rPr>
                              <w:t>o</w:t>
                            </w:r>
                            <w:r w:rsidR="004478A5" w:rsidRPr="00F97850">
                              <w:rPr>
                                <w:b w:val="0"/>
                                <w:color w:val="001D77"/>
                              </w:rPr>
                              <w:t xml:space="preserve"> </w:t>
                            </w:r>
                            <w:r w:rsidR="00BE44A4" w:rsidRPr="00F97850">
                              <w:rPr>
                                <w:b w:val="0"/>
                                <w:color w:val="001D77"/>
                              </w:rPr>
                              <w:t>2</w:t>
                            </w:r>
                            <w:r w:rsidR="006B2185" w:rsidRPr="00F97850">
                              <w:rPr>
                                <w:b w:val="0"/>
                                <w:color w:val="001D77"/>
                              </w:rPr>
                              <w:t>,</w:t>
                            </w:r>
                            <w:r w:rsidR="009F0298" w:rsidRPr="00F97850">
                              <w:rPr>
                                <w:b w:val="0"/>
                                <w:color w:val="001D77"/>
                              </w:rPr>
                              <w:t>6</w:t>
                            </w:r>
                            <w:r w:rsidR="00CB72D2" w:rsidRPr="00F97850">
                              <w:rPr>
                                <w:b w:val="0"/>
                                <w:color w:val="001D77"/>
                              </w:rPr>
                              <w:t>% w</w:t>
                            </w:r>
                            <w:r w:rsidR="006B2185" w:rsidRPr="00F97850">
                              <w:rPr>
                                <w:b w:val="0"/>
                                <w:color w:val="001D77"/>
                              </w:rPr>
                              <w:t> </w:t>
                            </w:r>
                            <w:r w:rsidR="00CB72D2" w:rsidRPr="00F97850">
                              <w:rPr>
                                <w:b w:val="0"/>
                                <w:color w:val="001D77"/>
                              </w:rPr>
                              <w:t xml:space="preserve">porównaniu z </w:t>
                            </w:r>
                            <w:r w:rsidR="00BE44A4" w:rsidRPr="00F97850">
                              <w:rPr>
                                <w:b w:val="0"/>
                                <w:color w:val="001D77"/>
                              </w:rPr>
                              <w:t>marcem</w:t>
                            </w:r>
                            <w:r w:rsidR="00701780" w:rsidRPr="00F97850">
                              <w:rPr>
                                <w:b w:val="0"/>
                                <w:color w:val="001D77"/>
                              </w:rPr>
                              <w:t xml:space="preserve"> </w:t>
                            </w:r>
                            <w:r w:rsidR="009F2163" w:rsidRPr="00F97850">
                              <w:rPr>
                                <w:b w:val="0"/>
                                <w:color w:val="001D77"/>
                              </w:rPr>
                              <w:t>br.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margin-left:9.85pt;margin-top:18.45pt;width:139.25pt;height:65.7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" filled="f" stroked="f">
                <v:textbox>
                  <w:txbxContent>
                    <w:p w:rsidR="00431F5B" w:rsidRPr="00F97850" w:rsidRDefault="00431F5B" w:rsidP="00C20E37">
                      <w:pPr>
                        <w:pStyle w:val="tytuwykresu"/>
                        <w:rPr>
                          <w:color w:val="001D77"/>
                        </w:rPr>
                      </w:pPr>
                      <w:r w:rsidRPr="00F97850">
                        <w:rPr>
                          <w:b w:val="0"/>
                          <w:color w:val="001D77"/>
                        </w:rPr>
                        <w:t>W</w:t>
                      </w:r>
                      <w:r w:rsidR="00BD39A4" w:rsidRPr="00F97850">
                        <w:rPr>
                          <w:b w:val="0"/>
                          <w:color w:val="001D77"/>
                        </w:rPr>
                        <w:t xml:space="preserve"> </w:t>
                      </w:r>
                      <w:r w:rsidR="00BE44A4" w:rsidRPr="00F97850">
                        <w:rPr>
                          <w:b w:val="0"/>
                          <w:color w:val="001D77"/>
                        </w:rPr>
                        <w:t>kwietniu</w:t>
                      </w:r>
                      <w:r w:rsidR="00BD39A4" w:rsidRPr="00F97850">
                        <w:rPr>
                          <w:b w:val="0"/>
                          <w:color w:val="001D77"/>
                        </w:rPr>
                        <w:t xml:space="preserve"> </w:t>
                      </w:r>
                      <w:r w:rsidRPr="00F97850">
                        <w:rPr>
                          <w:b w:val="0"/>
                          <w:color w:val="001D77"/>
                        </w:rPr>
                        <w:t>201</w:t>
                      </w:r>
                      <w:r w:rsidR="000A425C" w:rsidRPr="00F97850">
                        <w:rPr>
                          <w:b w:val="0"/>
                          <w:color w:val="001D77"/>
                        </w:rPr>
                        <w:t>9</w:t>
                      </w:r>
                      <w:r w:rsidRPr="00F97850">
                        <w:rPr>
                          <w:b w:val="0"/>
                          <w:color w:val="001D77"/>
                        </w:rPr>
                        <w:t xml:space="preserve"> r. </w:t>
                      </w:r>
                      <w:r w:rsidR="00F54764" w:rsidRPr="00F97850">
                        <w:rPr>
                          <w:b w:val="0"/>
                          <w:color w:val="001D77"/>
                        </w:rPr>
                        <w:t>odnotowano</w:t>
                      </w:r>
                      <w:r w:rsidR="006B2185" w:rsidRPr="00F97850">
                        <w:rPr>
                          <w:b w:val="0"/>
                          <w:color w:val="001D77"/>
                        </w:rPr>
                        <w:t xml:space="preserve"> wzrost</w:t>
                      </w:r>
                      <w:r w:rsidR="004478A5" w:rsidRPr="00F97850">
                        <w:rPr>
                          <w:b w:val="0"/>
                          <w:color w:val="001D77"/>
                        </w:rPr>
                        <w:t xml:space="preserve"> </w:t>
                      </w:r>
                      <w:r w:rsidRPr="00F97850">
                        <w:rPr>
                          <w:b w:val="0"/>
                          <w:color w:val="001D77"/>
                        </w:rPr>
                        <w:t>sprzedaż</w:t>
                      </w:r>
                      <w:r w:rsidR="00F54764" w:rsidRPr="00F97850">
                        <w:rPr>
                          <w:b w:val="0"/>
                          <w:color w:val="001D77"/>
                        </w:rPr>
                        <w:t>y</w:t>
                      </w:r>
                      <w:r w:rsidRPr="00F97850">
                        <w:rPr>
                          <w:b w:val="0"/>
                          <w:color w:val="001D77"/>
                        </w:rPr>
                        <w:t xml:space="preserve"> detaliczn</w:t>
                      </w:r>
                      <w:r w:rsidR="00F54764" w:rsidRPr="00F97850">
                        <w:rPr>
                          <w:b w:val="0"/>
                          <w:color w:val="001D77"/>
                        </w:rPr>
                        <w:t>ej</w:t>
                      </w:r>
                      <w:r w:rsidRPr="00F97850">
                        <w:rPr>
                          <w:b w:val="0"/>
                          <w:color w:val="001D77"/>
                        </w:rPr>
                        <w:t xml:space="preserve"> wyrównan</w:t>
                      </w:r>
                      <w:r w:rsidR="00F54764" w:rsidRPr="00F97850">
                        <w:rPr>
                          <w:b w:val="0"/>
                          <w:color w:val="001D77"/>
                        </w:rPr>
                        <w:t>ej</w:t>
                      </w:r>
                      <w:r w:rsidRPr="00F97850">
                        <w:rPr>
                          <w:b w:val="0"/>
                          <w:color w:val="001D77"/>
                        </w:rPr>
                        <w:t xml:space="preserve"> sezonowo </w:t>
                      </w:r>
                      <w:r w:rsidR="00F54764" w:rsidRPr="00F97850">
                        <w:rPr>
                          <w:b w:val="0"/>
                          <w:color w:val="001D77"/>
                        </w:rPr>
                        <w:t>o</w:t>
                      </w:r>
                      <w:r w:rsidR="004478A5" w:rsidRPr="00F97850">
                        <w:rPr>
                          <w:b w:val="0"/>
                          <w:color w:val="001D77"/>
                        </w:rPr>
                        <w:t xml:space="preserve"> </w:t>
                      </w:r>
                      <w:r w:rsidR="00BE44A4" w:rsidRPr="00F97850">
                        <w:rPr>
                          <w:b w:val="0"/>
                          <w:color w:val="001D77"/>
                        </w:rPr>
                        <w:t>2</w:t>
                      </w:r>
                      <w:r w:rsidR="006B2185" w:rsidRPr="00F97850">
                        <w:rPr>
                          <w:b w:val="0"/>
                          <w:color w:val="001D77"/>
                        </w:rPr>
                        <w:t>,</w:t>
                      </w:r>
                      <w:r w:rsidR="009F0298" w:rsidRPr="00F97850">
                        <w:rPr>
                          <w:b w:val="0"/>
                          <w:color w:val="001D77"/>
                        </w:rPr>
                        <w:t>6</w:t>
                      </w:r>
                      <w:r w:rsidR="00CB72D2" w:rsidRPr="00F97850">
                        <w:rPr>
                          <w:b w:val="0"/>
                          <w:color w:val="001D77"/>
                        </w:rPr>
                        <w:t>% w</w:t>
                      </w:r>
                      <w:r w:rsidR="006B2185" w:rsidRPr="00F97850">
                        <w:rPr>
                          <w:b w:val="0"/>
                          <w:color w:val="001D77"/>
                        </w:rPr>
                        <w:t> </w:t>
                      </w:r>
                      <w:r w:rsidR="00CB72D2" w:rsidRPr="00F97850">
                        <w:rPr>
                          <w:b w:val="0"/>
                          <w:color w:val="001D77"/>
                        </w:rPr>
                        <w:t xml:space="preserve">porównaniu z </w:t>
                      </w:r>
                      <w:r w:rsidR="00BE44A4" w:rsidRPr="00F97850">
                        <w:rPr>
                          <w:b w:val="0"/>
                          <w:color w:val="001D77"/>
                        </w:rPr>
                        <w:t>marcem</w:t>
                      </w:r>
                      <w:r w:rsidR="00701780" w:rsidRPr="00F97850">
                        <w:rPr>
                          <w:b w:val="0"/>
                          <w:color w:val="001D77"/>
                        </w:rPr>
                        <w:t xml:space="preserve"> </w:t>
                      </w:r>
                      <w:r w:rsidR="009F2163" w:rsidRPr="00F97850">
                        <w:rPr>
                          <w:b w:val="0"/>
                          <w:color w:val="001D77"/>
                        </w:rPr>
                        <w:t>br.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00030">
        <w:rPr>
          <w:rFonts w:cs="Arial"/>
          <w:color w:val="002060"/>
          <w:szCs w:val="19"/>
        </w:rPr>
        <w:t>Sp</w:t>
      </w:r>
      <w:r w:rsidR="00C20E37" w:rsidRPr="00964F10">
        <w:rPr>
          <w:rFonts w:cs="Arial"/>
          <w:color w:val="002060"/>
          <w:szCs w:val="19"/>
        </w:rPr>
        <w:t>rzedaż detaliczna wyrównana sezonowo</w:t>
      </w:r>
    </w:p>
    <w:p w:rsidR="00300030" w:rsidRDefault="00300030" w:rsidP="000144A9">
      <w:pPr>
        <w:pStyle w:val="tytuwykresu"/>
        <w:spacing w:before="0" w:after="0"/>
        <w:rPr>
          <w:rFonts w:cs="Arial"/>
          <w:b w:val="0"/>
          <w:sz w:val="19"/>
          <w:szCs w:val="19"/>
        </w:rPr>
      </w:pPr>
    </w:p>
    <w:p w:rsidR="000144A9" w:rsidRPr="009F0298" w:rsidRDefault="000144A9" w:rsidP="000144A9">
      <w:pPr>
        <w:pStyle w:val="tytuwykresu"/>
        <w:spacing w:before="0" w:after="0"/>
        <w:rPr>
          <w:rFonts w:cs="Arial"/>
          <w:b w:val="0"/>
          <w:sz w:val="19"/>
          <w:szCs w:val="19"/>
        </w:rPr>
      </w:pPr>
      <w:r w:rsidRPr="009F0298">
        <w:rPr>
          <w:rFonts w:cs="Arial"/>
          <w:b w:val="0"/>
          <w:sz w:val="19"/>
          <w:szCs w:val="19"/>
        </w:rPr>
        <w:t xml:space="preserve">Po wyeliminowaniu wpływu czynników o charakterze sezonowym sprzedaż detaliczna w cenach stałych w </w:t>
      </w:r>
      <w:r w:rsidR="00E85A7A" w:rsidRPr="009F0298">
        <w:rPr>
          <w:rFonts w:cs="Arial"/>
          <w:b w:val="0"/>
          <w:sz w:val="19"/>
          <w:szCs w:val="19"/>
        </w:rPr>
        <w:t>kwietniu</w:t>
      </w:r>
      <w:r w:rsidR="00F14B02" w:rsidRPr="009F0298">
        <w:rPr>
          <w:rFonts w:cs="Arial"/>
          <w:b w:val="0"/>
          <w:sz w:val="19"/>
          <w:szCs w:val="19"/>
        </w:rPr>
        <w:t xml:space="preserve"> </w:t>
      </w:r>
      <w:r w:rsidR="00C45C70" w:rsidRPr="009F0298">
        <w:rPr>
          <w:rFonts w:cs="Arial"/>
          <w:b w:val="0"/>
          <w:sz w:val="19"/>
          <w:szCs w:val="19"/>
        </w:rPr>
        <w:t>201</w:t>
      </w:r>
      <w:r w:rsidR="000A425C" w:rsidRPr="009F0298">
        <w:rPr>
          <w:rFonts w:cs="Arial"/>
          <w:b w:val="0"/>
          <w:sz w:val="19"/>
          <w:szCs w:val="19"/>
        </w:rPr>
        <w:t>9</w:t>
      </w:r>
      <w:r w:rsidR="00C45C70" w:rsidRPr="009F0298">
        <w:rPr>
          <w:rFonts w:cs="Arial"/>
          <w:b w:val="0"/>
          <w:sz w:val="19"/>
          <w:szCs w:val="19"/>
        </w:rPr>
        <w:t xml:space="preserve"> r</w:t>
      </w:r>
      <w:r w:rsidRPr="009F0298">
        <w:rPr>
          <w:rFonts w:cs="Arial"/>
          <w:b w:val="0"/>
          <w:sz w:val="19"/>
          <w:szCs w:val="19"/>
        </w:rPr>
        <w:t xml:space="preserve">. </w:t>
      </w:r>
      <w:r w:rsidR="00F54764" w:rsidRPr="009F0298">
        <w:rPr>
          <w:rFonts w:cs="Arial"/>
          <w:b w:val="0"/>
          <w:sz w:val="19"/>
          <w:szCs w:val="19"/>
        </w:rPr>
        <w:t xml:space="preserve">była o </w:t>
      </w:r>
      <w:r w:rsidR="00E85A7A" w:rsidRPr="009F0298">
        <w:rPr>
          <w:rFonts w:cs="Arial"/>
          <w:b w:val="0"/>
          <w:sz w:val="19"/>
          <w:szCs w:val="19"/>
        </w:rPr>
        <w:t>2</w:t>
      </w:r>
      <w:r w:rsidR="004478A5" w:rsidRPr="009F0298">
        <w:rPr>
          <w:rFonts w:cs="Arial"/>
          <w:b w:val="0"/>
          <w:sz w:val="19"/>
          <w:szCs w:val="19"/>
        </w:rPr>
        <w:t>,</w:t>
      </w:r>
      <w:r w:rsidR="009F0298" w:rsidRPr="009F0298">
        <w:rPr>
          <w:rFonts w:cs="Arial"/>
          <w:b w:val="0"/>
          <w:sz w:val="19"/>
          <w:szCs w:val="19"/>
        </w:rPr>
        <w:t>6</w:t>
      </w:r>
      <w:r w:rsidR="00F54764" w:rsidRPr="009F0298">
        <w:rPr>
          <w:rFonts w:cs="Arial"/>
          <w:b w:val="0"/>
          <w:sz w:val="19"/>
          <w:szCs w:val="19"/>
        </w:rPr>
        <w:t xml:space="preserve">% </w:t>
      </w:r>
      <w:r w:rsidR="00B74194" w:rsidRPr="009F0298">
        <w:rPr>
          <w:rFonts w:cs="Arial"/>
          <w:b w:val="0"/>
          <w:sz w:val="19"/>
          <w:szCs w:val="19"/>
        </w:rPr>
        <w:t>wyższa</w:t>
      </w:r>
      <w:r w:rsidR="004478A5" w:rsidRPr="009F0298">
        <w:rPr>
          <w:rFonts w:cs="Arial"/>
          <w:b w:val="0"/>
          <w:sz w:val="19"/>
          <w:szCs w:val="19"/>
        </w:rPr>
        <w:t xml:space="preserve"> </w:t>
      </w:r>
      <w:r w:rsidR="00F54764" w:rsidRPr="009F0298">
        <w:rPr>
          <w:rFonts w:cs="Arial"/>
          <w:b w:val="0"/>
          <w:sz w:val="19"/>
          <w:szCs w:val="19"/>
        </w:rPr>
        <w:t xml:space="preserve">w porównaniu z </w:t>
      </w:r>
      <w:r w:rsidR="00E85A7A" w:rsidRPr="009F0298">
        <w:rPr>
          <w:rFonts w:cs="Arial"/>
          <w:b w:val="0"/>
          <w:sz w:val="19"/>
          <w:szCs w:val="19"/>
        </w:rPr>
        <w:t>marcem</w:t>
      </w:r>
      <w:r w:rsidR="006B2185" w:rsidRPr="009F0298">
        <w:rPr>
          <w:rFonts w:cs="Arial"/>
          <w:b w:val="0"/>
          <w:sz w:val="19"/>
          <w:szCs w:val="19"/>
        </w:rPr>
        <w:t xml:space="preserve"> </w:t>
      </w:r>
      <w:r w:rsidR="00B47574" w:rsidRPr="009F0298">
        <w:rPr>
          <w:rFonts w:cs="Arial"/>
          <w:b w:val="0"/>
          <w:sz w:val="19"/>
          <w:szCs w:val="19"/>
        </w:rPr>
        <w:t>br.</w:t>
      </w:r>
    </w:p>
    <w:p w:rsidR="00AC09F0" w:rsidRPr="009F0298" w:rsidRDefault="00AC09F0" w:rsidP="000144A9">
      <w:pPr>
        <w:pStyle w:val="tytuwykresu"/>
        <w:spacing w:before="0" w:after="0"/>
        <w:rPr>
          <w:rFonts w:cs="Arial"/>
          <w:b w:val="0"/>
          <w:sz w:val="19"/>
          <w:szCs w:val="19"/>
        </w:rPr>
      </w:pPr>
    </w:p>
    <w:p w:rsidR="00AC09F0" w:rsidRDefault="00AC09F0" w:rsidP="00AC09F0">
      <w:pPr>
        <w:pStyle w:val="tytuwykresu"/>
        <w:spacing w:after="0"/>
        <w:rPr>
          <w:shd w:val="clear" w:color="auto" w:fill="FFFFFF"/>
        </w:rPr>
      </w:pPr>
      <w:r w:rsidRPr="003D7F37">
        <w:rPr>
          <w:shd w:val="clear" w:color="auto" w:fill="FFFFFF"/>
        </w:rPr>
        <w:t>Wykres 3</w:t>
      </w:r>
      <w:r>
        <w:rPr>
          <w:shd w:val="clear" w:color="auto" w:fill="FFFFFF"/>
        </w:rPr>
        <w:t>.</w:t>
      </w:r>
      <w:r w:rsidRPr="003D7F37">
        <w:rPr>
          <w:shd w:val="clear" w:color="auto" w:fill="FFFFFF"/>
        </w:rPr>
        <w:t xml:space="preserve"> Sprzedaż detaliczna</w:t>
      </w:r>
      <w:r>
        <w:rPr>
          <w:shd w:val="clear" w:color="auto" w:fill="FFFFFF"/>
        </w:rPr>
        <w:t xml:space="preserve"> – dane wyrównane sezonowo i niewyrównane (</w:t>
      </w:r>
      <w:r w:rsidRPr="003D7F37">
        <w:rPr>
          <w:shd w:val="clear" w:color="auto" w:fill="FFFFFF"/>
        </w:rPr>
        <w:t>cen</w:t>
      </w:r>
      <w:r>
        <w:rPr>
          <w:shd w:val="clear" w:color="auto" w:fill="FFFFFF"/>
        </w:rPr>
        <w:t>y</w:t>
      </w:r>
      <w:r w:rsidRPr="003D7F37">
        <w:rPr>
          <w:shd w:val="clear" w:color="auto" w:fill="FFFFFF"/>
        </w:rPr>
        <w:t xml:space="preserve"> stał</w:t>
      </w:r>
      <w:r>
        <w:rPr>
          <w:shd w:val="clear" w:color="auto" w:fill="FFFFFF"/>
        </w:rPr>
        <w:t>e) –</w:t>
      </w:r>
      <w:r w:rsidRPr="003D7F37">
        <w:rPr>
          <w:shd w:val="clear" w:color="auto" w:fill="FFFFFF"/>
        </w:rPr>
        <w:t>przeciętna miesięczna 2015=100</w:t>
      </w:r>
    </w:p>
    <w:p w:rsidR="00AC09F0" w:rsidRDefault="00AC09F0" w:rsidP="000144A9">
      <w:pPr>
        <w:pStyle w:val="tytuwykresu"/>
        <w:spacing w:before="0" w:after="0"/>
        <w:rPr>
          <w:rFonts w:cs="Arial"/>
          <w:b w:val="0"/>
          <w:sz w:val="19"/>
          <w:szCs w:val="19"/>
        </w:rPr>
      </w:pPr>
    </w:p>
    <w:p w:rsidR="000144A9" w:rsidRPr="009815A2" w:rsidRDefault="000144A9" w:rsidP="00B25EE8">
      <w:pPr>
        <w:pStyle w:val="tytuwykresu"/>
        <w:rPr>
          <w:shd w:val="clear" w:color="auto" w:fill="FFFFFF"/>
        </w:rPr>
      </w:pPr>
    </w:p>
    <w:p w:rsidR="00B25EE8" w:rsidRPr="00EA46AB" w:rsidRDefault="006B7D8E" w:rsidP="00AC09F0">
      <w:pPr>
        <w:pStyle w:val="tytuwykresu"/>
        <w:spacing w:after="0"/>
        <w:rPr>
          <w:sz w:val="16"/>
          <w:szCs w:val="16"/>
        </w:rPr>
        <w:sectPr w:rsidR="00B25EE8" w:rsidRPr="00EA46AB" w:rsidSect="001448A7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  <w:r>
        <w:rPr>
          <w:noProof/>
          <w:lang w:eastAsia="pl-PL"/>
        </w:rPr>
        <w:drawing>
          <wp:anchor distT="0" distB="0" distL="114300" distR="114300" simplePos="0" relativeHeight="251656192" behindDoc="0" locked="0" layoutInCell="1" allowOverlap="1" wp14:anchorId="11783D29" wp14:editId="4CCF160D">
            <wp:simplePos x="0" y="0"/>
            <wp:positionH relativeFrom="margin">
              <wp:posOffset>0</wp:posOffset>
            </wp:positionH>
            <wp:positionV relativeFrom="margin">
              <wp:posOffset>5912485</wp:posOffset>
            </wp:positionV>
            <wp:extent cx="5122545" cy="2466975"/>
            <wp:effectExtent l="0" t="0" r="0" b="0"/>
            <wp:wrapSquare wrapText="bothSides"/>
            <wp:docPr id="4" name="Wykres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anchor>
        </w:drawing>
      </w:r>
    </w:p>
    <w:p w:rsidR="00B25EE8" w:rsidRPr="0095396F" w:rsidRDefault="00B25EE8" w:rsidP="00C742AC">
      <w:pPr>
        <w:pStyle w:val="tytuwykresu"/>
        <w:rPr>
          <w:rFonts w:asciiTheme="majorHAnsi" w:hAnsiTheme="majorHAnsi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27"/>
        <w:gridCol w:w="3840"/>
      </w:tblGrid>
      <w:tr w:rsidR="000470AA" w:rsidRPr="0003415F" w:rsidTr="00E23337">
        <w:trPr>
          <w:trHeight w:val="1912"/>
        </w:trPr>
        <w:tc>
          <w:tcPr>
            <w:tcW w:w="4379" w:type="dxa"/>
          </w:tcPr>
          <w:p w:rsidR="000470AA" w:rsidRPr="0095396F" w:rsidRDefault="000470AA" w:rsidP="00E23337">
            <w:pPr>
              <w:spacing w:before="0" w:after="0" w:line="276" w:lineRule="auto"/>
              <w:rPr>
                <w:rFonts w:asciiTheme="majorHAnsi" w:hAnsiTheme="majorHAnsi" w:cs="Arial"/>
                <w:color w:val="000000" w:themeColor="text1"/>
                <w:sz w:val="20"/>
              </w:rPr>
            </w:pPr>
            <w:r w:rsidRPr="0095396F">
              <w:rPr>
                <w:rFonts w:asciiTheme="majorHAnsi" w:hAnsiTheme="majorHAnsi" w:cs="Arial"/>
                <w:color w:val="000000" w:themeColor="text1"/>
                <w:sz w:val="20"/>
              </w:rPr>
              <w:t>Opracowanie merytoryczne:</w:t>
            </w:r>
          </w:p>
          <w:p w:rsidR="000470AA" w:rsidRPr="0095396F" w:rsidRDefault="000470AA" w:rsidP="00D00796">
            <w:pPr>
              <w:spacing w:before="0" w:after="0" w:line="240" w:lineRule="auto"/>
              <w:rPr>
                <w:rFonts w:asciiTheme="majorHAnsi" w:hAnsiTheme="majorHAnsi" w:cs="Arial"/>
                <w:b/>
                <w:color w:val="000000" w:themeColor="text1"/>
                <w:sz w:val="20"/>
              </w:rPr>
            </w:pPr>
            <w:r w:rsidRPr="0095396F">
              <w:rPr>
                <w:rFonts w:asciiTheme="majorHAnsi" w:hAnsiTheme="majorHAnsi" w:cs="Arial"/>
                <w:b/>
                <w:color w:val="000000" w:themeColor="text1"/>
                <w:sz w:val="20"/>
              </w:rPr>
              <w:t xml:space="preserve">Departament </w:t>
            </w:r>
            <w:r w:rsidR="00017FFE" w:rsidRPr="0095396F">
              <w:rPr>
                <w:rFonts w:asciiTheme="majorHAnsi" w:hAnsiTheme="majorHAnsi" w:cs="Arial"/>
                <w:b/>
                <w:color w:val="000000" w:themeColor="text1"/>
                <w:sz w:val="20"/>
              </w:rPr>
              <w:t>Handlu i Usług</w:t>
            </w:r>
          </w:p>
          <w:p w:rsidR="000470AA" w:rsidRPr="00901D58" w:rsidRDefault="00017FFE" w:rsidP="00D00796">
            <w:pPr>
              <w:pStyle w:val="Nagwek3"/>
              <w:spacing w:before="0" w:line="240" w:lineRule="auto"/>
              <w:rPr>
                <w:rFonts w:cs="Arial"/>
                <w:b/>
                <w:color w:val="000000" w:themeColor="text1"/>
                <w:sz w:val="20"/>
                <w:szCs w:val="28"/>
                <w:lang w:val="de-AT"/>
              </w:rPr>
            </w:pPr>
            <w:r w:rsidRPr="00901D58">
              <w:rPr>
                <w:rFonts w:cs="Arial"/>
                <w:b/>
                <w:color w:val="000000" w:themeColor="text1"/>
                <w:sz w:val="20"/>
                <w:szCs w:val="28"/>
                <w:lang w:val="de-AT"/>
              </w:rPr>
              <w:t>Jolanta Biernat</w:t>
            </w:r>
          </w:p>
          <w:p w:rsidR="000470AA" w:rsidRPr="0095396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lang w:val="fi-FI"/>
              </w:rPr>
            </w:pPr>
            <w:r w:rsidRPr="0095396F">
              <w:rPr>
                <w:rFonts w:cs="Arial"/>
                <w:color w:val="000000" w:themeColor="text1"/>
                <w:sz w:val="20"/>
                <w:lang w:val="fi-FI"/>
              </w:rPr>
              <w:t>Tel: 22</w:t>
            </w:r>
            <w:r w:rsidR="00017FFE" w:rsidRPr="0095396F">
              <w:rPr>
                <w:rFonts w:cs="Arial"/>
                <w:color w:val="000000" w:themeColor="text1"/>
                <w:sz w:val="20"/>
                <w:lang w:val="fi-FI"/>
              </w:rPr>
              <w:t> 608 3336</w:t>
            </w:r>
          </w:p>
          <w:p w:rsidR="000470AA" w:rsidRPr="0095396F" w:rsidRDefault="000470AA" w:rsidP="00017FFE">
            <w:pPr>
              <w:pStyle w:val="Nagwek3"/>
              <w:spacing w:before="0" w:line="240" w:lineRule="auto"/>
              <w:rPr>
                <w:color w:val="000000" w:themeColor="text1"/>
                <w:lang w:val="fi-FI"/>
              </w:rPr>
            </w:pPr>
            <w:proofErr w:type="spellStart"/>
            <w:r w:rsidRPr="00901D58">
              <w:rPr>
                <w:rFonts w:cs="Arial"/>
                <w:b/>
                <w:color w:val="000000" w:themeColor="text1"/>
                <w:sz w:val="20"/>
                <w:szCs w:val="20"/>
                <w:lang w:val="de-AT"/>
              </w:rPr>
              <w:t>e-mail</w:t>
            </w:r>
            <w:proofErr w:type="spellEnd"/>
            <w:r w:rsidRPr="00901D58">
              <w:rPr>
                <w:rFonts w:cs="Arial"/>
                <w:b/>
                <w:color w:val="000000" w:themeColor="text1"/>
                <w:sz w:val="20"/>
                <w:szCs w:val="20"/>
                <w:lang w:val="de-AT"/>
              </w:rPr>
              <w:t xml:space="preserve">: </w:t>
            </w:r>
            <w:hyperlink r:id="rId20" w:history="1">
              <w:r w:rsidR="00017FFE" w:rsidRPr="008A1029">
                <w:rPr>
                  <w:rStyle w:val="Hipercze"/>
                  <w:rFonts w:cstheme="majorBidi"/>
                  <w:color w:val="auto"/>
                  <w:lang w:val="de-AT"/>
                </w:rPr>
                <w:t>j</w:t>
              </w:r>
              <w:r w:rsidR="00017FFE" w:rsidRPr="008A1029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de-AT"/>
                </w:rPr>
                <w:t>.biernat@stat.gov.pl</w:t>
              </w:r>
            </w:hyperlink>
          </w:p>
        </w:tc>
        <w:tc>
          <w:tcPr>
            <w:tcW w:w="3942" w:type="dxa"/>
          </w:tcPr>
          <w:p w:rsidR="000470AA" w:rsidRPr="0095396F" w:rsidRDefault="000470AA" w:rsidP="00E23337">
            <w:pPr>
              <w:spacing w:before="0" w:after="0" w:line="276" w:lineRule="auto"/>
              <w:rPr>
                <w:rFonts w:asciiTheme="majorHAnsi" w:hAnsiTheme="majorHAnsi" w:cs="Arial"/>
                <w:b/>
                <w:color w:val="000000" w:themeColor="text1"/>
                <w:sz w:val="20"/>
              </w:rPr>
            </w:pPr>
            <w:r w:rsidRPr="0095396F">
              <w:rPr>
                <w:rFonts w:asciiTheme="majorHAnsi" w:hAnsiTheme="majorHAnsi" w:cs="Arial"/>
                <w:color w:val="000000" w:themeColor="text1"/>
                <w:sz w:val="20"/>
              </w:rPr>
              <w:t>Rozpowszechnianie:</w:t>
            </w:r>
            <w:r w:rsidRPr="0095396F">
              <w:rPr>
                <w:rFonts w:asciiTheme="majorHAnsi" w:hAnsiTheme="majorHAnsi" w:cs="Arial"/>
                <w:color w:val="000000" w:themeColor="text1"/>
                <w:sz w:val="20"/>
              </w:rPr>
              <w:br/>
            </w:r>
            <w:r w:rsidRPr="0095396F">
              <w:rPr>
                <w:rFonts w:asciiTheme="majorHAnsi" w:hAnsiTheme="majorHAnsi" w:cs="Arial"/>
                <w:b/>
                <w:color w:val="000000" w:themeColor="text1"/>
                <w:sz w:val="20"/>
              </w:rPr>
              <w:t>Rzecznik Prasowy Prezesa GUS</w:t>
            </w:r>
          </w:p>
          <w:p w:rsidR="000470AA" w:rsidRPr="0095396F" w:rsidRDefault="000470AA" w:rsidP="00D00796">
            <w:pPr>
              <w:pStyle w:val="Nagwek3"/>
              <w:spacing w:before="0" w:line="240" w:lineRule="auto"/>
              <w:rPr>
                <w:rFonts w:cs="Arial"/>
                <w:b/>
                <w:color w:val="000000" w:themeColor="text1"/>
                <w:sz w:val="20"/>
                <w:szCs w:val="28"/>
              </w:rPr>
            </w:pPr>
            <w:r w:rsidRPr="0095396F">
              <w:rPr>
                <w:rFonts w:cs="Arial"/>
                <w:b/>
                <w:color w:val="000000" w:themeColor="text1"/>
                <w:sz w:val="20"/>
                <w:szCs w:val="28"/>
              </w:rPr>
              <w:t>Karolina Dawidziuk</w:t>
            </w:r>
          </w:p>
          <w:p w:rsidR="000470AA" w:rsidRPr="0095396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lang w:val="fi-FI"/>
              </w:rPr>
            </w:pPr>
            <w:r w:rsidRPr="0095396F">
              <w:rPr>
                <w:rFonts w:cs="Arial"/>
                <w:color w:val="000000" w:themeColor="text1"/>
                <w:sz w:val="20"/>
                <w:lang w:val="fi-FI"/>
              </w:rPr>
              <w:t>Tel: 22 608 3475, 22 608 3009</w:t>
            </w:r>
          </w:p>
          <w:p w:rsidR="000470AA" w:rsidRPr="00901D58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szCs w:val="20"/>
                <w:lang w:val="de-AT"/>
              </w:rPr>
            </w:pPr>
            <w:proofErr w:type="spellStart"/>
            <w:r w:rsidRPr="00901D58">
              <w:rPr>
                <w:rFonts w:cs="Arial"/>
                <w:b/>
                <w:color w:val="000000" w:themeColor="text1"/>
                <w:sz w:val="20"/>
                <w:szCs w:val="20"/>
                <w:lang w:val="de-AT"/>
              </w:rPr>
              <w:t>e-mail</w:t>
            </w:r>
            <w:proofErr w:type="spellEnd"/>
            <w:r w:rsidRPr="00901D58">
              <w:rPr>
                <w:rFonts w:cs="Arial"/>
                <w:b/>
                <w:color w:val="000000" w:themeColor="text1"/>
                <w:sz w:val="20"/>
                <w:szCs w:val="20"/>
                <w:lang w:val="de-AT"/>
              </w:rPr>
              <w:t xml:space="preserve">: </w:t>
            </w:r>
            <w:hyperlink r:id="rId21" w:history="1">
              <w:r w:rsidRPr="00901D58">
                <w:rPr>
                  <w:rStyle w:val="Hipercze"/>
                  <w:rFonts w:cs="Arial"/>
                  <w:b/>
                  <w:color w:val="000000" w:themeColor="text1"/>
                  <w:sz w:val="20"/>
                  <w:szCs w:val="20"/>
                  <w:lang w:val="de-AT"/>
                </w:rPr>
                <w:t>rzecznik@stat.gov.pl</w:t>
              </w:r>
            </w:hyperlink>
          </w:p>
        </w:tc>
      </w:tr>
    </w:tbl>
    <w:p w:rsidR="000470AA" w:rsidRPr="00901D58" w:rsidRDefault="000470AA" w:rsidP="000470AA">
      <w:pPr>
        <w:rPr>
          <w:rFonts w:asciiTheme="majorHAnsi" w:hAnsiTheme="majorHAnsi"/>
          <w:sz w:val="20"/>
          <w:lang w:val="de-AT"/>
        </w:rPr>
      </w:pPr>
    </w:p>
    <w:p w:rsidR="000470AA" w:rsidRPr="00901D58" w:rsidRDefault="000470AA" w:rsidP="000470AA">
      <w:pPr>
        <w:rPr>
          <w:rFonts w:asciiTheme="majorHAnsi" w:hAnsiTheme="majorHAnsi"/>
          <w:sz w:val="18"/>
          <w:lang w:val="de-AT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0470AA" w:rsidRPr="0095396F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b/>
                <w:sz w:val="20"/>
              </w:rPr>
            </w:pPr>
            <w:r w:rsidRPr="0095396F">
              <w:rPr>
                <w:rFonts w:asciiTheme="majorHAnsi" w:hAnsiTheme="majorHAnsi"/>
                <w:b/>
                <w:sz w:val="20"/>
              </w:rPr>
              <w:t xml:space="preserve">Wydział Współpracy z Mediami </w:t>
            </w:r>
          </w:p>
          <w:p w:rsidR="000470AA" w:rsidRPr="008A1029" w:rsidRDefault="008A1029" w:rsidP="000470AA">
            <w:pPr>
              <w:rPr>
                <w:rFonts w:asciiTheme="majorHAnsi" w:hAnsiTheme="majorHAnsi"/>
                <w:sz w:val="20"/>
              </w:rPr>
            </w:pPr>
            <w:r w:rsidRPr="0003415F">
              <w:rPr>
                <w:rFonts w:asciiTheme="majorHAnsi" w:hAnsiTheme="majorHAnsi"/>
                <w:sz w:val="20"/>
              </w:rPr>
              <w:t>T</w:t>
            </w:r>
            <w:r w:rsidR="0003415F" w:rsidRPr="0003415F">
              <w:rPr>
                <w:rFonts w:asciiTheme="majorHAnsi" w:hAnsiTheme="majorHAnsi"/>
                <w:sz w:val="20"/>
              </w:rPr>
              <w:t>el</w:t>
            </w:r>
            <w:r w:rsidR="000470AA" w:rsidRPr="0003415F">
              <w:rPr>
                <w:rFonts w:asciiTheme="majorHAnsi" w:hAnsiTheme="majorHAnsi"/>
                <w:sz w:val="20"/>
              </w:rPr>
              <w:t>:</w:t>
            </w:r>
            <w:r w:rsidR="000470AA" w:rsidRPr="008A1029">
              <w:rPr>
                <w:rFonts w:asciiTheme="majorHAnsi" w:hAnsiTheme="majorHAnsi"/>
                <w:b/>
                <w:sz w:val="20"/>
              </w:rPr>
              <w:t xml:space="preserve"> </w:t>
            </w:r>
            <w:r w:rsidRPr="008A1029">
              <w:rPr>
                <w:rFonts w:asciiTheme="majorHAnsi" w:hAnsiTheme="majorHAnsi"/>
                <w:sz w:val="20"/>
              </w:rPr>
              <w:t>22</w:t>
            </w:r>
            <w:r>
              <w:rPr>
                <w:rFonts w:asciiTheme="majorHAnsi" w:hAnsiTheme="majorHAnsi"/>
                <w:sz w:val="20"/>
              </w:rPr>
              <w:t xml:space="preserve"> </w:t>
            </w:r>
            <w:r w:rsidRPr="008A1029">
              <w:rPr>
                <w:rFonts w:asciiTheme="majorHAnsi" w:hAnsiTheme="majorHAnsi"/>
                <w:sz w:val="20"/>
              </w:rPr>
              <w:t>608 34 91, 22</w:t>
            </w:r>
            <w:r w:rsidR="000470AA" w:rsidRPr="008A1029">
              <w:rPr>
                <w:rFonts w:asciiTheme="majorHAnsi" w:hAnsiTheme="majorHAnsi"/>
                <w:sz w:val="20"/>
              </w:rPr>
              <w:t xml:space="preserve"> 608 38 04 </w:t>
            </w:r>
          </w:p>
          <w:p w:rsidR="000470AA" w:rsidRPr="00901D58" w:rsidRDefault="000470AA" w:rsidP="000470AA">
            <w:pPr>
              <w:rPr>
                <w:rFonts w:asciiTheme="majorHAnsi" w:hAnsiTheme="majorHAnsi"/>
                <w:sz w:val="18"/>
                <w:lang w:val="de-AT"/>
              </w:rPr>
            </w:pPr>
            <w:proofErr w:type="spellStart"/>
            <w:r w:rsidRPr="00901D58">
              <w:rPr>
                <w:rFonts w:asciiTheme="majorHAnsi" w:hAnsiTheme="majorHAnsi"/>
                <w:b/>
                <w:sz w:val="20"/>
                <w:lang w:val="de-AT"/>
              </w:rPr>
              <w:t>e-mail</w:t>
            </w:r>
            <w:proofErr w:type="spellEnd"/>
            <w:r w:rsidRPr="00901D58">
              <w:rPr>
                <w:rFonts w:asciiTheme="majorHAnsi" w:hAnsiTheme="majorHAnsi"/>
                <w:b/>
                <w:sz w:val="20"/>
                <w:lang w:val="de-AT"/>
              </w:rPr>
              <w:t>:</w:t>
            </w:r>
            <w:r w:rsidRPr="008A1029">
              <w:rPr>
                <w:rFonts w:asciiTheme="majorHAnsi" w:hAnsiTheme="majorHAnsi"/>
                <w:b/>
                <w:sz w:val="20"/>
                <w:lang w:val="de-AT"/>
              </w:rPr>
              <w:t xml:space="preserve"> </w:t>
            </w:r>
            <w:hyperlink r:id="rId22" w:history="1">
              <w:r w:rsidRPr="008A1029">
                <w:rPr>
                  <w:rStyle w:val="Hipercze"/>
                  <w:rFonts w:asciiTheme="majorHAnsi" w:hAnsiTheme="majorHAnsi" w:cstheme="minorBidi"/>
                  <w:b/>
                  <w:color w:val="auto"/>
                  <w:sz w:val="20"/>
                  <w:lang w:val="de-AT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0470AA" w:rsidRPr="00901D58" w:rsidRDefault="000470AA" w:rsidP="000470AA">
            <w:pPr>
              <w:rPr>
                <w:rFonts w:asciiTheme="majorHAnsi" w:hAnsiTheme="majorHAnsi"/>
                <w:sz w:val="18"/>
                <w:lang w:val="de-AT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652096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sz w:val="20"/>
              </w:rPr>
              <w:t>www.stat.gov.pl</w:t>
            </w:r>
          </w:p>
        </w:tc>
      </w:tr>
      <w:tr w:rsidR="000470AA" w:rsidRPr="0095396F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654144" behindDoc="0" locked="0" layoutInCell="1" allowOverlap="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sz w:val="20"/>
              </w:rPr>
              <w:t>@GUS_STAT</w:t>
            </w:r>
          </w:p>
        </w:tc>
      </w:tr>
      <w:tr w:rsidR="000470AA" w:rsidRPr="0095396F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653120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0470AA" w:rsidRPr="0095396F" w:rsidRDefault="000470AA" w:rsidP="000470AA">
            <w:pPr>
              <w:rPr>
                <w:rFonts w:asciiTheme="majorHAnsi" w:hAnsiTheme="majorHAnsi"/>
                <w:sz w:val="20"/>
              </w:rPr>
            </w:pPr>
            <w:r w:rsidRPr="0095396F">
              <w:rPr>
                <w:rFonts w:asciiTheme="majorHAnsi" w:hAnsiTheme="majorHAnsi"/>
                <w:sz w:val="20"/>
              </w:rPr>
              <w:t>@</w:t>
            </w:r>
            <w:proofErr w:type="spellStart"/>
            <w:r w:rsidRPr="0095396F">
              <w:rPr>
                <w:rFonts w:asciiTheme="majorHAnsi" w:hAnsiTheme="majorHAnsi"/>
                <w:sz w:val="20"/>
              </w:rPr>
              <w:t>GlownyUrzadStatystyczny</w:t>
            </w:r>
            <w:proofErr w:type="spellEnd"/>
          </w:p>
        </w:tc>
      </w:tr>
    </w:tbl>
    <w:p w:rsidR="00D261A2" w:rsidRPr="0095396F" w:rsidRDefault="00F97850" w:rsidP="00E76D26">
      <w:pPr>
        <w:rPr>
          <w:rFonts w:asciiTheme="majorHAnsi" w:hAnsiTheme="majorHAnsi"/>
          <w:sz w:val="18"/>
        </w:rPr>
      </w:pPr>
      <w:r>
        <w:rPr>
          <w:rFonts w:asciiTheme="majorHAnsi" w:hAnsiTheme="majorHAnsi"/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19050</wp:posOffset>
                </wp:positionH>
                <wp:positionV relativeFrom="paragraph">
                  <wp:posOffset>425450</wp:posOffset>
                </wp:positionV>
                <wp:extent cx="5549265" cy="4443095"/>
                <wp:effectExtent l="0" t="0" r="13335" b="14605"/>
                <wp:wrapSquare wrapText="bothSides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9265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1F5B" w:rsidRDefault="00431F5B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431F5B" w:rsidRPr="00D641C9" w:rsidRDefault="00431F5B" w:rsidP="00AB6D25">
                            <w:pPr>
                              <w:rPr>
                                <w:b/>
                              </w:rPr>
                            </w:pPr>
                            <w:r w:rsidRPr="00D641C9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431F5B" w:rsidRPr="0003415F" w:rsidRDefault="0005287A" w:rsidP="00AB6D25">
                            <w:pPr>
                              <w:rPr>
                                <w:color w:val="001D77"/>
                              </w:rPr>
                            </w:pPr>
                            <w:hyperlink r:id="rId26" w:history="1">
                              <w:r w:rsidR="00431F5B" w:rsidRPr="0003415F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Rynek wewnętrzny w 201</w:t>
                              </w:r>
                              <w:r w:rsidR="00425B97" w:rsidRPr="0003415F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7</w:t>
                              </w:r>
                              <w:r w:rsidR="00431F5B" w:rsidRPr="0003415F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 xml:space="preserve"> r.</w:t>
                              </w:r>
                            </w:hyperlink>
                          </w:p>
                          <w:p w:rsidR="006C7D16" w:rsidRDefault="006C7D16" w:rsidP="00AB6D25"/>
                          <w:p w:rsidR="00431F5B" w:rsidRPr="00D641C9" w:rsidRDefault="00431F5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D641C9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431F5B" w:rsidRPr="0003415F" w:rsidRDefault="00727B0A" w:rsidP="00AB6D25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Cs w:val="24"/>
                              </w:rPr>
                            </w:pPr>
                            <w:r w:rsidRPr="0003415F">
                              <w:rPr>
                                <w:color w:val="001D77"/>
                                <w:szCs w:val="24"/>
                              </w:rPr>
                              <w:fldChar w:fldCharType="begin"/>
                            </w:r>
                            <w:r w:rsidR="00425B97" w:rsidRPr="0003415F">
                              <w:rPr>
                                <w:color w:val="001D77"/>
                                <w:szCs w:val="24"/>
                              </w:rPr>
                              <w:instrText>HYPERLINK "http://swaid.stat.gov.pl/SitePagesDBW/HandelUslugi.aspx"</w:instrText>
                            </w:r>
                            <w:r w:rsidRPr="0003415F">
                              <w:rPr>
                                <w:color w:val="001D77"/>
                                <w:szCs w:val="24"/>
                              </w:rPr>
                              <w:fldChar w:fldCharType="separate"/>
                            </w:r>
                            <w:r w:rsidR="00431F5B" w:rsidRPr="0003415F">
                              <w:rPr>
                                <w:rStyle w:val="Hipercze"/>
                                <w:rFonts w:cstheme="minorBidi"/>
                                <w:color w:val="001D77"/>
                                <w:szCs w:val="24"/>
                              </w:rPr>
                              <w:t>Dziedzinowa Baza Wiedzy-Handel I Usługi</w:t>
                            </w:r>
                          </w:p>
                          <w:p w:rsidR="00ED51D1" w:rsidRPr="0003415F" w:rsidRDefault="00727B0A" w:rsidP="00ED51D1">
                            <w:pPr>
                              <w:rPr>
                                <w:color w:val="001D77"/>
                                <w:szCs w:val="24"/>
                              </w:rPr>
                            </w:pPr>
                            <w:r w:rsidRPr="0003415F">
                              <w:rPr>
                                <w:color w:val="001D77"/>
                                <w:szCs w:val="24"/>
                              </w:rPr>
                              <w:fldChar w:fldCharType="end"/>
                            </w:r>
                            <w:hyperlink r:id="rId27" w:history="1">
                              <w:r w:rsidR="00ED51D1" w:rsidRPr="0003415F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24"/>
                                </w:rPr>
                                <w:t>Bank Danych Makroekonomicznych</w:t>
                              </w:r>
                            </w:hyperlink>
                          </w:p>
                          <w:p w:rsidR="00ED51D1" w:rsidRDefault="00ED51D1" w:rsidP="00AB6D25">
                            <w:pPr>
                              <w:rPr>
                                <w:szCs w:val="24"/>
                              </w:rPr>
                            </w:pPr>
                          </w:p>
                          <w:p w:rsidR="00431F5B" w:rsidRDefault="00431F5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431F5B" w:rsidRPr="0003415F" w:rsidRDefault="00727B0A" w:rsidP="00AB6D25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Cs w:val="24"/>
                              </w:rPr>
                            </w:pPr>
                            <w:r w:rsidRPr="0003415F">
                              <w:rPr>
                                <w:color w:val="001D77"/>
                                <w:szCs w:val="24"/>
                              </w:rPr>
                              <w:fldChar w:fldCharType="begin"/>
                            </w:r>
                            <w:r w:rsidR="00425B97" w:rsidRPr="0003415F">
                              <w:rPr>
                                <w:color w:val="001D77"/>
                                <w:szCs w:val="24"/>
                              </w:rPr>
                              <w:instrText>HYPERLINK "http://stat.gov.pl/metainformacje/slownik-pojec/pojecia-stosowane-w-statystyce-publicznej/473,pojecie.html"</w:instrText>
                            </w:r>
                            <w:r w:rsidRPr="0003415F">
                              <w:rPr>
                                <w:color w:val="001D77"/>
                                <w:szCs w:val="24"/>
                              </w:rPr>
                              <w:fldChar w:fldCharType="separate"/>
                            </w:r>
                            <w:r w:rsidR="00431F5B" w:rsidRPr="0003415F">
                              <w:rPr>
                                <w:rStyle w:val="Hipercze"/>
                                <w:rFonts w:cstheme="minorBidi"/>
                                <w:color w:val="001D77"/>
                                <w:szCs w:val="24"/>
                              </w:rPr>
                              <w:t>Sprzedaż detaliczna towarów</w:t>
                            </w:r>
                          </w:p>
                          <w:p w:rsidR="00431F5B" w:rsidRPr="003D7F37" w:rsidRDefault="00727B0A" w:rsidP="00AB6D25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03415F">
                              <w:rPr>
                                <w:color w:val="001D77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margin-left:1.5pt;margin-top:33.5pt;width:436.95pt;height:349.8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" fillcolor="#f2f2f2 [3052]" strokecolor="white [3212]">
                <v:textbox>
                  <w:txbxContent>
                    <w:p w:rsidR="00431F5B" w:rsidRDefault="00431F5B" w:rsidP="00AB6D25">
                      <w:pPr>
                        <w:rPr>
                          <w:b/>
                        </w:rPr>
                      </w:pPr>
                    </w:p>
                    <w:p w:rsidR="00431F5B" w:rsidRPr="00D641C9" w:rsidRDefault="00431F5B" w:rsidP="00AB6D25">
                      <w:pPr>
                        <w:rPr>
                          <w:b/>
                        </w:rPr>
                      </w:pPr>
                      <w:r w:rsidRPr="00D641C9">
                        <w:rPr>
                          <w:b/>
                        </w:rPr>
                        <w:t>Powiązane opracowania</w:t>
                      </w:r>
                    </w:p>
                    <w:p w:rsidR="00431F5B" w:rsidRPr="0003415F" w:rsidRDefault="00A85900" w:rsidP="00AB6D25">
                      <w:pPr>
                        <w:rPr>
                          <w:color w:val="001D77"/>
                        </w:rPr>
                      </w:pPr>
                      <w:hyperlink r:id="rId28" w:history="1">
                        <w:r w:rsidR="00431F5B" w:rsidRPr="0003415F">
                          <w:rPr>
                            <w:rStyle w:val="Hipercze"/>
                            <w:rFonts w:cstheme="minorBidi"/>
                            <w:color w:val="001D77"/>
                          </w:rPr>
                          <w:t>Rynek wewnętrzny w 201</w:t>
                        </w:r>
                        <w:r w:rsidR="00425B97" w:rsidRPr="0003415F">
                          <w:rPr>
                            <w:rStyle w:val="Hipercze"/>
                            <w:rFonts w:cstheme="minorBidi"/>
                            <w:color w:val="001D77"/>
                          </w:rPr>
                          <w:t>7</w:t>
                        </w:r>
                        <w:r w:rsidR="00431F5B" w:rsidRPr="0003415F">
                          <w:rPr>
                            <w:rStyle w:val="Hipercze"/>
                            <w:rFonts w:cstheme="minorBidi"/>
                            <w:color w:val="001D77"/>
                          </w:rPr>
                          <w:t xml:space="preserve"> r.</w:t>
                        </w:r>
                      </w:hyperlink>
                    </w:p>
                    <w:p w:rsidR="006C7D16" w:rsidRDefault="006C7D16" w:rsidP="00AB6D25"/>
                    <w:p w:rsidR="00431F5B" w:rsidRPr="00D641C9" w:rsidRDefault="00431F5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D641C9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431F5B" w:rsidRPr="0003415F" w:rsidRDefault="00727B0A" w:rsidP="00AB6D25">
                      <w:pPr>
                        <w:rPr>
                          <w:rStyle w:val="Hipercze"/>
                          <w:rFonts w:cstheme="minorBidi"/>
                          <w:color w:val="001D77"/>
                          <w:szCs w:val="24"/>
                        </w:rPr>
                      </w:pPr>
                      <w:r w:rsidRPr="0003415F">
                        <w:rPr>
                          <w:color w:val="001D77"/>
                          <w:szCs w:val="24"/>
                        </w:rPr>
                        <w:fldChar w:fldCharType="begin"/>
                      </w:r>
                      <w:r w:rsidR="00425B97" w:rsidRPr="0003415F">
                        <w:rPr>
                          <w:color w:val="001D77"/>
                          <w:szCs w:val="24"/>
                        </w:rPr>
                        <w:instrText>HYPERLINK "http://swaid.stat.gov.pl/SitePagesDBW/HandelUslugi.aspx"</w:instrText>
                      </w:r>
                      <w:r w:rsidRPr="0003415F">
                        <w:rPr>
                          <w:color w:val="001D77"/>
                          <w:szCs w:val="24"/>
                        </w:rPr>
                        <w:fldChar w:fldCharType="separate"/>
                      </w:r>
                      <w:r w:rsidR="00431F5B" w:rsidRPr="0003415F">
                        <w:rPr>
                          <w:rStyle w:val="Hipercze"/>
                          <w:rFonts w:cstheme="minorBidi"/>
                          <w:color w:val="001D77"/>
                          <w:szCs w:val="24"/>
                        </w:rPr>
                        <w:t>Dziedzinowa Baza Wiedzy-Handel I Usługi</w:t>
                      </w:r>
                    </w:p>
                    <w:p w:rsidR="00ED51D1" w:rsidRPr="0003415F" w:rsidRDefault="00727B0A" w:rsidP="00ED51D1">
                      <w:pPr>
                        <w:rPr>
                          <w:color w:val="001D77"/>
                          <w:szCs w:val="24"/>
                        </w:rPr>
                      </w:pPr>
                      <w:r w:rsidRPr="0003415F">
                        <w:rPr>
                          <w:color w:val="001D77"/>
                          <w:szCs w:val="24"/>
                        </w:rPr>
                        <w:fldChar w:fldCharType="end"/>
                      </w:r>
                      <w:hyperlink r:id="rId29" w:history="1">
                        <w:r w:rsidR="00ED51D1" w:rsidRPr="0003415F">
                          <w:rPr>
                            <w:rStyle w:val="Hipercze"/>
                            <w:rFonts w:cstheme="minorBidi"/>
                            <w:color w:val="001D77"/>
                            <w:szCs w:val="24"/>
                          </w:rPr>
                          <w:t>Bank Danych Makroekonomicznych</w:t>
                        </w:r>
                      </w:hyperlink>
                    </w:p>
                    <w:p w:rsidR="00ED51D1" w:rsidRDefault="00ED51D1" w:rsidP="00AB6D25">
                      <w:pPr>
                        <w:rPr>
                          <w:szCs w:val="24"/>
                        </w:rPr>
                      </w:pPr>
                      <w:bookmarkStart w:id="1" w:name="_GoBack"/>
                      <w:bookmarkEnd w:id="1"/>
                    </w:p>
                    <w:p w:rsidR="00431F5B" w:rsidRDefault="00431F5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431F5B" w:rsidRPr="0003415F" w:rsidRDefault="00727B0A" w:rsidP="00AB6D25">
                      <w:pPr>
                        <w:rPr>
                          <w:rStyle w:val="Hipercze"/>
                          <w:rFonts w:cstheme="minorBidi"/>
                          <w:color w:val="001D77"/>
                          <w:szCs w:val="24"/>
                        </w:rPr>
                      </w:pPr>
                      <w:r w:rsidRPr="0003415F">
                        <w:rPr>
                          <w:color w:val="001D77"/>
                          <w:szCs w:val="24"/>
                        </w:rPr>
                        <w:fldChar w:fldCharType="begin"/>
                      </w:r>
                      <w:r w:rsidR="00425B97" w:rsidRPr="0003415F">
                        <w:rPr>
                          <w:color w:val="001D77"/>
                          <w:szCs w:val="24"/>
                        </w:rPr>
                        <w:instrText>HYPERLINK "http://stat.gov.pl/metainformacje/slownik-pojec/pojecia-stosowane-w-statystyce-publicznej/473,pojecie.html"</w:instrText>
                      </w:r>
                      <w:r w:rsidRPr="0003415F">
                        <w:rPr>
                          <w:color w:val="001D77"/>
                          <w:szCs w:val="24"/>
                        </w:rPr>
                        <w:fldChar w:fldCharType="separate"/>
                      </w:r>
                      <w:r w:rsidR="00431F5B" w:rsidRPr="0003415F">
                        <w:rPr>
                          <w:rStyle w:val="Hipercze"/>
                          <w:rFonts w:cstheme="minorBidi"/>
                          <w:color w:val="001D77"/>
                          <w:szCs w:val="24"/>
                        </w:rPr>
                        <w:t>Sprzedaż detaliczna towarów</w:t>
                      </w:r>
                    </w:p>
                    <w:p w:rsidR="00431F5B" w:rsidRPr="003D7F37" w:rsidRDefault="00727B0A" w:rsidP="00AB6D25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03415F">
                        <w:rPr>
                          <w:color w:val="001D77"/>
                          <w:szCs w:val="24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95396F" w:rsidSect="006A2E6E">
      <w:headerReference w:type="default" r:id="rId30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287A" w:rsidRDefault="0005287A" w:rsidP="000662E2">
      <w:pPr>
        <w:spacing w:after="0" w:line="240" w:lineRule="auto"/>
      </w:pPr>
      <w:r>
        <w:separator/>
      </w:r>
    </w:p>
  </w:endnote>
  <w:endnote w:type="continuationSeparator" w:id="0">
    <w:p w:rsidR="0005287A" w:rsidRDefault="0005287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636A6F83-FDED-468C-89F1-2A522690060F}"/>
    <w:embedBold r:id="rId2" w:fontKey="{8135DFC3-8834-48A4-8899-977E237629F3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B8FF902E-D7FA-41AD-9A3E-20CB7A0F6C15}"/>
    <w:embedBold r:id="rId4" w:fontKey="{277D1801-E141-4395-A9E3-6565FE470752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1A137F88-E728-4BF5-BB4E-FEC5B72F4933}"/>
    <w:embedBold r:id="rId6" w:fontKey="{3E413B16-CE3C-42B9-93FA-0FA3670D2B48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A5EC33B4-803C-4B63-82EE-921568FA548B}"/>
    <w:embedBold r:id="rId8" w:fontKey="{224AD5A9-ACC8-463C-B642-AB427849768C}"/>
    <w:embedItalic r:id="rId9" w:fontKey="{19712B91-55B3-4EE2-985B-A8C98942113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FDF5F754-5B4C-4265-A824-0E34D0A9AF23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A83D1280-7CAE-44FA-A5DD-6B03A9C33DCA}"/>
    <w:embedBold r:id="rId12" w:fontKey="{4ACAB845-7177-4D89-8910-2BEC569FC47C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082660"/>
      <w:docPartObj>
        <w:docPartGallery w:val="Page Numbers (Bottom of Page)"/>
        <w:docPartUnique/>
      </w:docPartObj>
    </w:sdtPr>
    <w:sdtEndPr/>
    <w:sdtContent>
      <w:p w:rsidR="00431F5B" w:rsidRDefault="00727B0A">
        <w:pPr>
          <w:pStyle w:val="Stopka"/>
          <w:jc w:val="center"/>
        </w:pPr>
        <w:r>
          <w:fldChar w:fldCharType="begin"/>
        </w:r>
        <w:r w:rsidR="00046397">
          <w:instrText xml:space="preserve"> PAGE   \* MERGEFORMAT </w:instrText>
        </w:r>
        <w:r>
          <w:fldChar w:fldCharType="separate"/>
        </w:r>
        <w:r w:rsidR="007D41D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31F5B" w:rsidRDefault="00431F5B" w:rsidP="002A6115">
    <w:pPr>
      <w:pStyle w:val="Stopka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082659"/>
      <w:docPartObj>
        <w:docPartGallery w:val="Page Numbers (Bottom of Page)"/>
        <w:docPartUnique/>
      </w:docPartObj>
    </w:sdtPr>
    <w:sdtEndPr/>
    <w:sdtContent>
      <w:p w:rsidR="00431F5B" w:rsidRDefault="00727B0A" w:rsidP="002A6115">
        <w:pPr>
          <w:pStyle w:val="Stopka"/>
          <w:jc w:val="center"/>
        </w:pPr>
        <w:r>
          <w:fldChar w:fldCharType="begin"/>
        </w:r>
        <w:r w:rsidR="00046397">
          <w:instrText xml:space="preserve"> PAGE   \* MERGEFORMAT </w:instrText>
        </w:r>
        <w:r>
          <w:fldChar w:fldCharType="separate"/>
        </w:r>
        <w:r w:rsidR="007D41D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31F5B" w:rsidRDefault="00431F5B" w:rsidP="002A611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287A" w:rsidRDefault="0005287A" w:rsidP="000662E2">
      <w:pPr>
        <w:spacing w:after="0" w:line="240" w:lineRule="auto"/>
      </w:pPr>
      <w:r>
        <w:separator/>
      </w:r>
    </w:p>
  </w:footnote>
  <w:footnote w:type="continuationSeparator" w:id="0">
    <w:p w:rsidR="0005287A" w:rsidRDefault="0005287A" w:rsidP="000662E2">
      <w:pPr>
        <w:spacing w:after="0" w:line="240" w:lineRule="auto"/>
      </w:pPr>
      <w:r>
        <w:continuationSeparator/>
      </w:r>
    </w:p>
  </w:footnote>
  <w:footnote w:id="1">
    <w:p w:rsidR="00431F5B" w:rsidRDefault="00431F5B" w:rsidP="0063434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A46AB">
        <w:rPr>
          <w:sz w:val="16"/>
          <w:szCs w:val="16"/>
        </w:rPr>
        <w:t>Dane dotyczą przedsiębiorstw handlowych i niehandlowych o liczbie pracujących powyżej 9 osób. Grupowania przedsiębiorstw dokonano na podstawie Polskiej Klasyfikacji Działalności 2007 (PKD 2007), zaliczając przedsiębiorstwo do określonej kategorii według przeważającego rodzaju działalności, zgodnie z aktualnym w</w:t>
      </w:r>
      <w:r>
        <w:rPr>
          <w:sz w:val="16"/>
          <w:szCs w:val="16"/>
        </w:rPr>
        <w:t> </w:t>
      </w:r>
      <w:r w:rsidRPr="00EA46AB">
        <w:rPr>
          <w:sz w:val="16"/>
          <w:szCs w:val="16"/>
        </w:rPr>
        <w:t>omawianym okresie stanem organizacyjnym. Odnotowane zmiany (wzrost/spadek) wolumenu sprzedaży detalicznej w</w:t>
      </w:r>
      <w:r>
        <w:rPr>
          <w:sz w:val="16"/>
          <w:szCs w:val="16"/>
        </w:rPr>
        <w:t> </w:t>
      </w:r>
      <w:r w:rsidRPr="00EA46AB">
        <w:rPr>
          <w:sz w:val="16"/>
          <w:szCs w:val="16"/>
        </w:rPr>
        <w:t>poszczególnych grupach rodzajów działalności przedsiębiorstw mogą zatem również wynikać ze</w:t>
      </w:r>
      <w:r>
        <w:rPr>
          <w:sz w:val="16"/>
          <w:szCs w:val="16"/>
        </w:rPr>
        <w:t> </w:t>
      </w:r>
      <w:r w:rsidRPr="00EA46AB">
        <w:rPr>
          <w:sz w:val="16"/>
          <w:szCs w:val="16"/>
        </w:rPr>
        <w:t>zmiany przeważającego rodzaju działalności przedsiębiorstwa oraz zmian organizacyjnych (np. połączenia przedsiębiorstw). Nie ma to wpływu na dynamikę sprzedaży detalicznej ogółem.</w:t>
      </w:r>
    </w:p>
  </w:footnote>
  <w:footnote w:id="2">
    <w:p w:rsidR="00A233D9" w:rsidRPr="00A233D9" w:rsidRDefault="00A233D9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A233D9">
        <w:rPr>
          <w:sz w:val="16"/>
          <w:szCs w:val="16"/>
        </w:rPr>
        <w:t>W danych narastających uwzględniono korekty dokonane przez jednostki sprawozdawcze.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F5B" w:rsidRDefault="00F97850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DF088CA" id="Prostokąt 24" o:spid="_x0000_s1026" style="position:absolute;margin-left:410.6pt;margin-top:-14.05pt;width:147.6pt;height:1785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    <v:path arrowok="t"/>
            </v:rect>
          </w:pict>
        </mc:Fallback>
      </mc:AlternateContent>
    </w:r>
  </w:p>
  <w:p w:rsidR="00431F5B" w:rsidRDefault="00431F5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F5B" w:rsidRDefault="007D41DE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5672113</wp:posOffset>
              </wp:positionH>
              <wp:positionV relativeFrom="paragraph">
                <wp:posOffset>210674</wp:posOffset>
              </wp:positionV>
              <wp:extent cx="1872000" cy="22906800"/>
              <wp:effectExtent l="0" t="0" r="0" b="0"/>
              <wp:wrapNone/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2000" cy="2290680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73FFDBE" id="Prostokąt 10" o:spid="_x0000_s1026" style="position:absolute;margin-left:446.6pt;margin-top:16.6pt;width:147.4pt;height:1803.7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" fillcolor="#f2f2f2" stroked="f" strokeweight="1pt">
              <v:path arrowok="t"/>
              <w10:wrap anchorx="page"/>
            </v:rect>
          </w:pict>
        </mc:Fallback>
      </mc:AlternateContent>
    </w:r>
    <w:r w:rsidR="00EA0223">
      <w:rPr>
        <w:noProof/>
        <w:lang w:eastAsia="pl-PL"/>
      </w:rPr>
      <w:drawing>
        <wp:inline distT="0" distB="0" distL="0" distR="0">
          <wp:extent cx="1153274" cy="720000"/>
          <wp:effectExtent l="0" t="0" r="0" b="4445"/>
          <wp:docPr id="3" name="Obraz 7" descr="logo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97850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31F5B" w:rsidRPr="003C6C8D" w:rsidRDefault="00431F5B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32" style="position:absolute;margin-left:396.6pt;margin-top:15.65pt;width:162.25pt;height:28.1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431F5B" w:rsidRPr="003C6C8D" w:rsidRDefault="00431F5B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:rsidR="00431F5B" w:rsidRDefault="00F97850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31F5B" w:rsidRPr="00C97596" w:rsidRDefault="00C63D87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4354A4">
                            <w:rPr>
                              <w:rFonts w:ascii="Fira Sans SemiBold" w:hAnsi="Fira Sans SemiBold"/>
                              <w:color w:val="001D77"/>
                            </w:rPr>
                            <w:t>3</w:t>
                          </w:r>
                          <w:r w:rsidR="00E202F8">
                            <w:rPr>
                              <w:rFonts w:ascii="Fira Sans SemiBold" w:hAnsi="Fira Sans SemiBold"/>
                              <w:color w:val="001D77"/>
                            </w:rPr>
                            <w:t>.0</w:t>
                          </w:r>
                          <w:r w:rsidR="004354A4">
                            <w:rPr>
                              <w:rFonts w:ascii="Fira Sans SemiBold" w:hAnsi="Fira Sans SemiBold"/>
                              <w:color w:val="001D77"/>
                            </w:rPr>
                            <w:t>5</w:t>
                          </w:r>
                          <w:r w:rsidR="00E202F8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.2019 </w:t>
                          </w:r>
                          <w:r w:rsidR="00431F5B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>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1pt;margin-top:20.95pt;width:112.8pt;height:26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CwiKQ7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431F5B" w:rsidRPr="00C97596" w:rsidRDefault="00C63D87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4354A4">
                      <w:rPr>
                        <w:rFonts w:ascii="Fira Sans SemiBold" w:hAnsi="Fira Sans SemiBold"/>
                        <w:color w:val="001D77"/>
                      </w:rPr>
                      <w:t>3</w:t>
                    </w:r>
                    <w:r w:rsidR="00E202F8">
                      <w:rPr>
                        <w:rFonts w:ascii="Fira Sans SemiBold" w:hAnsi="Fira Sans SemiBold"/>
                        <w:color w:val="001D77"/>
                      </w:rPr>
                      <w:t>.0</w:t>
                    </w:r>
                    <w:r w:rsidR="004354A4">
                      <w:rPr>
                        <w:rFonts w:ascii="Fira Sans SemiBold" w:hAnsi="Fira Sans SemiBold"/>
                        <w:color w:val="001D77"/>
                      </w:rPr>
                      <w:t>5</w:t>
                    </w:r>
                    <w:r w:rsidR="00E202F8">
                      <w:rPr>
                        <w:rFonts w:ascii="Fira Sans SemiBold" w:hAnsi="Fira Sans SemiBold"/>
                        <w:color w:val="001D77"/>
                      </w:rPr>
                      <w:t xml:space="preserve">.2019 </w:t>
                    </w:r>
                    <w:r w:rsidR="00431F5B" w:rsidRPr="00C97596">
                      <w:rPr>
                        <w:rFonts w:ascii="Fira Sans SemiBold" w:hAnsi="Fira Sans SemiBold"/>
                        <w:color w:val="001D77"/>
                      </w:rPr>
                      <w:t>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F5B" w:rsidRDefault="00431F5B">
    <w:pPr>
      <w:pStyle w:val="Nagwek"/>
    </w:pPr>
  </w:p>
  <w:p w:rsidR="00431F5B" w:rsidRDefault="00431F5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.7pt;height:124.9pt;visibility:visible;mso-wrap-style:square" o:bullet="t">
        <v:imagedata r:id="rId1" o:title=""/>
      </v:shape>
    </w:pict>
  </w:numPicBullet>
  <w:numPicBullet w:numPicBulletId="1">
    <w:pict>
      <v:shape id="_x0000_i1031" type="#_x0000_t75" style="width:124.9pt;height:124.9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0CC774D"/>
    <w:multiLevelType w:val="hybridMultilevel"/>
    <w:tmpl w:val="FF2028D2"/>
    <w:lvl w:ilvl="0" w:tplc="F0A46A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94922"/>
    <w:multiLevelType w:val="hybridMultilevel"/>
    <w:tmpl w:val="B5CE43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0D1616F"/>
    <w:multiLevelType w:val="hybridMultilevel"/>
    <w:tmpl w:val="41DAC0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7A28CC"/>
    <w:multiLevelType w:val="hybridMultilevel"/>
    <w:tmpl w:val="669847B0"/>
    <w:lvl w:ilvl="0" w:tplc="9768E4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TrueTypeFonts/>
  <w:proofState w:spelling="clean"/>
  <w:defaultTabStop w:val="6804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105"/>
    <w:rsid w:val="00001C5B"/>
    <w:rsid w:val="00002709"/>
    <w:rsid w:val="00003437"/>
    <w:rsid w:val="0000709F"/>
    <w:rsid w:val="00007FA2"/>
    <w:rsid w:val="000106DA"/>
    <w:rsid w:val="000108B8"/>
    <w:rsid w:val="00010CF1"/>
    <w:rsid w:val="00011FEA"/>
    <w:rsid w:val="000144A9"/>
    <w:rsid w:val="00014BC5"/>
    <w:rsid w:val="000152F5"/>
    <w:rsid w:val="0001625A"/>
    <w:rsid w:val="00017FFE"/>
    <w:rsid w:val="00023A16"/>
    <w:rsid w:val="00024A57"/>
    <w:rsid w:val="00025F4C"/>
    <w:rsid w:val="000275C3"/>
    <w:rsid w:val="00027951"/>
    <w:rsid w:val="00030E7A"/>
    <w:rsid w:val="0003301B"/>
    <w:rsid w:val="0003415F"/>
    <w:rsid w:val="00034413"/>
    <w:rsid w:val="000357D2"/>
    <w:rsid w:val="00035A97"/>
    <w:rsid w:val="000361A2"/>
    <w:rsid w:val="00036905"/>
    <w:rsid w:val="00037EFE"/>
    <w:rsid w:val="000407AD"/>
    <w:rsid w:val="000419AC"/>
    <w:rsid w:val="00041A97"/>
    <w:rsid w:val="000444AC"/>
    <w:rsid w:val="00045468"/>
    <w:rsid w:val="0004582E"/>
    <w:rsid w:val="00045FF7"/>
    <w:rsid w:val="00046397"/>
    <w:rsid w:val="000470AA"/>
    <w:rsid w:val="00047ADF"/>
    <w:rsid w:val="00051864"/>
    <w:rsid w:val="000518C4"/>
    <w:rsid w:val="0005287A"/>
    <w:rsid w:val="00053DD8"/>
    <w:rsid w:val="00057374"/>
    <w:rsid w:val="00057CA1"/>
    <w:rsid w:val="00063B71"/>
    <w:rsid w:val="000646CE"/>
    <w:rsid w:val="000662E2"/>
    <w:rsid w:val="00066883"/>
    <w:rsid w:val="00071458"/>
    <w:rsid w:val="00071D8E"/>
    <w:rsid w:val="00074DD8"/>
    <w:rsid w:val="00080236"/>
    <w:rsid w:val="000806F7"/>
    <w:rsid w:val="00081C7F"/>
    <w:rsid w:val="0008544D"/>
    <w:rsid w:val="0008767F"/>
    <w:rsid w:val="00087BD7"/>
    <w:rsid w:val="00094D9B"/>
    <w:rsid w:val="000A29D1"/>
    <w:rsid w:val="000A41EC"/>
    <w:rsid w:val="000A425C"/>
    <w:rsid w:val="000A5C4F"/>
    <w:rsid w:val="000A6155"/>
    <w:rsid w:val="000B0442"/>
    <w:rsid w:val="000B0727"/>
    <w:rsid w:val="000B4F9E"/>
    <w:rsid w:val="000B5D11"/>
    <w:rsid w:val="000B62AD"/>
    <w:rsid w:val="000B6DA7"/>
    <w:rsid w:val="000B7F8D"/>
    <w:rsid w:val="000C135D"/>
    <w:rsid w:val="000C4971"/>
    <w:rsid w:val="000C62BC"/>
    <w:rsid w:val="000D1241"/>
    <w:rsid w:val="000D1D43"/>
    <w:rsid w:val="000D225C"/>
    <w:rsid w:val="000D2A5C"/>
    <w:rsid w:val="000D2D28"/>
    <w:rsid w:val="000D6196"/>
    <w:rsid w:val="000E0918"/>
    <w:rsid w:val="000E18FB"/>
    <w:rsid w:val="000E24A3"/>
    <w:rsid w:val="000E34CA"/>
    <w:rsid w:val="000E3BEB"/>
    <w:rsid w:val="000E3DB1"/>
    <w:rsid w:val="000E4738"/>
    <w:rsid w:val="000E585A"/>
    <w:rsid w:val="000E790A"/>
    <w:rsid w:val="000F4225"/>
    <w:rsid w:val="000F6856"/>
    <w:rsid w:val="001011C3"/>
    <w:rsid w:val="0010227D"/>
    <w:rsid w:val="00104902"/>
    <w:rsid w:val="00110C5D"/>
    <w:rsid w:val="00110D87"/>
    <w:rsid w:val="00111234"/>
    <w:rsid w:val="001119E5"/>
    <w:rsid w:val="00111B78"/>
    <w:rsid w:val="0011388B"/>
    <w:rsid w:val="00114B71"/>
    <w:rsid w:val="00114DB9"/>
    <w:rsid w:val="00116087"/>
    <w:rsid w:val="00117217"/>
    <w:rsid w:val="00122AFF"/>
    <w:rsid w:val="00122F87"/>
    <w:rsid w:val="001241DE"/>
    <w:rsid w:val="001267F4"/>
    <w:rsid w:val="00130296"/>
    <w:rsid w:val="0013265F"/>
    <w:rsid w:val="00135671"/>
    <w:rsid w:val="001374BF"/>
    <w:rsid w:val="00140047"/>
    <w:rsid w:val="001405BA"/>
    <w:rsid w:val="001423B6"/>
    <w:rsid w:val="00142877"/>
    <w:rsid w:val="001448A7"/>
    <w:rsid w:val="0014495B"/>
    <w:rsid w:val="001455EB"/>
    <w:rsid w:val="00145EA1"/>
    <w:rsid w:val="00146621"/>
    <w:rsid w:val="00152273"/>
    <w:rsid w:val="00155A6F"/>
    <w:rsid w:val="001566D7"/>
    <w:rsid w:val="00157714"/>
    <w:rsid w:val="00160BF8"/>
    <w:rsid w:val="00162325"/>
    <w:rsid w:val="0016252C"/>
    <w:rsid w:val="00162899"/>
    <w:rsid w:val="001628ED"/>
    <w:rsid w:val="00162EE7"/>
    <w:rsid w:val="00170C2A"/>
    <w:rsid w:val="00170EBA"/>
    <w:rsid w:val="00171C7E"/>
    <w:rsid w:val="00174D32"/>
    <w:rsid w:val="00176A3D"/>
    <w:rsid w:val="0017784B"/>
    <w:rsid w:val="00177A6E"/>
    <w:rsid w:val="001801F0"/>
    <w:rsid w:val="001815B0"/>
    <w:rsid w:val="00182766"/>
    <w:rsid w:val="00185DC0"/>
    <w:rsid w:val="00186C26"/>
    <w:rsid w:val="001900DA"/>
    <w:rsid w:val="00191512"/>
    <w:rsid w:val="00191E3E"/>
    <w:rsid w:val="001951DA"/>
    <w:rsid w:val="0019732B"/>
    <w:rsid w:val="001A0C1F"/>
    <w:rsid w:val="001A1F8A"/>
    <w:rsid w:val="001A2C3B"/>
    <w:rsid w:val="001A2C7F"/>
    <w:rsid w:val="001A480D"/>
    <w:rsid w:val="001A4D4B"/>
    <w:rsid w:val="001A7C31"/>
    <w:rsid w:val="001B0F74"/>
    <w:rsid w:val="001B19A2"/>
    <w:rsid w:val="001B4A82"/>
    <w:rsid w:val="001B4D4D"/>
    <w:rsid w:val="001B727B"/>
    <w:rsid w:val="001B7664"/>
    <w:rsid w:val="001C00D5"/>
    <w:rsid w:val="001C3269"/>
    <w:rsid w:val="001C40BE"/>
    <w:rsid w:val="001C49DB"/>
    <w:rsid w:val="001C5DE2"/>
    <w:rsid w:val="001C6976"/>
    <w:rsid w:val="001C7578"/>
    <w:rsid w:val="001C7EB9"/>
    <w:rsid w:val="001D1DB4"/>
    <w:rsid w:val="001D3981"/>
    <w:rsid w:val="001D3DD3"/>
    <w:rsid w:val="001D5F26"/>
    <w:rsid w:val="001D76C2"/>
    <w:rsid w:val="001D7E97"/>
    <w:rsid w:val="001E059C"/>
    <w:rsid w:val="001E0B7B"/>
    <w:rsid w:val="001E0F61"/>
    <w:rsid w:val="001E6704"/>
    <w:rsid w:val="001F0979"/>
    <w:rsid w:val="001F1346"/>
    <w:rsid w:val="001F1577"/>
    <w:rsid w:val="001F29DE"/>
    <w:rsid w:val="001F30FC"/>
    <w:rsid w:val="001F43F9"/>
    <w:rsid w:val="001F59B5"/>
    <w:rsid w:val="001F67FE"/>
    <w:rsid w:val="00200FD1"/>
    <w:rsid w:val="00205C7E"/>
    <w:rsid w:val="00205CC3"/>
    <w:rsid w:val="00214797"/>
    <w:rsid w:val="0021785F"/>
    <w:rsid w:val="0022081C"/>
    <w:rsid w:val="00221F3F"/>
    <w:rsid w:val="00222286"/>
    <w:rsid w:val="00223703"/>
    <w:rsid w:val="0022580C"/>
    <w:rsid w:val="002308E2"/>
    <w:rsid w:val="00236700"/>
    <w:rsid w:val="002409A5"/>
    <w:rsid w:val="00241994"/>
    <w:rsid w:val="00241D16"/>
    <w:rsid w:val="00242157"/>
    <w:rsid w:val="00243CD3"/>
    <w:rsid w:val="00246371"/>
    <w:rsid w:val="00247BF8"/>
    <w:rsid w:val="00247E0C"/>
    <w:rsid w:val="0025043C"/>
    <w:rsid w:val="00251AE8"/>
    <w:rsid w:val="002535A7"/>
    <w:rsid w:val="00253E31"/>
    <w:rsid w:val="0025463B"/>
    <w:rsid w:val="00254D7B"/>
    <w:rsid w:val="0025547C"/>
    <w:rsid w:val="002574F9"/>
    <w:rsid w:val="00261B5D"/>
    <w:rsid w:val="00262D23"/>
    <w:rsid w:val="00263223"/>
    <w:rsid w:val="00264C51"/>
    <w:rsid w:val="00266550"/>
    <w:rsid w:val="00271C66"/>
    <w:rsid w:val="002753A9"/>
    <w:rsid w:val="0027555D"/>
    <w:rsid w:val="00275EF3"/>
    <w:rsid w:val="00276811"/>
    <w:rsid w:val="0027748E"/>
    <w:rsid w:val="002804A2"/>
    <w:rsid w:val="00282177"/>
    <w:rsid w:val="00282699"/>
    <w:rsid w:val="0028585A"/>
    <w:rsid w:val="002874F7"/>
    <w:rsid w:val="00287CE2"/>
    <w:rsid w:val="002910E3"/>
    <w:rsid w:val="002926DF"/>
    <w:rsid w:val="002947BF"/>
    <w:rsid w:val="00295B04"/>
    <w:rsid w:val="00296697"/>
    <w:rsid w:val="002A2FE2"/>
    <w:rsid w:val="002A3375"/>
    <w:rsid w:val="002A4C17"/>
    <w:rsid w:val="002A6115"/>
    <w:rsid w:val="002B0472"/>
    <w:rsid w:val="002B15FC"/>
    <w:rsid w:val="002B2088"/>
    <w:rsid w:val="002B47CF"/>
    <w:rsid w:val="002B5380"/>
    <w:rsid w:val="002B6B12"/>
    <w:rsid w:val="002B6BDF"/>
    <w:rsid w:val="002B731E"/>
    <w:rsid w:val="002B76BF"/>
    <w:rsid w:val="002C0E78"/>
    <w:rsid w:val="002C1CA4"/>
    <w:rsid w:val="002C2628"/>
    <w:rsid w:val="002C7074"/>
    <w:rsid w:val="002D00D6"/>
    <w:rsid w:val="002D0E04"/>
    <w:rsid w:val="002D0EFC"/>
    <w:rsid w:val="002D12AB"/>
    <w:rsid w:val="002D1DF0"/>
    <w:rsid w:val="002D2D15"/>
    <w:rsid w:val="002D6B36"/>
    <w:rsid w:val="002D7439"/>
    <w:rsid w:val="002E34A6"/>
    <w:rsid w:val="002E6140"/>
    <w:rsid w:val="002E6985"/>
    <w:rsid w:val="002E71B6"/>
    <w:rsid w:val="002F247B"/>
    <w:rsid w:val="002F77C8"/>
    <w:rsid w:val="002F77F4"/>
    <w:rsid w:val="002F7A86"/>
    <w:rsid w:val="00300030"/>
    <w:rsid w:val="00300439"/>
    <w:rsid w:val="00300D95"/>
    <w:rsid w:val="00303ABA"/>
    <w:rsid w:val="003045F1"/>
    <w:rsid w:val="00304994"/>
    <w:rsid w:val="00304D08"/>
    <w:rsid w:val="00304F22"/>
    <w:rsid w:val="00304F73"/>
    <w:rsid w:val="00306671"/>
    <w:rsid w:val="00306C7C"/>
    <w:rsid w:val="0030762F"/>
    <w:rsid w:val="0031243A"/>
    <w:rsid w:val="00312BC1"/>
    <w:rsid w:val="00313370"/>
    <w:rsid w:val="003140EB"/>
    <w:rsid w:val="003154FE"/>
    <w:rsid w:val="00320FEE"/>
    <w:rsid w:val="003221DD"/>
    <w:rsid w:val="00322EDD"/>
    <w:rsid w:val="00322F20"/>
    <w:rsid w:val="00323F78"/>
    <w:rsid w:val="00330A52"/>
    <w:rsid w:val="00332320"/>
    <w:rsid w:val="00336650"/>
    <w:rsid w:val="003416BB"/>
    <w:rsid w:val="00341A36"/>
    <w:rsid w:val="00342484"/>
    <w:rsid w:val="003434AE"/>
    <w:rsid w:val="0034354B"/>
    <w:rsid w:val="00345DF9"/>
    <w:rsid w:val="003461A3"/>
    <w:rsid w:val="00347D72"/>
    <w:rsid w:val="00352278"/>
    <w:rsid w:val="00352704"/>
    <w:rsid w:val="003557C4"/>
    <w:rsid w:val="0035675F"/>
    <w:rsid w:val="00357611"/>
    <w:rsid w:val="00360352"/>
    <w:rsid w:val="003610E5"/>
    <w:rsid w:val="0036221B"/>
    <w:rsid w:val="00362B58"/>
    <w:rsid w:val="003641B2"/>
    <w:rsid w:val="00367237"/>
    <w:rsid w:val="00370049"/>
    <w:rsid w:val="0037077F"/>
    <w:rsid w:val="003717FF"/>
    <w:rsid w:val="00373882"/>
    <w:rsid w:val="00374327"/>
    <w:rsid w:val="00375A5B"/>
    <w:rsid w:val="00375B9E"/>
    <w:rsid w:val="003779C4"/>
    <w:rsid w:val="00377D1C"/>
    <w:rsid w:val="00381472"/>
    <w:rsid w:val="0038221F"/>
    <w:rsid w:val="0038389B"/>
    <w:rsid w:val="003843DB"/>
    <w:rsid w:val="00384426"/>
    <w:rsid w:val="00387315"/>
    <w:rsid w:val="00390102"/>
    <w:rsid w:val="003908FE"/>
    <w:rsid w:val="00390E0A"/>
    <w:rsid w:val="003935DC"/>
    <w:rsid w:val="00393761"/>
    <w:rsid w:val="00395E0F"/>
    <w:rsid w:val="00397D18"/>
    <w:rsid w:val="00397EE4"/>
    <w:rsid w:val="003A010A"/>
    <w:rsid w:val="003A1B36"/>
    <w:rsid w:val="003A2333"/>
    <w:rsid w:val="003A3024"/>
    <w:rsid w:val="003A7C18"/>
    <w:rsid w:val="003B1454"/>
    <w:rsid w:val="003B2346"/>
    <w:rsid w:val="003B348B"/>
    <w:rsid w:val="003B44D8"/>
    <w:rsid w:val="003B4DDA"/>
    <w:rsid w:val="003C00EC"/>
    <w:rsid w:val="003C1FA5"/>
    <w:rsid w:val="003C2CAA"/>
    <w:rsid w:val="003C319C"/>
    <w:rsid w:val="003C32D6"/>
    <w:rsid w:val="003C3804"/>
    <w:rsid w:val="003C5768"/>
    <w:rsid w:val="003C59E0"/>
    <w:rsid w:val="003C5E6A"/>
    <w:rsid w:val="003C6C8D"/>
    <w:rsid w:val="003C7234"/>
    <w:rsid w:val="003D28F3"/>
    <w:rsid w:val="003D35A3"/>
    <w:rsid w:val="003D3C51"/>
    <w:rsid w:val="003D4F95"/>
    <w:rsid w:val="003D5287"/>
    <w:rsid w:val="003D56CE"/>
    <w:rsid w:val="003D5F42"/>
    <w:rsid w:val="003D60A9"/>
    <w:rsid w:val="003D695C"/>
    <w:rsid w:val="003D7F37"/>
    <w:rsid w:val="003E0762"/>
    <w:rsid w:val="003E1564"/>
    <w:rsid w:val="003E543E"/>
    <w:rsid w:val="003E6294"/>
    <w:rsid w:val="003F025A"/>
    <w:rsid w:val="003F0625"/>
    <w:rsid w:val="003F22D8"/>
    <w:rsid w:val="003F3433"/>
    <w:rsid w:val="003F3810"/>
    <w:rsid w:val="003F3D37"/>
    <w:rsid w:val="003F4C97"/>
    <w:rsid w:val="003F5093"/>
    <w:rsid w:val="003F7FE6"/>
    <w:rsid w:val="00400193"/>
    <w:rsid w:val="00400F77"/>
    <w:rsid w:val="0041049C"/>
    <w:rsid w:val="00415861"/>
    <w:rsid w:val="00416D57"/>
    <w:rsid w:val="0041734F"/>
    <w:rsid w:val="004212E7"/>
    <w:rsid w:val="0042446D"/>
    <w:rsid w:val="00425B97"/>
    <w:rsid w:val="00427910"/>
    <w:rsid w:val="00427BF8"/>
    <w:rsid w:val="00431C02"/>
    <w:rsid w:val="00431F5B"/>
    <w:rsid w:val="0043449C"/>
    <w:rsid w:val="00434ADD"/>
    <w:rsid w:val="004354A4"/>
    <w:rsid w:val="004358A9"/>
    <w:rsid w:val="00437395"/>
    <w:rsid w:val="0044325E"/>
    <w:rsid w:val="004438A8"/>
    <w:rsid w:val="00445047"/>
    <w:rsid w:val="004459A9"/>
    <w:rsid w:val="00445E2E"/>
    <w:rsid w:val="00446BED"/>
    <w:rsid w:val="004478A5"/>
    <w:rsid w:val="004571AA"/>
    <w:rsid w:val="004612F3"/>
    <w:rsid w:val="00463E39"/>
    <w:rsid w:val="00464756"/>
    <w:rsid w:val="004657FC"/>
    <w:rsid w:val="00467E72"/>
    <w:rsid w:val="004733F6"/>
    <w:rsid w:val="004746B6"/>
    <w:rsid w:val="00474E69"/>
    <w:rsid w:val="00475C07"/>
    <w:rsid w:val="00477D26"/>
    <w:rsid w:val="0048343A"/>
    <w:rsid w:val="00486C45"/>
    <w:rsid w:val="00487D64"/>
    <w:rsid w:val="00490249"/>
    <w:rsid w:val="004905EC"/>
    <w:rsid w:val="00490822"/>
    <w:rsid w:val="0049146C"/>
    <w:rsid w:val="004916D3"/>
    <w:rsid w:val="00494051"/>
    <w:rsid w:val="0049621B"/>
    <w:rsid w:val="00496B7D"/>
    <w:rsid w:val="004A0FCB"/>
    <w:rsid w:val="004A12CA"/>
    <w:rsid w:val="004A579E"/>
    <w:rsid w:val="004A59D6"/>
    <w:rsid w:val="004B06B1"/>
    <w:rsid w:val="004B2970"/>
    <w:rsid w:val="004B3E2B"/>
    <w:rsid w:val="004B55C7"/>
    <w:rsid w:val="004B6C26"/>
    <w:rsid w:val="004B7712"/>
    <w:rsid w:val="004C1895"/>
    <w:rsid w:val="004C238F"/>
    <w:rsid w:val="004C57B1"/>
    <w:rsid w:val="004C6B68"/>
    <w:rsid w:val="004C6D40"/>
    <w:rsid w:val="004C751F"/>
    <w:rsid w:val="004C78B4"/>
    <w:rsid w:val="004D10CF"/>
    <w:rsid w:val="004D191A"/>
    <w:rsid w:val="004D3499"/>
    <w:rsid w:val="004D427A"/>
    <w:rsid w:val="004D4601"/>
    <w:rsid w:val="004D4898"/>
    <w:rsid w:val="004D653D"/>
    <w:rsid w:val="004D7111"/>
    <w:rsid w:val="004E0C12"/>
    <w:rsid w:val="004E2013"/>
    <w:rsid w:val="004E4B76"/>
    <w:rsid w:val="004E6D72"/>
    <w:rsid w:val="004F0C3C"/>
    <w:rsid w:val="004F2F68"/>
    <w:rsid w:val="004F3301"/>
    <w:rsid w:val="004F5EB5"/>
    <w:rsid w:val="004F63FC"/>
    <w:rsid w:val="004F6F5E"/>
    <w:rsid w:val="004F7082"/>
    <w:rsid w:val="004F760F"/>
    <w:rsid w:val="00501458"/>
    <w:rsid w:val="00505A92"/>
    <w:rsid w:val="00506D45"/>
    <w:rsid w:val="0051010A"/>
    <w:rsid w:val="00510BC5"/>
    <w:rsid w:val="00511294"/>
    <w:rsid w:val="00511F40"/>
    <w:rsid w:val="005151CB"/>
    <w:rsid w:val="00515DF5"/>
    <w:rsid w:val="005170C9"/>
    <w:rsid w:val="0052017D"/>
    <w:rsid w:val="005203F1"/>
    <w:rsid w:val="00521BC3"/>
    <w:rsid w:val="00523949"/>
    <w:rsid w:val="005270C7"/>
    <w:rsid w:val="005313FC"/>
    <w:rsid w:val="00531673"/>
    <w:rsid w:val="00533632"/>
    <w:rsid w:val="005367C9"/>
    <w:rsid w:val="0054251F"/>
    <w:rsid w:val="00542A49"/>
    <w:rsid w:val="00542D46"/>
    <w:rsid w:val="00550618"/>
    <w:rsid w:val="005520D8"/>
    <w:rsid w:val="005536FD"/>
    <w:rsid w:val="0055439E"/>
    <w:rsid w:val="00554B32"/>
    <w:rsid w:val="0055683B"/>
    <w:rsid w:val="00556CF1"/>
    <w:rsid w:val="005616AD"/>
    <w:rsid w:val="005654AB"/>
    <w:rsid w:val="0057042F"/>
    <w:rsid w:val="005708DB"/>
    <w:rsid w:val="00571878"/>
    <w:rsid w:val="005721D0"/>
    <w:rsid w:val="005737E1"/>
    <w:rsid w:val="00575B8B"/>
    <w:rsid w:val="005762A7"/>
    <w:rsid w:val="00576A61"/>
    <w:rsid w:val="00581005"/>
    <w:rsid w:val="0058303B"/>
    <w:rsid w:val="00584889"/>
    <w:rsid w:val="00587801"/>
    <w:rsid w:val="0059097C"/>
    <w:rsid w:val="005910D0"/>
    <w:rsid w:val="005916D7"/>
    <w:rsid w:val="00592561"/>
    <w:rsid w:val="00592B0A"/>
    <w:rsid w:val="00592B7E"/>
    <w:rsid w:val="0059505B"/>
    <w:rsid w:val="005952DD"/>
    <w:rsid w:val="00596627"/>
    <w:rsid w:val="005967F2"/>
    <w:rsid w:val="0059707F"/>
    <w:rsid w:val="005971EA"/>
    <w:rsid w:val="005A04D8"/>
    <w:rsid w:val="005A1135"/>
    <w:rsid w:val="005A2FA9"/>
    <w:rsid w:val="005A36CF"/>
    <w:rsid w:val="005A5491"/>
    <w:rsid w:val="005A698C"/>
    <w:rsid w:val="005B1905"/>
    <w:rsid w:val="005B23AA"/>
    <w:rsid w:val="005B390A"/>
    <w:rsid w:val="005B399D"/>
    <w:rsid w:val="005B6AAA"/>
    <w:rsid w:val="005C08E7"/>
    <w:rsid w:val="005C1BED"/>
    <w:rsid w:val="005C211C"/>
    <w:rsid w:val="005C3F44"/>
    <w:rsid w:val="005C453A"/>
    <w:rsid w:val="005C5F08"/>
    <w:rsid w:val="005C6163"/>
    <w:rsid w:val="005D54AB"/>
    <w:rsid w:val="005D5724"/>
    <w:rsid w:val="005D7F95"/>
    <w:rsid w:val="005E0113"/>
    <w:rsid w:val="005E0799"/>
    <w:rsid w:val="005E2157"/>
    <w:rsid w:val="005E2216"/>
    <w:rsid w:val="005E28BE"/>
    <w:rsid w:val="005E5B01"/>
    <w:rsid w:val="005E7DD2"/>
    <w:rsid w:val="005F11D1"/>
    <w:rsid w:val="005F271E"/>
    <w:rsid w:val="005F45A0"/>
    <w:rsid w:val="005F5A80"/>
    <w:rsid w:val="005F6346"/>
    <w:rsid w:val="005F6962"/>
    <w:rsid w:val="005F6E76"/>
    <w:rsid w:val="005F79D7"/>
    <w:rsid w:val="00601C27"/>
    <w:rsid w:val="006044FF"/>
    <w:rsid w:val="006049CE"/>
    <w:rsid w:val="00607CC5"/>
    <w:rsid w:val="00613E1A"/>
    <w:rsid w:val="00623E39"/>
    <w:rsid w:val="0062724C"/>
    <w:rsid w:val="00630E43"/>
    <w:rsid w:val="00633014"/>
    <w:rsid w:val="00634344"/>
    <w:rsid w:val="0063437B"/>
    <w:rsid w:val="00636F15"/>
    <w:rsid w:val="0063751F"/>
    <w:rsid w:val="00640E37"/>
    <w:rsid w:val="006414A2"/>
    <w:rsid w:val="0064250A"/>
    <w:rsid w:val="00645F68"/>
    <w:rsid w:val="006477C5"/>
    <w:rsid w:val="00652748"/>
    <w:rsid w:val="006534EB"/>
    <w:rsid w:val="006546EA"/>
    <w:rsid w:val="00655451"/>
    <w:rsid w:val="00656C94"/>
    <w:rsid w:val="0065725B"/>
    <w:rsid w:val="006626E4"/>
    <w:rsid w:val="00663684"/>
    <w:rsid w:val="006653DF"/>
    <w:rsid w:val="00666BAB"/>
    <w:rsid w:val="006673CA"/>
    <w:rsid w:val="0067353E"/>
    <w:rsid w:val="00673C26"/>
    <w:rsid w:val="00677D27"/>
    <w:rsid w:val="006807EC"/>
    <w:rsid w:val="00680E2A"/>
    <w:rsid w:val="00680FFF"/>
    <w:rsid w:val="006812AE"/>
    <w:rsid w:val="006812AF"/>
    <w:rsid w:val="0068327D"/>
    <w:rsid w:val="00683E97"/>
    <w:rsid w:val="00691E34"/>
    <w:rsid w:val="00694AF0"/>
    <w:rsid w:val="006970E3"/>
    <w:rsid w:val="006A1D48"/>
    <w:rsid w:val="006A2E6E"/>
    <w:rsid w:val="006A5E06"/>
    <w:rsid w:val="006A5E36"/>
    <w:rsid w:val="006B0E9E"/>
    <w:rsid w:val="006B0F17"/>
    <w:rsid w:val="006B134D"/>
    <w:rsid w:val="006B1C59"/>
    <w:rsid w:val="006B2185"/>
    <w:rsid w:val="006B4E41"/>
    <w:rsid w:val="006B5AE4"/>
    <w:rsid w:val="006B79F1"/>
    <w:rsid w:val="006B7D5F"/>
    <w:rsid w:val="006B7D8E"/>
    <w:rsid w:val="006C0B78"/>
    <w:rsid w:val="006C170D"/>
    <w:rsid w:val="006C3BBA"/>
    <w:rsid w:val="006C5460"/>
    <w:rsid w:val="006C623C"/>
    <w:rsid w:val="006C6B63"/>
    <w:rsid w:val="006C7D16"/>
    <w:rsid w:val="006D4054"/>
    <w:rsid w:val="006D7CD8"/>
    <w:rsid w:val="006E01A8"/>
    <w:rsid w:val="006E02EC"/>
    <w:rsid w:val="006E1574"/>
    <w:rsid w:val="006E1F20"/>
    <w:rsid w:val="006E29A1"/>
    <w:rsid w:val="006E375C"/>
    <w:rsid w:val="006E58D4"/>
    <w:rsid w:val="006E6949"/>
    <w:rsid w:val="006E6FBC"/>
    <w:rsid w:val="006E760C"/>
    <w:rsid w:val="006F0A13"/>
    <w:rsid w:val="006F27A0"/>
    <w:rsid w:val="006F2ACE"/>
    <w:rsid w:val="006F5912"/>
    <w:rsid w:val="0070043C"/>
    <w:rsid w:val="007008C0"/>
    <w:rsid w:val="00701780"/>
    <w:rsid w:val="00705240"/>
    <w:rsid w:val="007052CB"/>
    <w:rsid w:val="00705C08"/>
    <w:rsid w:val="00710EF8"/>
    <w:rsid w:val="007131CD"/>
    <w:rsid w:val="007145A9"/>
    <w:rsid w:val="00714FE8"/>
    <w:rsid w:val="00717684"/>
    <w:rsid w:val="007211B1"/>
    <w:rsid w:val="00721B78"/>
    <w:rsid w:val="007222EA"/>
    <w:rsid w:val="007231F7"/>
    <w:rsid w:val="007258B2"/>
    <w:rsid w:val="00725B6D"/>
    <w:rsid w:val="007275AD"/>
    <w:rsid w:val="007276BA"/>
    <w:rsid w:val="00727B0A"/>
    <w:rsid w:val="007309FA"/>
    <w:rsid w:val="007315C1"/>
    <w:rsid w:val="007315D4"/>
    <w:rsid w:val="00732328"/>
    <w:rsid w:val="0073444B"/>
    <w:rsid w:val="00736BF5"/>
    <w:rsid w:val="00737243"/>
    <w:rsid w:val="0073736E"/>
    <w:rsid w:val="0073742D"/>
    <w:rsid w:val="00742952"/>
    <w:rsid w:val="00743AE9"/>
    <w:rsid w:val="00744BD4"/>
    <w:rsid w:val="00746187"/>
    <w:rsid w:val="0075382D"/>
    <w:rsid w:val="0075448D"/>
    <w:rsid w:val="0076254F"/>
    <w:rsid w:val="007654BB"/>
    <w:rsid w:val="00765FD3"/>
    <w:rsid w:val="007675AC"/>
    <w:rsid w:val="00767905"/>
    <w:rsid w:val="00767D0E"/>
    <w:rsid w:val="007744FB"/>
    <w:rsid w:val="00776B8E"/>
    <w:rsid w:val="00777720"/>
    <w:rsid w:val="007801F5"/>
    <w:rsid w:val="00783CA4"/>
    <w:rsid w:val="007842FB"/>
    <w:rsid w:val="00784F38"/>
    <w:rsid w:val="00786124"/>
    <w:rsid w:val="00786E1D"/>
    <w:rsid w:val="0079514B"/>
    <w:rsid w:val="00795E0F"/>
    <w:rsid w:val="00796B74"/>
    <w:rsid w:val="007973AF"/>
    <w:rsid w:val="007A0007"/>
    <w:rsid w:val="007A2DC1"/>
    <w:rsid w:val="007A5D44"/>
    <w:rsid w:val="007A7CE5"/>
    <w:rsid w:val="007B4C5A"/>
    <w:rsid w:val="007B4F5A"/>
    <w:rsid w:val="007B66B0"/>
    <w:rsid w:val="007B66DE"/>
    <w:rsid w:val="007B6930"/>
    <w:rsid w:val="007C0ED6"/>
    <w:rsid w:val="007C3DDF"/>
    <w:rsid w:val="007C59C8"/>
    <w:rsid w:val="007C5F7B"/>
    <w:rsid w:val="007C61E6"/>
    <w:rsid w:val="007C6606"/>
    <w:rsid w:val="007C70C7"/>
    <w:rsid w:val="007C7266"/>
    <w:rsid w:val="007C7794"/>
    <w:rsid w:val="007D0724"/>
    <w:rsid w:val="007D0C5D"/>
    <w:rsid w:val="007D3319"/>
    <w:rsid w:val="007D335D"/>
    <w:rsid w:val="007D41DE"/>
    <w:rsid w:val="007D5126"/>
    <w:rsid w:val="007D5CED"/>
    <w:rsid w:val="007D6054"/>
    <w:rsid w:val="007E3314"/>
    <w:rsid w:val="007E4B03"/>
    <w:rsid w:val="007E58CE"/>
    <w:rsid w:val="007F324B"/>
    <w:rsid w:val="007F3AFA"/>
    <w:rsid w:val="007F6DE4"/>
    <w:rsid w:val="007F76CD"/>
    <w:rsid w:val="00803CA5"/>
    <w:rsid w:val="008046D8"/>
    <w:rsid w:val="0080553C"/>
    <w:rsid w:val="0080593C"/>
    <w:rsid w:val="00805B46"/>
    <w:rsid w:val="00806C5A"/>
    <w:rsid w:val="0081139F"/>
    <w:rsid w:val="008115C6"/>
    <w:rsid w:val="00813A58"/>
    <w:rsid w:val="00813C08"/>
    <w:rsid w:val="0082299D"/>
    <w:rsid w:val="00823473"/>
    <w:rsid w:val="0082529A"/>
    <w:rsid w:val="00825389"/>
    <w:rsid w:val="00825DC2"/>
    <w:rsid w:val="00826454"/>
    <w:rsid w:val="00827172"/>
    <w:rsid w:val="008271F3"/>
    <w:rsid w:val="00831736"/>
    <w:rsid w:val="00832CB6"/>
    <w:rsid w:val="00834AD3"/>
    <w:rsid w:val="00834D3A"/>
    <w:rsid w:val="00837579"/>
    <w:rsid w:val="00837C48"/>
    <w:rsid w:val="00841284"/>
    <w:rsid w:val="008418EB"/>
    <w:rsid w:val="00843795"/>
    <w:rsid w:val="00845B99"/>
    <w:rsid w:val="00846013"/>
    <w:rsid w:val="00847589"/>
    <w:rsid w:val="00847F0F"/>
    <w:rsid w:val="00852448"/>
    <w:rsid w:val="0085259A"/>
    <w:rsid w:val="008564CD"/>
    <w:rsid w:val="008578C9"/>
    <w:rsid w:val="00861A40"/>
    <w:rsid w:val="00861EDF"/>
    <w:rsid w:val="00864639"/>
    <w:rsid w:val="008648F4"/>
    <w:rsid w:val="00864A6F"/>
    <w:rsid w:val="00874CED"/>
    <w:rsid w:val="0087571D"/>
    <w:rsid w:val="0088258A"/>
    <w:rsid w:val="0088323B"/>
    <w:rsid w:val="00884D6E"/>
    <w:rsid w:val="0088559B"/>
    <w:rsid w:val="00886332"/>
    <w:rsid w:val="008872DA"/>
    <w:rsid w:val="00887B83"/>
    <w:rsid w:val="00890781"/>
    <w:rsid w:val="00891E03"/>
    <w:rsid w:val="00897315"/>
    <w:rsid w:val="008A0888"/>
    <w:rsid w:val="008A1029"/>
    <w:rsid w:val="008A26D9"/>
    <w:rsid w:val="008A2849"/>
    <w:rsid w:val="008A37FA"/>
    <w:rsid w:val="008A3CF7"/>
    <w:rsid w:val="008A5802"/>
    <w:rsid w:val="008A7E9F"/>
    <w:rsid w:val="008B4E1D"/>
    <w:rsid w:val="008B644D"/>
    <w:rsid w:val="008B79E9"/>
    <w:rsid w:val="008B7D74"/>
    <w:rsid w:val="008C0C29"/>
    <w:rsid w:val="008C2AD1"/>
    <w:rsid w:val="008C5482"/>
    <w:rsid w:val="008C5B37"/>
    <w:rsid w:val="008C79FC"/>
    <w:rsid w:val="008D219B"/>
    <w:rsid w:val="008D4BB8"/>
    <w:rsid w:val="008D503E"/>
    <w:rsid w:val="008D766F"/>
    <w:rsid w:val="008E2346"/>
    <w:rsid w:val="008E26E5"/>
    <w:rsid w:val="008E5611"/>
    <w:rsid w:val="008E61BF"/>
    <w:rsid w:val="008E6572"/>
    <w:rsid w:val="008F3638"/>
    <w:rsid w:val="008F615E"/>
    <w:rsid w:val="008F6F31"/>
    <w:rsid w:val="008F74DF"/>
    <w:rsid w:val="008F7AC1"/>
    <w:rsid w:val="008F7AED"/>
    <w:rsid w:val="00901860"/>
    <w:rsid w:val="00901D58"/>
    <w:rsid w:val="00902E2A"/>
    <w:rsid w:val="009071D9"/>
    <w:rsid w:val="009127BA"/>
    <w:rsid w:val="00913B37"/>
    <w:rsid w:val="00914B36"/>
    <w:rsid w:val="0091606D"/>
    <w:rsid w:val="00921356"/>
    <w:rsid w:val="009227A6"/>
    <w:rsid w:val="009264D0"/>
    <w:rsid w:val="009265FA"/>
    <w:rsid w:val="0092681A"/>
    <w:rsid w:val="00930D6B"/>
    <w:rsid w:val="00932EC2"/>
    <w:rsid w:val="00933EC1"/>
    <w:rsid w:val="00942C04"/>
    <w:rsid w:val="00950B93"/>
    <w:rsid w:val="00951BF9"/>
    <w:rsid w:val="009530DB"/>
    <w:rsid w:val="00953676"/>
    <w:rsid w:val="0095396F"/>
    <w:rsid w:val="00954E87"/>
    <w:rsid w:val="00957ADF"/>
    <w:rsid w:val="0096048C"/>
    <w:rsid w:val="00961A2C"/>
    <w:rsid w:val="0096306A"/>
    <w:rsid w:val="00965F13"/>
    <w:rsid w:val="00965F65"/>
    <w:rsid w:val="00967A2D"/>
    <w:rsid w:val="009705EE"/>
    <w:rsid w:val="00970E30"/>
    <w:rsid w:val="00972D1B"/>
    <w:rsid w:val="0097324C"/>
    <w:rsid w:val="00974C4B"/>
    <w:rsid w:val="00976445"/>
    <w:rsid w:val="00977927"/>
    <w:rsid w:val="0098135C"/>
    <w:rsid w:val="0098156A"/>
    <w:rsid w:val="009815A2"/>
    <w:rsid w:val="009832D2"/>
    <w:rsid w:val="00984123"/>
    <w:rsid w:val="00986283"/>
    <w:rsid w:val="00991860"/>
    <w:rsid w:val="00991BAC"/>
    <w:rsid w:val="009925E1"/>
    <w:rsid w:val="009935F8"/>
    <w:rsid w:val="0099491E"/>
    <w:rsid w:val="009968CD"/>
    <w:rsid w:val="009979A1"/>
    <w:rsid w:val="009A195F"/>
    <w:rsid w:val="009A6EA0"/>
    <w:rsid w:val="009B18E4"/>
    <w:rsid w:val="009B247E"/>
    <w:rsid w:val="009B7550"/>
    <w:rsid w:val="009B7B99"/>
    <w:rsid w:val="009C0F29"/>
    <w:rsid w:val="009C1335"/>
    <w:rsid w:val="009C1AB2"/>
    <w:rsid w:val="009C25B6"/>
    <w:rsid w:val="009C5159"/>
    <w:rsid w:val="009C60F7"/>
    <w:rsid w:val="009C6ACB"/>
    <w:rsid w:val="009C7251"/>
    <w:rsid w:val="009D0375"/>
    <w:rsid w:val="009D5D6A"/>
    <w:rsid w:val="009E0996"/>
    <w:rsid w:val="009E10BE"/>
    <w:rsid w:val="009E2E91"/>
    <w:rsid w:val="009E3DEE"/>
    <w:rsid w:val="009E6EE1"/>
    <w:rsid w:val="009E7FCB"/>
    <w:rsid w:val="009F0298"/>
    <w:rsid w:val="009F1C2F"/>
    <w:rsid w:val="009F2163"/>
    <w:rsid w:val="009F634C"/>
    <w:rsid w:val="009F785D"/>
    <w:rsid w:val="00A016A3"/>
    <w:rsid w:val="00A01BD2"/>
    <w:rsid w:val="00A026C5"/>
    <w:rsid w:val="00A0296D"/>
    <w:rsid w:val="00A036C0"/>
    <w:rsid w:val="00A03FF5"/>
    <w:rsid w:val="00A07EBB"/>
    <w:rsid w:val="00A07FC9"/>
    <w:rsid w:val="00A11641"/>
    <w:rsid w:val="00A139F5"/>
    <w:rsid w:val="00A1582C"/>
    <w:rsid w:val="00A2083E"/>
    <w:rsid w:val="00A2085C"/>
    <w:rsid w:val="00A2119D"/>
    <w:rsid w:val="00A233D9"/>
    <w:rsid w:val="00A24F88"/>
    <w:rsid w:val="00A2520C"/>
    <w:rsid w:val="00A258DA"/>
    <w:rsid w:val="00A25DFB"/>
    <w:rsid w:val="00A30891"/>
    <w:rsid w:val="00A31665"/>
    <w:rsid w:val="00A3190C"/>
    <w:rsid w:val="00A3508A"/>
    <w:rsid w:val="00A35A1B"/>
    <w:rsid w:val="00A365F4"/>
    <w:rsid w:val="00A41D1B"/>
    <w:rsid w:val="00A43DCF"/>
    <w:rsid w:val="00A44540"/>
    <w:rsid w:val="00A463CC"/>
    <w:rsid w:val="00A47D80"/>
    <w:rsid w:val="00A51123"/>
    <w:rsid w:val="00A53132"/>
    <w:rsid w:val="00A563F2"/>
    <w:rsid w:val="00A566E8"/>
    <w:rsid w:val="00A622CB"/>
    <w:rsid w:val="00A6504B"/>
    <w:rsid w:val="00A665CE"/>
    <w:rsid w:val="00A71CC7"/>
    <w:rsid w:val="00A748BA"/>
    <w:rsid w:val="00A770D7"/>
    <w:rsid w:val="00A77308"/>
    <w:rsid w:val="00A80547"/>
    <w:rsid w:val="00A807A5"/>
    <w:rsid w:val="00A810F9"/>
    <w:rsid w:val="00A82183"/>
    <w:rsid w:val="00A84587"/>
    <w:rsid w:val="00A85900"/>
    <w:rsid w:val="00A8686A"/>
    <w:rsid w:val="00A8696A"/>
    <w:rsid w:val="00A86ECC"/>
    <w:rsid w:val="00A86FCC"/>
    <w:rsid w:val="00A91253"/>
    <w:rsid w:val="00A91B6D"/>
    <w:rsid w:val="00A92760"/>
    <w:rsid w:val="00A930B2"/>
    <w:rsid w:val="00A94119"/>
    <w:rsid w:val="00A94360"/>
    <w:rsid w:val="00A948AE"/>
    <w:rsid w:val="00A959CC"/>
    <w:rsid w:val="00A96186"/>
    <w:rsid w:val="00A97F4D"/>
    <w:rsid w:val="00AA4694"/>
    <w:rsid w:val="00AA5767"/>
    <w:rsid w:val="00AA6BF6"/>
    <w:rsid w:val="00AA6F55"/>
    <w:rsid w:val="00AA710D"/>
    <w:rsid w:val="00AB11B1"/>
    <w:rsid w:val="00AB1DC9"/>
    <w:rsid w:val="00AB1F07"/>
    <w:rsid w:val="00AB60D7"/>
    <w:rsid w:val="00AB6D25"/>
    <w:rsid w:val="00AC09F0"/>
    <w:rsid w:val="00AC1D06"/>
    <w:rsid w:val="00AC26E1"/>
    <w:rsid w:val="00AC5132"/>
    <w:rsid w:val="00AC5346"/>
    <w:rsid w:val="00AC64CB"/>
    <w:rsid w:val="00AC708D"/>
    <w:rsid w:val="00AC71D3"/>
    <w:rsid w:val="00AC750F"/>
    <w:rsid w:val="00AD3888"/>
    <w:rsid w:val="00AD38AD"/>
    <w:rsid w:val="00AD3946"/>
    <w:rsid w:val="00AE12A5"/>
    <w:rsid w:val="00AE239C"/>
    <w:rsid w:val="00AE2D4B"/>
    <w:rsid w:val="00AE3402"/>
    <w:rsid w:val="00AE4F99"/>
    <w:rsid w:val="00AF12BE"/>
    <w:rsid w:val="00AF3882"/>
    <w:rsid w:val="00AF6C9C"/>
    <w:rsid w:val="00AF7662"/>
    <w:rsid w:val="00B00908"/>
    <w:rsid w:val="00B03BD4"/>
    <w:rsid w:val="00B064BC"/>
    <w:rsid w:val="00B0794F"/>
    <w:rsid w:val="00B102BA"/>
    <w:rsid w:val="00B10737"/>
    <w:rsid w:val="00B10D8A"/>
    <w:rsid w:val="00B111FF"/>
    <w:rsid w:val="00B11C21"/>
    <w:rsid w:val="00B12909"/>
    <w:rsid w:val="00B14952"/>
    <w:rsid w:val="00B153F2"/>
    <w:rsid w:val="00B15824"/>
    <w:rsid w:val="00B21463"/>
    <w:rsid w:val="00B2180C"/>
    <w:rsid w:val="00B257CC"/>
    <w:rsid w:val="00B25EE8"/>
    <w:rsid w:val="00B2788D"/>
    <w:rsid w:val="00B27DA7"/>
    <w:rsid w:val="00B31984"/>
    <w:rsid w:val="00B31E5A"/>
    <w:rsid w:val="00B33803"/>
    <w:rsid w:val="00B33CF7"/>
    <w:rsid w:val="00B42281"/>
    <w:rsid w:val="00B42BD2"/>
    <w:rsid w:val="00B4636E"/>
    <w:rsid w:val="00B47574"/>
    <w:rsid w:val="00B51213"/>
    <w:rsid w:val="00B529B7"/>
    <w:rsid w:val="00B5309C"/>
    <w:rsid w:val="00B53859"/>
    <w:rsid w:val="00B653AB"/>
    <w:rsid w:val="00B65F9E"/>
    <w:rsid w:val="00B66B19"/>
    <w:rsid w:val="00B67E49"/>
    <w:rsid w:val="00B701E8"/>
    <w:rsid w:val="00B706D0"/>
    <w:rsid w:val="00B72403"/>
    <w:rsid w:val="00B74194"/>
    <w:rsid w:val="00B76271"/>
    <w:rsid w:val="00B773CF"/>
    <w:rsid w:val="00B818D9"/>
    <w:rsid w:val="00B82E83"/>
    <w:rsid w:val="00B846F9"/>
    <w:rsid w:val="00B847D7"/>
    <w:rsid w:val="00B85CF4"/>
    <w:rsid w:val="00B863F3"/>
    <w:rsid w:val="00B90346"/>
    <w:rsid w:val="00B9064B"/>
    <w:rsid w:val="00B914E9"/>
    <w:rsid w:val="00B956EE"/>
    <w:rsid w:val="00B97152"/>
    <w:rsid w:val="00BA0BBE"/>
    <w:rsid w:val="00BA2BA1"/>
    <w:rsid w:val="00BA3166"/>
    <w:rsid w:val="00BA38B6"/>
    <w:rsid w:val="00BA4B03"/>
    <w:rsid w:val="00BA4DDF"/>
    <w:rsid w:val="00BA55F1"/>
    <w:rsid w:val="00BA61CA"/>
    <w:rsid w:val="00BA655F"/>
    <w:rsid w:val="00BA6F2C"/>
    <w:rsid w:val="00BA7650"/>
    <w:rsid w:val="00BB0DFC"/>
    <w:rsid w:val="00BB4C69"/>
    <w:rsid w:val="00BB4F09"/>
    <w:rsid w:val="00BB5F0E"/>
    <w:rsid w:val="00BC1CE4"/>
    <w:rsid w:val="00BC23B7"/>
    <w:rsid w:val="00BC2E25"/>
    <w:rsid w:val="00BC30BC"/>
    <w:rsid w:val="00BC3764"/>
    <w:rsid w:val="00BC480F"/>
    <w:rsid w:val="00BC4C11"/>
    <w:rsid w:val="00BC4DBC"/>
    <w:rsid w:val="00BD39A4"/>
    <w:rsid w:val="00BD4E33"/>
    <w:rsid w:val="00BD5112"/>
    <w:rsid w:val="00BD6F8D"/>
    <w:rsid w:val="00BD701E"/>
    <w:rsid w:val="00BD7EC7"/>
    <w:rsid w:val="00BE1D4B"/>
    <w:rsid w:val="00BE44A4"/>
    <w:rsid w:val="00BE6322"/>
    <w:rsid w:val="00BE698D"/>
    <w:rsid w:val="00BF0126"/>
    <w:rsid w:val="00BF2284"/>
    <w:rsid w:val="00BF3283"/>
    <w:rsid w:val="00C030DE"/>
    <w:rsid w:val="00C05E71"/>
    <w:rsid w:val="00C07C9E"/>
    <w:rsid w:val="00C10171"/>
    <w:rsid w:val="00C12173"/>
    <w:rsid w:val="00C15259"/>
    <w:rsid w:val="00C1726C"/>
    <w:rsid w:val="00C20E37"/>
    <w:rsid w:val="00C2124E"/>
    <w:rsid w:val="00C22105"/>
    <w:rsid w:val="00C23354"/>
    <w:rsid w:val="00C244B6"/>
    <w:rsid w:val="00C27062"/>
    <w:rsid w:val="00C30704"/>
    <w:rsid w:val="00C3659E"/>
    <w:rsid w:val="00C3702F"/>
    <w:rsid w:val="00C406BC"/>
    <w:rsid w:val="00C41757"/>
    <w:rsid w:val="00C41B67"/>
    <w:rsid w:val="00C41B7A"/>
    <w:rsid w:val="00C41F86"/>
    <w:rsid w:val="00C425AA"/>
    <w:rsid w:val="00C42B1F"/>
    <w:rsid w:val="00C454F9"/>
    <w:rsid w:val="00C4563B"/>
    <w:rsid w:val="00C45C70"/>
    <w:rsid w:val="00C4683A"/>
    <w:rsid w:val="00C514FC"/>
    <w:rsid w:val="00C52092"/>
    <w:rsid w:val="00C56088"/>
    <w:rsid w:val="00C5797B"/>
    <w:rsid w:val="00C57B89"/>
    <w:rsid w:val="00C60D2A"/>
    <w:rsid w:val="00C613BD"/>
    <w:rsid w:val="00C62998"/>
    <w:rsid w:val="00C63ADB"/>
    <w:rsid w:val="00C63D87"/>
    <w:rsid w:val="00C64A37"/>
    <w:rsid w:val="00C7158E"/>
    <w:rsid w:val="00C720E5"/>
    <w:rsid w:val="00C7250B"/>
    <w:rsid w:val="00C7342B"/>
    <w:rsid w:val="00C7346B"/>
    <w:rsid w:val="00C741B1"/>
    <w:rsid w:val="00C742AC"/>
    <w:rsid w:val="00C76AC7"/>
    <w:rsid w:val="00C77C0E"/>
    <w:rsid w:val="00C8142C"/>
    <w:rsid w:val="00C81FC1"/>
    <w:rsid w:val="00C821CF"/>
    <w:rsid w:val="00C90628"/>
    <w:rsid w:val="00C91687"/>
    <w:rsid w:val="00C9245F"/>
    <w:rsid w:val="00C924A8"/>
    <w:rsid w:val="00C93AF0"/>
    <w:rsid w:val="00C943D6"/>
    <w:rsid w:val="00C945FE"/>
    <w:rsid w:val="00C96FAA"/>
    <w:rsid w:val="00C97A04"/>
    <w:rsid w:val="00CA0156"/>
    <w:rsid w:val="00CA091B"/>
    <w:rsid w:val="00CA107B"/>
    <w:rsid w:val="00CA2B43"/>
    <w:rsid w:val="00CA484D"/>
    <w:rsid w:val="00CB1FA3"/>
    <w:rsid w:val="00CB397A"/>
    <w:rsid w:val="00CB4974"/>
    <w:rsid w:val="00CB568E"/>
    <w:rsid w:val="00CB67F3"/>
    <w:rsid w:val="00CB694F"/>
    <w:rsid w:val="00CB72D2"/>
    <w:rsid w:val="00CC23F0"/>
    <w:rsid w:val="00CC55EA"/>
    <w:rsid w:val="00CC5ADE"/>
    <w:rsid w:val="00CC739E"/>
    <w:rsid w:val="00CD0521"/>
    <w:rsid w:val="00CD1B02"/>
    <w:rsid w:val="00CD58B7"/>
    <w:rsid w:val="00CE0430"/>
    <w:rsid w:val="00CE40E1"/>
    <w:rsid w:val="00CE4FF0"/>
    <w:rsid w:val="00CE6F1C"/>
    <w:rsid w:val="00CE7EC9"/>
    <w:rsid w:val="00CF14ED"/>
    <w:rsid w:val="00CF3814"/>
    <w:rsid w:val="00CF4099"/>
    <w:rsid w:val="00CF546A"/>
    <w:rsid w:val="00CF643F"/>
    <w:rsid w:val="00CF6FFE"/>
    <w:rsid w:val="00D00796"/>
    <w:rsid w:val="00D007C6"/>
    <w:rsid w:val="00D04158"/>
    <w:rsid w:val="00D04222"/>
    <w:rsid w:val="00D06F44"/>
    <w:rsid w:val="00D07ED8"/>
    <w:rsid w:val="00D1187B"/>
    <w:rsid w:val="00D13520"/>
    <w:rsid w:val="00D17474"/>
    <w:rsid w:val="00D20542"/>
    <w:rsid w:val="00D22071"/>
    <w:rsid w:val="00D22F18"/>
    <w:rsid w:val="00D23278"/>
    <w:rsid w:val="00D2383E"/>
    <w:rsid w:val="00D24879"/>
    <w:rsid w:val="00D249F5"/>
    <w:rsid w:val="00D261A2"/>
    <w:rsid w:val="00D30942"/>
    <w:rsid w:val="00D325F5"/>
    <w:rsid w:val="00D3526E"/>
    <w:rsid w:val="00D359C0"/>
    <w:rsid w:val="00D36BDE"/>
    <w:rsid w:val="00D37235"/>
    <w:rsid w:val="00D41A47"/>
    <w:rsid w:val="00D42516"/>
    <w:rsid w:val="00D442A7"/>
    <w:rsid w:val="00D44A20"/>
    <w:rsid w:val="00D44E15"/>
    <w:rsid w:val="00D4545B"/>
    <w:rsid w:val="00D45F7B"/>
    <w:rsid w:val="00D46791"/>
    <w:rsid w:val="00D517E0"/>
    <w:rsid w:val="00D51FD7"/>
    <w:rsid w:val="00D52F7F"/>
    <w:rsid w:val="00D53C95"/>
    <w:rsid w:val="00D616D2"/>
    <w:rsid w:val="00D61A1B"/>
    <w:rsid w:val="00D61F66"/>
    <w:rsid w:val="00D63B4A"/>
    <w:rsid w:val="00D63B5F"/>
    <w:rsid w:val="00D641C9"/>
    <w:rsid w:val="00D64546"/>
    <w:rsid w:val="00D6784A"/>
    <w:rsid w:val="00D67CD7"/>
    <w:rsid w:val="00D67E8A"/>
    <w:rsid w:val="00D70EF7"/>
    <w:rsid w:val="00D7209D"/>
    <w:rsid w:val="00D72A78"/>
    <w:rsid w:val="00D76C23"/>
    <w:rsid w:val="00D77B49"/>
    <w:rsid w:val="00D77D45"/>
    <w:rsid w:val="00D81659"/>
    <w:rsid w:val="00D8397C"/>
    <w:rsid w:val="00D85F66"/>
    <w:rsid w:val="00D861C5"/>
    <w:rsid w:val="00D9024A"/>
    <w:rsid w:val="00D90791"/>
    <w:rsid w:val="00D90D7A"/>
    <w:rsid w:val="00D90E9F"/>
    <w:rsid w:val="00D916CA"/>
    <w:rsid w:val="00D91A52"/>
    <w:rsid w:val="00D91C65"/>
    <w:rsid w:val="00D94201"/>
    <w:rsid w:val="00D94EED"/>
    <w:rsid w:val="00D96026"/>
    <w:rsid w:val="00D96F41"/>
    <w:rsid w:val="00DA3437"/>
    <w:rsid w:val="00DA55C5"/>
    <w:rsid w:val="00DA5677"/>
    <w:rsid w:val="00DA5F72"/>
    <w:rsid w:val="00DA69A2"/>
    <w:rsid w:val="00DA6AE4"/>
    <w:rsid w:val="00DA7C1C"/>
    <w:rsid w:val="00DB147A"/>
    <w:rsid w:val="00DB1B7A"/>
    <w:rsid w:val="00DB253A"/>
    <w:rsid w:val="00DB4456"/>
    <w:rsid w:val="00DB562E"/>
    <w:rsid w:val="00DB6444"/>
    <w:rsid w:val="00DC0650"/>
    <w:rsid w:val="00DC15F9"/>
    <w:rsid w:val="00DC2B9B"/>
    <w:rsid w:val="00DC5C14"/>
    <w:rsid w:val="00DC6708"/>
    <w:rsid w:val="00DC6B00"/>
    <w:rsid w:val="00DC7C61"/>
    <w:rsid w:val="00DD014F"/>
    <w:rsid w:val="00DD075D"/>
    <w:rsid w:val="00DD14E0"/>
    <w:rsid w:val="00DD3F6B"/>
    <w:rsid w:val="00DD5E07"/>
    <w:rsid w:val="00DD6309"/>
    <w:rsid w:val="00DD6C6D"/>
    <w:rsid w:val="00DD77A5"/>
    <w:rsid w:val="00DE0069"/>
    <w:rsid w:val="00DE07B8"/>
    <w:rsid w:val="00DE28B3"/>
    <w:rsid w:val="00DE7E1C"/>
    <w:rsid w:val="00DF0FFE"/>
    <w:rsid w:val="00DF261A"/>
    <w:rsid w:val="00DF5904"/>
    <w:rsid w:val="00DF724A"/>
    <w:rsid w:val="00DF75E6"/>
    <w:rsid w:val="00E00E46"/>
    <w:rsid w:val="00E01155"/>
    <w:rsid w:val="00E0115C"/>
    <w:rsid w:val="00E01436"/>
    <w:rsid w:val="00E02B9D"/>
    <w:rsid w:val="00E03481"/>
    <w:rsid w:val="00E045BD"/>
    <w:rsid w:val="00E04B9B"/>
    <w:rsid w:val="00E0551A"/>
    <w:rsid w:val="00E07365"/>
    <w:rsid w:val="00E11119"/>
    <w:rsid w:val="00E12E48"/>
    <w:rsid w:val="00E12F35"/>
    <w:rsid w:val="00E1543B"/>
    <w:rsid w:val="00E15AE8"/>
    <w:rsid w:val="00E17B77"/>
    <w:rsid w:val="00E202F8"/>
    <w:rsid w:val="00E213F8"/>
    <w:rsid w:val="00E23337"/>
    <w:rsid w:val="00E24BC3"/>
    <w:rsid w:val="00E25073"/>
    <w:rsid w:val="00E25572"/>
    <w:rsid w:val="00E259EA"/>
    <w:rsid w:val="00E27406"/>
    <w:rsid w:val="00E31293"/>
    <w:rsid w:val="00E31581"/>
    <w:rsid w:val="00E32061"/>
    <w:rsid w:val="00E343DD"/>
    <w:rsid w:val="00E36CE9"/>
    <w:rsid w:val="00E37F0E"/>
    <w:rsid w:val="00E401D2"/>
    <w:rsid w:val="00E42091"/>
    <w:rsid w:val="00E42FF9"/>
    <w:rsid w:val="00E46ABD"/>
    <w:rsid w:val="00E4714C"/>
    <w:rsid w:val="00E51AEB"/>
    <w:rsid w:val="00E522A7"/>
    <w:rsid w:val="00E54452"/>
    <w:rsid w:val="00E55177"/>
    <w:rsid w:val="00E56CD7"/>
    <w:rsid w:val="00E577D3"/>
    <w:rsid w:val="00E664C5"/>
    <w:rsid w:val="00E664D8"/>
    <w:rsid w:val="00E671A2"/>
    <w:rsid w:val="00E74A51"/>
    <w:rsid w:val="00E75547"/>
    <w:rsid w:val="00E76D26"/>
    <w:rsid w:val="00E80C30"/>
    <w:rsid w:val="00E8395B"/>
    <w:rsid w:val="00E844A5"/>
    <w:rsid w:val="00E85A7A"/>
    <w:rsid w:val="00E90242"/>
    <w:rsid w:val="00E9065F"/>
    <w:rsid w:val="00E9408D"/>
    <w:rsid w:val="00EA0223"/>
    <w:rsid w:val="00EA162F"/>
    <w:rsid w:val="00EA2429"/>
    <w:rsid w:val="00EA2B44"/>
    <w:rsid w:val="00EA3A91"/>
    <w:rsid w:val="00EA7A83"/>
    <w:rsid w:val="00EA7DFB"/>
    <w:rsid w:val="00EB0A84"/>
    <w:rsid w:val="00EB1390"/>
    <w:rsid w:val="00EB2C71"/>
    <w:rsid w:val="00EB34FA"/>
    <w:rsid w:val="00EB4340"/>
    <w:rsid w:val="00EB53DB"/>
    <w:rsid w:val="00EB556D"/>
    <w:rsid w:val="00EB5A7D"/>
    <w:rsid w:val="00EB5B85"/>
    <w:rsid w:val="00EB77B3"/>
    <w:rsid w:val="00EC0B66"/>
    <w:rsid w:val="00EC0E14"/>
    <w:rsid w:val="00EC1783"/>
    <w:rsid w:val="00EC1B6F"/>
    <w:rsid w:val="00EC2683"/>
    <w:rsid w:val="00EC3EA3"/>
    <w:rsid w:val="00ED25A6"/>
    <w:rsid w:val="00ED36CA"/>
    <w:rsid w:val="00ED4ED9"/>
    <w:rsid w:val="00ED51D1"/>
    <w:rsid w:val="00ED55C0"/>
    <w:rsid w:val="00ED682B"/>
    <w:rsid w:val="00EE1B8B"/>
    <w:rsid w:val="00EE1FAF"/>
    <w:rsid w:val="00EE3579"/>
    <w:rsid w:val="00EE3761"/>
    <w:rsid w:val="00EE41D5"/>
    <w:rsid w:val="00EE4950"/>
    <w:rsid w:val="00EE4BFD"/>
    <w:rsid w:val="00EE5667"/>
    <w:rsid w:val="00EE795A"/>
    <w:rsid w:val="00EF53D9"/>
    <w:rsid w:val="00F019E8"/>
    <w:rsid w:val="00F037A4"/>
    <w:rsid w:val="00F0447E"/>
    <w:rsid w:val="00F05462"/>
    <w:rsid w:val="00F11217"/>
    <w:rsid w:val="00F1409C"/>
    <w:rsid w:val="00F14294"/>
    <w:rsid w:val="00F14B02"/>
    <w:rsid w:val="00F156AE"/>
    <w:rsid w:val="00F15E53"/>
    <w:rsid w:val="00F15EA9"/>
    <w:rsid w:val="00F16D6C"/>
    <w:rsid w:val="00F219A4"/>
    <w:rsid w:val="00F23CE5"/>
    <w:rsid w:val="00F24B68"/>
    <w:rsid w:val="00F27C8F"/>
    <w:rsid w:val="00F315CE"/>
    <w:rsid w:val="00F32749"/>
    <w:rsid w:val="00F33A86"/>
    <w:rsid w:val="00F3642E"/>
    <w:rsid w:val="00F37172"/>
    <w:rsid w:val="00F4059B"/>
    <w:rsid w:val="00F42E6E"/>
    <w:rsid w:val="00F4477E"/>
    <w:rsid w:val="00F4527B"/>
    <w:rsid w:val="00F465C2"/>
    <w:rsid w:val="00F52024"/>
    <w:rsid w:val="00F53896"/>
    <w:rsid w:val="00F53AC2"/>
    <w:rsid w:val="00F53BD9"/>
    <w:rsid w:val="00F545FD"/>
    <w:rsid w:val="00F54764"/>
    <w:rsid w:val="00F54C82"/>
    <w:rsid w:val="00F563B1"/>
    <w:rsid w:val="00F62120"/>
    <w:rsid w:val="00F622AD"/>
    <w:rsid w:val="00F650E1"/>
    <w:rsid w:val="00F659F1"/>
    <w:rsid w:val="00F67BEC"/>
    <w:rsid w:val="00F67D8F"/>
    <w:rsid w:val="00F74453"/>
    <w:rsid w:val="00F76F45"/>
    <w:rsid w:val="00F77676"/>
    <w:rsid w:val="00F77B27"/>
    <w:rsid w:val="00F80132"/>
    <w:rsid w:val="00F802BE"/>
    <w:rsid w:val="00F83B03"/>
    <w:rsid w:val="00F84E75"/>
    <w:rsid w:val="00F85DC4"/>
    <w:rsid w:val="00F86024"/>
    <w:rsid w:val="00F8611A"/>
    <w:rsid w:val="00F90697"/>
    <w:rsid w:val="00F95812"/>
    <w:rsid w:val="00F962C5"/>
    <w:rsid w:val="00F9694D"/>
    <w:rsid w:val="00F969AE"/>
    <w:rsid w:val="00F97850"/>
    <w:rsid w:val="00FA3950"/>
    <w:rsid w:val="00FA5128"/>
    <w:rsid w:val="00FB2490"/>
    <w:rsid w:val="00FB42D4"/>
    <w:rsid w:val="00FB5906"/>
    <w:rsid w:val="00FB67F9"/>
    <w:rsid w:val="00FB762F"/>
    <w:rsid w:val="00FB7B25"/>
    <w:rsid w:val="00FC07B5"/>
    <w:rsid w:val="00FC0804"/>
    <w:rsid w:val="00FC093D"/>
    <w:rsid w:val="00FC1C4D"/>
    <w:rsid w:val="00FC2AED"/>
    <w:rsid w:val="00FD13C3"/>
    <w:rsid w:val="00FD1BBD"/>
    <w:rsid w:val="00FD2E71"/>
    <w:rsid w:val="00FD3E31"/>
    <w:rsid w:val="00FD434C"/>
    <w:rsid w:val="00FD5EA7"/>
    <w:rsid w:val="00FE39D8"/>
    <w:rsid w:val="00FE4641"/>
    <w:rsid w:val="00FE7552"/>
    <w:rsid w:val="00FE7A68"/>
    <w:rsid w:val="00FF053B"/>
    <w:rsid w:val="00FF1A4B"/>
    <w:rsid w:val="00FF4978"/>
    <w:rsid w:val="00FF5194"/>
    <w:rsid w:val="00FF6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33E530C-56BB-494E-A381-D805E81F9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Default">
    <w:name w:val="Default"/>
    <w:rsid w:val="003C2CAA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styleId="Legenda">
    <w:name w:val="caption"/>
    <w:basedOn w:val="Normalny"/>
    <w:next w:val="Normalny"/>
    <w:uiPriority w:val="35"/>
    <w:unhideWhenUsed/>
    <w:qFormat/>
    <w:rsid w:val="006A2E6E"/>
    <w:pPr>
      <w:spacing w:before="0" w:after="200" w:line="240" w:lineRule="auto"/>
    </w:pPr>
    <w:rPr>
      <w:b/>
      <w:bCs/>
      <w:color w:val="5B9BD5" w:themeColor="accent1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A770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1.xml"/><Relationship Id="rId18" Type="http://schemas.openxmlformats.org/officeDocument/2006/relationships/footer" Target="footer2.xml"/><Relationship Id="rId26" Type="http://schemas.openxmlformats.org/officeDocument/2006/relationships/hyperlink" Target="http://stat.gov.pl/obszary-tematyczne/ceny-handel/handel/rynek-wewnetrzny-w-2017-r-,7,24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rzecznik@stat.gov.p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30.emf"/><Relationship Id="rId17" Type="http://schemas.openxmlformats.org/officeDocument/2006/relationships/header" Target="header2.xml"/><Relationship Id="rId25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mailto:j.biernat@stat.gov.pl" TargetMode="External"/><Relationship Id="rId29" Type="http://schemas.openxmlformats.org/officeDocument/2006/relationships/hyperlink" Target="https://bdm.stat.gov.pl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image" Target="media/image5.png"/><Relationship Id="rId28" Type="http://schemas.openxmlformats.org/officeDocument/2006/relationships/hyperlink" Target="http://stat.gov.pl/obszary-tematyczne/ceny-handel/handel/rynek-wewnetrzny-w-2017-r-,7,24.html" TargetMode="External"/><Relationship Id="rId10" Type="http://schemas.openxmlformats.org/officeDocument/2006/relationships/endnotes" Target="endnotes.xml"/><Relationship Id="rId19" Type="http://schemas.openxmlformats.org/officeDocument/2006/relationships/chart" Target="charts/chart3.xm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hyperlink" Target="mailto:obslugaprasowa@stat.gov.pl" TargetMode="External"/><Relationship Id="rId27" Type="http://schemas.openxmlformats.org/officeDocument/2006/relationships/hyperlink" Target="https://bdm.stat.gov.pl/" TargetMode="External"/><Relationship Id="rId30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Arkusz_programu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3235180508096861E-2"/>
          <c:y val="1.9076892623058988E-2"/>
          <c:w val="0.93325015595757954"/>
          <c:h val="0.75795090754501115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36"/>
            <c:invertIfNegative val="0"/>
            <c:bubble3D val="0"/>
          </c:dPt>
          <c:dPt>
            <c:idx val="37"/>
            <c:invertIfNegative val="0"/>
            <c:bubble3D val="0"/>
          </c:dPt>
          <c:dPt>
            <c:idx val="39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</c:dPt>
          <c:dPt>
            <c:idx val="47"/>
            <c:invertIfNegative val="0"/>
            <c:bubble3D val="0"/>
          </c:dPt>
          <c:cat>
            <c:multiLvlStrRef>
              <c:f>Arkusz1!$B$65:$C$104</c:f>
              <c:multiLvlStrCache>
                <c:ptCount val="40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</c:lvl>
                <c:lvl>
                  <c:pt idx="0">
                    <c:v>2016</c:v>
                  </c:pt>
                  <c:pt idx="12">
                    <c:v>2017</c:v>
                  </c:pt>
                  <c:pt idx="24">
                    <c:v>2018</c:v>
                  </c:pt>
                  <c:pt idx="36">
                    <c:v>2019</c:v>
                  </c:pt>
                </c:lvl>
              </c:multiLvlStrCache>
            </c:multiLvlStrRef>
          </c:cat>
          <c:val>
            <c:numRef>
              <c:f>Arkusz1!$D$65:$D$104</c:f>
              <c:numCache>
                <c:formatCode>General</c:formatCode>
                <c:ptCount val="40"/>
                <c:pt idx="0" formatCode="0.0">
                  <c:v>103.2</c:v>
                </c:pt>
                <c:pt idx="1">
                  <c:v>106.2</c:v>
                </c:pt>
                <c:pt idx="2">
                  <c:v>103</c:v>
                </c:pt>
                <c:pt idx="3">
                  <c:v>105.5</c:v>
                </c:pt>
                <c:pt idx="4">
                  <c:v>104.3</c:v>
                </c:pt>
                <c:pt idx="5">
                  <c:v>106.5</c:v>
                </c:pt>
                <c:pt idx="6">
                  <c:v>104.4</c:v>
                </c:pt>
                <c:pt idx="7">
                  <c:v>107.8</c:v>
                </c:pt>
                <c:pt idx="8">
                  <c:v>106.3</c:v>
                </c:pt>
                <c:pt idx="9">
                  <c:v>104.6</c:v>
                </c:pt>
                <c:pt idx="10">
                  <c:v>107.4</c:v>
                </c:pt>
                <c:pt idx="11">
                  <c:v>106.1</c:v>
                </c:pt>
                <c:pt idx="12">
                  <c:v>109.5</c:v>
                </c:pt>
                <c:pt idx="13">
                  <c:v>105.2</c:v>
                </c:pt>
                <c:pt idx="14">
                  <c:v>107.9</c:v>
                </c:pt>
                <c:pt idx="15">
                  <c:v>106.7</c:v>
                </c:pt>
                <c:pt idx="16">
                  <c:v>107.4</c:v>
                </c:pt>
                <c:pt idx="17">
                  <c:v>105.8</c:v>
                </c:pt>
                <c:pt idx="18">
                  <c:v>106.8</c:v>
                </c:pt>
                <c:pt idx="19">
                  <c:v>106.9</c:v>
                </c:pt>
                <c:pt idx="20">
                  <c:v>107.5</c:v>
                </c:pt>
                <c:pt idx="21">
                  <c:v>107.1</c:v>
                </c:pt>
                <c:pt idx="22">
                  <c:v>108.8</c:v>
                </c:pt>
                <c:pt idx="23">
                  <c:v>105.2</c:v>
                </c:pt>
                <c:pt idx="24">
                  <c:v>107.7</c:v>
                </c:pt>
                <c:pt idx="25">
                  <c:v>107.7</c:v>
                </c:pt>
                <c:pt idx="26">
                  <c:v>108.8</c:v>
                </c:pt>
                <c:pt idx="27">
                  <c:v>104</c:v>
                </c:pt>
                <c:pt idx="28">
                  <c:v>106.1</c:v>
                </c:pt>
                <c:pt idx="29">
                  <c:v>108.2</c:v>
                </c:pt>
                <c:pt idx="30">
                  <c:v>107.1</c:v>
                </c:pt>
                <c:pt idx="31">
                  <c:v>106.7</c:v>
                </c:pt>
                <c:pt idx="32">
                  <c:v>103.6</c:v>
                </c:pt>
                <c:pt idx="33">
                  <c:v>107.8</c:v>
                </c:pt>
                <c:pt idx="34">
                  <c:v>106.9</c:v>
                </c:pt>
                <c:pt idx="35">
                  <c:v>103.9</c:v>
                </c:pt>
                <c:pt idx="36">
                  <c:v>106.1</c:v>
                </c:pt>
                <c:pt idx="37">
                  <c:v>105.6</c:v>
                </c:pt>
                <c:pt idx="38">
                  <c:v>101.8</c:v>
                </c:pt>
                <c:pt idx="39">
                  <c:v>111.9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306995552"/>
        <c:axId val="306997184"/>
      </c:barChart>
      <c:catAx>
        <c:axId val="306995552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306997184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306997184"/>
        <c:scaling>
          <c:orientation val="minMax"/>
          <c:max val="112"/>
          <c:min val="10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306995552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4.6862046268984173E-2"/>
          <c:y val="1.9224940463303749E-2"/>
          <c:w val="0.93452311955429368"/>
          <c:h val="0.67729816107371565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  <a:ln w="12700">
              <a:noFill/>
              <a:prstDash val="solid"/>
            </a:ln>
            <a:scene3d>
              <a:camera prst="orthographicFront"/>
              <a:lightRig rig="threePt" dir="t"/>
            </a:scene3d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 baseline="0"/>
                      <a:t>113,3</a:t>
                    </a:r>
                    <a:endParaRPr lang="en-US" baseline="0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numFmt formatCode="0.0" sourceLinked="0"/>
              <c:spPr>
                <a:solidFill>
                  <a:schemeClr val="bg1"/>
                </a:solidFill>
                <a:ln w="3175">
                  <a:noFill/>
                  <a:prstDash val="solid"/>
                </a:ln>
              </c:spPr>
              <c:txPr>
                <a:bodyPr vertOverflow="overflow" horzOverflow="overflow">
                  <a:noAutofit/>
                </a:bodyPr>
                <a:lstStyle/>
                <a:p>
                  <a:pPr>
                    <a:defRPr sz="800" b="0" i="0" baseline="0">
                      <a:solidFill>
                        <a:schemeClr val="tx1"/>
                      </a:solidFill>
                      <a:latin typeface="Fira Sans" panose="020B05030500000200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</c:extLst>
            </c:dLbl>
            <c:dLbl>
              <c:idx val="3"/>
              <c:numFmt formatCode="0.0" sourceLinked="0"/>
              <c:spPr>
                <a:solidFill>
                  <a:schemeClr val="bg1"/>
                </a:solidFill>
                <a:ln w="3175">
                  <a:noFill/>
                  <a:prstDash val="solid"/>
                </a:ln>
              </c:spPr>
              <c:txPr>
                <a:bodyPr vertOverflow="overflow" horzOverflow="overflow">
                  <a:noAutofit/>
                </a:bodyPr>
                <a:lstStyle/>
                <a:p>
                  <a:pPr>
                    <a:defRPr sz="800" b="0" i="0" baseline="0">
                      <a:solidFill>
                        <a:schemeClr val="tx1"/>
                      </a:solidFill>
                      <a:latin typeface="Fira Sans" panose="020B05030500000200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</c:extLst>
            </c:dLbl>
            <c:dLbl>
              <c:idx val="4"/>
              <c:layout>
                <c:manualLayout>
                  <c:x val="0"/>
                  <c:y val="1.7319936653296127E-2"/>
                </c:manualLayout>
              </c:layout>
              <c:numFmt formatCode="0.0" sourceLinked="0"/>
              <c:spPr>
                <a:solidFill>
                  <a:schemeClr val="bg1"/>
                </a:solidFill>
                <a:ln w="3175">
                  <a:noFill/>
                  <a:prstDash val="solid"/>
                </a:ln>
              </c:spPr>
              <c:txPr>
                <a:bodyPr vertOverflow="overflow" horzOverflow="overflow">
                  <a:noAutofit/>
                </a:bodyPr>
                <a:lstStyle/>
                <a:p>
                  <a:pPr>
                    <a:defRPr sz="800" b="0" i="0" baseline="0">
                      <a:solidFill>
                        <a:schemeClr val="tx1"/>
                      </a:solidFill>
                      <a:latin typeface="Fira Sans" panose="020B05030500000200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0061919504643964E-2"/>
                      <c:h val="5.0227321931153916E-2"/>
                    </c:manualLayout>
                  </c15:layout>
                </c:ext>
              </c:extLst>
            </c:dLbl>
            <c:dLbl>
              <c:idx val="8"/>
              <c:layout>
                <c:manualLayout>
                  <c:x val="-1.8162844876828522E-16"/>
                  <c:y val="-8.6598830915783475E-3"/>
                </c:manualLayout>
              </c:layout>
              <c:numFmt formatCode="0.0" sourceLinked="0"/>
              <c:spPr>
                <a:solidFill>
                  <a:schemeClr val="bg1"/>
                </a:solidFill>
                <a:ln w="3175">
                  <a:noFill/>
                  <a:prstDash val="solid"/>
                </a:ln>
              </c:spPr>
              <c:txPr>
                <a:bodyPr vertOverflow="overflow" horzOverflow="overflow">
                  <a:noAutofit/>
                </a:bodyPr>
                <a:lstStyle/>
                <a:p>
                  <a:pPr>
                    <a:defRPr sz="800" b="0" i="0" baseline="0">
                      <a:solidFill>
                        <a:schemeClr val="tx1"/>
                      </a:solidFill>
                      <a:latin typeface="Fira Sans" panose="020B05030500000200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0854489164086686E-2"/>
                      <c:h val="4.5897380385364797E-2"/>
                    </c:manualLayout>
                  </c15:layout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 sz="900"/>
                      <a:t> </a:t>
                    </a:r>
                    <a:r>
                      <a:rPr lang="en-US"/>
                      <a:t>[WARTOŚĆ]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0.0" sourceLinked="0"/>
            <c:spPr>
              <a:solidFill>
                <a:schemeClr val="bg1"/>
              </a:solidFill>
              <a:ln w="3175">
                <a:noFill/>
                <a:prstDash val="solid"/>
              </a:ln>
            </c:spPr>
            <c:txPr>
              <a:bodyPr vertOverflow="overflow" horzOverflow="overflow">
                <a:spAutoFit/>
              </a:bodyPr>
              <a:lstStyle/>
              <a:p>
                <a:pPr>
                  <a:defRPr sz="800" b="0" i="0" baseline="0">
                    <a:solidFill>
                      <a:schemeClr val="tx1"/>
                    </a:solidFill>
                    <a:latin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rodz_dział_miesiąc!$B$4:$B$12</c:f>
              <c:strCache>
                <c:ptCount val="9"/>
                <c:pt idx="0">
                  <c:v>pojazdy 
samochodowe, 
motocykle, części  
</c:v>
                </c:pt>
                <c:pt idx="1">
                  <c:v>paliwa stałe,
ciekłe
i gazowe</c:v>
                </c:pt>
                <c:pt idx="2">
                  <c:v>żywność,
napoje
i wyroby
tytoniowe
</c:v>
                </c:pt>
                <c:pt idx="3">
                  <c:v>pozostała
sprzedaż
w niewyspecja-
lizowanych
sklepach
</c:v>
                </c:pt>
                <c:pt idx="4">
                  <c:v>farmaceutyki, 
kosmetyki, 
sprzęt 
ortopedyczny   </c:v>
                </c:pt>
                <c:pt idx="5">
                  <c:v>tekstylia, odzież, 
obuwie</c:v>
                </c:pt>
                <c:pt idx="6">
                  <c:v>meble,
rtv,
agd
</c:v>
                </c:pt>
                <c:pt idx="7">
                  <c:v>prasa, książki, 
pozostała sprzedaż
w wyspecjalizowanych
sklepach
</c:v>
                </c:pt>
                <c:pt idx="8">
                  <c:v>pozostałe  </c:v>
                </c:pt>
              </c:strCache>
            </c:strRef>
          </c:cat>
          <c:val>
            <c:numRef>
              <c:f>rodz_dział_miesiąc!$BG$4:$BG$12</c:f>
              <c:numCache>
                <c:formatCode>0.0</c:formatCode>
                <c:ptCount val="9"/>
                <c:pt idx="0">
                  <c:v>113.3</c:v>
                </c:pt>
                <c:pt idx="1">
                  <c:v>103</c:v>
                </c:pt>
                <c:pt idx="2">
                  <c:v>118.2</c:v>
                </c:pt>
                <c:pt idx="3">
                  <c:v>120.7</c:v>
                </c:pt>
                <c:pt idx="4">
                  <c:v>109.9</c:v>
                </c:pt>
                <c:pt idx="5">
                  <c:v>106.5</c:v>
                </c:pt>
                <c:pt idx="6">
                  <c:v>119.5</c:v>
                </c:pt>
                <c:pt idx="7">
                  <c:v>103.3</c:v>
                </c:pt>
                <c:pt idx="8">
                  <c:v>102.2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306997728"/>
        <c:axId val="136681584"/>
      </c:barChart>
      <c:catAx>
        <c:axId val="306997728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6350" cmpd="sng">
            <a:noFill/>
            <a:prstDash val="solid"/>
          </a:ln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36681584"/>
        <c:crossesAt val="100"/>
        <c:auto val="1"/>
        <c:lblAlgn val="ctr"/>
        <c:lblOffset val="80"/>
        <c:tickLblSkip val="1"/>
        <c:tickMarkSkip val="1"/>
        <c:noMultiLvlLbl val="0"/>
      </c:catAx>
      <c:valAx>
        <c:axId val="136681584"/>
        <c:scaling>
          <c:orientation val="minMax"/>
          <c:max val="125"/>
          <c:min val="10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306997728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8365519482991367E-2"/>
          <c:y val="6.1776061776061784E-2"/>
          <c:w val="0.90120672439187943"/>
          <c:h val="0.73350155554879992"/>
        </c:manualLayout>
      </c:layout>
      <c:lineChart>
        <c:grouping val="standard"/>
        <c:varyColors val="0"/>
        <c:ser>
          <c:idx val="0"/>
          <c:order val="0"/>
          <c:tx>
            <c:strRef>
              <c:f>Wykresy!$B$1</c:f>
              <c:strCache>
                <c:ptCount val="1"/>
                <c:pt idx="0">
                  <c:v>dane niewyrównane</c:v>
                </c:pt>
              </c:strCache>
            </c:strRef>
          </c:tx>
          <c:spPr>
            <a:ln w="25400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87"/>
              <c:layout>
                <c:manualLayout>
                  <c:x val="-2.2313127556712713E-2"/>
                  <c:y val="-4.1184041184041183E-2"/>
                </c:manualLayout>
              </c:layout>
              <c:tx>
                <c:rich>
                  <a:bodyPr/>
                  <a:lstStyle/>
                  <a:p>
                    <a:fld id="{075F1651-0524-43B3-8915-54B244F8D81B}" type="VALUE">
                      <a:rPr lang="en-US" sz="800" baseline="0">
                        <a:solidFill>
                          <a:srgbClr val="001D77"/>
                        </a:solidFill>
                        <a:latin typeface="Fira Sans" panose="020B0503050000020004" pitchFamily="34" charset="0"/>
                      </a:rPr>
                      <a:pPr/>
                      <a:t>[WARTOŚĆ]</a:t>
                    </a:fld>
                    <a:endParaRPr lang="pl-PL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Wykresy!$A$2:$A$97</c:f>
              <c:numCache>
                <c:formatCode>General</c:formatCode>
                <c:ptCount val="96"/>
                <c:pt idx="6" formatCode="0">
                  <c:v>2012</c:v>
                </c:pt>
                <c:pt idx="18" formatCode="0">
                  <c:v>2013</c:v>
                </c:pt>
                <c:pt idx="30" formatCode="0">
                  <c:v>2014</c:v>
                </c:pt>
                <c:pt idx="42" formatCode="0">
                  <c:v>2015</c:v>
                </c:pt>
                <c:pt idx="54" formatCode="0">
                  <c:v>2016</c:v>
                </c:pt>
                <c:pt idx="66" formatCode="0">
                  <c:v>2017</c:v>
                </c:pt>
                <c:pt idx="78" formatCode="0">
                  <c:v>2018</c:v>
                </c:pt>
                <c:pt idx="90" formatCode="0">
                  <c:v>2019</c:v>
                </c:pt>
              </c:numCache>
            </c:numRef>
          </c:cat>
          <c:val>
            <c:numRef>
              <c:f>Wykresy!$B$2:$B$97</c:f>
              <c:numCache>
                <c:formatCode>General</c:formatCode>
                <c:ptCount val="96"/>
                <c:pt idx="0">
                  <c:v>79.2</c:v>
                </c:pt>
                <c:pt idx="1">
                  <c:v>79.900000000000006</c:v>
                </c:pt>
                <c:pt idx="2">
                  <c:v>92</c:v>
                </c:pt>
                <c:pt idx="3">
                  <c:v>89.1</c:v>
                </c:pt>
                <c:pt idx="4">
                  <c:v>89.8</c:v>
                </c:pt>
                <c:pt idx="5">
                  <c:v>90</c:v>
                </c:pt>
                <c:pt idx="6">
                  <c:v>91.9</c:v>
                </c:pt>
                <c:pt idx="7">
                  <c:v>92.3</c:v>
                </c:pt>
                <c:pt idx="8">
                  <c:v>90.8</c:v>
                </c:pt>
                <c:pt idx="9">
                  <c:v>94.1</c:v>
                </c:pt>
                <c:pt idx="10">
                  <c:v>88.4</c:v>
                </c:pt>
                <c:pt idx="11">
                  <c:v>102.1</c:v>
                </c:pt>
                <c:pt idx="12">
                  <c:v>80.900000000000006</c:v>
                </c:pt>
                <c:pt idx="13">
                  <c:v>78.900000000000006</c:v>
                </c:pt>
                <c:pt idx="14">
                  <c:v>92.1</c:v>
                </c:pt>
                <c:pt idx="15">
                  <c:v>89.1</c:v>
                </c:pt>
                <c:pt idx="16">
                  <c:v>90.8</c:v>
                </c:pt>
                <c:pt idx="17">
                  <c:v>92.3</c:v>
                </c:pt>
                <c:pt idx="18">
                  <c:v>95.7</c:v>
                </c:pt>
                <c:pt idx="19">
                  <c:v>95.5</c:v>
                </c:pt>
                <c:pt idx="20">
                  <c:v>94.4</c:v>
                </c:pt>
                <c:pt idx="21">
                  <c:v>97.5</c:v>
                </c:pt>
                <c:pt idx="22">
                  <c:v>91.9</c:v>
                </c:pt>
                <c:pt idx="23">
                  <c:v>108</c:v>
                </c:pt>
                <c:pt idx="24">
                  <c:v>84.9</c:v>
                </c:pt>
                <c:pt idx="25">
                  <c:v>84.5</c:v>
                </c:pt>
                <c:pt idx="26">
                  <c:v>95</c:v>
                </c:pt>
                <c:pt idx="27">
                  <c:v>97.2</c:v>
                </c:pt>
                <c:pt idx="28">
                  <c:v>94.7</c:v>
                </c:pt>
                <c:pt idx="29">
                  <c:v>94</c:v>
                </c:pt>
                <c:pt idx="30">
                  <c:v>98.9</c:v>
                </c:pt>
                <c:pt idx="31">
                  <c:v>98.5</c:v>
                </c:pt>
                <c:pt idx="32">
                  <c:v>97.5</c:v>
                </c:pt>
                <c:pt idx="33">
                  <c:v>101.4</c:v>
                </c:pt>
                <c:pt idx="34">
                  <c:v>93.5</c:v>
                </c:pt>
                <c:pt idx="35">
                  <c:v>112.7</c:v>
                </c:pt>
                <c:pt idx="36">
                  <c:v>87.8</c:v>
                </c:pt>
                <c:pt idx="37">
                  <c:v>86.4</c:v>
                </c:pt>
                <c:pt idx="38">
                  <c:v>101.1</c:v>
                </c:pt>
                <c:pt idx="39">
                  <c:v>98.5</c:v>
                </c:pt>
                <c:pt idx="40">
                  <c:v>99</c:v>
                </c:pt>
                <c:pt idx="41">
                  <c:v>100</c:v>
                </c:pt>
                <c:pt idx="42">
                  <c:v>102.3</c:v>
                </c:pt>
                <c:pt idx="43">
                  <c:v>100.4</c:v>
                </c:pt>
                <c:pt idx="44">
                  <c:v>100.3</c:v>
                </c:pt>
                <c:pt idx="45">
                  <c:v>105</c:v>
                </c:pt>
                <c:pt idx="46">
                  <c:v>98.8</c:v>
                </c:pt>
                <c:pt idx="47">
                  <c:v>120.6</c:v>
                </c:pt>
                <c:pt idx="48">
                  <c:v>90.6</c:v>
                </c:pt>
                <c:pt idx="49">
                  <c:v>91.7</c:v>
                </c:pt>
                <c:pt idx="50">
                  <c:v>104.1</c:v>
                </c:pt>
                <c:pt idx="51">
                  <c:v>103.9</c:v>
                </c:pt>
                <c:pt idx="52">
                  <c:v>103.2</c:v>
                </c:pt>
                <c:pt idx="53">
                  <c:v>106.4</c:v>
                </c:pt>
                <c:pt idx="54">
                  <c:v>106.7</c:v>
                </c:pt>
                <c:pt idx="55">
                  <c:v>108.1</c:v>
                </c:pt>
                <c:pt idx="56">
                  <c:v>106.6</c:v>
                </c:pt>
                <c:pt idx="57">
                  <c:v>109.8</c:v>
                </c:pt>
                <c:pt idx="58">
                  <c:v>106.1</c:v>
                </c:pt>
                <c:pt idx="59">
                  <c:v>127.7</c:v>
                </c:pt>
                <c:pt idx="60">
                  <c:v>99.3</c:v>
                </c:pt>
                <c:pt idx="61">
                  <c:v>96.5</c:v>
                </c:pt>
                <c:pt idx="62">
                  <c:v>112.5</c:v>
                </c:pt>
                <c:pt idx="63">
                  <c:v>110.9</c:v>
                </c:pt>
                <c:pt idx="64">
                  <c:v>111</c:v>
                </c:pt>
                <c:pt idx="65">
                  <c:v>112.8</c:v>
                </c:pt>
                <c:pt idx="66">
                  <c:v>114.1</c:v>
                </c:pt>
                <c:pt idx="67">
                  <c:v>115.8</c:v>
                </c:pt>
                <c:pt idx="68">
                  <c:v>114.8</c:v>
                </c:pt>
                <c:pt idx="69">
                  <c:v>117.8</c:v>
                </c:pt>
                <c:pt idx="70">
                  <c:v>115.7</c:v>
                </c:pt>
                <c:pt idx="71">
                  <c:v>134.80000000000001</c:v>
                </c:pt>
                <c:pt idx="72">
                  <c:v>107.2</c:v>
                </c:pt>
                <c:pt idx="73">
                  <c:v>104.1</c:v>
                </c:pt>
                <c:pt idx="74">
                  <c:v>122.6</c:v>
                </c:pt>
                <c:pt idx="75">
                  <c:v>115.7</c:v>
                </c:pt>
                <c:pt idx="76">
                  <c:v>118</c:v>
                </c:pt>
                <c:pt idx="77">
                  <c:v>122.3</c:v>
                </c:pt>
                <c:pt idx="78">
                  <c:v>122.5</c:v>
                </c:pt>
                <c:pt idx="79">
                  <c:v>123.8</c:v>
                </c:pt>
                <c:pt idx="80">
                  <c:v>119.1</c:v>
                </c:pt>
                <c:pt idx="81">
                  <c:v>127.2</c:v>
                </c:pt>
                <c:pt idx="82">
                  <c:v>123.8</c:v>
                </c:pt>
                <c:pt idx="83">
                  <c:v>140.4</c:v>
                </c:pt>
                <c:pt idx="84">
                  <c:v>113.8</c:v>
                </c:pt>
                <c:pt idx="85">
                  <c:v>110.1</c:v>
                </c:pt>
                <c:pt idx="86">
                  <c:v>125.2</c:v>
                </c:pt>
                <c:pt idx="87">
                  <c:v>129.30000000000001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Wykresy!$C$1</c:f>
              <c:strCache>
                <c:ptCount val="1"/>
                <c:pt idx="0">
                  <c:v>dane wyrównane sezonowo</c:v>
                </c:pt>
              </c:strCache>
            </c:strRef>
          </c:tx>
          <c:spPr>
            <a:ln w="25400" cap="rnd">
              <a:solidFill>
                <a:srgbClr val="69BE28"/>
              </a:solidFill>
              <a:round/>
            </a:ln>
            <a:effectLst/>
          </c:spPr>
          <c:marker>
            <c:symbol val="none"/>
          </c:marker>
          <c:dLbls>
            <c:dLbl>
              <c:idx val="87"/>
              <c:layout>
                <c:manualLayout>
                  <c:x val="-1.239618197595159E-2"/>
                  <c:y val="3.0888030888030889E-2"/>
                </c:manualLayout>
              </c:layout>
              <c:tx>
                <c:rich>
                  <a:bodyPr/>
                  <a:lstStyle/>
                  <a:p>
                    <a:fld id="{448B4C11-F196-40AD-8718-CBACC154845D}" type="VALUE">
                      <a:rPr lang="en-US" sz="800" baseline="0">
                        <a:solidFill>
                          <a:srgbClr val="69BE28"/>
                        </a:solidFill>
                        <a:latin typeface="Fira Sans" panose="020B0503050000020004" pitchFamily="34" charset="0"/>
                      </a:rPr>
                      <a:pPr/>
                      <a:t>[WARTOŚĆ]</a:t>
                    </a:fld>
                    <a:endParaRPr lang="pl-PL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Wykresy!$A$2:$A$97</c:f>
              <c:numCache>
                <c:formatCode>General</c:formatCode>
                <c:ptCount val="96"/>
                <c:pt idx="6" formatCode="0">
                  <c:v>2012</c:v>
                </c:pt>
                <c:pt idx="18" formatCode="0">
                  <c:v>2013</c:v>
                </c:pt>
                <c:pt idx="30" formatCode="0">
                  <c:v>2014</c:v>
                </c:pt>
                <c:pt idx="42" formatCode="0">
                  <c:v>2015</c:v>
                </c:pt>
                <c:pt idx="54" formatCode="0">
                  <c:v>2016</c:v>
                </c:pt>
                <c:pt idx="66" formatCode="0">
                  <c:v>2017</c:v>
                </c:pt>
                <c:pt idx="78" formatCode="0">
                  <c:v>2018</c:v>
                </c:pt>
                <c:pt idx="90" formatCode="0">
                  <c:v>2019</c:v>
                </c:pt>
              </c:numCache>
            </c:numRef>
          </c:cat>
          <c:val>
            <c:numRef>
              <c:f>Wykresy!$C$2:$C$97</c:f>
              <c:numCache>
                <c:formatCode>General</c:formatCode>
                <c:ptCount val="96"/>
                <c:pt idx="0">
                  <c:v>89.9</c:v>
                </c:pt>
                <c:pt idx="1">
                  <c:v>89.2</c:v>
                </c:pt>
                <c:pt idx="2">
                  <c:v>91</c:v>
                </c:pt>
                <c:pt idx="3">
                  <c:v>89.7</c:v>
                </c:pt>
                <c:pt idx="4">
                  <c:v>90.2</c:v>
                </c:pt>
                <c:pt idx="5">
                  <c:v>89.7</c:v>
                </c:pt>
                <c:pt idx="6">
                  <c:v>90.4</c:v>
                </c:pt>
                <c:pt idx="7">
                  <c:v>89.8</c:v>
                </c:pt>
                <c:pt idx="8">
                  <c:v>90.7</c:v>
                </c:pt>
                <c:pt idx="9">
                  <c:v>90</c:v>
                </c:pt>
                <c:pt idx="10">
                  <c:v>89.3</c:v>
                </c:pt>
                <c:pt idx="11">
                  <c:v>89.5</c:v>
                </c:pt>
                <c:pt idx="12">
                  <c:v>89.8</c:v>
                </c:pt>
                <c:pt idx="13">
                  <c:v>90.7</c:v>
                </c:pt>
                <c:pt idx="14">
                  <c:v>90.7</c:v>
                </c:pt>
                <c:pt idx="15">
                  <c:v>90</c:v>
                </c:pt>
                <c:pt idx="16">
                  <c:v>92.3</c:v>
                </c:pt>
                <c:pt idx="17">
                  <c:v>92.4</c:v>
                </c:pt>
                <c:pt idx="18">
                  <c:v>93.1</c:v>
                </c:pt>
                <c:pt idx="19">
                  <c:v>93.2</c:v>
                </c:pt>
                <c:pt idx="20">
                  <c:v>94.6</c:v>
                </c:pt>
                <c:pt idx="21">
                  <c:v>93.2</c:v>
                </c:pt>
                <c:pt idx="22">
                  <c:v>94.1</c:v>
                </c:pt>
                <c:pt idx="23">
                  <c:v>94.2</c:v>
                </c:pt>
                <c:pt idx="24">
                  <c:v>94.4</c:v>
                </c:pt>
                <c:pt idx="25">
                  <c:v>96.7</c:v>
                </c:pt>
                <c:pt idx="26">
                  <c:v>95.5</c:v>
                </c:pt>
                <c:pt idx="27">
                  <c:v>96.4</c:v>
                </c:pt>
                <c:pt idx="28">
                  <c:v>94.8</c:v>
                </c:pt>
                <c:pt idx="29">
                  <c:v>95.3</c:v>
                </c:pt>
                <c:pt idx="30">
                  <c:v>96.1</c:v>
                </c:pt>
                <c:pt idx="31">
                  <c:v>97.7</c:v>
                </c:pt>
                <c:pt idx="32">
                  <c:v>97</c:v>
                </c:pt>
                <c:pt idx="33">
                  <c:v>96.8</c:v>
                </c:pt>
                <c:pt idx="34">
                  <c:v>96.8</c:v>
                </c:pt>
                <c:pt idx="35">
                  <c:v>97.4</c:v>
                </c:pt>
                <c:pt idx="36">
                  <c:v>98</c:v>
                </c:pt>
                <c:pt idx="37">
                  <c:v>98.8</c:v>
                </c:pt>
                <c:pt idx="38">
                  <c:v>100.7</c:v>
                </c:pt>
                <c:pt idx="39">
                  <c:v>98.2</c:v>
                </c:pt>
                <c:pt idx="40">
                  <c:v>99.7</c:v>
                </c:pt>
                <c:pt idx="41">
                  <c:v>100.2</c:v>
                </c:pt>
                <c:pt idx="42">
                  <c:v>99.2</c:v>
                </c:pt>
                <c:pt idx="43">
                  <c:v>99.8</c:v>
                </c:pt>
                <c:pt idx="44">
                  <c:v>99.7</c:v>
                </c:pt>
                <c:pt idx="45">
                  <c:v>100.7</c:v>
                </c:pt>
                <c:pt idx="46">
                  <c:v>101.3</c:v>
                </c:pt>
                <c:pt idx="47">
                  <c:v>103.4</c:v>
                </c:pt>
                <c:pt idx="48">
                  <c:v>102.3</c:v>
                </c:pt>
                <c:pt idx="49">
                  <c:v>102</c:v>
                </c:pt>
                <c:pt idx="50">
                  <c:v>101.3</c:v>
                </c:pt>
                <c:pt idx="51">
                  <c:v>104.5</c:v>
                </c:pt>
                <c:pt idx="52">
                  <c:v>105.2</c:v>
                </c:pt>
                <c:pt idx="53">
                  <c:v>104.9</c:v>
                </c:pt>
                <c:pt idx="54">
                  <c:v>105.1</c:v>
                </c:pt>
                <c:pt idx="55">
                  <c:v>105.9</c:v>
                </c:pt>
                <c:pt idx="56">
                  <c:v>106</c:v>
                </c:pt>
                <c:pt idx="57">
                  <c:v>107.4</c:v>
                </c:pt>
                <c:pt idx="58">
                  <c:v>108.2</c:v>
                </c:pt>
                <c:pt idx="59">
                  <c:v>108</c:v>
                </c:pt>
                <c:pt idx="60">
                  <c:v>110.9</c:v>
                </c:pt>
                <c:pt idx="61">
                  <c:v>110.1</c:v>
                </c:pt>
                <c:pt idx="62">
                  <c:v>110.6</c:v>
                </c:pt>
                <c:pt idx="63">
                  <c:v>111.7</c:v>
                </c:pt>
                <c:pt idx="64">
                  <c:v>111.4</c:v>
                </c:pt>
                <c:pt idx="65">
                  <c:v>112.2</c:v>
                </c:pt>
                <c:pt idx="66">
                  <c:v>113.3</c:v>
                </c:pt>
                <c:pt idx="67">
                  <c:v>113.6</c:v>
                </c:pt>
                <c:pt idx="68">
                  <c:v>114.7</c:v>
                </c:pt>
                <c:pt idx="69">
                  <c:v>114.9</c:v>
                </c:pt>
                <c:pt idx="70">
                  <c:v>117.1</c:v>
                </c:pt>
                <c:pt idx="71">
                  <c:v>116.7</c:v>
                </c:pt>
                <c:pt idx="72">
                  <c:v>118.1</c:v>
                </c:pt>
                <c:pt idx="73">
                  <c:v>118.7</c:v>
                </c:pt>
                <c:pt idx="74">
                  <c:v>119.2</c:v>
                </c:pt>
                <c:pt idx="75">
                  <c:v>118.4</c:v>
                </c:pt>
                <c:pt idx="76">
                  <c:v>119.7</c:v>
                </c:pt>
                <c:pt idx="77">
                  <c:v>120.6</c:v>
                </c:pt>
                <c:pt idx="78">
                  <c:v>121.1</c:v>
                </c:pt>
                <c:pt idx="79">
                  <c:v>121.2</c:v>
                </c:pt>
                <c:pt idx="80">
                  <c:v>121</c:v>
                </c:pt>
                <c:pt idx="81">
                  <c:v>122.6</c:v>
                </c:pt>
                <c:pt idx="82">
                  <c:v>123.6</c:v>
                </c:pt>
                <c:pt idx="83">
                  <c:v>123.2</c:v>
                </c:pt>
                <c:pt idx="84">
                  <c:v>124.4</c:v>
                </c:pt>
                <c:pt idx="85">
                  <c:v>125.4</c:v>
                </c:pt>
                <c:pt idx="86">
                  <c:v>125</c:v>
                </c:pt>
                <c:pt idx="87">
                  <c:v>128.19999999999999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95667600"/>
        <c:axId val="295665968"/>
      </c:lineChart>
      <c:catAx>
        <c:axId val="2956676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bg1">
                <a:lumMod val="6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b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295665968"/>
        <c:crosses val="autoZero"/>
        <c:auto val="1"/>
        <c:lblAlgn val="ctr"/>
        <c:lblOffset val="100"/>
        <c:tickMarkSkip val="12"/>
        <c:noMultiLvlLbl val="0"/>
      </c:catAx>
      <c:valAx>
        <c:axId val="295665968"/>
        <c:scaling>
          <c:orientation val="minMax"/>
          <c:min val="70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bg1">
                <a:lumMod val="6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2956676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0.14778</cdr:x>
      <cdr:y>0.19268</cdr:y>
    </cdr:from>
    <cdr:to>
      <cdr:x>0.27874</cdr:x>
      <cdr:y>0.28361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757780" y="565150"/>
          <a:ext cx="671514" cy="26670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endParaRPr lang="pl-PL" sz="900" b="1" i="1" u="none" strike="noStrike" baseline="0">
            <a:solidFill>
              <a:srgbClr val="FF0000"/>
            </a:solidFill>
            <a:latin typeface="Fira Sans" pitchFamily="34" charset="0"/>
            <a:ea typeface="Fira Sans" pitchFamily="34" charset="0"/>
            <a:cs typeface="Arial CE"/>
          </a:endParaRPr>
        </a:p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69BE28"/>
              </a:solidFill>
              <a:latin typeface="Fira Sans" pitchFamily="34" charset="0"/>
              <a:ea typeface="Fira Sans" pitchFamily="34" charset="0"/>
              <a:cs typeface="Arial CE"/>
            </a:rPr>
            <a:t>Ogółem 111,9</a:t>
          </a:r>
        </a:p>
      </cdr:txBody>
    </cdr:sp>
  </cdr:relSizeAnchor>
  <cdr:relSizeAnchor xmlns:cdr="http://schemas.openxmlformats.org/drawingml/2006/chartDrawing">
    <cdr:from>
      <cdr:x>0.15533</cdr:x>
      <cdr:y>0.2781</cdr:y>
    </cdr:from>
    <cdr:to>
      <cdr:x>0.20819</cdr:x>
      <cdr:y>0.3751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796467" y="815690"/>
          <a:ext cx="271047" cy="284507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69BE2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0.04275</cdr:x>
      <cdr:y>0.38086</cdr:y>
    </cdr:from>
    <cdr:to>
      <cdr:x>0.97541</cdr:x>
      <cdr:y>0.38482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V="1">
          <a:off x="219214" y="1117099"/>
          <a:ext cx="4782331" cy="11615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69BE2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1489529-E789-4BB4-B079-1B2342A02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522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Zawistowska Beata</dc:creator>
  <cp:lastModifiedBy>Karczmarski Jacek</cp:lastModifiedBy>
  <cp:revision>8</cp:revision>
  <cp:lastPrinted>2019-05-21T07:20:00Z</cp:lastPrinted>
  <dcterms:created xsi:type="dcterms:W3CDTF">2019-05-20T11:16:00Z</dcterms:created>
  <dcterms:modified xsi:type="dcterms:W3CDTF">2019-05-23T07:25:00Z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