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EC" w:rsidRPr="007C1BCB" w:rsidRDefault="00F31C54" w:rsidP="004033FD">
      <w:pPr>
        <w:pStyle w:val="tytuinformacji"/>
        <w:tabs>
          <w:tab w:val="left" w:pos="2268"/>
        </w:tabs>
        <w:spacing w:before="0"/>
        <w:rPr>
          <w:szCs w:val="40"/>
          <w:shd w:val="clear" w:color="auto" w:fill="FFFFFF"/>
        </w:rPr>
      </w:pPr>
      <w:r>
        <w:rPr>
          <w:shd w:val="clear" w:color="auto" w:fill="FFFFFF"/>
        </w:rPr>
        <w:t>Popyt na pracę w I kwartale</w:t>
      </w:r>
      <w:r w:rsidR="00992AC3" w:rsidRPr="007C1BCB">
        <w:rPr>
          <w:szCs w:val="40"/>
          <w:shd w:val="clear" w:color="auto" w:fill="FFFFFF"/>
        </w:rPr>
        <w:t xml:space="preserve"> 201</w:t>
      </w:r>
      <w:r>
        <w:rPr>
          <w:szCs w:val="40"/>
          <w:shd w:val="clear" w:color="auto" w:fill="FFFFFF"/>
        </w:rPr>
        <w:t>9</w:t>
      </w:r>
      <w:r w:rsidR="00992AC3" w:rsidRPr="007C1BCB">
        <w:rPr>
          <w:szCs w:val="40"/>
          <w:shd w:val="clear" w:color="auto" w:fill="FFFFFF"/>
        </w:rPr>
        <w:t xml:space="preserve"> </w:t>
      </w:r>
      <w:bookmarkStart w:id="0" w:name="_GoBack"/>
      <w:bookmarkEnd w:id="0"/>
      <w:r w:rsidR="00992AC3" w:rsidRPr="007C1BCB">
        <w:rPr>
          <w:szCs w:val="40"/>
          <w:shd w:val="clear" w:color="auto" w:fill="FFFFFF"/>
        </w:rPr>
        <w:t>r.</w:t>
      </w:r>
    </w:p>
    <w:p w:rsidR="00623C1F" w:rsidRPr="00992AC3" w:rsidRDefault="00C9708C" w:rsidP="004033FD">
      <w:pPr>
        <w:pStyle w:val="tytuinformacji"/>
        <w:tabs>
          <w:tab w:val="left" w:pos="2268"/>
        </w:tabs>
        <w:spacing w:before="0"/>
        <w:rPr>
          <w:sz w:val="32"/>
          <w:shd w:val="clear" w:color="auto" w:fill="FFFFFF"/>
        </w:rPr>
      </w:pPr>
      <w:r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ragraph">
                  <wp:posOffset>183923</wp:posOffset>
                </wp:positionV>
                <wp:extent cx="1725295" cy="1793240"/>
                <wp:effectExtent l="0" t="0" r="0" b="0"/>
                <wp:wrapTight wrapText="bothSides">
                  <wp:wrapPolygon edited="0">
                    <wp:start x="715" y="0"/>
                    <wp:lineTo x="715" y="21340"/>
                    <wp:lineTo x="20749" y="21340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F65" w:rsidRDefault="00183F65" w:rsidP="00183F65">
                            <w:pPr>
                              <w:pStyle w:val="tekstzboku"/>
                            </w:pPr>
                            <w:r>
                              <w:t>Liczba wolnych miejsc pracy była w końcu I kwartału 2019 r. większa o 2,3% niż pod koniec poprzedniego kwartału</w:t>
                            </w:r>
                          </w:p>
                          <w:p w:rsidR="00183F65" w:rsidRPr="00D616D2" w:rsidRDefault="00183F65" w:rsidP="00183F65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I kwartale 2019 r. utworzono więcej nowych miejsc pracy, ale też więcej zlikwidowano 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47.1pt;margin-top:14.5pt;width:135.85pt;height:141.2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" filled="f" stroked="f">
                <v:textbox>
                  <w:txbxContent>
                    <w:p w:rsidR="00183F65" w:rsidRDefault="00183F65" w:rsidP="00183F65">
                      <w:pPr>
                        <w:pStyle w:val="tekstzboku"/>
                      </w:pPr>
                      <w:r>
                        <w:t>Liczba wolnych miejsc pracy była w końcu I kwartału 2019 r. większa o 2,3% niż pod koniec poprzedniego kwartału</w:t>
                      </w:r>
                    </w:p>
                    <w:p w:rsidR="00183F65" w:rsidRPr="00D616D2" w:rsidRDefault="00183F65" w:rsidP="00183F65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I kwartale 2019 r. utworzono więcej nowych miejsc pracy, ale też więcej zlikwidowano niż rok wcześniej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F5596" w:rsidRDefault="00F46A47" w:rsidP="00212B62">
      <w:pPr>
        <w:pStyle w:val="LID"/>
        <w:rPr>
          <w:rFonts w:eastAsia="Times New Roman" w:cs="Times New Roman"/>
          <w:spacing w:val="-2"/>
        </w:rPr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88900</wp:posOffset>
                </wp:positionV>
                <wp:extent cx="1682115" cy="1537335"/>
                <wp:effectExtent l="0" t="0" r="0" b="57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5373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7EC" w:rsidRPr="00E91E58" w:rsidRDefault="00AB17EC" w:rsidP="00F46A4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E91E58"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:lang w:eastAsia="pl-PL"/>
                              </w:rPr>
                              <w:t>↑</w:t>
                            </w:r>
                            <w:r w:rsidR="00BA3F6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2,3%</w:t>
                            </w:r>
                          </w:p>
                          <w:p w:rsidR="00F46A47" w:rsidRDefault="00F46A47" w:rsidP="00486591">
                            <w:pPr>
                              <w:pStyle w:val="tekstnaniebieskimtle"/>
                            </w:pPr>
                          </w:p>
                          <w:p w:rsidR="000F261D" w:rsidRPr="00074DD8" w:rsidRDefault="00F46A47" w:rsidP="0048659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BA3F61">
                              <w:t xml:space="preserve"> liczb</w:t>
                            </w:r>
                            <w:r>
                              <w:t>y</w:t>
                            </w:r>
                            <w:r w:rsidR="00BA3F61">
                              <w:t xml:space="preserve"> </w:t>
                            </w:r>
                            <w:r w:rsidR="00F31C54">
                              <w:t>wolnych miejsc pracy</w:t>
                            </w:r>
                            <w:r w:rsidR="00BA3F61">
                              <w:t xml:space="preserve"> w porównaniu do </w:t>
                            </w:r>
                            <w:r w:rsidR="00BA3F61" w:rsidRPr="00A2038A">
                              <w:rPr>
                                <w:rFonts w:eastAsia="Times New Roman" w:cs="Times New Roman"/>
                                <w:spacing w:val="-2"/>
                              </w:rPr>
                              <w:t>IV kwartału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2" o:spid="_x0000_s1027" type="#_x0000_t202" style="position:absolute;margin-left:.2pt;margin-top:7pt;width:132.45pt;height:121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" fillcolor="#001d77" stroked="f">
                <v:textbox>
                  <w:txbxContent>
                    <w:p w:rsidR="00AB17EC" w:rsidRPr="00E91E58" w:rsidRDefault="00AB17EC" w:rsidP="00F46A4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E91E58">
                        <w:rPr>
                          <w:b/>
                          <w:noProof/>
                          <w:color w:val="92D050"/>
                          <w:sz w:val="72"/>
                          <w:szCs w:val="72"/>
                          <w:lang w:eastAsia="pl-PL"/>
                        </w:rPr>
                        <w:t>↑</w:t>
                      </w:r>
                      <w:r w:rsidR="00BA3F6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2,3%</w:t>
                      </w:r>
                    </w:p>
                    <w:p w:rsidR="00F46A47" w:rsidRDefault="00F46A47" w:rsidP="00486591">
                      <w:pPr>
                        <w:pStyle w:val="tekstnaniebieskimtle"/>
                      </w:pPr>
                    </w:p>
                    <w:p w:rsidR="000F261D" w:rsidRPr="00074DD8" w:rsidRDefault="00F46A47" w:rsidP="0048659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BA3F61">
                        <w:t xml:space="preserve"> liczb</w:t>
                      </w:r>
                      <w:r>
                        <w:t>y</w:t>
                      </w:r>
                      <w:r w:rsidR="00BA3F61">
                        <w:t xml:space="preserve"> </w:t>
                      </w:r>
                      <w:r w:rsidR="00F31C54">
                        <w:t>wolnych miejsc pracy</w:t>
                      </w:r>
                      <w:r w:rsidR="00BA3F61">
                        <w:t xml:space="preserve"> w porównaniu do </w:t>
                      </w:r>
                      <w:r w:rsidR="00BA3F61" w:rsidRPr="00A2038A">
                        <w:rPr>
                          <w:rFonts w:eastAsia="Times New Roman" w:cs="Times New Roman"/>
                          <w:spacing w:val="-2"/>
                        </w:rPr>
                        <w:t>IV kwartału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591" w:rsidRPr="00A2038A">
        <w:rPr>
          <w:rFonts w:eastAsia="Times New Roman" w:cs="Times New Roman"/>
          <w:spacing w:val="-2"/>
        </w:rPr>
        <w:t xml:space="preserve">W końcu I kwartału 2019 r. liczba wolnych miejsc pracy </w:t>
      </w:r>
      <w:r w:rsidR="00174BD2" w:rsidRPr="00A2038A">
        <w:rPr>
          <w:rFonts w:eastAsia="Times New Roman" w:cs="Times New Roman"/>
          <w:spacing w:val="-2"/>
        </w:rPr>
        <w:br/>
      </w:r>
      <w:r w:rsidR="001C26DF" w:rsidRPr="00A2038A">
        <w:rPr>
          <w:rFonts w:eastAsia="Times New Roman" w:cs="Times New Roman"/>
          <w:spacing w:val="-2"/>
        </w:rPr>
        <w:t xml:space="preserve">w </w:t>
      </w:r>
      <w:r w:rsidR="00F36C52" w:rsidRPr="00A2038A">
        <w:rPr>
          <w:rFonts w:eastAsia="Times New Roman" w:cs="Times New Roman"/>
          <w:spacing w:val="-2"/>
        </w:rPr>
        <w:t>jednostkach</w:t>
      </w:r>
      <w:r w:rsidR="001C26DF" w:rsidRPr="00A2038A">
        <w:rPr>
          <w:rFonts w:eastAsia="Times New Roman" w:cs="Times New Roman"/>
          <w:spacing w:val="-2"/>
        </w:rPr>
        <w:t xml:space="preserve"> zatrudniających co najmniej 1 osobę wynosiła 142,5 tys</w:t>
      </w:r>
      <w:r w:rsidR="00486591" w:rsidRPr="00A2038A">
        <w:rPr>
          <w:rFonts w:eastAsia="Times New Roman" w:cs="Times New Roman"/>
          <w:spacing w:val="-2"/>
        </w:rPr>
        <w:t>. i była większa niż</w:t>
      </w:r>
      <w:r w:rsidR="002E3A70" w:rsidRPr="00A2038A">
        <w:rPr>
          <w:rFonts w:eastAsia="Times New Roman" w:cs="Times New Roman"/>
          <w:spacing w:val="-2"/>
        </w:rPr>
        <w:t xml:space="preserve"> w końcu IV kwartału 2018 r</w:t>
      </w:r>
      <w:r w:rsidR="000F3032" w:rsidRPr="00A2038A">
        <w:rPr>
          <w:rFonts w:eastAsia="Times New Roman" w:cs="Times New Roman"/>
          <w:spacing w:val="-2"/>
        </w:rPr>
        <w:t>.</w:t>
      </w:r>
      <w:r w:rsidR="00120846" w:rsidRPr="00A2038A">
        <w:rPr>
          <w:rFonts w:eastAsia="Times New Roman" w:cs="Times New Roman"/>
          <w:spacing w:val="-2"/>
        </w:rPr>
        <w:br/>
      </w:r>
      <w:r w:rsidR="00486591" w:rsidRPr="00A2038A">
        <w:rPr>
          <w:rFonts w:eastAsia="Times New Roman" w:cs="Times New Roman"/>
          <w:spacing w:val="-2"/>
        </w:rPr>
        <w:t xml:space="preserve">o 3,3 tys., tj. o 2,3%. W porównaniu z końcem I kwartału 2018 r. liczba wolnych miejsc pracy była mniejsza o 10,0 tys., tj. o 6,5%. Pod koniec I kwartału 2019 r. nieobsadzonych </w:t>
      </w:r>
      <w:r w:rsidR="00120846" w:rsidRPr="00A2038A">
        <w:rPr>
          <w:rFonts w:eastAsia="Times New Roman" w:cs="Times New Roman"/>
          <w:spacing w:val="-2"/>
        </w:rPr>
        <w:br/>
      </w:r>
      <w:r w:rsidR="00486591" w:rsidRPr="00A2038A">
        <w:rPr>
          <w:rFonts w:eastAsia="Times New Roman" w:cs="Times New Roman"/>
          <w:spacing w:val="-2"/>
        </w:rPr>
        <w:t xml:space="preserve">było jeszcze 30,7 tys. nowo utworzonych miejsc pracy. </w:t>
      </w:r>
      <w:r w:rsidR="00120846" w:rsidRPr="00A2038A">
        <w:rPr>
          <w:rFonts w:eastAsia="Times New Roman" w:cs="Times New Roman"/>
          <w:spacing w:val="-2"/>
        </w:rPr>
        <w:br/>
      </w:r>
      <w:r w:rsidR="00486591" w:rsidRPr="00A2038A">
        <w:rPr>
          <w:rFonts w:eastAsia="Times New Roman" w:cs="Times New Roman"/>
          <w:spacing w:val="-2"/>
        </w:rPr>
        <w:t>W I kwartale 2019 r. było o 1,7% więcej nowych miejsc pracy niż rok wcześniej. Ponadto, zlikwidowano o 21,2% więcej miejsc pracy niż w poprzednim kwartale oraz o 0,9% więcej</w:t>
      </w:r>
      <w:r w:rsidR="00486591" w:rsidRPr="00174BD2">
        <w:rPr>
          <w:rFonts w:eastAsia="Times New Roman" w:cs="Times New Roman"/>
          <w:spacing w:val="-2"/>
        </w:rPr>
        <w:t xml:space="preserve"> niż w I kwartale 2018 r.</w:t>
      </w:r>
    </w:p>
    <w:p w:rsidR="00D64299" w:rsidRPr="00174BD2" w:rsidRDefault="00D64299" w:rsidP="00C9708C">
      <w:pPr>
        <w:pStyle w:val="LID"/>
        <w:spacing w:before="0" w:after="0"/>
        <w:rPr>
          <w:spacing w:val="-2"/>
        </w:rPr>
      </w:pPr>
    </w:p>
    <w:p w:rsidR="00AB17EC" w:rsidRPr="00A73BE9" w:rsidRDefault="00BA3F61" w:rsidP="00AB17EC">
      <w:pPr>
        <w:rPr>
          <w:color w:val="000000" w:themeColor="text1"/>
        </w:rPr>
      </w:pPr>
      <w:r w:rsidRPr="006D4ED6">
        <w:rPr>
          <w:color w:val="000000" w:themeColor="text1"/>
        </w:rPr>
        <w:t xml:space="preserve">Badanie popytu na pracę realizowane jest </w:t>
      </w:r>
      <w:r>
        <w:rPr>
          <w:color w:val="000000" w:themeColor="text1"/>
        </w:rPr>
        <w:t>metodą reprezentacyjną</w:t>
      </w:r>
      <w:r w:rsidRPr="006D4ED6">
        <w:rPr>
          <w:color w:val="000000" w:themeColor="text1"/>
        </w:rPr>
        <w:t xml:space="preserve"> z częstotliwością kwartalną na formularzu Z-05</w:t>
      </w:r>
      <w:r>
        <w:rPr>
          <w:color w:val="000000" w:themeColor="text1"/>
        </w:rPr>
        <w:t>.</w:t>
      </w:r>
      <w:r w:rsidR="00574BBD">
        <w:rPr>
          <w:color w:val="000000" w:themeColor="text1"/>
        </w:rPr>
        <w:t xml:space="preserve"> </w:t>
      </w:r>
      <w:r>
        <w:rPr>
          <w:color w:val="000000" w:themeColor="text1"/>
        </w:rPr>
        <w:t>Obejmuje ono</w:t>
      </w:r>
      <w:r w:rsidRPr="006D4ED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jednostki </w:t>
      </w:r>
      <w:r w:rsidRPr="006D4ED6">
        <w:rPr>
          <w:color w:val="000000" w:themeColor="text1"/>
        </w:rPr>
        <w:t>zatrudniając</w:t>
      </w:r>
      <w:r>
        <w:rPr>
          <w:color w:val="000000" w:themeColor="text1"/>
        </w:rPr>
        <w:t>e</w:t>
      </w:r>
      <w:r w:rsidRPr="006D4ED6">
        <w:rPr>
          <w:color w:val="000000" w:themeColor="text1"/>
        </w:rPr>
        <w:t xml:space="preserve"> przynajmniej 1 osobę. </w:t>
      </w:r>
      <w:r w:rsidRPr="003A5D40">
        <w:rPr>
          <w:color w:val="000000" w:themeColor="text1"/>
        </w:rPr>
        <w:t>Pod pojęciem jednost</w:t>
      </w:r>
      <w:r>
        <w:rPr>
          <w:color w:val="000000" w:themeColor="text1"/>
        </w:rPr>
        <w:t>ek</w:t>
      </w:r>
      <w:r w:rsidRPr="003A5D40">
        <w:rPr>
          <w:color w:val="000000" w:themeColor="text1"/>
        </w:rPr>
        <w:t xml:space="preserve"> rozumie się podmiot</w:t>
      </w:r>
      <w:r>
        <w:rPr>
          <w:color w:val="000000" w:themeColor="text1"/>
        </w:rPr>
        <w:t>y gospodarki narodowej lub ich</w:t>
      </w:r>
      <w:r w:rsidRPr="003A5D40">
        <w:rPr>
          <w:color w:val="000000" w:themeColor="text1"/>
        </w:rPr>
        <w:t xml:space="preserve"> jednostk</w:t>
      </w:r>
      <w:r>
        <w:rPr>
          <w:color w:val="000000" w:themeColor="text1"/>
        </w:rPr>
        <w:t>i</w:t>
      </w:r>
      <w:r w:rsidRPr="003A5D40">
        <w:rPr>
          <w:color w:val="000000" w:themeColor="text1"/>
        </w:rPr>
        <w:t xml:space="preserve"> lokaln</w:t>
      </w:r>
      <w:r>
        <w:rPr>
          <w:color w:val="000000" w:themeColor="text1"/>
        </w:rPr>
        <w:t>e.</w:t>
      </w:r>
    </w:p>
    <w:tbl>
      <w:tblPr>
        <w:tblStyle w:val="Tabela-Siatka"/>
        <w:tblpPr w:leftFromText="141" w:rightFromText="141" w:vertAnchor="text" w:horzAnchor="margin" w:tblpY="4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55"/>
        <w:gridCol w:w="1555"/>
        <w:gridCol w:w="1555"/>
      </w:tblGrid>
      <w:tr w:rsidR="00B70E06" w:rsidRPr="00DC070D" w:rsidTr="00B70E06">
        <w:trPr>
          <w:trHeight w:val="231"/>
        </w:trPr>
        <w:tc>
          <w:tcPr>
            <w:tcW w:w="3402" w:type="dxa"/>
            <w:vMerge w:val="restart"/>
            <w:tcBorders>
              <w:top w:val="nil"/>
              <w:right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MIEJSCA PRACY</w:t>
            </w:r>
          </w:p>
        </w:tc>
        <w:tc>
          <w:tcPr>
            <w:tcW w:w="3110" w:type="dxa"/>
            <w:gridSpan w:val="2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:rsidR="00B70E06" w:rsidRPr="00DC070D" w:rsidRDefault="00B70E06" w:rsidP="009E697F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2018</w:t>
            </w:r>
          </w:p>
        </w:tc>
        <w:tc>
          <w:tcPr>
            <w:tcW w:w="1555" w:type="dxa"/>
            <w:tcBorders>
              <w:top w:val="nil"/>
              <w:left w:val="single" w:sz="4" w:space="0" w:color="001D77"/>
            </w:tcBorders>
            <w:vAlign w:val="center"/>
          </w:tcPr>
          <w:p w:rsidR="00B70E06" w:rsidRPr="00DC070D" w:rsidRDefault="00B70E06" w:rsidP="00486591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2019</w:t>
            </w:r>
          </w:p>
        </w:tc>
      </w:tr>
      <w:tr w:rsidR="00B70E06" w:rsidRPr="00DC070D" w:rsidTr="00B70E06">
        <w:trPr>
          <w:trHeight w:val="231"/>
        </w:trPr>
        <w:tc>
          <w:tcPr>
            <w:tcW w:w="3402" w:type="dxa"/>
            <w:vMerge/>
            <w:tcBorders>
              <w:bottom w:val="single" w:sz="12" w:space="0" w:color="001D77"/>
              <w:right w:val="single" w:sz="4" w:space="0" w:color="001D77"/>
            </w:tcBorders>
            <w:vAlign w:val="center"/>
          </w:tcPr>
          <w:p w:rsidR="00B70E06" w:rsidRDefault="00B70E06" w:rsidP="00B70E06">
            <w:pPr>
              <w:spacing w:before="40" w:after="4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B70E06" w:rsidRDefault="00B70E06" w:rsidP="000B3C05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I kwartał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:rsidR="00B70E06" w:rsidRDefault="00B70E06" w:rsidP="009E697F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IV kwartał</w:t>
            </w:r>
          </w:p>
        </w:tc>
        <w:tc>
          <w:tcPr>
            <w:tcW w:w="1555" w:type="dxa"/>
            <w:tcBorders>
              <w:left w:val="single" w:sz="4" w:space="0" w:color="001D77"/>
              <w:bottom w:val="single" w:sz="12" w:space="0" w:color="001D77"/>
            </w:tcBorders>
            <w:vAlign w:val="center"/>
          </w:tcPr>
          <w:p w:rsidR="00B70E06" w:rsidRDefault="00B70E06" w:rsidP="00486591">
            <w:pPr>
              <w:spacing w:before="40" w:after="40"/>
              <w:jc w:val="center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I kwartał</w:t>
            </w:r>
          </w:p>
        </w:tc>
      </w:tr>
      <w:tr w:rsidR="00B70E06" w:rsidRPr="00DC070D" w:rsidTr="00CD048E">
        <w:tc>
          <w:tcPr>
            <w:tcW w:w="8067" w:type="dxa"/>
            <w:gridSpan w:val="4"/>
            <w:tcBorders>
              <w:top w:val="single" w:sz="12" w:space="0" w:color="001D77"/>
              <w:bottom w:val="single" w:sz="4" w:space="0" w:color="001D77"/>
            </w:tcBorders>
          </w:tcPr>
          <w:p w:rsidR="00B70E06" w:rsidRPr="002A6E74" w:rsidRDefault="00B70E06" w:rsidP="00B70E06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końcu kwartału</w:t>
            </w:r>
          </w:p>
        </w:tc>
      </w:tr>
      <w:tr w:rsidR="00183F65" w:rsidRPr="00DC070D" w:rsidTr="00B70E06">
        <w:tc>
          <w:tcPr>
            <w:tcW w:w="3402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183F65" w:rsidRPr="00183F65" w:rsidRDefault="00B70E06" w:rsidP="00B70E06">
            <w:pPr>
              <w:spacing w:before="40" w:after="40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Wolne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83F65" w:rsidRPr="00183F65" w:rsidRDefault="00183F65" w:rsidP="00183F65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152414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83F65" w:rsidRPr="00183F65" w:rsidRDefault="00183F65" w:rsidP="00183F65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139193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183F65" w:rsidRPr="00183F65" w:rsidRDefault="00183F65" w:rsidP="00183F65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142458</w:t>
            </w:r>
          </w:p>
        </w:tc>
      </w:tr>
      <w:tr w:rsidR="00183F65" w:rsidRPr="00DC070D" w:rsidTr="00B70E06">
        <w:tc>
          <w:tcPr>
            <w:tcW w:w="3402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183F65" w:rsidRPr="00DC070D" w:rsidRDefault="00B70E06" w:rsidP="00B70E06">
            <w:pPr>
              <w:spacing w:before="40" w:after="40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Wolne nowo utworzone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83F65" w:rsidRPr="00DC070D" w:rsidRDefault="00183F65" w:rsidP="00183F65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37135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83F65" w:rsidRPr="00DC070D" w:rsidRDefault="00183F65" w:rsidP="00183F65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29891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183F65" w:rsidRPr="00DC070D" w:rsidRDefault="00183F65" w:rsidP="00183F65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30705</w:t>
            </w:r>
          </w:p>
        </w:tc>
      </w:tr>
      <w:tr w:rsidR="00B70E06" w:rsidRPr="00DC070D" w:rsidTr="00A44334">
        <w:tc>
          <w:tcPr>
            <w:tcW w:w="8067" w:type="dxa"/>
            <w:gridSpan w:val="4"/>
            <w:tcBorders>
              <w:top w:val="single" w:sz="4" w:space="0" w:color="001D77"/>
              <w:bottom w:val="single" w:sz="4" w:space="0" w:color="001D77"/>
            </w:tcBorders>
          </w:tcPr>
          <w:p w:rsidR="00B70E06" w:rsidRPr="002A6E74" w:rsidRDefault="00B70E06" w:rsidP="00B70E06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kwartale</w:t>
            </w:r>
          </w:p>
        </w:tc>
      </w:tr>
      <w:tr w:rsidR="00B70E06" w:rsidRPr="00DC070D" w:rsidTr="00B70E06">
        <w:tc>
          <w:tcPr>
            <w:tcW w:w="3402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B70E06" w:rsidRPr="00DC070D" w:rsidRDefault="00B70E06" w:rsidP="00B70E06">
            <w:pPr>
              <w:spacing w:before="40" w:after="40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Nowo utworzone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258031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124511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262339</w:t>
            </w:r>
          </w:p>
        </w:tc>
      </w:tr>
      <w:tr w:rsidR="00B70E06" w:rsidRPr="00DC070D" w:rsidTr="00B70E06">
        <w:tc>
          <w:tcPr>
            <w:tcW w:w="3402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B70E06" w:rsidRPr="00DC070D" w:rsidRDefault="00B70E06" w:rsidP="00B70E06">
            <w:pPr>
              <w:spacing w:before="40" w:after="40"/>
              <w:rPr>
                <w:rFonts w:cs="FiraSans-Bold"/>
                <w:bCs/>
                <w:sz w:val="16"/>
                <w:szCs w:val="16"/>
              </w:rPr>
            </w:pPr>
            <w:r>
              <w:rPr>
                <w:rFonts w:cs="FiraSans-Bold"/>
                <w:bCs/>
                <w:sz w:val="16"/>
                <w:szCs w:val="16"/>
              </w:rPr>
              <w:t>Zlikwidowane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87917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73210</w:t>
            </w:r>
          </w:p>
        </w:tc>
        <w:tc>
          <w:tcPr>
            <w:tcW w:w="15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B70E06" w:rsidRPr="00DC070D" w:rsidRDefault="00B70E06" w:rsidP="00B70E06">
            <w:pPr>
              <w:spacing w:before="40" w:after="40"/>
              <w:jc w:val="right"/>
              <w:rPr>
                <w:rFonts w:cs="FiraSans-Bold"/>
                <w:bCs/>
                <w:sz w:val="16"/>
                <w:szCs w:val="16"/>
              </w:rPr>
            </w:pPr>
            <w:r w:rsidRPr="002A6E74">
              <w:rPr>
                <w:sz w:val="16"/>
                <w:szCs w:val="16"/>
              </w:rPr>
              <w:t>88727</w:t>
            </w:r>
          </w:p>
        </w:tc>
      </w:tr>
    </w:tbl>
    <w:p w:rsidR="00486591" w:rsidRPr="00F65A79" w:rsidRDefault="00486591" w:rsidP="00A73BE9">
      <w:pPr>
        <w:rPr>
          <w:rFonts w:cs="FiraSans-Bold"/>
          <w:b/>
          <w:bCs/>
          <w:sz w:val="18"/>
          <w:szCs w:val="18"/>
        </w:rPr>
      </w:pPr>
      <w:r w:rsidRPr="00F65A79">
        <w:rPr>
          <w:rFonts w:cs="FiraSans-Bold"/>
          <w:b/>
          <w:bCs/>
          <w:sz w:val="18"/>
          <w:szCs w:val="18"/>
        </w:rPr>
        <w:t>Tablica 1. Podstawowe wyniki badania</w:t>
      </w:r>
    </w:p>
    <w:p w:rsidR="00082C6D" w:rsidRDefault="00082C6D" w:rsidP="00486591">
      <w:pPr>
        <w:autoSpaceDE w:val="0"/>
        <w:autoSpaceDN w:val="0"/>
        <w:adjustRightInd w:val="0"/>
        <w:rPr>
          <w:rFonts w:cs="FiraSans-Regular"/>
          <w:szCs w:val="19"/>
        </w:rPr>
      </w:pPr>
    </w:p>
    <w:p w:rsidR="00183F65" w:rsidRDefault="00742FFD" w:rsidP="00F65A79">
      <w:pPr>
        <w:pStyle w:val="tytuwykresu"/>
      </w:pPr>
      <w: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208280</wp:posOffset>
            </wp:positionV>
            <wp:extent cx="5003800" cy="2299335"/>
            <wp:effectExtent l="0" t="0" r="6350" b="57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F65A79">
        <w:t xml:space="preserve">Wykres 1. </w:t>
      </w:r>
      <w:r w:rsidR="00183F65">
        <w:t>Nowo utworzone i zlikwidowane miejsca pracy według kwartałów</w:t>
      </w:r>
    </w:p>
    <w:p w:rsidR="00174BD2" w:rsidRDefault="00174BD2" w:rsidP="00D64299">
      <w:pPr>
        <w:spacing w:before="0" w:after="0"/>
        <w:rPr>
          <w:rFonts w:eastAsia="Times New Roman" w:cs="Times New Roman"/>
          <w:spacing w:val="2"/>
          <w:szCs w:val="19"/>
          <w:lang w:eastAsia="pl-PL"/>
        </w:rPr>
      </w:pPr>
    </w:p>
    <w:p w:rsidR="00183F65" w:rsidRDefault="00DB2F8B" w:rsidP="00183F65">
      <w:pPr>
        <w:rPr>
          <w:rFonts w:eastAsia="Times New Roman" w:cs="Times New Roman"/>
          <w:szCs w:val="19"/>
          <w:lang w:eastAsia="pl-PL"/>
        </w:rPr>
      </w:pPr>
      <w:r w:rsidRPr="00D449C2">
        <w:rPr>
          <w:rFonts w:eastAsia="Times New Roman" w:cs="Times New Roman"/>
          <w:spacing w:val="2"/>
          <w:szCs w:val="19"/>
          <w:lang w:eastAsia="pl-PL"/>
        </w:rPr>
        <w:t>Na wzrost lub</w:t>
      </w:r>
      <w:r>
        <w:rPr>
          <w:rFonts w:eastAsia="Times New Roman" w:cs="Times New Roman"/>
          <w:spacing w:val="2"/>
          <w:szCs w:val="19"/>
          <w:lang w:eastAsia="pl-PL"/>
        </w:rPr>
        <w:t xml:space="preserve"> spadek liczby nowo utworzonych </w:t>
      </w:r>
      <w:r w:rsidRPr="00D449C2">
        <w:rPr>
          <w:rFonts w:eastAsia="Times New Roman" w:cs="Times New Roman"/>
          <w:spacing w:val="2"/>
          <w:szCs w:val="19"/>
          <w:lang w:eastAsia="pl-PL"/>
        </w:rPr>
        <w:t>i zlikwidowanych miejsc pracy</w:t>
      </w:r>
      <w:r w:rsidR="006E088F">
        <w:rPr>
          <w:rFonts w:eastAsia="Times New Roman" w:cs="Times New Roman"/>
          <w:spacing w:val="2"/>
          <w:szCs w:val="19"/>
          <w:lang w:eastAsia="pl-PL"/>
        </w:rPr>
        <w:t xml:space="preserve"> wpływ</w:t>
      </w:r>
      <w:r w:rsidRPr="00D449C2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>ma sytuacja gospodarcza.</w:t>
      </w:r>
      <w:r w:rsidRPr="00D449C2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Z analizy </w:t>
      </w:r>
      <w:r>
        <w:rPr>
          <w:rFonts w:eastAsia="Times New Roman" w:cs="Times New Roman"/>
          <w:spacing w:val="2"/>
          <w:szCs w:val="19"/>
          <w:lang w:eastAsia="pl-PL"/>
        </w:rPr>
        <w:t>prezentowanego szeregu danych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wynika,</w:t>
      </w:r>
      <w:r>
        <w:rPr>
          <w:rFonts w:eastAsia="Times New Roman" w:cs="Times New Roman"/>
          <w:spacing w:val="2"/>
          <w:szCs w:val="19"/>
          <w:lang w:eastAsia="pl-PL"/>
        </w:rPr>
        <w:t xml:space="preserve"> że w Polsce</w:t>
      </w:r>
      <w:r w:rsidRPr="00A042E6">
        <w:rPr>
          <w:rFonts w:eastAsia="Times New Roman" w:cs="Times New Roman"/>
          <w:spacing w:val="2"/>
          <w:szCs w:val="19"/>
          <w:lang w:eastAsia="pl-PL"/>
        </w:rPr>
        <w:t xml:space="preserve"> </w:t>
      </w:r>
      <w:r>
        <w:rPr>
          <w:rFonts w:eastAsia="Times New Roman" w:cs="Times New Roman"/>
          <w:spacing w:val="2"/>
          <w:szCs w:val="19"/>
          <w:lang w:eastAsia="pl-PL"/>
        </w:rPr>
        <w:t xml:space="preserve">tworzenie i likwidowanie miejsc pracy ma charakter sezonowy. </w:t>
      </w:r>
      <w:r w:rsidR="009053E8" w:rsidRPr="009053E8">
        <w:rPr>
          <w:rFonts w:eastAsia="Times New Roman" w:cs="Times New Roman"/>
          <w:spacing w:val="2"/>
          <w:szCs w:val="19"/>
          <w:lang w:eastAsia="pl-PL"/>
        </w:rPr>
        <w:t xml:space="preserve">W przypadku miejsc pracy nowo tworzonych ich liczba była największa w pierwszych kwartałach, a najmniejsza </w:t>
      </w:r>
      <w:r w:rsidR="00BA3F61">
        <w:rPr>
          <w:rFonts w:eastAsia="Times New Roman" w:cs="Times New Roman"/>
          <w:spacing w:val="2"/>
          <w:szCs w:val="19"/>
          <w:lang w:eastAsia="pl-PL"/>
        </w:rPr>
        <w:t>zazwyczaj</w:t>
      </w:r>
      <w:r w:rsidR="00B70E06">
        <w:rPr>
          <w:rFonts w:eastAsia="Times New Roman" w:cs="Times New Roman"/>
          <w:spacing w:val="2"/>
          <w:szCs w:val="19"/>
          <w:lang w:eastAsia="pl-PL"/>
        </w:rPr>
        <w:t xml:space="preserve"> </w:t>
      </w:r>
      <w:r w:rsidR="009053E8" w:rsidRPr="009053E8">
        <w:rPr>
          <w:rFonts w:eastAsia="Times New Roman" w:cs="Times New Roman"/>
          <w:spacing w:val="2"/>
          <w:szCs w:val="19"/>
          <w:lang w:eastAsia="pl-PL"/>
        </w:rPr>
        <w:t>w czwartych.</w:t>
      </w:r>
      <w:r>
        <w:rPr>
          <w:rFonts w:eastAsia="Times New Roman" w:cs="Times New Roman"/>
          <w:spacing w:val="2"/>
          <w:szCs w:val="19"/>
          <w:lang w:eastAsia="pl-PL"/>
        </w:rPr>
        <w:t xml:space="preserve"> Relacja pomiędzy tymi wielkościami była największa w 2018 r. Sezono</w:t>
      </w:r>
      <w:r>
        <w:rPr>
          <w:rFonts w:eastAsia="Times New Roman" w:cs="Times New Roman"/>
          <w:spacing w:val="2"/>
          <w:szCs w:val="19"/>
          <w:lang w:eastAsia="pl-PL"/>
        </w:rPr>
        <w:lastRenderedPageBreak/>
        <w:t>wość charakteryzowała także zlikwidowane miejsca pracy. Przy czym zwykle najwięcej zlikwidowanych miejsc pracy wskazywano w pierwszym kwartale, najmniejsze zaś wart</w:t>
      </w:r>
      <w:r w:rsidR="00B53063">
        <w:rPr>
          <w:rFonts w:eastAsia="Times New Roman" w:cs="Times New Roman"/>
          <w:spacing w:val="2"/>
          <w:szCs w:val="19"/>
          <w:lang w:eastAsia="pl-PL"/>
        </w:rPr>
        <w:t xml:space="preserve">ości tego zjawiska występowały </w:t>
      </w:r>
      <w:r>
        <w:rPr>
          <w:rFonts w:eastAsia="Times New Roman" w:cs="Times New Roman"/>
          <w:spacing w:val="2"/>
          <w:szCs w:val="19"/>
          <w:lang w:eastAsia="pl-PL"/>
        </w:rPr>
        <w:t xml:space="preserve">w różnych kwartałach poszczególnych lat. Należy ponadto zauważyć, że od 2010 r. różnica pomiędzy zlikwidowanymi i nowo utworzonymi miejscami pracy systematycznie rośnie. </w:t>
      </w:r>
      <w:r>
        <w:rPr>
          <w:rFonts w:eastAsia="Times New Roman" w:cs="Times New Roman"/>
          <w:spacing w:val="2"/>
          <w:szCs w:val="19"/>
          <w:lang w:eastAsia="pl-PL"/>
        </w:rPr>
        <w:br/>
      </w:r>
      <w:r>
        <w:rPr>
          <w:rFonts w:eastAsia="Times New Roman" w:cs="Times New Roman"/>
          <w:szCs w:val="19"/>
          <w:lang w:eastAsia="pl-PL"/>
        </w:rPr>
        <w:t xml:space="preserve">Z badania </w:t>
      </w:r>
      <w:r w:rsidRPr="00603E30">
        <w:rPr>
          <w:rFonts w:eastAsia="Times New Roman" w:cs="Times New Roman"/>
          <w:szCs w:val="19"/>
          <w:lang w:eastAsia="pl-PL"/>
        </w:rPr>
        <w:t xml:space="preserve">popytu na pracę za I kwartał 2019 r. </w:t>
      </w:r>
      <w:r>
        <w:rPr>
          <w:rFonts w:eastAsia="Times New Roman" w:cs="Times New Roman"/>
          <w:szCs w:val="19"/>
          <w:lang w:eastAsia="pl-PL"/>
        </w:rPr>
        <w:t xml:space="preserve">wynika, że spośród </w:t>
      </w:r>
      <w:r w:rsidRPr="00603E30">
        <w:rPr>
          <w:rFonts w:eastAsia="Times New Roman" w:cs="Times New Roman"/>
          <w:szCs w:val="19"/>
          <w:lang w:eastAsia="pl-PL"/>
        </w:rPr>
        <w:t xml:space="preserve">788,2 tys. </w:t>
      </w:r>
      <w:r w:rsidR="00F36C52">
        <w:rPr>
          <w:rFonts w:eastAsia="Times New Roman" w:cs="Times New Roman"/>
          <w:szCs w:val="19"/>
          <w:lang w:eastAsia="pl-PL"/>
        </w:rPr>
        <w:t>jednostek</w:t>
      </w:r>
      <w:r w:rsidRPr="00603E30">
        <w:rPr>
          <w:rFonts w:eastAsia="Times New Roman" w:cs="Times New Roman"/>
          <w:szCs w:val="19"/>
          <w:lang w:eastAsia="pl-PL"/>
        </w:rPr>
        <w:t xml:space="preserve">, </w:t>
      </w:r>
      <w:r>
        <w:rPr>
          <w:rFonts w:eastAsia="Times New Roman" w:cs="Times New Roman"/>
          <w:szCs w:val="19"/>
          <w:lang w:eastAsia="pl-PL"/>
        </w:rPr>
        <w:br/>
        <w:t>większość, bo</w:t>
      </w:r>
      <w:r w:rsidRPr="00603E30">
        <w:rPr>
          <w:rFonts w:eastAsia="Times New Roman" w:cs="Times New Roman"/>
          <w:szCs w:val="19"/>
          <w:lang w:eastAsia="pl-PL"/>
        </w:rPr>
        <w:t xml:space="preserve"> 91,2% stanowiły </w:t>
      </w:r>
      <w:r w:rsidR="00F36C52">
        <w:rPr>
          <w:rFonts w:eastAsia="Times New Roman" w:cs="Times New Roman"/>
          <w:szCs w:val="19"/>
          <w:lang w:eastAsia="pl-PL"/>
        </w:rPr>
        <w:t>jednostki</w:t>
      </w:r>
      <w:r w:rsidRPr="00603E30">
        <w:rPr>
          <w:rFonts w:eastAsia="Times New Roman" w:cs="Times New Roman"/>
          <w:szCs w:val="19"/>
          <w:lang w:eastAsia="pl-PL"/>
        </w:rPr>
        <w:t xml:space="preserve"> sektora prywatnego</w:t>
      </w:r>
      <w:r>
        <w:rPr>
          <w:rFonts w:eastAsia="Times New Roman" w:cs="Times New Roman"/>
          <w:szCs w:val="19"/>
          <w:lang w:eastAsia="pl-PL"/>
        </w:rPr>
        <w:t>. Pod względem wielkości wyrażonej liczbą pracujących</w:t>
      </w:r>
      <w:r w:rsidRPr="00603E30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przeważały </w:t>
      </w:r>
      <w:r w:rsidR="00F36C52">
        <w:rPr>
          <w:rFonts w:eastAsia="Times New Roman" w:cs="Times New Roman"/>
          <w:szCs w:val="19"/>
          <w:lang w:eastAsia="pl-PL"/>
        </w:rPr>
        <w:t xml:space="preserve">jednostki </w:t>
      </w:r>
      <w:r w:rsidR="00F46A47">
        <w:rPr>
          <w:rFonts w:eastAsia="Times New Roman" w:cs="Times New Roman"/>
          <w:szCs w:val="19"/>
          <w:lang w:eastAsia="pl-PL"/>
        </w:rPr>
        <w:t xml:space="preserve">w </w:t>
      </w:r>
      <w:r>
        <w:rPr>
          <w:rFonts w:eastAsia="Times New Roman" w:cs="Times New Roman"/>
          <w:szCs w:val="19"/>
          <w:lang w:eastAsia="pl-PL"/>
        </w:rPr>
        <w:t xml:space="preserve">których pracowało </w:t>
      </w:r>
      <w:r w:rsidRPr="00603E30">
        <w:rPr>
          <w:rFonts w:eastAsia="Times New Roman" w:cs="Times New Roman"/>
          <w:szCs w:val="19"/>
          <w:lang w:eastAsia="pl-PL"/>
        </w:rPr>
        <w:t>do 9 osób</w:t>
      </w:r>
      <w:r>
        <w:rPr>
          <w:rFonts w:eastAsia="Times New Roman" w:cs="Times New Roman"/>
          <w:szCs w:val="19"/>
          <w:lang w:eastAsia="pl-PL"/>
        </w:rPr>
        <w:t xml:space="preserve"> (</w:t>
      </w:r>
      <w:r w:rsidRPr="00603E30">
        <w:rPr>
          <w:rFonts w:eastAsia="Times New Roman" w:cs="Times New Roman"/>
          <w:szCs w:val="19"/>
          <w:lang w:eastAsia="pl-PL"/>
        </w:rPr>
        <w:t>69,1%</w:t>
      </w:r>
      <w:r>
        <w:rPr>
          <w:rFonts w:eastAsia="Times New Roman" w:cs="Times New Roman"/>
          <w:szCs w:val="19"/>
          <w:lang w:eastAsia="pl-PL"/>
        </w:rPr>
        <w:t>)</w:t>
      </w:r>
      <w:r w:rsidRPr="00603E30">
        <w:rPr>
          <w:rFonts w:eastAsia="Times New Roman" w:cs="Times New Roman"/>
          <w:szCs w:val="19"/>
          <w:lang w:eastAsia="pl-PL"/>
        </w:rPr>
        <w:t xml:space="preserve">. </w:t>
      </w:r>
      <w:r w:rsidR="00C9708C">
        <w:rPr>
          <w:rFonts w:eastAsia="Times New Roman" w:cs="Times New Roman"/>
          <w:szCs w:val="19"/>
          <w:lang w:eastAsia="pl-PL"/>
        </w:rPr>
        <w:br/>
      </w:r>
      <w:r>
        <w:rPr>
          <w:rFonts w:eastAsia="Times New Roman" w:cs="Times New Roman"/>
          <w:szCs w:val="19"/>
          <w:lang w:eastAsia="pl-PL"/>
        </w:rPr>
        <w:t>W</w:t>
      </w:r>
      <w:r w:rsidRPr="00336FB1">
        <w:rPr>
          <w:rFonts w:eastAsia="Times New Roman" w:cs="Times New Roman"/>
          <w:szCs w:val="19"/>
          <w:lang w:eastAsia="pl-PL"/>
        </w:rPr>
        <w:t xml:space="preserve"> końcu I kwartału br.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336FB1">
        <w:rPr>
          <w:rFonts w:eastAsia="Times New Roman" w:cs="Times New Roman"/>
          <w:szCs w:val="19"/>
          <w:lang w:eastAsia="pl-PL"/>
        </w:rPr>
        <w:t>wolnymi miejscami prac</w:t>
      </w:r>
      <w:r>
        <w:rPr>
          <w:rFonts w:eastAsia="Times New Roman" w:cs="Times New Roman"/>
          <w:szCs w:val="19"/>
          <w:lang w:eastAsia="pl-PL"/>
        </w:rPr>
        <w:t xml:space="preserve">y </w:t>
      </w:r>
      <w:r w:rsidRPr="00336FB1">
        <w:rPr>
          <w:rFonts w:eastAsia="Times New Roman" w:cs="Times New Roman"/>
          <w:szCs w:val="19"/>
          <w:lang w:eastAsia="pl-PL"/>
        </w:rPr>
        <w:t xml:space="preserve">dysponowało </w:t>
      </w:r>
      <w:r w:rsidRPr="00603E30">
        <w:rPr>
          <w:rFonts w:eastAsia="Times New Roman" w:cs="Times New Roman"/>
          <w:szCs w:val="19"/>
          <w:lang w:eastAsia="pl-PL"/>
        </w:rPr>
        <w:t xml:space="preserve">tylko </w:t>
      </w:r>
      <w:r w:rsidRPr="00336FB1">
        <w:rPr>
          <w:rFonts w:eastAsia="Times New Roman" w:cs="Times New Roman"/>
          <w:szCs w:val="19"/>
          <w:lang w:eastAsia="pl-PL"/>
        </w:rPr>
        <w:t>52,8 tys.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F36C52">
        <w:rPr>
          <w:rFonts w:eastAsia="Times New Roman" w:cs="Times New Roman"/>
          <w:szCs w:val="19"/>
          <w:lang w:eastAsia="pl-PL"/>
        </w:rPr>
        <w:t>jednostek</w:t>
      </w:r>
      <w:r w:rsidRPr="00336FB1">
        <w:rPr>
          <w:rFonts w:eastAsia="Times New Roman" w:cs="Times New Roman"/>
          <w:szCs w:val="19"/>
          <w:lang w:eastAsia="pl-PL"/>
        </w:rPr>
        <w:t xml:space="preserve">, </w:t>
      </w:r>
      <w:r>
        <w:rPr>
          <w:rFonts w:eastAsia="Times New Roman" w:cs="Times New Roman"/>
          <w:szCs w:val="19"/>
          <w:lang w:eastAsia="pl-PL"/>
        </w:rPr>
        <w:br/>
      </w:r>
      <w:r w:rsidRPr="00336FB1">
        <w:rPr>
          <w:rFonts w:eastAsia="Times New Roman" w:cs="Times New Roman"/>
          <w:szCs w:val="19"/>
          <w:lang w:eastAsia="pl-PL"/>
        </w:rPr>
        <w:t>tj. 6,7%</w:t>
      </w:r>
      <w:r>
        <w:rPr>
          <w:rFonts w:eastAsia="Times New Roman" w:cs="Times New Roman"/>
          <w:szCs w:val="19"/>
          <w:lang w:eastAsia="pl-PL"/>
        </w:rPr>
        <w:t xml:space="preserve"> ogólnej ich liczby. Pod względem sektora własności i wielkości </w:t>
      </w:r>
      <w:r w:rsidR="00F36C52">
        <w:rPr>
          <w:rFonts w:eastAsia="Times New Roman" w:cs="Times New Roman"/>
          <w:szCs w:val="19"/>
          <w:lang w:eastAsia="pl-PL"/>
        </w:rPr>
        <w:t>jednostki</w:t>
      </w:r>
      <w:r>
        <w:rPr>
          <w:rFonts w:eastAsia="Times New Roman" w:cs="Times New Roman"/>
          <w:szCs w:val="19"/>
          <w:lang w:eastAsia="pl-PL"/>
        </w:rPr>
        <w:t xml:space="preserve"> wskazujące wolne miejsca pracy odpowiadały ogólnej ich charakterystyce </w:t>
      </w:r>
      <w:r w:rsidR="00BF6337">
        <w:rPr>
          <w:rFonts w:eastAsia="Times New Roman" w:cs="Times New Roman"/>
          <w:szCs w:val="19"/>
          <w:lang w:eastAsia="pl-PL"/>
        </w:rPr>
        <w:t>—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336FB1">
        <w:rPr>
          <w:rFonts w:eastAsia="Times New Roman" w:cs="Times New Roman"/>
          <w:szCs w:val="19"/>
          <w:lang w:eastAsia="pl-PL"/>
        </w:rPr>
        <w:t xml:space="preserve">90,6% stanowiły </w:t>
      </w:r>
      <w:r w:rsidR="00F36C52">
        <w:rPr>
          <w:rFonts w:eastAsia="Times New Roman" w:cs="Times New Roman"/>
          <w:szCs w:val="19"/>
          <w:lang w:eastAsia="pl-PL"/>
        </w:rPr>
        <w:t>jednostki</w:t>
      </w:r>
      <w:r w:rsidR="00C80DEA" w:rsidRPr="00336FB1">
        <w:rPr>
          <w:rFonts w:eastAsia="Times New Roman" w:cs="Times New Roman"/>
          <w:szCs w:val="19"/>
          <w:lang w:eastAsia="pl-PL"/>
        </w:rPr>
        <w:t xml:space="preserve"> sektora</w:t>
      </w:r>
      <w:r w:rsidRPr="00336FB1">
        <w:rPr>
          <w:rFonts w:eastAsia="Times New Roman" w:cs="Times New Roman"/>
          <w:szCs w:val="19"/>
          <w:lang w:eastAsia="pl-PL"/>
        </w:rPr>
        <w:t xml:space="preserve"> prywatnego</w:t>
      </w:r>
      <w:r>
        <w:rPr>
          <w:rFonts w:eastAsia="Times New Roman" w:cs="Times New Roman"/>
          <w:szCs w:val="19"/>
          <w:lang w:eastAsia="pl-PL"/>
        </w:rPr>
        <w:t xml:space="preserve">, a </w:t>
      </w:r>
      <w:r w:rsidRPr="00336FB1">
        <w:rPr>
          <w:rFonts w:eastAsia="Times New Roman" w:cs="Times New Roman"/>
          <w:szCs w:val="19"/>
          <w:lang w:eastAsia="pl-PL"/>
        </w:rPr>
        <w:t xml:space="preserve">60,8% </w:t>
      </w:r>
      <w:r w:rsidR="00F36C52">
        <w:rPr>
          <w:rFonts w:eastAsia="Times New Roman" w:cs="Times New Roman"/>
          <w:szCs w:val="19"/>
          <w:lang w:eastAsia="pl-PL"/>
        </w:rPr>
        <w:t>jednostki</w:t>
      </w:r>
      <w:r>
        <w:rPr>
          <w:rFonts w:eastAsia="Times New Roman" w:cs="Times New Roman"/>
          <w:szCs w:val="19"/>
          <w:lang w:eastAsia="pl-PL"/>
        </w:rPr>
        <w:t xml:space="preserve"> o liczbie pracujących</w:t>
      </w:r>
      <w:r w:rsidRPr="00336FB1">
        <w:rPr>
          <w:rFonts w:eastAsia="Times New Roman" w:cs="Times New Roman"/>
          <w:szCs w:val="19"/>
          <w:lang w:eastAsia="pl-PL"/>
        </w:rPr>
        <w:t xml:space="preserve"> do 9 osób.</w:t>
      </w:r>
    </w:p>
    <w:p w:rsidR="00742FFD" w:rsidRDefault="00742FFD" w:rsidP="00183F65">
      <w:pPr>
        <w:rPr>
          <w:rFonts w:eastAsia="Times New Roman" w:cs="Times New Roman"/>
          <w:szCs w:val="19"/>
          <w:lang w:eastAsia="pl-PL"/>
        </w:rPr>
      </w:pPr>
    </w:p>
    <w:p w:rsidR="00742FFD" w:rsidRPr="00E2321D" w:rsidRDefault="00B5655F" w:rsidP="00742FFD">
      <w:pPr>
        <w:rPr>
          <w:rFonts w:ascii="Fira Sans SemiBold" w:hAnsi="Fira Sans SemiBold" w:cs="FiraSans-Regular"/>
          <w:color w:val="001D77"/>
          <w:szCs w:val="19"/>
        </w:rPr>
      </w:pPr>
      <w:r>
        <w:rPr>
          <w:rFonts w:ascii="Fira Sans SemiBold" w:hAnsi="Fira Sans SemiBold" w:cs="FiraSans-Regular"/>
          <w:color w:val="001D77"/>
          <w:szCs w:val="19"/>
        </w:rPr>
        <w:t>Wolne miejsca pracy</w:t>
      </w:r>
    </w:p>
    <w:p w:rsidR="00742FFD" w:rsidRDefault="00742FFD" w:rsidP="00742FFD">
      <w:pPr>
        <w:rPr>
          <w:shd w:val="clear" w:color="auto" w:fill="FFFFFF"/>
        </w:rPr>
      </w:pPr>
    </w:p>
    <w:p w:rsidR="00742FFD" w:rsidRDefault="00C9708C" w:rsidP="00F65A79">
      <w:pPr>
        <w:pStyle w:val="tytuwykresu"/>
      </w:pPr>
      <w:r>
        <mc:AlternateContent>
          <mc:Choice Requires="wps">
            <w:drawing>
              <wp:anchor distT="45720" distB="45720" distL="114300" distR="114300" simplePos="0" relativeHeight="251792384" behindDoc="1" locked="0" layoutInCell="1" allowOverlap="1">
                <wp:simplePos x="0" y="0"/>
                <wp:positionH relativeFrom="page">
                  <wp:posOffset>5673564</wp:posOffset>
                </wp:positionH>
                <wp:positionV relativeFrom="paragraph">
                  <wp:posOffset>140335</wp:posOffset>
                </wp:positionV>
                <wp:extent cx="1725295" cy="1379855"/>
                <wp:effectExtent l="0" t="0" r="0" b="0"/>
                <wp:wrapTight wrapText="bothSides">
                  <wp:wrapPolygon edited="0">
                    <wp:start x="715" y="0"/>
                    <wp:lineTo x="715" y="21173"/>
                    <wp:lineTo x="20749" y="21173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FFD" w:rsidRPr="006756A9" w:rsidRDefault="006756A9" w:rsidP="00742FFD">
                            <w:pPr>
                              <w:pStyle w:val="tekstzboku"/>
                            </w:pPr>
                            <w:r w:rsidRPr="006756A9">
                              <w:t xml:space="preserve">Wolne miejsca pracy na koniec I kwartału 2019 r. koncentrowały się głównie </w:t>
                            </w:r>
                            <w:r>
                              <w:br/>
                            </w:r>
                            <w:r w:rsidRPr="006756A9">
                              <w:t>w sektorze prywatnym (86,9%)</w:t>
                            </w:r>
                            <w:r w:rsidR="001F5380">
                              <w:t>. Najwięcej ich wykazano</w:t>
                            </w:r>
                            <w:r w:rsidRPr="006756A9">
                              <w:t xml:space="preserve"> w </w:t>
                            </w:r>
                            <w:r w:rsidR="00F36C52">
                              <w:t>jednostkach</w:t>
                            </w:r>
                            <w:r w:rsidR="002501AF" w:rsidRPr="006756A9">
                              <w:t xml:space="preserve"> </w:t>
                            </w:r>
                            <w:r w:rsidR="00120846">
                              <w:br/>
                            </w:r>
                            <w:r w:rsidR="002501AF">
                              <w:t xml:space="preserve">o liczbie </w:t>
                            </w:r>
                            <w:r w:rsidR="00603ABA">
                              <w:t>pracujących</w:t>
                            </w:r>
                            <w:r w:rsidR="002501AF" w:rsidRPr="006756A9">
                              <w:t xml:space="preserve"> </w:t>
                            </w:r>
                            <w:r w:rsidRPr="006756A9">
                              <w:t xml:space="preserve">powyżej </w:t>
                            </w:r>
                            <w:r w:rsidR="00F63E09">
                              <w:br/>
                            </w:r>
                            <w:r w:rsidRPr="006756A9">
                              <w:t>49 osób (40,9%)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7" o:spid="_x0000_s1028" type="#_x0000_t202" style="position:absolute;margin-left:446.75pt;margin-top:11.05pt;width:135.85pt;height:108.6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" filled="f" stroked="f">
                <v:textbox>
                  <w:txbxContent>
                    <w:p w:rsidR="00742FFD" w:rsidRPr="006756A9" w:rsidRDefault="006756A9" w:rsidP="00742FFD">
                      <w:pPr>
                        <w:pStyle w:val="tekstzboku"/>
                      </w:pPr>
                      <w:r w:rsidRPr="006756A9">
                        <w:t xml:space="preserve">Wolne miejsca pracy na koniec I kwartału 2019 r. koncentrowały się głównie </w:t>
                      </w:r>
                      <w:r>
                        <w:br/>
                      </w:r>
                      <w:r w:rsidRPr="006756A9">
                        <w:t>w sektorze prywatnym (86,9%)</w:t>
                      </w:r>
                      <w:r w:rsidR="001F5380">
                        <w:t>. Najwięcej ich wykazano</w:t>
                      </w:r>
                      <w:r w:rsidRPr="006756A9">
                        <w:t xml:space="preserve"> w </w:t>
                      </w:r>
                      <w:r w:rsidR="00F36C52">
                        <w:t>jednostkach</w:t>
                      </w:r>
                      <w:r w:rsidR="002501AF" w:rsidRPr="006756A9">
                        <w:t xml:space="preserve"> </w:t>
                      </w:r>
                      <w:r w:rsidR="00120846">
                        <w:br/>
                      </w:r>
                      <w:r w:rsidR="002501AF">
                        <w:t xml:space="preserve">o liczbie </w:t>
                      </w:r>
                      <w:r w:rsidR="00603ABA">
                        <w:t>pracujących</w:t>
                      </w:r>
                      <w:r w:rsidR="002501AF" w:rsidRPr="006756A9">
                        <w:t xml:space="preserve"> </w:t>
                      </w:r>
                      <w:r w:rsidRPr="006756A9">
                        <w:t xml:space="preserve">powyżej </w:t>
                      </w:r>
                      <w:r w:rsidR="00F63E09">
                        <w:br/>
                      </w:r>
                      <w:r w:rsidRPr="006756A9">
                        <w:t>49 osób (40,9%)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drawing>
          <wp:anchor distT="0" distB="0" distL="612140" distR="612140" simplePos="0" relativeHeight="25165772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239395</wp:posOffset>
            </wp:positionV>
            <wp:extent cx="4441825" cy="151447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F65A79">
        <w:t xml:space="preserve">Wykres 2. </w:t>
      </w:r>
      <w:r w:rsidR="001F5380">
        <w:t>Struktura w</w:t>
      </w:r>
      <w:r w:rsidR="00742FFD">
        <w:t>oln</w:t>
      </w:r>
      <w:r w:rsidR="001F5380">
        <w:t>ych</w:t>
      </w:r>
      <w:r w:rsidR="00742FFD">
        <w:t xml:space="preserve"> miejsc pracy według </w:t>
      </w:r>
      <w:r w:rsidR="00A0759B">
        <w:t xml:space="preserve">wielkości </w:t>
      </w:r>
      <w:r w:rsidR="00F36C52">
        <w:t>jednostek</w:t>
      </w:r>
      <w:r w:rsidR="001F5380">
        <w:t xml:space="preserve"> </w:t>
      </w:r>
      <w:r w:rsidR="001F5380" w:rsidRPr="004272B8">
        <w:rPr>
          <w:spacing w:val="-3"/>
        </w:rPr>
        <w:t>na koniec I kwartału 2019</w:t>
      </w:r>
      <w:r w:rsidR="001F5380">
        <w:rPr>
          <w:spacing w:val="-3"/>
        </w:rPr>
        <w:t> </w:t>
      </w:r>
      <w:r w:rsidR="001F5380" w:rsidRPr="004272B8">
        <w:rPr>
          <w:spacing w:val="-3"/>
        </w:rPr>
        <w:t>r.</w:t>
      </w:r>
      <w:r w:rsidR="00A0759B">
        <w:t xml:space="preserve"> </w:t>
      </w:r>
    </w:p>
    <w:p w:rsidR="00DB2F8B" w:rsidRPr="008955C3" w:rsidRDefault="00DB2F8B" w:rsidP="00D64299">
      <w:pPr>
        <w:spacing w:before="240"/>
        <w:rPr>
          <w:rFonts w:eastAsia="Times New Roman" w:cs="Times New Roman"/>
          <w:szCs w:val="19"/>
          <w:lang w:eastAsia="pl-PL"/>
        </w:rPr>
      </w:pPr>
      <w:r w:rsidRPr="008955C3">
        <w:rPr>
          <w:rFonts w:eastAsia="Times New Roman" w:cs="Times New Roman"/>
          <w:szCs w:val="19"/>
          <w:lang w:eastAsia="pl-PL"/>
        </w:rPr>
        <w:t xml:space="preserve">Liczba wykazanych wolnych miejsc pracy na koniec I kwartału 2019 r. wyniosła 142,5 tys., </w:t>
      </w:r>
      <w:r w:rsidRPr="008955C3">
        <w:rPr>
          <w:rFonts w:eastAsia="Times New Roman" w:cs="Times New Roman"/>
          <w:szCs w:val="19"/>
          <w:lang w:eastAsia="pl-PL"/>
        </w:rPr>
        <w:br/>
        <w:t xml:space="preserve">z tego 123,8 tys. (86,9%) w sektorze prywatnym. Wolne miejsca pracy występowały głównie </w:t>
      </w:r>
      <w:r w:rsidRPr="008955C3">
        <w:rPr>
          <w:rFonts w:eastAsia="Times New Roman" w:cs="Times New Roman"/>
          <w:szCs w:val="19"/>
          <w:lang w:eastAsia="pl-PL"/>
        </w:rPr>
        <w:br/>
        <w:t xml:space="preserve">w </w:t>
      </w:r>
      <w:r w:rsidR="00F36C52">
        <w:rPr>
          <w:rFonts w:eastAsia="Times New Roman" w:cs="Times New Roman"/>
          <w:szCs w:val="19"/>
          <w:lang w:eastAsia="pl-PL"/>
        </w:rPr>
        <w:t>jednostkach</w:t>
      </w:r>
      <w:r w:rsidRPr="008955C3">
        <w:rPr>
          <w:rFonts w:eastAsia="Times New Roman" w:cs="Times New Roman"/>
          <w:szCs w:val="19"/>
          <w:lang w:eastAsia="pl-PL"/>
        </w:rPr>
        <w:t xml:space="preserve">, w których pracowało powyżej 49 osób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8955C3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8955C3">
        <w:rPr>
          <w:rFonts w:eastAsia="Times New Roman" w:cs="Times New Roman"/>
          <w:szCs w:val="19"/>
          <w:lang w:eastAsia="pl-PL"/>
        </w:rPr>
        <w:t>58,3 tys. (40,9%).</w:t>
      </w:r>
    </w:p>
    <w:p w:rsidR="00183F65" w:rsidRDefault="00183F65" w:rsidP="00212B62">
      <w:pPr>
        <w:rPr>
          <w:shd w:val="clear" w:color="auto" w:fill="FFFFFF"/>
        </w:rPr>
      </w:pPr>
    </w:p>
    <w:p w:rsidR="00183F65" w:rsidRPr="00F65A79" w:rsidRDefault="00C9708C" w:rsidP="00F65A79">
      <w:pPr>
        <w:ind w:left="822" w:hanging="822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>
                <wp:simplePos x="0" y="0"/>
                <wp:positionH relativeFrom="page">
                  <wp:posOffset>5671820</wp:posOffset>
                </wp:positionH>
                <wp:positionV relativeFrom="paragraph">
                  <wp:posOffset>234950</wp:posOffset>
                </wp:positionV>
                <wp:extent cx="1725295" cy="1379855"/>
                <wp:effectExtent l="0" t="0" r="0" b="0"/>
                <wp:wrapTight wrapText="bothSides">
                  <wp:wrapPolygon edited="0">
                    <wp:start x="715" y="0"/>
                    <wp:lineTo x="715" y="21173"/>
                    <wp:lineTo x="20749" y="21173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79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4A5" w:rsidRPr="006756A9" w:rsidRDefault="00EE64A5" w:rsidP="00EE64A5">
                            <w:pPr>
                              <w:pStyle w:val="tekstzboku"/>
                            </w:pPr>
                            <w:r w:rsidRPr="00EE64A5">
                              <w:t xml:space="preserve">Podobnie jak w poprzednich kwartałach najwięcej wolnych miejsc pracy pozostawało w </w:t>
                            </w:r>
                            <w:r w:rsidR="00AA1148">
                              <w:t>jednostkach</w:t>
                            </w:r>
                            <w:r w:rsidRPr="00EE64A5">
                              <w:t xml:space="preserve"> prowadzących działalność w zakresie przetwórstwa przemysłowego (22,1%)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14" o:spid="_x0000_s1029" type="#_x0000_t202" style="position:absolute;left:0;text-align:left;margin-left:446.6pt;margin-top:18.5pt;width:135.85pt;height:108.65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" filled="f" stroked="f">
                <v:textbox>
                  <w:txbxContent>
                    <w:p w:rsidR="00EE64A5" w:rsidRPr="006756A9" w:rsidRDefault="00EE64A5" w:rsidP="00EE64A5">
                      <w:pPr>
                        <w:pStyle w:val="tekstzboku"/>
                      </w:pPr>
                      <w:r w:rsidRPr="00EE64A5">
                        <w:t xml:space="preserve">Podobnie jak w poprzednich kwartałach najwięcej wolnych miejsc pracy pozostawało w </w:t>
                      </w:r>
                      <w:r w:rsidR="00AA1148">
                        <w:t>jednostkach</w:t>
                      </w:r>
                      <w:r w:rsidRPr="00EE64A5">
                        <w:t xml:space="preserve"> prowadzących działalność w zakresie przetwórstwa przemysłowego (22,1%)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20846"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373380</wp:posOffset>
            </wp:positionV>
            <wp:extent cx="5150485" cy="3896360"/>
            <wp:effectExtent l="0" t="0" r="0" b="889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F65A79" w:rsidRPr="00F65A79">
        <w:rPr>
          <w:b/>
          <w:sz w:val="18"/>
          <w:szCs w:val="18"/>
        </w:rPr>
        <w:t xml:space="preserve">Wykres 3. Wolne miejsca pracy i wolne nowo utworzone według wybranych sekcji PKD </w:t>
      </w:r>
      <w:r w:rsidR="00F65A79">
        <w:rPr>
          <w:b/>
          <w:sz w:val="18"/>
          <w:szCs w:val="18"/>
        </w:rPr>
        <w:br/>
      </w:r>
      <w:r w:rsidR="00F65A79" w:rsidRPr="00F65A79">
        <w:rPr>
          <w:b/>
          <w:sz w:val="18"/>
          <w:szCs w:val="18"/>
        </w:rPr>
        <w:t>na koniec I kwartału 2019 r.</w:t>
      </w:r>
    </w:p>
    <w:p w:rsidR="00183F65" w:rsidRDefault="00183F65" w:rsidP="00212B62">
      <w:pPr>
        <w:rPr>
          <w:shd w:val="clear" w:color="auto" w:fill="FFFFFF"/>
        </w:rPr>
      </w:pPr>
    </w:p>
    <w:p w:rsidR="00574BBD" w:rsidRDefault="00DB2F8B" w:rsidP="00DB2F8B">
      <w:pPr>
        <w:rPr>
          <w:rFonts w:eastAsia="Times New Roman" w:cs="Times New Roman"/>
          <w:szCs w:val="19"/>
          <w:lang w:eastAsia="pl-PL"/>
        </w:rPr>
      </w:pPr>
      <w:r w:rsidRPr="00F05DB4">
        <w:rPr>
          <w:rFonts w:eastAsia="Times New Roman" w:cs="Times New Roman"/>
          <w:szCs w:val="19"/>
          <w:lang w:eastAsia="pl-PL"/>
        </w:rPr>
        <w:t xml:space="preserve">W I kwartale </w:t>
      </w:r>
      <w:r>
        <w:rPr>
          <w:rFonts w:eastAsia="Times New Roman" w:cs="Times New Roman"/>
          <w:szCs w:val="19"/>
          <w:lang w:eastAsia="pl-PL"/>
        </w:rPr>
        <w:t>2019 r. najwięcej wolnych miejsc pracy było</w:t>
      </w:r>
      <w:r w:rsidRPr="00F0364D">
        <w:rPr>
          <w:rFonts w:eastAsia="Times New Roman" w:cs="Times New Roman"/>
          <w:szCs w:val="19"/>
          <w:lang w:eastAsia="pl-PL"/>
        </w:rPr>
        <w:t xml:space="preserve"> w </w:t>
      </w:r>
      <w:r w:rsidR="00F36C52">
        <w:rPr>
          <w:rFonts w:eastAsia="Times New Roman" w:cs="Times New Roman"/>
          <w:szCs w:val="19"/>
          <w:lang w:eastAsia="pl-PL"/>
        </w:rPr>
        <w:t>jednostkach</w:t>
      </w:r>
      <w:r w:rsidRPr="00F0364D">
        <w:rPr>
          <w:rFonts w:eastAsia="Times New Roman" w:cs="Times New Roman"/>
          <w:szCs w:val="19"/>
          <w:lang w:eastAsia="pl-PL"/>
        </w:rPr>
        <w:t xml:space="preserve"> prowadzących działalność w zakresie przetwórstwa przemysłowego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F0364D">
        <w:rPr>
          <w:rFonts w:eastAsia="Times New Roman" w:cs="Times New Roman"/>
          <w:szCs w:val="19"/>
          <w:lang w:eastAsia="pl-PL"/>
        </w:rPr>
        <w:t xml:space="preserve"> 31,8 tys. (22,</w:t>
      </w:r>
      <w:r>
        <w:rPr>
          <w:rFonts w:eastAsia="Times New Roman" w:cs="Times New Roman"/>
          <w:szCs w:val="19"/>
          <w:lang w:eastAsia="pl-PL"/>
        </w:rPr>
        <w:t>3</w:t>
      </w:r>
      <w:r w:rsidRPr="00F0364D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. Zbliżoną ich liczbę wykazano w </w:t>
      </w:r>
      <w:r w:rsidRPr="00F0364D">
        <w:rPr>
          <w:rFonts w:eastAsia="Times New Roman" w:cs="Times New Roman"/>
          <w:szCs w:val="19"/>
          <w:lang w:eastAsia="pl-PL"/>
        </w:rPr>
        <w:t>budownictw</w:t>
      </w:r>
      <w:r>
        <w:rPr>
          <w:rFonts w:eastAsia="Times New Roman" w:cs="Times New Roman"/>
          <w:szCs w:val="19"/>
          <w:lang w:eastAsia="pl-PL"/>
        </w:rPr>
        <w:t>ie</w:t>
      </w:r>
      <w:r w:rsidRPr="00F0364D">
        <w:rPr>
          <w:rFonts w:eastAsia="Times New Roman" w:cs="Times New Roman"/>
          <w:szCs w:val="19"/>
          <w:lang w:eastAsia="pl-PL"/>
        </w:rPr>
        <w:t xml:space="preserve">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F0364D">
        <w:rPr>
          <w:rFonts w:eastAsia="Times New Roman" w:cs="Times New Roman"/>
          <w:szCs w:val="19"/>
          <w:lang w:eastAsia="pl-PL"/>
        </w:rPr>
        <w:t xml:space="preserve"> 30,0 tys. (</w:t>
      </w:r>
      <w:r>
        <w:rPr>
          <w:rFonts w:eastAsia="Times New Roman" w:cs="Times New Roman"/>
          <w:szCs w:val="19"/>
          <w:lang w:eastAsia="pl-PL"/>
        </w:rPr>
        <w:t>18</w:t>
      </w:r>
      <w:r w:rsidRPr="00F0364D">
        <w:rPr>
          <w:rFonts w:eastAsia="Times New Roman" w:cs="Times New Roman"/>
          <w:szCs w:val="19"/>
          <w:lang w:eastAsia="pl-PL"/>
        </w:rPr>
        <w:t>,</w:t>
      </w:r>
      <w:r>
        <w:rPr>
          <w:rFonts w:eastAsia="Times New Roman" w:cs="Times New Roman"/>
          <w:szCs w:val="19"/>
          <w:lang w:eastAsia="pl-PL"/>
        </w:rPr>
        <w:t>2</w:t>
      </w:r>
      <w:r w:rsidRPr="00F0364D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 xml:space="preserve">. Dość duże zapotrzebowanie na nowe miejsca pracy wykazywano także w </w:t>
      </w:r>
      <w:r w:rsidRPr="00F0364D">
        <w:rPr>
          <w:rFonts w:eastAsia="Times New Roman" w:cs="Times New Roman"/>
          <w:szCs w:val="19"/>
          <w:lang w:eastAsia="pl-PL"/>
        </w:rPr>
        <w:t xml:space="preserve">handlu; naprawy pojazdów samochodowych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F0364D">
        <w:rPr>
          <w:rFonts w:eastAsia="Times New Roman" w:cs="Times New Roman"/>
          <w:szCs w:val="19"/>
          <w:lang w:eastAsia="pl-PL"/>
        </w:rPr>
        <w:t xml:space="preserve"> 24,7 tys. (17,</w:t>
      </w:r>
      <w:r>
        <w:rPr>
          <w:rFonts w:eastAsia="Times New Roman" w:cs="Times New Roman"/>
          <w:szCs w:val="19"/>
          <w:lang w:eastAsia="pl-PL"/>
        </w:rPr>
        <w:t>4</w:t>
      </w:r>
      <w:r w:rsidRPr="00F0364D">
        <w:rPr>
          <w:rFonts w:eastAsia="Times New Roman" w:cs="Times New Roman"/>
          <w:szCs w:val="19"/>
          <w:lang w:eastAsia="pl-PL"/>
        </w:rPr>
        <w:t>%).</w:t>
      </w:r>
      <w:r>
        <w:rPr>
          <w:rFonts w:eastAsia="Times New Roman" w:cs="Times New Roman"/>
          <w:szCs w:val="19"/>
          <w:lang w:eastAsia="pl-PL"/>
        </w:rPr>
        <w:t xml:space="preserve"> W pozostałych sekcjach PKD było ono znacznie mniejsze. </w:t>
      </w:r>
    </w:p>
    <w:p w:rsidR="00DB2F8B" w:rsidRPr="00120846" w:rsidRDefault="00DB2F8B" w:rsidP="00DB2F8B">
      <w:pPr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Pod względem zawodów </w:t>
      </w:r>
      <w:r w:rsidR="00F36C52">
        <w:rPr>
          <w:rFonts w:eastAsia="Times New Roman" w:cs="Times New Roman"/>
          <w:szCs w:val="19"/>
          <w:lang w:eastAsia="pl-PL"/>
        </w:rPr>
        <w:t>jednostki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F05DB4">
        <w:rPr>
          <w:rFonts w:eastAsia="Times New Roman" w:cs="Times New Roman"/>
          <w:szCs w:val="19"/>
          <w:lang w:eastAsia="pl-PL"/>
        </w:rPr>
        <w:t xml:space="preserve">dysponujące wolnymi miejscami pracy najczęściej poszukiwały robotników przemysłowych i rzemieślników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F05DB4">
        <w:rPr>
          <w:rFonts w:eastAsia="Times New Roman" w:cs="Times New Roman"/>
          <w:szCs w:val="19"/>
          <w:lang w:eastAsia="pl-PL"/>
        </w:rPr>
        <w:t xml:space="preserve"> 36,9 tys. (25,9%)</w:t>
      </w:r>
      <w:r>
        <w:rPr>
          <w:rFonts w:eastAsia="Times New Roman" w:cs="Times New Roman"/>
          <w:szCs w:val="19"/>
          <w:lang w:eastAsia="pl-PL"/>
        </w:rPr>
        <w:t xml:space="preserve">. 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Znaczący udział stanowiły także </w:t>
      </w:r>
      <w:r w:rsidR="00DD46A2" w:rsidRPr="00DD46A2">
        <w:rPr>
          <w:rFonts w:eastAsia="Times New Roman" w:cs="Times New Roman"/>
          <w:color w:val="000000" w:themeColor="text1"/>
          <w:szCs w:val="19"/>
          <w:lang w:eastAsia="pl-PL"/>
        </w:rPr>
        <w:t>wolne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miejsca pracy dla specjalistów </w:t>
      </w:r>
      <w:r w:rsidR="00BF6337" w:rsidRPr="00DD46A2">
        <w:rPr>
          <w:rFonts w:eastAsia="Times New Roman" w:cs="Times New Roman"/>
          <w:color w:val="000000" w:themeColor="text1"/>
          <w:spacing w:val="4"/>
          <w:szCs w:val="19"/>
          <w:lang w:eastAsia="pl-PL"/>
        </w:rPr>
        <w:t>—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24,7 tys. (17,3%) ora</w:t>
      </w:r>
      <w:r w:rsidR="00DD46A2"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z operatorów i monterów maszyn 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i urządzeń </w:t>
      </w:r>
      <w:r w:rsidR="00BF6337" w:rsidRPr="00DD46A2">
        <w:rPr>
          <w:rFonts w:eastAsia="Times New Roman" w:cs="Times New Roman"/>
          <w:color w:val="000000" w:themeColor="text1"/>
          <w:spacing w:val="4"/>
          <w:szCs w:val="19"/>
          <w:lang w:eastAsia="pl-PL"/>
        </w:rPr>
        <w:t>—</w:t>
      </w:r>
      <w:r w:rsidRPr="00DD46A2">
        <w:rPr>
          <w:rFonts w:eastAsia="Times New Roman" w:cs="Times New Roman"/>
          <w:color w:val="000000" w:themeColor="text1"/>
          <w:szCs w:val="19"/>
          <w:lang w:eastAsia="pl-PL"/>
        </w:rPr>
        <w:t xml:space="preserve"> 23,3 tys. (16,4</w:t>
      </w:r>
      <w:r w:rsidRPr="00120846">
        <w:rPr>
          <w:rFonts w:eastAsia="Times New Roman" w:cs="Times New Roman"/>
          <w:szCs w:val="19"/>
          <w:lang w:eastAsia="pl-PL"/>
        </w:rPr>
        <w:t>%).</w:t>
      </w:r>
    </w:p>
    <w:p w:rsidR="004272B8" w:rsidRDefault="004272B8" w:rsidP="004272B8">
      <w:pPr>
        <w:rPr>
          <w:shd w:val="clear" w:color="auto" w:fill="FFFFFF"/>
        </w:rPr>
      </w:pPr>
    </w:p>
    <w:p w:rsidR="004272B8" w:rsidRPr="004272B8" w:rsidRDefault="00B751E3" w:rsidP="004272B8">
      <w:pPr>
        <w:pStyle w:val="tytuwykresu"/>
        <w:rPr>
          <w:spacing w:val="-3"/>
        </w:rPr>
      </w:pPr>
      <w: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43310</wp:posOffset>
            </wp:positionH>
            <wp:positionV relativeFrom="paragraph">
              <wp:posOffset>269519</wp:posOffset>
            </wp:positionV>
            <wp:extent cx="5004000" cy="2700000"/>
            <wp:effectExtent l="0" t="0" r="6350" b="5715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F46A47">
        <mc:AlternateContent>
          <mc:Choice Requires="wps">
            <w:drawing>
              <wp:anchor distT="45720" distB="45720" distL="114300" distR="114300" simplePos="0" relativeHeight="251798528" behindDoc="1" locked="0" layoutInCell="1" allowOverlap="1">
                <wp:simplePos x="0" y="0"/>
                <wp:positionH relativeFrom="page">
                  <wp:posOffset>5666740</wp:posOffset>
                </wp:positionH>
                <wp:positionV relativeFrom="paragraph">
                  <wp:posOffset>141605</wp:posOffset>
                </wp:positionV>
                <wp:extent cx="1725295" cy="1339215"/>
                <wp:effectExtent l="0" t="0" r="0" b="0"/>
                <wp:wrapTight wrapText="bothSides">
                  <wp:wrapPolygon edited="0">
                    <wp:start x="715" y="0"/>
                    <wp:lineTo x="715" y="21201"/>
                    <wp:lineTo x="20749" y="21201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2B8" w:rsidRPr="00DD46A2" w:rsidRDefault="004272B8" w:rsidP="004272B8">
                            <w:pPr>
                              <w:pStyle w:val="tekstzboku"/>
                            </w:pPr>
                            <w:r w:rsidRPr="00DD46A2">
                              <w:t>Nieobsadzone miejsca pracy były oferowane przede wszystkim dla robotników przemysłowych i rzemieślników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12" o:spid="_x0000_s1030" type="#_x0000_t202" style="position:absolute;margin-left:446.2pt;margin-top:11.15pt;width:135.85pt;height:105.4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" filled="f" stroked="f">
                <v:textbox>
                  <w:txbxContent>
                    <w:p w:rsidR="004272B8" w:rsidRPr="00DD46A2" w:rsidRDefault="004272B8" w:rsidP="004272B8">
                      <w:pPr>
                        <w:pStyle w:val="tekstzboku"/>
                      </w:pPr>
                      <w:r w:rsidRPr="00DD46A2">
                        <w:t>Nieobsadzone miejsca pracy były oferowane przede wszystkim dla robotników przemysłowych i rzemieślników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272B8">
        <w:t xml:space="preserve">Wykres 4. </w:t>
      </w:r>
      <w:r w:rsidR="004272B8" w:rsidRPr="004272B8">
        <w:rPr>
          <w:spacing w:val="-3"/>
        </w:rPr>
        <w:t>Wolne miejsca pracy i wolne nowo utworzone według zawodów na koniec I kwartału 2019</w:t>
      </w:r>
      <w:r w:rsidR="00B5655F">
        <w:rPr>
          <w:spacing w:val="-3"/>
        </w:rPr>
        <w:t> </w:t>
      </w:r>
      <w:r w:rsidR="004272B8" w:rsidRPr="004272B8">
        <w:rPr>
          <w:spacing w:val="-3"/>
        </w:rPr>
        <w:t>r.</w:t>
      </w:r>
    </w:p>
    <w:p w:rsidR="004272B8" w:rsidRDefault="004272B8" w:rsidP="004272B8">
      <w:pPr>
        <w:rPr>
          <w:spacing w:val="-2"/>
          <w:sz w:val="18"/>
          <w:shd w:val="clear" w:color="auto" w:fill="FFFFFF"/>
        </w:rPr>
      </w:pPr>
    </w:p>
    <w:p w:rsidR="00183F65" w:rsidRPr="00B751E3" w:rsidRDefault="00B5655F" w:rsidP="00212B62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-38229</wp:posOffset>
            </wp:positionH>
            <wp:positionV relativeFrom="paragraph">
              <wp:posOffset>258441</wp:posOffset>
            </wp:positionV>
            <wp:extent cx="5002600" cy="2689496"/>
            <wp:effectExtent l="0" t="0" r="762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B751E3" w:rsidRPr="00B751E3">
        <w:rPr>
          <w:b/>
          <w:sz w:val="18"/>
          <w:szCs w:val="18"/>
        </w:rPr>
        <w:t xml:space="preserve">Wykres </w:t>
      </w:r>
      <w:r w:rsidR="00E63F51">
        <w:rPr>
          <w:b/>
          <w:sz w:val="18"/>
          <w:szCs w:val="18"/>
        </w:rPr>
        <w:t>5</w:t>
      </w:r>
      <w:r w:rsidR="00B751E3" w:rsidRPr="00B751E3">
        <w:rPr>
          <w:b/>
          <w:sz w:val="18"/>
          <w:szCs w:val="18"/>
        </w:rPr>
        <w:t xml:space="preserve">. </w:t>
      </w:r>
      <w:r w:rsidR="00B751E3" w:rsidRPr="00B751E3">
        <w:rPr>
          <w:b/>
          <w:spacing w:val="-3"/>
          <w:sz w:val="18"/>
          <w:szCs w:val="18"/>
        </w:rPr>
        <w:t>Wolne miejsca pracy według województw na koniec I kwartału 2019</w:t>
      </w:r>
      <w:r>
        <w:rPr>
          <w:b/>
          <w:spacing w:val="-3"/>
          <w:sz w:val="18"/>
          <w:szCs w:val="18"/>
        </w:rPr>
        <w:t> </w:t>
      </w:r>
      <w:r w:rsidR="00B751E3" w:rsidRPr="00B751E3">
        <w:rPr>
          <w:b/>
          <w:spacing w:val="-3"/>
          <w:sz w:val="18"/>
          <w:szCs w:val="18"/>
        </w:rPr>
        <w:t>r.</w:t>
      </w:r>
    </w:p>
    <w:p w:rsidR="00183F65" w:rsidRDefault="00183F65" w:rsidP="00212B62">
      <w:pPr>
        <w:rPr>
          <w:shd w:val="clear" w:color="auto" w:fill="FFFFFF"/>
        </w:rPr>
      </w:pPr>
    </w:p>
    <w:p w:rsidR="00B5655F" w:rsidRPr="00E2321D" w:rsidRDefault="00B5655F" w:rsidP="00B5655F">
      <w:pPr>
        <w:rPr>
          <w:rFonts w:ascii="Fira Sans SemiBold" w:hAnsi="Fira Sans SemiBold" w:cs="FiraSans-Regular"/>
          <w:color w:val="001D77"/>
          <w:szCs w:val="19"/>
        </w:rPr>
      </w:pPr>
      <w:r>
        <w:rPr>
          <w:rFonts w:ascii="Fira Sans SemiBold" w:hAnsi="Fira Sans SemiBold" w:cs="FiraSans-Regular"/>
          <w:color w:val="001D77"/>
          <w:szCs w:val="19"/>
        </w:rPr>
        <w:t>Nowo utworzone miejsca pracy</w:t>
      </w:r>
    </w:p>
    <w:p w:rsidR="00B5655F" w:rsidRDefault="00DB2F8B" w:rsidP="00B5655F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</w:rPr>
      </w:pPr>
      <w:r w:rsidRPr="00A06950">
        <w:rPr>
          <w:rFonts w:ascii="Fira Sans" w:hAnsi="Fira Sans"/>
          <w:color w:val="auto"/>
          <w:sz w:val="19"/>
          <w:szCs w:val="19"/>
        </w:rPr>
        <w:t>W I kwarta</w:t>
      </w:r>
      <w:r>
        <w:rPr>
          <w:rFonts w:ascii="Fira Sans" w:hAnsi="Fira Sans"/>
          <w:color w:val="auto"/>
          <w:sz w:val="19"/>
          <w:szCs w:val="19"/>
        </w:rPr>
        <w:t xml:space="preserve">le </w:t>
      </w:r>
      <w:r w:rsidRPr="00B82BE4">
        <w:rPr>
          <w:rFonts w:ascii="Fira Sans" w:hAnsi="Fira Sans"/>
          <w:color w:val="auto"/>
          <w:sz w:val="19"/>
          <w:szCs w:val="19"/>
        </w:rPr>
        <w:t xml:space="preserve">2019 r. utworzono 262,3 tys. </w:t>
      </w:r>
      <w:r w:rsidRPr="007C00E3">
        <w:rPr>
          <w:rFonts w:ascii="Fira Sans" w:hAnsi="Fira Sans"/>
          <w:color w:val="auto"/>
          <w:sz w:val="19"/>
          <w:szCs w:val="19"/>
        </w:rPr>
        <w:t xml:space="preserve">nowych miejsc pracy, tj. o 4,3 tys. (1,7%) więcej </w:t>
      </w:r>
      <w:r>
        <w:rPr>
          <w:rFonts w:ascii="Fira Sans" w:hAnsi="Fira Sans"/>
          <w:color w:val="auto"/>
          <w:sz w:val="19"/>
          <w:szCs w:val="19"/>
        </w:rPr>
        <w:br/>
      </w:r>
      <w:r w:rsidRPr="007C00E3">
        <w:rPr>
          <w:rFonts w:ascii="Fira Sans" w:hAnsi="Fira Sans"/>
          <w:color w:val="auto"/>
          <w:sz w:val="19"/>
          <w:szCs w:val="19"/>
        </w:rPr>
        <w:t xml:space="preserve">w porównaniu z I kwartałem 2018 r. Nowe miejsca pracy zostały utworzone najliczniej </w:t>
      </w:r>
      <w:r>
        <w:rPr>
          <w:rFonts w:ascii="Fira Sans" w:hAnsi="Fira Sans"/>
          <w:color w:val="auto"/>
          <w:sz w:val="19"/>
          <w:szCs w:val="19"/>
        </w:rPr>
        <w:br/>
      </w:r>
      <w:r w:rsidRPr="007C00E3">
        <w:rPr>
          <w:rFonts w:ascii="Fira Sans" w:hAnsi="Fira Sans"/>
          <w:color w:val="auto"/>
          <w:sz w:val="19"/>
          <w:szCs w:val="19"/>
        </w:rPr>
        <w:t xml:space="preserve">w zbiorowości </w:t>
      </w:r>
      <w:r w:rsidR="00F36C52">
        <w:rPr>
          <w:rFonts w:ascii="Fira Sans" w:hAnsi="Fira Sans"/>
          <w:color w:val="auto"/>
          <w:sz w:val="19"/>
          <w:szCs w:val="19"/>
        </w:rPr>
        <w:t>jednostek</w:t>
      </w:r>
      <w:r w:rsidRPr="007C00E3">
        <w:rPr>
          <w:rFonts w:ascii="Fira Sans" w:hAnsi="Fira Sans"/>
          <w:color w:val="auto"/>
          <w:sz w:val="19"/>
          <w:szCs w:val="19"/>
        </w:rPr>
        <w:t xml:space="preserve"> </w:t>
      </w:r>
      <w:r>
        <w:rPr>
          <w:rFonts w:ascii="Fira Sans" w:hAnsi="Fira Sans"/>
          <w:color w:val="auto"/>
          <w:sz w:val="19"/>
          <w:szCs w:val="19"/>
        </w:rPr>
        <w:t xml:space="preserve">o liczbie pracujących </w:t>
      </w:r>
      <w:r w:rsidRPr="007C00E3">
        <w:rPr>
          <w:rFonts w:ascii="Fira Sans" w:hAnsi="Fira Sans"/>
          <w:color w:val="auto"/>
          <w:sz w:val="19"/>
          <w:szCs w:val="19"/>
        </w:rPr>
        <w:t xml:space="preserve">do 9 osób </w:t>
      </w:r>
      <w:r w:rsidR="00BF6337">
        <w:rPr>
          <w:rFonts w:ascii="Fira Sans" w:hAnsi="Fira Sans"/>
          <w:color w:val="auto"/>
          <w:sz w:val="19"/>
          <w:szCs w:val="19"/>
        </w:rPr>
        <w:t>—</w:t>
      </w:r>
      <w:r w:rsidRPr="007C00E3">
        <w:rPr>
          <w:rFonts w:ascii="Fira Sans" w:hAnsi="Fira Sans"/>
          <w:color w:val="auto"/>
          <w:sz w:val="19"/>
          <w:szCs w:val="19"/>
        </w:rPr>
        <w:t xml:space="preserve"> 133,1 tys. (50,7%), jak również </w:t>
      </w:r>
      <w:r>
        <w:rPr>
          <w:rFonts w:ascii="Fira Sans" w:hAnsi="Fira Sans"/>
          <w:color w:val="auto"/>
          <w:sz w:val="19"/>
          <w:szCs w:val="19"/>
        </w:rPr>
        <w:br/>
      </w:r>
      <w:r w:rsidRPr="007C00E3">
        <w:rPr>
          <w:rFonts w:ascii="Fira Sans" w:hAnsi="Fira Sans"/>
          <w:color w:val="auto"/>
          <w:sz w:val="19"/>
          <w:szCs w:val="19"/>
        </w:rPr>
        <w:t xml:space="preserve">w </w:t>
      </w:r>
      <w:r w:rsidR="00F36C52">
        <w:rPr>
          <w:rFonts w:ascii="Fira Sans" w:hAnsi="Fira Sans"/>
          <w:color w:val="auto"/>
          <w:sz w:val="19"/>
          <w:szCs w:val="19"/>
        </w:rPr>
        <w:t>jednostkach</w:t>
      </w:r>
      <w:r w:rsidRPr="007C00E3">
        <w:rPr>
          <w:rFonts w:ascii="Fira Sans" w:hAnsi="Fira Sans"/>
          <w:color w:val="auto"/>
          <w:sz w:val="19"/>
          <w:szCs w:val="19"/>
        </w:rPr>
        <w:t xml:space="preserve"> od 10 do 49 </w:t>
      </w:r>
      <w:r>
        <w:rPr>
          <w:rFonts w:ascii="Fira Sans" w:hAnsi="Fira Sans"/>
          <w:color w:val="auto"/>
          <w:sz w:val="19"/>
          <w:szCs w:val="19"/>
        </w:rPr>
        <w:t>pracujących</w:t>
      </w:r>
      <w:r w:rsidRPr="007C00E3">
        <w:rPr>
          <w:rFonts w:ascii="Fira Sans" w:hAnsi="Fira Sans"/>
          <w:color w:val="auto"/>
          <w:sz w:val="19"/>
          <w:szCs w:val="19"/>
        </w:rPr>
        <w:t xml:space="preserve"> </w:t>
      </w:r>
      <w:r w:rsidR="00BF6337">
        <w:rPr>
          <w:rFonts w:ascii="Fira Sans" w:hAnsi="Fira Sans"/>
          <w:color w:val="auto"/>
          <w:sz w:val="19"/>
          <w:szCs w:val="19"/>
        </w:rPr>
        <w:t>—</w:t>
      </w:r>
      <w:r w:rsidRPr="007C00E3">
        <w:rPr>
          <w:rFonts w:ascii="Fira Sans" w:hAnsi="Fira Sans"/>
          <w:color w:val="auto"/>
          <w:sz w:val="19"/>
          <w:szCs w:val="19"/>
        </w:rPr>
        <w:t xml:space="preserve"> 76,5 tys. (29,2%).</w:t>
      </w:r>
    </w:p>
    <w:p w:rsidR="00B5655F" w:rsidRPr="00B5655F" w:rsidRDefault="00F46A47" w:rsidP="00B5655F">
      <w:pPr>
        <w:rPr>
          <w:shd w:val="clear" w:color="auto" w:fill="FFFFFF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2624" behindDoc="1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360</wp:posOffset>
                </wp:positionV>
                <wp:extent cx="1725295" cy="1339215"/>
                <wp:effectExtent l="0" t="0" r="0" b="0"/>
                <wp:wrapTight wrapText="bothSides">
                  <wp:wrapPolygon edited="0">
                    <wp:start x="715" y="0"/>
                    <wp:lineTo x="715" y="21201"/>
                    <wp:lineTo x="20749" y="21201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55F" w:rsidRPr="006756A9" w:rsidRDefault="00B5655F" w:rsidP="00BC1069">
                            <w:pPr>
                              <w:pStyle w:val="tekstzboku"/>
                              <w:spacing w:before="0"/>
                            </w:pPr>
                            <w:r w:rsidRPr="00B5655F">
                              <w:t xml:space="preserve">W I kwartale 2019 r. większość nowych miejsc pracy powstała w sektorze prywatnym (93,0%) w </w:t>
                            </w:r>
                            <w:r w:rsidR="00AA1148">
                              <w:t>jednostkach</w:t>
                            </w:r>
                            <w:r w:rsidRPr="00B5655F">
                              <w:t xml:space="preserve"> </w:t>
                            </w:r>
                            <w:r w:rsidR="00BC1069">
                              <w:br/>
                            </w:r>
                            <w:r w:rsidR="00603ABA">
                              <w:t>o liczbie pracujących</w:t>
                            </w:r>
                            <w:r w:rsidR="00603ABA" w:rsidRPr="00B5655F">
                              <w:t xml:space="preserve"> </w:t>
                            </w:r>
                            <w:r w:rsidRPr="00B5655F">
                              <w:t xml:space="preserve">do </w:t>
                            </w:r>
                            <w:r w:rsidR="00BC1069">
                              <w:br/>
                            </w:r>
                            <w:r w:rsidRPr="00B5655F">
                              <w:t>9 osób (50,7%)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18" o:spid="_x0000_s1031" type="#_x0000_t202" style="position:absolute;margin-left:445.85pt;margin-top:.05pt;width:135.85pt;height:105.45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" filled="f" stroked="f">
                <v:textbox>
                  <w:txbxContent>
                    <w:p w:rsidR="00B5655F" w:rsidRPr="006756A9" w:rsidRDefault="00B5655F" w:rsidP="00BC1069">
                      <w:pPr>
                        <w:pStyle w:val="tekstzboku"/>
                        <w:spacing w:before="0"/>
                      </w:pPr>
                      <w:r w:rsidRPr="00B5655F">
                        <w:t xml:space="preserve">W I kwartale 2019 r. większość nowych miejsc pracy powstała w sektorze prywatnym (93,0%) w </w:t>
                      </w:r>
                      <w:r w:rsidR="00AA1148">
                        <w:t>jednostkach</w:t>
                      </w:r>
                      <w:r w:rsidRPr="00B5655F">
                        <w:t xml:space="preserve"> </w:t>
                      </w:r>
                      <w:r w:rsidR="00BC1069">
                        <w:br/>
                      </w:r>
                      <w:r w:rsidR="00603ABA">
                        <w:t>o liczbie pracujących</w:t>
                      </w:r>
                      <w:r w:rsidR="00603ABA" w:rsidRPr="00B5655F">
                        <w:t xml:space="preserve"> </w:t>
                      </w:r>
                      <w:r w:rsidRPr="00B5655F">
                        <w:t xml:space="preserve">do </w:t>
                      </w:r>
                      <w:r w:rsidR="00BC1069">
                        <w:br/>
                      </w:r>
                      <w:r w:rsidRPr="00B5655F">
                        <w:t>9 osób (50,7%)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B2F8B" w:rsidRPr="00DB2F8B">
        <w:rPr>
          <w:shd w:val="clear" w:color="auto" w:fill="FFFFFF"/>
        </w:rPr>
        <w:t xml:space="preserve">Nowe miejsca pracy powstały głównie w </w:t>
      </w:r>
      <w:r w:rsidR="00F36C52">
        <w:rPr>
          <w:shd w:val="clear" w:color="auto" w:fill="FFFFFF"/>
        </w:rPr>
        <w:t xml:space="preserve">jednostkach </w:t>
      </w:r>
      <w:r w:rsidR="00DB2F8B" w:rsidRPr="00DB2F8B">
        <w:rPr>
          <w:shd w:val="clear" w:color="auto" w:fill="FFFFFF"/>
        </w:rPr>
        <w:t xml:space="preserve">prowadzących działalność w zakresie handlu; naprawy pojazdów samochodowych </w:t>
      </w:r>
      <w:r w:rsidR="00BF6337">
        <w:rPr>
          <w:shd w:val="clear" w:color="auto" w:fill="FFFFFF"/>
        </w:rPr>
        <w:t>—</w:t>
      </w:r>
      <w:r w:rsidR="00DB2F8B" w:rsidRPr="00DB2F8B">
        <w:rPr>
          <w:shd w:val="clear" w:color="auto" w:fill="FFFFFF"/>
        </w:rPr>
        <w:t xml:space="preserve"> 74,9 tys. (28,6%). W dość dużej liczbie wykazano je także w przetwórstwie przemysłowym </w:t>
      </w:r>
      <w:r w:rsidR="00BF6337">
        <w:rPr>
          <w:shd w:val="clear" w:color="auto" w:fill="FFFFFF"/>
        </w:rPr>
        <w:t>—</w:t>
      </w:r>
      <w:r w:rsidR="00DB2F8B" w:rsidRPr="00DB2F8B">
        <w:rPr>
          <w:shd w:val="clear" w:color="auto" w:fill="FFFFFF"/>
        </w:rPr>
        <w:t xml:space="preserve"> 43,0 tys. (16,4%) oraz budownictwie </w:t>
      </w:r>
      <w:r w:rsidR="00D64299">
        <w:rPr>
          <w:shd w:val="clear" w:color="auto" w:fill="FFFFFF"/>
        </w:rPr>
        <w:br/>
      </w:r>
      <w:r w:rsidR="00BF6337">
        <w:rPr>
          <w:shd w:val="clear" w:color="auto" w:fill="FFFFFF"/>
        </w:rPr>
        <w:t>—</w:t>
      </w:r>
      <w:r w:rsidR="00DB2F8B" w:rsidRPr="00DB2F8B">
        <w:rPr>
          <w:shd w:val="clear" w:color="auto" w:fill="FFFFFF"/>
        </w:rPr>
        <w:t xml:space="preserve"> 37,5 tys. (14,3%). Najmniej nowych miejsc pracy zostało utworzonych w </w:t>
      </w:r>
      <w:r w:rsidR="00F36C52">
        <w:rPr>
          <w:shd w:val="clear" w:color="auto" w:fill="FFFFFF"/>
        </w:rPr>
        <w:t>jednostkach</w:t>
      </w:r>
      <w:r w:rsidR="00DB2F8B" w:rsidRPr="00DB2F8B">
        <w:rPr>
          <w:shd w:val="clear" w:color="auto" w:fill="FFFFFF"/>
        </w:rPr>
        <w:t xml:space="preserve"> prowadzących działalność związaną z kulturą, rozrywką i rekreacją ‒ 2,1 tys. (0,8%), obsługą rynku nieruchomości </w:t>
      </w:r>
      <w:r w:rsidR="00BF6337">
        <w:rPr>
          <w:shd w:val="clear" w:color="auto" w:fill="FFFFFF"/>
        </w:rPr>
        <w:t>—</w:t>
      </w:r>
      <w:r w:rsidR="00DB2F8B" w:rsidRPr="00DB2F8B">
        <w:rPr>
          <w:shd w:val="clear" w:color="auto" w:fill="FFFFFF"/>
        </w:rPr>
        <w:t xml:space="preserve"> 2,4 tys. (0,9%) oraz finansami i ubezpieczeniami 2,8 tys. (1,1%).</w:t>
      </w:r>
    </w:p>
    <w:p w:rsidR="00B5655F" w:rsidRPr="00DB2F8B" w:rsidRDefault="00DB2F8B" w:rsidP="00B5655F">
      <w:pPr>
        <w:rPr>
          <w:shd w:val="clear" w:color="auto" w:fill="FFFFFF"/>
        </w:rPr>
      </w:pPr>
      <w:r w:rsidRPr="00DB2F8B">
        <w:rPr>
          <w:shd w:val="clear" w:color="auto" w:fill="FFFFFF"/>
        </w:rPr>
        <w:t xml:space="preserve">Najwięcej powstało ich w województwach mazowieckim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57,4 tys. (21,9%), a w dalszej kolejności śląskim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35,1 tys. (13,4%) oraz łódzkim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29,1 tys. (11,1%). Najmniej nowych miejsc pracy zostało utworzonych w województwach opolskim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2,5 tys. (1,0%), lubuskim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3,5 tys. (1,3%) oraz świętokrzyskim i podlaskim </w:t>
      </w:r>
      <w:r w:rsidR="00BF6337">
        <w:rPr>
          <w:shd w:val="clear" w:color="auto" w:fill="FFFFFF"/>
        </w:rPr>
        <w:t>—</w:t>
      </w:r>
      <w:r w:rsidRPr="00DB2F8B">
        <w:rPr>
          <w:shd w:val="clear" w:color="auto" w:fill="FFFFFF"/>
        </w:rPr>
        <w:t xml:space="preserve"> po 5,6 tys. (2,1%).</w:t>
      </w:r>
    </w:p>
    <w:p w:rsidR="00B5655F" w:rsidRPr="00DB2F8B" w:rsidRDefault="00DB2F8B" w:rsidP="00B5655F">
      <w:r w:rsidRPr="00DB2F8B">
        <w:t xml:space="preserve">W końcu I kwartału 2019 r. </w:t>
      </w:r>
      <w:r w:rsidR="00987D64" w:rsidRPr="002D4C4B">
        <w:t>nie</w:t>
      </w:r>
      <w:r w:rsidRPr="002D4C4B">
        <w:t>obsadzonych było 30</w:t>
      </w:r>
      <w:r w:rsidRPr="00DB2F8B">
        <w:t xml:space="preserve">,7 tys. (11,7%) nowo utworzonych miejsc do </w:t>
      </w:r>
      <w:r w:rsidR="001F5380">
        <w:t xml:space="preserve">w jednostkach o liczbie pracujących do </w:t>
      </w:r>
      <w:r w:rsidRPr="00DB2F8B">
        <w:t xml:space="preserve">9 osób </w:t>
      </w:r>
      <w:r w:rsidR="00BF6337">
        <w:t>—</w:t>
      </w:r>
      <w:r w:rsidRPr="00DB2F8B">
        <w:t xml:space="preserve"> 13,2 tys. (43,1%) i powyżej 49 osób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t xml:space="preserve"> 11,5 tys. (37,6%). W porównaniu z poprzednim kwartałem liczba wolnych nowo utworzonych miejsc pracy wzrosła o 0,8 tys. (2,7%), a w porównaniu z I kwartałem 2018 r. spadła o 6,4 tys. (17,3%).</w:t>
      </w:r>
    </w:p>
    <w:p w:rsidR="00B5655F" w:rsidRPr="00FA5BA4" w:rsidRDefault="00DB2F8B" w:rsidP="00B5655F">
      <w:pPr>
        <w:rPr>
          <w:rFonts w:eastAsia="Times New Roman" w:cs="Times New Roman"/>
          <w:sz w:val="18"/>
          <w:szCs w:val="18"/>
          <w:lang w:eastAsia="pl-PL"/>
        </w:rPr>
      </w:pPr>
      <w:r w:rsidRPr="00FA5BA4">
        <w:rPr>
          <w:rFonts w:eastAsia="Times New Roman" w:cs="Times New Roman"/>
          <w:szCs w:val="19"/>
          <w:lang w:eastAsia="pl-PL"/>
        </w:rPr>
        <w:t xml:space="preserve">Nowo utworzone miejsca pracy nie zostały obsadzone głównie w </w:t>
      </w:r>
      <w:r w:rsidR="00F36C52" w:rsidRPr="00FA5BA4">
        <w:rPr>
          <w:rFonts w:eastAsia="Times New Roman" w:cs="Times New Roman"/>
          <w:szCs w:val="19"/>
          <w:lang w:eastAsia="pl-PL"/>
        </w:rPr>
        <w:t>jednostkach</w:t>
      </w:r>
      <w:r w:rsidRPr="00FA5BA4">
        <w:rPr>
          <w:rFonts w:eastAsia="Times New Roman" w:cs="Times New Roman"/>
          <w:szCs w:val="19"/>
          <w:lang w:eastAsia="pl-PL"/>
        </w:rPr>
        <w:t xml:space="preserve"> prowadzących działalność w zakresie handlu; naprawy pojazdów samochodowych </w:t>
      </w:r>
      <w:r w:rsidR="00BF6337" w:rsidRPr="00FA5BA4">
        <w:rPr>
          <w:rFonts w:eastAsia="Times New Roman" w:cs="Times New Roman"/>
          <w:szCs w:val="19"/>
          <w:lang w:eastAsia="pl-PL"/>
        </w:rPr>
        <w:t>—</w:t>
      </w:r>
      <w:r w:rsidRPr="00FA5BA4">
        <w:rPr>
          <w:rFonts w:eastAsia="Times New Roman" w:cs="Times New Roman"/>
          <w:szCs w:val="19"/>
          <w:lang w:eastAsia="pl-PL"/>
        </w:rPr>
        <w:t xml:space="preserve"> 5,8 tys. (19,0%). Nie</w:t>
      </w:r>
      <w:r w:rsidR="00E942ED" w:rsidRPr="00FA5BA4">
        <w:rPr>
          <w:rFonts w:eastAsia="Times New Roman" w:cs="Times New Roman"/>
          <w:szCs w:val="19"/>
          <w:lang w:eastAsia="pl-PL"/>
        </w:rPr>
        <w:t>co mniejszą część stanowiły nie</w:t>
      </w:r>
      <w:r w:rsidRPr="00FA5BA4">
        <w:rPr>
          <w:rFonts w:eastAsia="Times New Roman" w:cs="Times New Roman"/>
          <w:szCs w:val="19"/>
          <w:lang w:eastAsia="pl-PL"/>
        </w:rPr>
        <w:t xml:space="preserve">obsadzone miejsca pracy w  budownictwie </w:t>
      </w:r>
      <w:r w:rsidR="00BF6337" w:rsidRPr="00FA5BA4">
        <w:rPr>
          <w:rFonts w:eastAsia="Times New Roman" w:cs="Times New Roman"/>
          <w:szCs w:val="19"/>
          <w:lang w:eastAsia="pl-PL"/>
        </w:rPr>
        <w:t>—</w:t>
      </w:r>
      <w:r w:rsidRPr="00FA5BA4">
        <w:rPr>
          <w:rFonts w:eastAsia="Times New Roman" w:cs="Times New Roman"/>
          <w:szCs w:val="19"/>
          <w:lang w:eastAsia="pl-PL"/>
        </w:rPr>
        <w:t xml:space="preserve"> 5,5 tys. (17,8%) oraz przetwórstwie przemysłowym </w:t>
      </w:r>
      <w:r w:rsidR="00BF6337" w:rsidRPr="00FA5BA4">
        <w:rPr>
          <w:rFonts w:eastAsia="Times New Roman" w:cs="Times New Roman"/>
          <w:szCs w:val="19"/>
          <w:lang w:eastAsia="pl-PL"/>
        </w:rPr>
        <w:t>—</w:t>
      </w:r>
      <w:r w:rsidRPr="00FA5BA4">
        <w:rPr>
          <w:rFonts w:eastAsia="Times New Roman" w:cs="Times New Roman"/>
          <w:szCs w:val="19"/>
          <w:lang w:eastAsia="pl-PL"/>
        </w:rPr>
        <w:t xml:space="preserve"> 5,5 tys. (17,8%). Przeznaczone były one głównie dla robotników przemysłowych i rzemieślników </w:t>
      </w:r>
      <w:r w:rsidR="00BF6337" w:rsidRPr="00FA5BA4">
        <w:rPr>
          <w:rFonts w:eastAsia="Times New Roman" w:cs="Times New Roman"/>
          <w:szCs w:val="19"/>
          <w:lang w:eastAsia="pl-PL"/>
        </w:rPr>
        <w:t>—</w:t>
      </w:r>
      <w:r w:rsidRPr="00FA5BA4">
        <w:rPr>
          <w:rFonts w:eastAsia="Times New Roman" w:cs="Times New Roman"/>
          <w:szCs w:val="19"/>
          <w:lang w:eastAsia="pl-PL"/>
        </w:rPr>
        <w:t xml:space="preserve"> 7,1 tys. (23,2%), specjalistów </w:t>
      </w:r>
      <w:r w:rsidR="00BF6337" w:rsidRPr="00FA5BA4">
        <w:rPr>
          <w:rFonts w:eastAsia="Times New Roman" w:cs="Times New Roman"/>
          <w:szCs w:val="19"/>
          <w:lang w:eastAsia="pl-PL"/>
        </w:rPr>
        <w:t>—</w:t>
      </w:r>
      <w:r w:rsidRPr="00FA5BA4">
        <w:rPr>
          <w:rFonts w:eastAsia="Times New Roman" w:cs="Times New Roman"/>
          <w:szCs w:val="19"/>
          <w:lang w:eastAsia="pl-PL"/>
        </w:rPr>
        <w:t xml:space="preserve"> 6,5 tys. (21,1%)</w:t>
      </w:r>
      <w:r w:rsidRPr="00FA5BA4">
        <w:rPr>
          <w:rFonts w:eastAsia="Times New Roman" w:cs="Times New Roman"/>
          <w:sz w:val="18"/>
          <w:szCs w:val="18"/>
          <w:lang w:eastAsia="pl-PL"/>
        </w:rPr>
        <w:t>.</w:t>
      </w:r>
    </w:p>
    <w:p w:rsidR="00B751E3" w:rsidRPr="00DB2F8B" w:rsidRDefault="00DB2F8B" w:rsidP="00B5655F">
      <w:pPr>
        <w:rPr>
          <w:shd w:val="clear" w:color="auto" w:fill="FFFFFF"/>
        </w:rPr>
      </w:pP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Najwięcej wolnych nowo utworzonych miejsc pracy było w województwach mazowieckim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9,3 tys. (30,3%), małopolskim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4,3 tys. (14,0%) oraz dolnośląskim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3,7 tys. (12,0%), najmniej zaś w województwach podlaskim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0,2 tys. (0,6%), opolskim ‒ 0,3 tys. (0,8%) oraz lubuskim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DB2F8B">
        <w:rPr>
          <w:rFonts w:eastAsia="Times New Roman" w:cs="Times New Roman"/>
          <w:spacing w:val="4"/>
          <w:szCs w:val="19"/>
          <w:lang w:eastAsia="pl-PL"/>
        </w:rPr>
        <w:t xml:space="preserve"> 0,3 tys. (0,8%).</w:t>
      </w:r>
    </w:p>
    <w:p w:rsidR="00B751E3" w:rsidRDefault="00B751E3" w:rsidP="00212B62">
      <w:pPr>
        <w:rPr>
          <w:shd w:val="clear" w:color="auto" w:fill="FFFFFF"/>
        </w:rPr>
      </w:pPr>
    </w:p>
    <w:p w:rsidR="00B5655F" w:rsidRPr="00E2321D" w:rsidRDefault="00F46A47" w:rsidP="00B5655F">
      <w:pPr>
        <w:rPr>
          <w:rFonts w:ascii="Fira Sans SemiBold" w:hAnsi="Fira Sans SemiBold" w:cs="FiraSans-Regular"/>
          <w:color w:val="001D77"/>
          <w:szCs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>
                <wp:simplePos x="0" y="0"/>
                <wp:positionH relativeFrom="page">
                  <wp:posOffset>5661025</wp:posOffset>
                </wp:positionH>
                <wp:positionV relativeFrom="paragraph">
                  <wp:posOffset>95885</wp:posOffset>
                </wp:positionV>
                <wp:extent cx="1725295" cy="931545"/>
                <wp:effectExtent l="0" t="0" r="0" b="1905"/>
                <wp:wrapTight wrapText="bothSides">
                  <wp:wrapPolygon edited="0">
                    <wp:start x="715" y="0"/>
                    <wp:lineTo x="715" y="21202"/>
                    <wp:lineTo x="20749" y="21202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5A5" w:rsidRPr="00D935A5" w:rsidRDefault="00D935A5" w:rsidP="00D935A5">
                            <w:pPr>
                              <w:pStyle w:val="tekstzboku"/>
                              <w:rPr>
                                <w:spacing w:val="-2"/>
                              </w:rPr>
                            </w:pPr>
                            <w:r w:rsidRPr="00D935A5">
                              <w:rPr>
                                <w:spacing w:val="-2"/>
                              </w:rPr>
                              <w:t xml:space="preserve">W I kwartale 2019 r. zlikwidowano miejsca pracy głównie </w:t>
                            </w:r>
                            <w:r>
                              <w:rPr>
                                <w:spacing w:val="-2"/>
                              </w:rPr>
                              <w:br/>
                            </w:r>
                            <w:r w:rsidRPr="00D935A5">
                              <w:rPr>
                                <w:spacing w:val="-2"/>
                              </w:rPr>
                              <w:t>w sektorze prywatnym (94,5%)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19" o:spid="_x0000_s1032" type="#_x0000_t202" style="position:absolute;margin-left:445.75pt;margin-top:7.55pt;width:135.85pt;height:73.35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6DEgIAAAA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" filled="f" stroked="f">
                <v:textbox>
                  <w:txbxContent>
                    <w:p w:rsidR="00D935A5" w:rsidRPr="00D935A5" w:rsidRDefault="00D935A5" w:rsidP="00D935A5">
                      <w:pPr>
                        <w:pStyle w:val="tekstzboku"/>
                        <w:rPr>
                          <w:spacing w:val="-2"/>
                        </w:rPr>
                      </w:pPr>
                      <w:r w:rsidRPr="00D935A5">
                        <w:rPr>
                          <w:spacing w:val="-2"/>
                        </w:rPr>
                        <w:t xml:space="preserve">W I kwartale 2019 r. zlikwidowano miejsca pracy głównie </w:t>
                      </w:r>
                      <w:r>
                        <w:rPr>
                          <w:spacing w:val="-2"/>
                        </w:rPr>
                        <w:br/>
                      </w:r>
                      <w:r w:rsidRPr="00D935A5">
                        <w:rPr>
                          <w:spacing w:val="-2"/>
                        </w:rPr>
                        <w:t>w sektorze prywatnym (94,5%)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935A5">
        <w:rPr>
          <w:rFonts w:ascii="Fira Sans SemiBold" w:hAnsi="Fira Sans SemiBold" w:cs="FiraSans-Regular"/>
          <w:color w:val="001D77"/>
          <w:szCs w:val="19"/>
        </w:rPr>
        <w:t>Zlikwidowane</w:t>
      </w:r>
      <w:r w:rsidR="00B5655F">
        <w:rPr>
          <w:rFonts w:ascii="Fira Sans SemiBold" w:hAnsi="Fira Sans SemiBold" w:cs="FiraSans-Regular"/>
          <w:color w:val="001D77"/>
          <w:szCs w:val="19"/>
        </w:rPr>
        <w:t xml:space="preserve"> miejsca pracy</w:t>
      </w:r>
    </w:p>
    <w:p w:rsidR="00B5655F" w:rsidRDefault="00DB2F8B" w:rsidP="00B5655F">
      <w:pPr>
        <w:rPr>
          <w:szCs w:val="19"/>
        </w:rPr>
      </w:pPr>
      <w:r w:rsidRPr="00062FC2">
        <w:rPr>
          <w:szCs w:val="19"/>
        </w:rPr>
        <w:t>W I kwarta</w:t>
      </w:r>
      <w:r>
        <w:rPr>
          <w:szCs w:val="19"/>
        </w:rPr>
        <w:t>le</w:t>
      </w:r>
      <w:r w:rsidRPr="00062FC2">
        <w:rPr>
          <w:szCs w:val="19"/>
        </w:rPr>
        <w:t xml:space="preserve"> 2019 r. zlikwidowanych zostało 88,7 tys. miejsc pracy, tj. o 0,8 tys. (0,9%) więcej niż w I kwartale 2018 r. Miejsca pracy były likwidowane najczęściej w zbiorowości </w:t>
      </w:r>
      <w:r w:rsidR="00F36C52">
        <w:rPr>
          <w:szCs w:val="19"/>
        </w:rPr>
        <w:t>jednostek,</w:t>
      </w:r>
      <w:r w:rsidRPr="00062FC2">
        <w:rPr>
          <w:szCs w:val="19"/>
        </w:rPr>
        <w:t xml:space="preserve"> </w:t>
      </w:r>
      <w:r>
        <w:rPr>
          <w:szCs w:val="19"/>
        </w:rPr>
        <w:t xml:space="preserve">w których pracowało </w:t>
      </w:r>
      <w:r w:rsidRPr="00062FC2">
        <w:rPr>
          <w:szCs w:val="19"/>
        </w:rPr>
        <w:t>do 9 osób</w:t>
      </w:r>
      <w:r>
        <w:rPr>
          <w:szCs w:val="19"/>
        </w:rPr>
        <w:t xml:space="preserve">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46,2</w:t>
      </w:r>
      <w:r w:rsidRPr="00062FC2">
        <w:rPr>
          <w:szCs w:val="19"/>
        </w:rPr>
        <w:t xml:space="preserve"> tys. (52,0%), jak również w </w:t>
      </w:r>
      <w:r w:rsidR="00F36C52">
        <w:rPr>
          <w:szCs w:val="19"/>
        </w:rPr>
        <w:t>jednostkach</w:t>
      </w:r>
      <w:r w:rsidRPr="00062FC2">
        <w:rPr>
          <w:szCs w:val="19"/>
        </w:rPr>
        <w:t xml:space="preserve"> od 10 do 49 </w:t>
      </w:r>
      <w:r>
        <w:rPr>
          <w:szCs w:val="19"/>
        </w:rPr>
        <w:t>pracujących</w:t>
      </w:r>
      <w:r w:rsidRPr="00062FC2">
        <w:rPr>
          <w:szCs w:val="19"/>
        </w:rPr>
        <w:t xml:space="preserve"> </w:t>
      </w:r>
      <w:r w:rsidR="00BF6337">
        <w:rPr>
          <w:rFonts w:eastAsia="Times New Roman" w:cs="Times New Roman"/>
          <w:spacing w:val="4"/>
          <w:szCs w:val="19"/>
          <w:lang w:eastAsia="pl-PL"/>
        </w:rPr>
        <w:t>—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</w:t>
      </w:r>
      <w:r w:rsidRPr="00062FC2">
        <w:rPr>
          <w:szCs w:val="19"/>
        </w:rPr>
        <w:t>26,1 tys. (29,4%).</w:t>
      </w:r>
    </w:p>
    <w:p w:rsidR="00FA5BA4" w:rsidRPr="00B5655F" w:rsidRDefault="00FA5BA4" w:rsidP="00B5655F">
      <w:pPr>
        <w:rPr>
          <w:szCs w:val="19"/>
        </w:rPr>
      </w:pPr>
    </w:p>
    <w:p w:rsidR="00B751E3" w:rsidRDefault="000E0E5F" w:rsidP="00D935A5">
      <w:pPr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436880</wp:posOffset>
            </wp:positionV>
            <wp:extent cx="5118735" cy="3863340"/>
            <wp:effectExtent l="0" t="0" r="5715" b="381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46A4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>
                <wp:simplePos x="0" y="0"/>
                <wp:positionH relativeFrom="page">
                  <wp:posOffset>5661025</wp:posOffset>
                </wp:positionH>
                <wp:positionV relativeFrom="paragraph">
                  <wp:posOffset>251460</wp:posOffset>
                </wp:positionV>
                <wp:extent cx="1725295" cy="1543050"/>
                <wp:effectExtent l="0" t="0" r="0" b="0"/>
                <wp:wrapTight wrapText="bothSides">
                  <wp:wrapPolygon edited="0">
                    <wp:start x="715" y="0"/>
                    <wp:lineTo x="715" y="21333"/>
                    <wp:lineTo x="20749" y="21333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5A5" w:rsidRPr="006756A9" w:rsidRDefault="00D935A5" w:rsidP="00D935A5">
                            <w:pPr>
                              <w:pStyle w:val="tekstzboku"/>
                            </w:pPr>
                            <w:r w:rsidRPr="00D935A5">
                              <w:t xml:space="preserve">Analogicznie jak w poprzednich kwartałach miejsca pracy były likwidowane najczęściej w </w:t>
                            </w:r>
                            <w:r w:rsidR="00AA1148">
                              <w:t>jednostkach</w:t>
                            </w:r>
                            <w:r w:rsidRPr="00D935A5">
                              <w:t xml:space="preserve"> prowadzących działalność w zakresie handlu; naprawy pojazdów samochodowych (29,5%)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Pole tekstowe 25" o:spid="_x0000_s1033" type="#_x0000_t202" style="position:absolute;left:0;text-align:left;margin-left:445.75pt;margin-top:19.8pt;width:135.85pt;height:121.5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" filled="f" stroked="f">
                <v:textbox>
                  <w:txbxContent>
                    <w:p w:rsidR="00D935A5" w:rsidRPr="006756A9" w:rsidRDefault="00D935A5" w:rsidP="00D935A5">
                      <w:pPr>
                        <w:pStyle w:val="tekstzboku"/>
                      </w:pPr>
                      <w:r w:rsidRPr="00D935A5">
                        <w:t xml:space="preserve">Analogicznie jak w poprzednich kwartałach miejsca pracy były likwidowane najczęściej w </w:t>
                      </w:r>
                      <w:r w:rsidR="00AA1148">
                        <w:t>jednostkach</w:t>
                      </w:r>
                      <w:r w:rsidRPr="00D935A5">
                        <w:t xml:space="preserve"> prowadzących działalność w zakresie handlu; naprawy pojazdów samochodowych (29,5%)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935A5" w:rsidRPr="00B751E3">
        <w:rPr>
          <w:b/>
          <w:sz w:val="18"/>
          <w:szCs w:val="18"/>
        </w:rPr>
        <w:t xml:space="preserve">Wykres </w:t>
      </w:r>
      <w:r w:rsidR="00D935A5">
        <w:rPr>
          <w:b/>
          <w:sz w:val="18"/>
          <w:szCs w:val="18"/>
        </w:rPr>
        <w:t>6</w:t>
      </w:r>
      <w:r w:rsidR="00D935A5" w:rsidRPr="00B751E3">
        <w:rPr>
          <w:b/>
          <w:sz w:val="18"/>
          <w:szCs w:val="18"/>
        </w:rPr>
        <w:t xml:space="preserve">. </w:t>
      </w:r>
      <w:r w:rsidR="00D935A5" w:rsidRPr="00D935A5">
        <w:rPr>
          <w:b/>
          <w:spacing w:val="-3"/>
          <w:sz w:val="18"/>
          <w:szCs w:val="18"/>
        </w:rPr>
        <w:t xml:space="preserve">Nowo utworzone i zlikwidowane miejsca pracy według wybranych sekcji PKD </w:t>
      </w:r>
      <w:r w:rsidR="00D935A5">
        <w:rPr>
          <w:b/>
          <w:spacing w:val="-3"/>
          <w:sz w:val="18"/>
          <w:szCs w:val="18"/>
        </w:rPr>
        <w:br/>
      </w:r>
      <w:r w:rsidR="00D935A5" w:rsidRPr="00D935A5">
        <w:rPr>
          <w:b/>
          <w:spacing w:val="-3"/>
          <w:sz w:val="18"/>
          <w:szCs w:val="18"/>
        </w:rPr>
        <w:t>w I kwartale 2019 r.</w:t>
      </w:r>
    </w:p>
    <w:p w:rsidR="000E0E5F" w:rsidRDefault="00DB2F8B" w:rsidP="000E0E5F">
      <w:pPr>
        <w:rPr>
          <w:rFonts w:eastAsia="Times New Roman" w:cs="Times New Roman"/>
          <w:spacing w:val="4"/>
          <w:szCs w:val="19"/>
          <w:lang w:eastAsia="pl-PL"/>
        </w:rPr>
      </w:pPr>
      <w:r w:rsidRPr="00062FC2">
        <w:rPr>
          <w:shd w:val="clear" w:color="auto" w:fill="FFFFFF"/>
        </w:rPr>
        <w:lastRenderedPageBreak/>
        <w:t xml:space="preserve">Miejsca pracy likwidowano najczęściej w </w:t>
      </w:r>
      <w:r w:rsidR="00F36C52">
        <w:rPr>
          <w:shd w:val="clear" w:color="auto" w:fill="FFFFFF"/>
        </w:rPr>
        <w:t>jednostkach</w:t>
      </w:r>
      <w:r w:rsidRPr="00062FC2">
        <w:rPr>
          <w:shd w:val="clear" w:color="auto" w:fill="FFFFFF"/>
        </w:rPr>
        <w:t xml:space="preserve"> prowadzących działalność w zakresie 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handlu; naprawy pojazdów samochodowych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</w:t>
      </w:r>
      <w:r>
        <w:rPr>
          <w:rFonts w:eastAsia="Times New Roman" w:cs="Times New Roman"/>
          <w:spacing w:val="4"/>
          <w:szCs w:val="19"/>
          <w:lang w:eastAsia="pl-PL"/>
        </w:rPr>
        <w:t>26</w:t>
      </w:r>
      <w:r w:rsidRPr="00062FC2">
        <w:rPr>
          <w:rFonts w:eastAsia="Times New Roman" w:cs="Times New Roman"/>
          <w:spacing w:val="4"/>
          <w:szCs w:val="19"/>
          <w:lang w:eastAsia="pl-PL"/>
        </w:rPr>
        <w:t>,</w:t>
      </w:r>
      <w:r>
        <w:rPr>
          <w:rFonts w:eastAsia="Times New Roman" w:cs="Times New Roman"/>
          <w:spacing w:val="4"/>
          <w:szCs w:val="19"/>
          <w:lang w:eastAsia="pl-PL"/>
        </w:rPr>
        <w:t>1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tys. (</w:t>
      </w:r>
      <w:r>
        <w:rPr>
          <w:rFonts w:eastAsia="Times New Roman" w:cs="Times New Roman"/>
          <w:spacing w:val="4"/>
          <w:szCs w:val="19"/>
          <w:lang w:eastAsia="pl-PL"/>
        </w:rPr>
        <w:t>29</w:t>
      </w:r>
      <w:r w:rsidRPr="00062FC2">
        <w:rPr>
          <w:rFonts w:eastAsia="Times New Roman" w:cs="Times New Roman"/>
          <w:spacing w:val="4"/>
          <w:szCs w:val="19"/>
          <w:lang w:eastAsia="pl-PL"/>
        </w:rPr>
        <w:t>,</w:t>
      </w:r>
      <w:r>
        <w:rPr>
          <w:rFonts w:eastAsia="Times New Roman" w:cs="Times New Roman"/>
          <w:spacing w:val="4"/>
          <w:szCs w:val="19"/>
          <w:lang w:eastAsia="pl-PL"/>
        </w:rPr>
        <w:t>5</w:t>
      </w:r>
      <w:r w:rsidRPr="00062FC2">
        <w:rPr>
          <w:rFonts w:eastAsia="Times New Roman" w:cs="Times New Roman"/>
          <w:spacing w:val="4"/>
          <w:szCs w:val="19"/>
          <w:lang w:eastAsia="pl-PL"/>
        </w:rPr>
        <w:t>%)</w:t>
      </w:r>
      <w:r>
        <w:rPr>
          <w:rFonts w:eastAsia="Times New Roman" w:cs="Times New Roman"/>
          <w:spacing w:val="4"/>
          <w:szCs w:val="19"/>
          <w:lang w:eastAsia="pl-PL"/>
        </w:rPr>
        <w:t>. Niemal o połowę mniej zlikwidowano ich w p</w:t>
      </w:r>
      <w:r w:rsidRPr="00062FC2">
        <w:rPr>
          <w:rFonts w:eastAsia="Times New Roman" w:cs="Times New Roman"/>
          <w:spacing w:val="4"/>
          <w:szCs w:val="19"/>
          <w:lang w:eastAsia="pl-PL"/>
        </w:rPr>
        <w:t>rzetwórstw</w:t>
      </w:r>
      <w:r>
        <w:rPr>
          <w:rFonts w:eastAsia="Times New Roman" w:cs="Times New Roman"/>
          <w:spacing w:val="4"/>
          <w:szCs w:val="19"/>
          <w:lang w:eastAsia="pl-PL"/>
        </w:rPr>
        <w:t>ie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przemysłow</w:t>
      </w:r>
      <w:r>
        <w:rPr>
          <w:rFonts w:eastAsia="Times New Roman" w:cs="Times New Roman"/>
          <w:spacing w:val="4"/>
          <w:szCs w:val="19"/>
          <w:lang w:eastAsia="pl-PL"/>
        </w:rPr>
        <w:t xml:space="preserve">ym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062FC2">
        <w:rPr>
          <w:rFonts w:eastAsia="Times New Roman" w:cs="Times New Roman"/>
          <w:spacing w:val="4"/>
          <w:szCs w:val="19"/>
          <w:lang w:eastAsia="pl-PL"/>
        </w:rPr>
        <w:t xml:space="preserve"> 13,9 tys. (15,7%)</w:t>
      </w:r>
      <w:r>
        <w:rPr>
          <w:rFonts w:eastAsia="Times New Roman" w:cs="Times New Roman"/>
          <w:spacing w:val="4"/>
          <w:szCs w:val="19"/>
          <w:lang w:eastAsia="pl-PL"/>
        </w:rPr>
        <w:t xml:space="preserve">. Relatywnie najmniej ubyło miejsc pracy </w:t>
      </w:r>
      <w:r w:rsidRPr="008B493D">
        <w:rPr>
          <w:rFonts w:eastAsia="Times New Roman" w:cs="Times New Roman"/>
          <w:spacing w:val="4"/>
          <w:szCs w:val="19"/>
          <w:lang w:eastAsia="pl-PL"/>
        </w:rPr>
        <w:t xml:space="preserve">w </w:t>
      </w:r>
      <w:r w:rsidR="00F36C52">
        <w:rPr>
          <w:rFonts w:eastAsia="Times New Roman" w:cs="Times New Roman"/>
          <w:spacing w:val="4"/>
          <w:szCs w:val="19"/>
          <w:lang w:eastAsia="pl-PL"/>
        </w:rPr>
        <w:t>jednostkach</w:t>
      </w:r>
      <w:r w:rsidRPr="008B493D">
        <w:rPr>
          <w:rFonts w:eastAsia="Times New Roman" w:cs="Times New Roman"/>
          <w:spacing w:val="4"/>
          <w:szCs w:val="19"/>
          <w:lang w:eastAsia="pl-PL"/>
        </w:rPr>
        <w:t xml:space="preserve"> związanych z kulturą, rozrywką i rekreacją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8B493D">
        <w:rPr>
          <w:rFonts w:eastAsia="Times New Roman" w:cs="Times New Roman"/>
          <w:spacing w:val="4"/>
          <w:szCs w:val="19"/>
          <w:lang w:eastAsia="pl-PL"/>
        </w:rPr>
        <w:t xml:space="preserve"> 0,6 tys. (0,7%), administracją państwową i obroną narodową; obowiązkowymi zabezpieczeniami społecznymi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8B493D">
        <w:rPr>
          <w:rFonts w:eastAsia="Times New Roman" w:cs="Times New Roman"/>
          <w:szCs w:val="19"/>
          <w:lang w:eastAsia="pl-PL"/>
        </w:rPr>
        <w:t xml:space="preserve"> 1,2 tys.</w:t>
      </w:r>
      <w:r w:rsidRPr="008B493D">
        <w:rPr>
          <w:rFonts w:eastAsia="Times New Roman" w:cs="Times New Roman"/>
          <w:spacing w:val="4"/>
          <w:szCs w:val="19"/>
          <w:lang w:eastAsia="pl-PL"/>
        </w:rPr>
        <w:t xml:space="preserve"> (1,4%) oraz opieką zdrowotną i pomocą społeczną </w:t>
      </w:r>
      <w:r w:rsidR="00BF6337">
        <w:rPr>
          <w:rFonts w:eastAsia="Times New Roman" w:cs="Times New Roman"/>
          <w:szCs w:val="19"/>
          <w:lang w:eastAsia="pl-PL"/>
        </w:rPr>
        <w:t>—</w:t>
      </w:r>
      <w:r w:rsidRPr="008B493D">
        <w:rPr>
          <w:rFonts w:eastAsia="Times New Roman" w:cs="Times New Roman"/>
          <w:szCs w:val="19"/>
          <w:lang w:eastAsia="pl-PL"/>
        </w:rPr>
        <w:t xml:space="preserve"> 1,4 tys.</w:t>
      </w:r>
      <w:r w:rsidRPr="008B493D">
        <w:rPr>
          <w:rFonts w:eastAsia="Times New Roman" w:cs="Times New Roman"/>
          <w:spacing w:val="4"/>
          <w:szCs w:val="19"/>
          <w:lang w:eastAsia="pl-PL"/>
        </w:rPr>
        <w:t xml:space="preserve"> (1,6%).</w:t>
      </w:r>
    </w:p>
    <w:p w:rsidR="00FA5BA4" w:rsidRPr="00D543AB" w:rsidRDefault="00FA5BA4" w:rsidP="000E0E5F">
      <w:pPr>
        <w:rPr>
          <w:rFonts w:eastAsia="Times New Roman" w:cs="Times New Roman"/>
          <w:spacing w:val="4"/>
          <w:szCs w:val="19"/>
          <w:lang w:eastAsia="pl-PL"/>
        </w:rPr>
      </w:pPr>
    </w:p>
    <w:p w:rsidR="00B751E3" w:rsidRPr="0003294D" w:rsidRDefault="0003294D" w:rsidP="0003294D">
      <w:pPr>
        <w:spacing w:before="0"/>
        <w:ind w:left="822" w:hanging="822"/>
        <w:rPr>
          <w:b/>
          <w:spacing w:val="-2"/>
          <w:sz w:val="18"/>
          <w:shd w:val="clear" w:color="auto" w:fill="FFFFFF"/>
        </w:rPr>
      </w:pPr>
      <w:r w:rsidRPr="00BA3562">
        <w:rPr>
          <w:b/>
          <w:spacing w:val="-2"/>
          <w:sz w:val="18"/>
          <w:shd w:val="clear" w:color="auto" w:fill="FFFFFF"/>
        </w:rPr>
        <w:t xml:space="preserve">Tablica </w:t>
      </w:r>
      <w:r>
        <w:rPr>
          <w:b/>
          <w:spacing w:val="-2"/>
          <w:sz w:val="18"/>
          <w:shd w:val="clear" w:color="auto" w:fill="FFFFFF"/>
        </w:rPr>
        <w:t>2</w:t>
      </w:r>
      <w:r w:rsidRPr="00BA3562">
        <w:rPr>
          <w:b/>
          <w:spacing w:val="-2"/>
          <w:sz w:val="18"/>
          <w:shd w:val="clear" w:color="auto" w:fill="FFFFFF"/>
        </w:rPr>
        <w:t xml:space="preserve">. </w:t>
      </w:r>
      <w:r w:rsidRPr="00D543AB">
        <w:rPr>
          <w:b/>
          <w:spacing w:val="-2"/>
          <w:sz w:val="18"/>
          <w:shd w:val="clear" w:color="auto" w:fill="FFFFFF"/>
        </w:rPr>
        <w:t xml:space="preserve">Wolne miejsca pracy według wybranych sekcji PKD, sektorów własności i wielkości </w:t>
      </w:r>
      <w:r>
        <w:rPr>
          <w:b/>
          <w:spacing w:val="-2"/>
          <w:sz w:val="18"/>
          <w:shd w:val="clear" w:color="auto" w:fill="FFFFFF"/>
        </w:rPr>
        <w:br/>
        <w:t>jednostek</w:t>
      </w:r>
      <w:r w:rsidRPr="00D543AB">
        <w:rPr>
          <w:b/>
          <w:spacing w:val="-2"/>
          <w:sz w:val="18"/>
          <w:shd w:val="clear" w:color="auto" w:fill="FFFFFF"/>
        </w:rPr>
        <w:t xml:space="preserve"> na koniec I kwartału 2019 r. (w tys.)</w:t>
      </w:r>
    </w:p>
    <w:tbl>
      <w:tblPr>
        <w:tblStyle w:val="Siatkatabelijasna1"/>
        <w:tblpPr w:leftFromText="141" w:rightFromText="141" w:vertAnchor="text" w:horzAnchor="margin" w:tblpY="9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29"/>
        <w:gridCol w:w="867"/>
        <w:gridCol w:w="955"/>
        <w:gridCol w:w="972"/>
        <w:gridCol w:w="955"/>
        <w:gridCol w:w="972"/>
        <w:gridCol w:w="973"/>
      </w:tblGrid>
      <w:tr w:rsidR="00FA5BA4" w:rsidRPr="00FA5128" w:rsidTr="00FA5BA4">
        <w:trPr>
          <w:trHeight w:val="57"/>
        </w:trPr>
        <w:tc>
          <w:tcPr>
            <w:tcW w:w="2229" w:type="dxa"/>
            <w:vMerge w:val="restart"/>
            <w:vAlign w:val="center"/>
          </w:tcPr>
          <w:p w:rsidR="00FA5BA4" w:rsidRPr="009C7251" w:rsidRDefault="001F5380" w:rsidP="00FA5BA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Sekcje PKD</w:t>
            </w:r>
          </w:p>
        </w:tc>
        <w:tc>
          <w:tcPr>
            <w:tcW w:w="867" w:type="dxa"/>
            <w:vMerge w:val="restart"/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927" w:type="dxa"/>
            <w:gridSpan w:val="2"/>
            <w:vAlign w:val="center"/>
          </w:tcPr>
          <w:p w:rsidR="00FA5BA4" w:rsidRPr="00D543AB" w:rsidRDefault="00FA5BA4" w:rsidP="00FA5BA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543AB">
              <w:rPr>
                <w:rFonts w:ascii="Fira Sans" w:eastAsia="Times New Roman" w:hAnsi="Fira Sans" w:cs="Times New Roman"/>
                <w:color w:val="000000"/>
                <w:sz w:val="16"/>
                <w:szCs w:val="16"/>
                <w:lang w:eastAsia="pl-PL"/>
              </w:rPr>
              <w:t>Sektor</w:t>
            </w:r>
          </w:p>
        </w:tc>
        <w:tc>
          <w:tcPr>
            <w:tcW w:w="2900" w:type="dxa"/>
            <w:gridSpan w:val="3"/>
            <w:vAlign w:val="center"/>
          </w:tcPr>
          <w:p w:rsidR="00FA5BA4" w:rsidRPr="00FA5128" w:rsidRDefault="00FA5BA4" w:rsidP="00FA5BA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eastAsia="Times New Roman" w:hAnsi="Fira Sans" w:cs="Times New Roman"/>
                <w:color w:val="000000"/>
                <w:sz w:val="16"/>
                <w:szCs w:val="16"/>
                <w:lang w:eastAsia="pl-PL"/>
              </w:rPr>
              <w:t>Jednostki</w:t>
            </w:r>
            <w:r w:rsidRPr="00D543AB">
              <w:rPr>
                <w:rFonts w:ascii="Fira Sans" w:eastAsia="Times New Roman" w:hAnsi="Fira Sans" w:cs="Times New Roman"/>
                <w:color w:val="000000"/>
                <w:sz w:val="16"/>
                <w:szCs w:val="16"/>
                <w:lang w:eastAsia="pl-PL"/>
              </w:rPr>
              <w:t xml:space="preserve"> według liczby pracujących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Merge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dxa"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publiczny</w:t>
            </w:r>
          </w:p>
        </w:tc>
        <w:tc>
          <w:tcPr>
            <w:tcW w:w="972" w:type="dxa"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prywatny</w:t>
            </w:r>
          </w:p>
        </w:tc>
        <w:tc>
          <w:tcPr>
            <w:tcW w:w="955" w:type="dxa"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 9 osób</w:t>
            </w:r>
          </w:p>
        </w:tc>
        <w:tc>
          <w:tcPr>
            <w:tcW w:w="972" w:type="dxa"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od 10 do 49 osób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B794B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powyżej 49 osób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67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142,5</w:t>
            </w:r>
          </w:p>
        </w:tc>
        <w:tc>
          <w:tcPr>
            <w:tcW w:w="955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18,6</w:t>
            </w:r>
          </w:p>
        </w:tc>
        <w:tc>
          <w:tcPr>
            <w:tcW w:w="972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123,8</w:t>
            </w:r>
          </w:p>
        </w:tc>
        <w:tc>
          <w:tcPr>
            <w:tcW w:w="955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55,6</w:t>
            </w:r>
          </w:p>
        </w:tc>
        <w:tc>
          <w:tcPr>
            <w:tcW w:w="972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28,6</w:t>
            </w:r>
          </w:p>
        </w:tc>
        <w:tc>
          <w:tcPr>
            <w:tcW w:w="973" w:type="dxa"/>
            <w:tcBorders>
              <w:top w:val="single" w:sz="12" w:space="0" w:color="212492"/>
            </w:tcBorders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02BD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58,3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0E0E5F" w:rsidRDefault="00FA5BA4" w:rsidP="00FA5BA4">
            <w:pPr>
              <w:spacing w:before="60" w:after="40"/>
              <w:ind w:left="-68" w:firstLine="284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0E0E5F"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  <w:t>w tym:</w:t>
            </w:r>
          </w:p>
          <w:p w:rsidR="00FA5BA4" w:rsidRPr="000E0E5F" w:rsidRDefault="00FA5BA4" w:rsidP="00FA5BA4">
            <w:pPr>
              <w:pStyle w:val="Nagwek8"/>
              <w:tabs>
                <w:tab w:val="right" w:leader="dot" w:pos="4156"/>
              </w:tabs>
              <w:spacing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E0E5F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Przetwórstwo przemysłowe 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31,8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31,3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7,0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br/>
            </w:r>
            <w:r w:rsidRPr="00A02BD1">
              <w:rPr>
                <w:rFonts w:eastAsia="Times New Roman" w:cs="Times New Roman"/>
                <w:sz w:val="16"/>
                <w:szCs w:val="16"/>
                <w:lang w:eastAsia="pl-PL"/>
              </w:rPr>
              <w:t>18,9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0E0E5F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E0E5F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Budownictwo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26,0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25,7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17,8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47A77">
              <w:rPr>
                <w:rFonts w:eastAsia="Times New Roman" w:cs="Times New Roman"/>
                <w:sz w:val="16"/>
                <w:szCs w:val="16"/>
                <w:lang w:eastAsia="pl-PL"/>
              </w:rPr>
              <w:t>1,9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0E0E5F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E0E5F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Handel; naprawa pojazdów samochodowych 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24,7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24,7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12,4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5,3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2F8D">
              <w:rPr>
                <w:rFonts w:eastAsia="Times New Roman" w:cs="Times New Roman"/>
                <w:sz w:val="16"/>
                <w:szCs w:val="16"/>
                <w:lang w:eastAsia="pl-PL"/>
              </w:rPr>
              <w:t>7,0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0E0E5F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E0E5F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Transport i gospodarka magazynowa 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8,4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9373C">
              <w:rPr>
                <w:rFonts w:eastAsia="Times New Roman" w:cs="Times New Roman"/>
                <w:sz w:val="16"/>
                <w:szCs w:val="16"/>
                <w:lang w:eastAsia="pl-PL"/>
              </w:rPr>
              <w:t>4,9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Zakwaterowanie </w:t>
            </w:r>
            <w:r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br/>
            </w: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i gastronomia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1,1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Informacja i komunikacja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6,6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B552B">
              <w:rPr>
                <w:rFonts w:eastAsia="Times New Roman" w:cs="Times New Roman"/>
                <w:sz w:val="16"/>
                <w:szCs w:val="16"/>
                <w:lang w:eastAsia="pl-PL"/>
              </w:rPr>
              <w:t>4,2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Działalność finansowa </w:t>
            </w:r>
            <w:r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br/>
            </w: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i ubezpieczeniowa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1,4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Obsługa rynku nieruchomości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9D25BD">
              <w:rPr>
                <w:rFonts w:eastAsia="Times New Roman" w:cs="Times New Roman"/>
                <w:sz w:val="16"/>
                <w:szCs w:val="16"/>
                <w:lang w:eastAsia="pl-PL"/>
              </w:rPr>
              <w:t>0,6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Działalność profesjonalna, naukowa i techniczna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7,6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3,9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Administrowanie i działalność wspierająca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9093A">
              <w:rPr>
                <w:rFonts w:eastAsia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D1016">
              <w:rPr>
                <w:rFonts w:eastAsia="Times New Roman" w:cs="Times New Roman"/>
                <w:sz w:val="16"/>
                <w:szCs w:val="16"/>
                <w:lang w:eastAsia="pl-PL"/>
              </w:rPr>
              <w:t>5,7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D1016">
              <w:rPr>
                <w:rFonts w:eastAsia="Times New Roman" w:cs="Times New Roman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D1016">
              <w:rPr>
                <w:rFonts w:eastAsia="Times New Roman" w:cs="Times New Roman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D1016">
              <w:rPr>
                <w:rFonts w:eastAsia="Times New Roman" w:cs="Times New Roman"/>
                <w:sz w:val="16"/>
                <w:szCs w:val="16"/>
                <w:lang w:eastAsia="pl-PL"/>
              </w:rPr>
              <w:t>2,5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 xml:space="preserve">Administracja publiczna </w:t>
            </w:r>
            <w:r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br/>
            </w: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i obrona narodowa; obowiązkowe zabezpieczenia społeczne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6,3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E0F39">
              <w:rPr>
                <w:rFonts w:eastAsia="Times New Roman" w:cs="Times New Roman"/>
                <w:sz w:val="16"/>
                <w:szCs w:val="16"/>
                <w:lang w:eastAsia="pl-PL"/>
              </w:rPr>
              <w:t>5,3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96CBB">
              <w:rPr>
                <w:rFonts w:eastAsia="Times New Roman" w:cs="Times New Roman"/>
                <w:sz w:val="16"/>
                <w:szCs w:val="16"/>
                <w:lang w:eastAsia="pl-PL"/>
              </w:rPr>
              <w:t>1,2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Opieka zdrowotna i pomoc społeczna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6,0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4,3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92D5F">
              <w:rPr>
                <w:rFonts w:eastAsia="Times New Roman" w:cs="Times New Roman"/>
                <w:sz w:val="16"/>
                <w:szCs w:val="16"/>
                <w:lang w:eastAsia="pl-PL"/>
              </w:rPr>
              <w:t>3,7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Działalność związana z kulturą, rozrywką i rekreacją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0,3</w:t>
            </w:r>
          </w:p>
        </w:tc>
      </w:tr>
      <w:tr w:rsidR="00FA5BA4" w:rsidRPr="00FA5128" w:rsidTr="00FA5BA4">
        <w:trPr>
          <w:trHeight w:val="57"/>
        </w:trPr>
        <w:tc>
          <w:tcPr>
            <w:tcW w:w="2229" w:type="dxa"/>
            <w:vAlign w:val="center"/>
          </w:tcPr>
          <w:p w:rsidR="00FA5BA4" w:rsidRPr="004E7667" w:rsidRDefault="00FA5BA4" w:rsidP="00FA5BA4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E7667">
              <w:rPr>
                <w:rFonts w:ascii="Fira Sans" w:eastAsia="Times New Roman" w:hAnsi="Fira Sans" w:cs="Times New Roman"/>
                <w:sz w:val="16"/>
                <w:szCs w:val="16"/>
                <w:lang w:eastAsia="pl-PL"/>
              </w:rPr>
              <w:t>Pozostała działalność usługowa</w:t>
            </w:r>
          </w:p>
        </w:tc>
        <w:tc>
          <w:tcPr>
            <w:tcW w:w="867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2,4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955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2,1</w:t>
            </w:r>
          </w:p>
        </w:tc>
        <w:tc>
          <w:tcPr>
            <w:tcW w:w="972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973" w:type="dxa"/>
            <w:vAlign w:val="center"/>
          </w:tcPr>
          <w:p w:rsidR="00FA5BA4" w:rsidRPr="00FA5128" w:rsidRDefault="00FA5BA4" w:rsidP="00FA5BA4">
            <w:pPr>
              <w:spacing w:before="60" w:after="6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D0C18">
              <w:rPr>
                <w:rFonts w:eastAsia="Times New Roman" w:cs="Times New Roman"/>
                <w:sz w:val="16"/>
                <w:szCs w:val="16"/>
                <w:lang w:eastAsia="pl-PL"/>
              </w:rPr>
              <w:t>0,2</w:t>
            </w:r>
          </w:p>
        </w:tc>
      </w:tr>
    </w:tbl>
    <w:p w:rsidR="00183F65" w:rsidRDefault="00183F65" w:rsidP="00212B62">
      <w:pPr>
        <w:rPr>
          <w:shd w:val="clear" w:color="auto" w:fill="FFFFFF"/>
        </w:rPr>
      </w:pPr>
    </w:p>
    <w:p w:rsidR="00484182" w:rsidRDefault="00484182" w:rsidP="007A02FE">
      <w:pPr>
        <w:rPr>
          <w:shd w:val="clear" w:color="auto" w:fill="FFFFFF"/>
        </w:rPr>
      </w:pPr>
    </w:p>
    <w:p w:rsidR="008E1F7E" w:rsidRPr="00001C5B" w:rsidRDefault="008E1F7E" w:rsidP="00777665">
      <w:pPr>
        <w:rPr>
          <w:sz w:val="18"/>
        </w:rPr>
        <w:sectPr w:rsidR="008E1F7E" w:rsidRPr="00001C5B" w:rsidSect="005C78D8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8"/>
        <w:gridCol w:w="3829"/>
      </w:tblGrid>
      <w:tr w:rsidR="000470AA" w:rsidRPr="00B06DC5" w:rsidTr="00E23337">
        <w:trPr>
          <w:trHeight w:val="1912"/>
        </w:trPr>
        <w:tc>
          <w:tcPr>
            <w:tcW w:w="4379" w:type="dxa"/>
          </w:tcPr>
          <w:p w:rsidR="00D62A26" w:rsidRPr="008F3638" w:rsidRDefault="00D62A26" w:rsidP="00D62A2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4477B5" w:rsidRDefault="004477B5" w:rsidP="00D62A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Badań i Analiz Rynku Pracy</w:t>
            </w:r>
          </w:p>
          <w:p w:rsidR="00D62A26" w:rsidRPr="008F3638" w:rsidRDefault="00D62A26" w:rsidP="00D62A2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:rsidR="00D62A26" w:rsidRPr="00BB4F09" w:rsidRDefault="00D62A26" w:rsidP="00D62A2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Maciej Ryczkowski</w:t>
            </w:r>
          </w:p>
          <w:p w:rsidR="00D62A26" w:rsidRPr="008F3638" w:rsidRDefault="00D62A26" w:rsidP="00D62A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06DC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56 611 71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</w:t>
            </w:r>
          </w:p>
          <w:p w:rsidR="00D01EF6" w:rsidRPr="00B06DC5" w:rsidRDefault="00D62A26" w:rsidP="004477B5">
            <w:pPr>
              <w:spacing w:before="0" w:after="0" w:line="240" w:lineRule="auto"/>
              <w:rPr>
                <w:b/>
                <w:color w:val="000000" w:themeColor="text1"/>
                <w:lang w:val="en-US"/>
              </w:rPr>
            </w:pPr>
            <w:r w:rsidRPr="00B06DC5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="004477B5" w:rsidRPr="00B06DC5">
                <w:rPr>
                  <w:rStyle w:val="Hipercze"/>
                  <w:rFonts w:cs="Arial"/>
                  <w:b/>
                  <w:color w:val="auto"/>
                  <w:sz w:val="20"/>
                  <w:lang w:val="en-US"/>
                </w:rPr>
                <w:t>M.Ryczkowski@stat.gov.pl</w:t>
              </w:r>
            </w:hyperlink>
            <w:r w:rsidR="00D01EF6" w:rsidRPr="00B06DC5">
              <w:rPr>
                <w:rFonts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3942" w:type="dxa"/>
          </w:tcPr>
          <w:p w:rsidR="00D62A26" w:rsidRPr="008F3638" w:rsidRDefault="00D62A26" w:rsidP="00D62A2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D62A26" w:rsidRPr="008F3638" w:rsidRDefault="00D62A26" w:rsidP="00D62A2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D62A26" w:rsidRPr="008F3638" w:rsidRDefault="00D62A26" w:rsidP="00D62A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D62A26" w:rsidP="00D62A2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341E15" w:rsidRDefault="000470AA" w:rsidP="000470AA">
      <w:pPr>
        <w:rPr>
          <w:sz w:val="20"/>
          <w:lang w:val="en-GB"/>
        </w:rPr>
      </w:pPr>
    </w:p>
    <w:p w:rsidR="000470AA" w:rsidRPr="00341E15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62A26" w:rsidRPr="001C757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D62A26" w:rsidRPr="00C91687" w:rsidRDefault="00D62A26" w:rsidP="00D62A2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D62A26" w:rsidRPr="00B06DC5" w:rsidRDefault="00B06DC5" w:rsidP="00D62A26">
            <w:pPr>
              <w:rPr>
                <w:sz w:val="20"/>
              </w:rPr>
            </w:pPr>
            <w:r w:rsidRPr="00B06DC5">
              <w:rPr>
                <w:sz w:val="20"/>
              </w:rPr>
              <w:t>Tel:</w:t>
            </w:r>
            <w:r w:rsidR="00D62A2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D62A26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D62A26" w:rsidRPr="00C91687">
              <w:rPr>
                <w:sz w:val="20"/>
              </w:rPr>
              <w:t xml:space="preserve">04 </w:t>
            </w:r>
          </w:p>
          <w:p w:rsidR="00D62A26" w:rsidRPr="000E0A9D" w:rsidRDefault="00D62A26" w:rsidP="00D62A26">
            <w:pPr>
              <w:rPr>
                <w:sz w:val="18"/>
                <w:lang w:val="en-GB"/>
              </w:rPr>
            </w:pPr>
            <w:r w:rsidRPr="000E0A9D">
              <w:rPr>
                <w:b/>
                <w:sz w:val="20"/>
                <w:lang w:val="en-GB"/>
              </w:rPr>
              <w:t>e-mail:</w:t>
            </w:r>
            <w:r w:rsidRPr="000E0A9D">
              <w:rPr>
                <w:sz w:val="20"/>
                <w:lang w:val="en-GB"/>
              </w:rPr>
              <w:t xml:space="preserve"> </w:t>
            </w:r>
            <w:hyperlink r:id="rId23" w:history="1">
              <w:r w:rsidRPr="00B06DC5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D62A26" w:rsidRPr="00EF0C00" w:rsidRDefault="00D62A26" w:rsidP="00D62A26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D62A26" w:rsidRDefault="00D62A26" w:rsidP="00D62A2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D62A26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D62A26" w:rsidRPr="00EF0C00" w:rsidRDefault="00D62A26" w:rsidP="00D62A26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D62A26" w:rsidRPr="00EF0C00" w:rsidRDefault="00D62A26" w:rsidP="00D62A26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D62A26" w:rsidRDefault="00D62A26" w:rsidP="00D62A2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2E0C12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2E0C12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46A47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17145</wp:posOffset>
                </wp:positionH>
                <wp:positionV relativeFrom="paragraph">
                  <wp:posOffset>423545</wp:posOffset>
                </wp:positionV>
                <wp:extent cx="6559550" cy="5149850"/>
                <wp:effectExtent l="0" t="0" r="12700" b="1270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49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61D" w:rsidRDefault="000F261D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F261D" w:rsidRDefault="000F261D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F31C54" w:rsidRPr="00F27291" w:rsidRDefault="0006235C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31C54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31C54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F31C54" w:rsidRPr="00D9491D" w:rsidRDefault="0006235C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="00F31C54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F31C54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0F261D" w:rsidRDefault="000F26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F261D" w:rsidRPr="00505A92" w:rsidRDefault="000F26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31C54" w:rsidRPr="00CD6B69" w:rsidRDefault="00D21305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31C54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F31C54" w:rsidRPr="00F052AA" w:rsidRDefault="0006235C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31C54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31C54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F31C54" w:rsidRPr="00CD6B69" w:rsidRDefault="0006235C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="00F31C54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F31C5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F31C54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4033FD" w:rsidRDefault="004033F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F261D" w:rsidRDefault="000F261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31C54" w:rsidRPr="00443E02" w:rsidRDefault="00D21305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F31C54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F31C54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31C54" w:rsidRPr="00D9491D" w:rsidRDefault="00D21305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31C54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F31C54" w:rsidRPr="00D9491D" w:rsidRDefault="00D21305" w:rsidP="00F31C5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31C54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4033FD" w:rsidRPr="004033FD" w:rsidRDefault="004033FD" w:rsidP="00F31C54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_x0000_s1034" type="#_x0000_t202" style="position:absolute;margin-left:1.35pt;margin-top:33.35pt;width:516.5pt;height:405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" fillcolor="#f2f2f2 [3052]" strokecolor="white [3212]">
                <v:textbox>
                  <w:txbxContent>
                    <w:p w:rsidR="000F261D" w:rsidRDefault="000F261D" w:rsidP="00AB6D25">
                      <w:pPr>
                        <w:rPr>
                          <w:b/>
                        </w:rPr>
                      </w:pPr>
                    </w:p>
                    <w:p w:rsidR="000F261D" w:rsidRDefault="000F261D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F31C54" w:rsidRPr="00F27291" w:rsidRDefault="0006235C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F31C54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31C54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F31C54" w:rsidRPr="00D9491D" w:rsidRDefault="0006235C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3" w:history="1">
                        <w:r w:rsidR="00F31C54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="00F31C54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0F261D" w:rsidRDefault="000F26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F261D" w:rsidRPr="00505A92" w:rsidRDefault="000F26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31C54" w:rsidRPr="00CD6B69" w:rsidRDefault="008914EA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31C54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F31C54" w:rsidRPr="00F052AA" w:rsidRDefault="0006235C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F31C54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31C54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F31C54" w:rsidRPr="00CD6B69" w:rsidRDefault="0006235C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="00F31C54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F31C5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F31C54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4033FD" w:rsidRDefault="004033F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F261D" w:rsidRDefault="000F261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31C54" w:rsidRPr="00443E02" w:rsidRDefault="008914EA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F31C54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F31C54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31C54" w:rsidRPr="00D9491D" w:rsidRDefault="008914EA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F31C54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F31C54" w:rsidRPr="00D9491D" w:rsidRDefault="008914EA" w:rsidP="00F31C5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31C54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4033FD" w:rsidRPr="004033FD" w:rsidRDefault="004033FD" w:rsidP="00F31C54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05" w:rsidRDefault="00D21305" w:rsidP="000662E2">
      <w:pPr>
        <w:spacing w:after="0" w:line="240" w:lineRule="auto"/>
      </w:pPr>
      <w:r>
        <w:separator/>
      </w:r>
    </w:p>
  </w:endnote>
  <w:endnote w:type="continuationSeparator" w:id="0">
    <w:p w:rsidR="00D21305" w:rsidRDefault="00D2130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Sans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FiraSans-Regular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875356"/>
      <w:docPartObj>
        <w:docPartGallery w:val="Page Numbers (Bottom of Page)"/>
        <w:docPartUnique/>
      </w:docPartObj>
    </w:sdtPr>
    <w:sdtEndPr/>
    <w:sdtContent>
      <w:p w:rsidR="000F261D" w:rsidRDefault="0006235C" w:rsidP="003B18B6">
        <w:pPr>
          <w:pStyle w:val="Stopka"/>
          <w:jc w:val="center"/>
        </w:pPr>
        <w:r>
          <w:fldChar w:fldCharType="begin"/>
        </w:r>
        <w:r w:rsidR="000F261D">
          <w:instrText>PAGE   \* MERGEFORMAT</w:instrText>
        </w:r>
        <w:r>
          <w:fldChar w:fldCharType="separate"/>
        </w:r>
        <w:r w:rsidR="00DE766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962551"/>
      <w:docPartObj>
        <w:docPartGallery w:val="Page Numbers (Bottom of Page)"/>
        <w:docPartUnique/>
      </w:docPartObj>
    </w:sdtPr>
    <w:sdtEndPr/>
    <w:sdtContent>
      <w:p w:rsidR="000F261D" w:rsidRDefault="0006235C" w:rsidP="003B18B6">
        <w:pPr>
          <w:pStyle w:val="Stopka"/>
          <w:jc w:val="center"/>
        </w:pPr>
        <w:r>
          <w:fldChar w:fldCharType="begin"/>
        </w:r>
        <w:r w:rsidR="000F261D">
          <w:instrText>PAGE   \* MERGEFORMAT</w:instrText>
        </w:r>
        <w:r>
          <w:fldChar w:fldCharType="separate"/>
        </w:r>
        <w:r w:rsidR="00DE766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F261D" w:rsidRDefault="0006235C" w:rsidP="003B18B6">
        <w:pPr>
          <w:pStyle w:val="Stopka"/>
          <w:jc w:val="center"/>
        </w:pPr>
        <w:r>
          <w:fldChar w:fldCharType="begin"/>
        </w:r>
        <w:r w:rsidR="000F261D">
          <w:instrText>PAGE   \* MERGEFORMAT</w:instrText>
        </w:r>
        <w:r>
          <w:fldChar w:fldCharType="separate"/>
        </w:r>
        <w:r w:rsidR="00DE766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05" w:rsidRDefault="00D21305" w:rsidP="000662E2">
      <w:pPr>
        <w:spacing w:after="0" w:line="240" w:lineRule="auto"/>
      </w:pPr>
      <w:r>
        <w:separator/>
      </w:r>
    </w:p>
  </w:footnote>
  <w:footnote w:type="continuationSeparator" w:id="0">
    <w:p w:rsidR="00D21305" w:rsidRDefault="00D2130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0E" w:rsidRDefault="00F46A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-170815</wp:posOffset>
              </wp:positionV>
              <wp:extent cx="1874520" cy="2288984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8898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2C7D6984" id="Prostokąt 24" o:spid="_x0000_s1026" style="position:absolute;margin-left:410.25pt;margin-top:-13.45pt;width:147.6pt;height:180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F261D" w:rsidRDefault="000F261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1D" w:rsidRDefault="00D62A26" w:rsidP="00BC3E1B">
    <w:pPr>
      <w:pStyle w:val="Nagwek"/>
      <w:tabs>
        <w:tab w:val="clear" w:pos="4536"/>
        <w:tab w:val="clear" w:pos="9072"/>
        <w:tab w:val="left" w:pos="4410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6A4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261D" w:rsidRPr="003C6C8D" w:rsidRDefault="00D62A26" w:rsidP="00D62A2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F261D" w:rsidRPr="003C6C8D" w:rsidRDefault="00D62A26" w:rsidP="00D62A2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46A4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4B154AB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  <w:p w:rsidR="000F261D" w:rsidRDefault="00F46A4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169545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261D" w:rsidRPr="00C97596" w:rsidRDefault="004477B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632A3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="00F10880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0F261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13.3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" filled="f" stroked="f">
              <v:textbox>
                <w:txbxContent>
                  <w:p w:rsidR="000F261D" w:rsidRPr="00C97596" w:rsidRDefault="004477B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632A3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06</w:t>
                    </w:r>
                    <w:r w:rsidR="00F10880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0F261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1D" w:rsidRDefault="000F261D">
    <w:pPr>
      <w:pStyle w:val="Nagwek"/>
    </w:pPr>
  </w:p>
  <w:p w:rsidR="000F261D" w:rsidRDefault="000F26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2.5pt;height:122.5pt;visibility:visible" o:bullet="t">
        <v:imagedata r:id="rId1" o:title=""/>
      </v:shape>
    </w:pict>
  </w:numPicBullet>
  <w:numPicBullet w:numPicBulletId="1">
    <w:pict>
      <v:shape id="_x0000_i1030" type="#_x0000_t75" style="width:122.5pt;height:122.5pt;visibility:visible" o:bullet="t">
        <v:imagedata r:id="rId2" o:title=""/>
      </v:shape>
    </w:pict>
  </w:numPicBullet>
  <w:numPicBullet w:numPicBulletId="2">
    <w:pict>
      <v:shape id="_x0000_i1031" type="#_x0000_t75" style="width:106.6pt;height:107.55pt;visibility:visible;mso-wrap-style:square" o:bullet="t">
        <v:imagedata r:id="rId3" o:title="strzałka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</w:abstractNum>
  <w:abstractNum w:abstractNumId="1" w15:restartNumberingAfterBreak="0">
    <w:nsid w:val="24395EAC"/>
    <w:multiLevelType w:val="hybridMultilevel"/>
    <w:tmpl w:val="B3DA30E2"/>
    <w:lvl w:ilvl="0" w:tplc="93E40456">
      <w:start w:val="1"/>
      <w:numFmt w:val="decimal"/>
      <w:lvlText w:val="Wykres %1."/>
      <w:lvlJc w:val="left"/>
      <w:pPr>
        <w:ind w:left="8439" w:hanging="360"/>
      </w:pPr>
      <w:rPr>
        <w:rFonts w:ascii="Fira Sans" w:hAnsi="Fira Sans" w:hint="default"/>
        <w:b/>
        <w:i w:val="0"/>
        <w:color w:val="auto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506717"/>
    <w:multiLevelType w:val="hybridMultilevel"/>
    <w:tmpl w:val="D51E9AAA"/>
    <w:lvl w:ilvl="0" w:tplc="FF8A1760">
      <w:start w:val="1"/>
      <w:numFmt w:val="ordinal"/>
      <w:suff w:val="nothing"/>
      <w:lvlText w:val="Wykres %1"/>
      <w:lvlJc w:val="left"/>
      <w:pPr>
        <w:ind w:left="77" w:firstLine="65"/>
      </w:pPr>
      <w:rPr>
        <w:rFonts w:ascii="Fira Sans" w:hAnsi="Fira Sans" w:hint="default"/>
        <w:b/>
        <w:i w:val="0"/>
        <w:sz w:val="19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83D0EA1"/>
    <w:multiLevelType w:val="hybridMultilevel"/>
    <w:tmpl w:val="15001F20"/>
    <w:lvl w:ilvl="0" w:tplc="5C3CE0F2">
      <w:start w:val="1"/>
      <w:numFmt w:val="decimal"/>
      <w:pStyle w:val="tytutablicy"/>
      <w:lvlText w:val="Tablica %1."/>
      <w:lvlJc w:val="left"/>
      <w:pPr>
        <w:ind w:left="720" w:hanging="360"/>
      </w:pPr>
      <w:rPr>
        <w:rFonts w:ascii="Fira Sans" w:hAnsi="Fira Sans" w:hint="default"/>
        <w:b/>
        <w:i w:val="0"/>
        <w:color w:val="auto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trackedChanges" w:enforcement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C20"/>
    <w:rsid w:val="00001C5B"/>
    <w:rsid w:val="00003437"/>
    <w:rsid w:val="000065AC"/>
    <w:rsid w:val="0000709F"/>
    <w:rsid w:val="000108B8"/>
    <w:rsid w:val="000115D9"/>
    <w:rsid w:val="000150FE"/>
    <w:rsid w:val="000152F5"/>
    <w:rsid w:val="00021E2E"/>
    <w:rsid w:val="00022498"/>
    <w:rsid w:val="00023A08"/>
    <w:rsid w:val="000252BB"/>
    <w:rsid w:val="00027F0F"/>
    <w:rsid w:val="0003013B"/>
    <w:rsid w:val="00030848"/>
    <w:rsid w:val="00031AF0"/>
    <w:rsid w:val="0003294D"/>
    <w:rsid w:val="00035D1A"/>
    <w:rsid w:val="0004582E"/>
    <w:rsid w:val="000470AA"/>
    <w:rsid w:val="00047A99"/>
    <w:rsid w:val="00047B7A"/>
    <w:rsid w:val="000507C9"/>
    <w:rsid w:val="00050DA0"/>
    <w:rsid w:val="00052F12"/>
    <w:rsid w:val="00053E6D"/>
    <w:rsid w:val="000553EE"/>
    <w:rsid w:val="00057CA1"/>
    <w:rsid w:val="0006235C"/>
    <w:rsid w:val="00063686"/>
    <w:rsid w:val="000662E2"/>
    <w:rsid w:val="00066883"/>
    <w:rsid w:val="00066A2C"/>
    <w:rsid w:val="00071BD3"/>
    <w:rsid w:val="000726FD"/>
    <w:rsid w:val="00072C0B"/>
    <w:rsid w:val="00074DD8"/>
    <w:rsid w:val="000806F7"/>
    <w:rsid w:val="00080C65"/>
    <w:rsid w:val="000815BF"/>
    <w:rsid w:val="00082C6D"/>
    <w:rsid w:val="00084351"/>
    <w:rsid w:val="000875B8"/>
    <w:rsid w:val="00087FEC"/>
    <w:rsid w:val="0009282E"/>
    <w:rsid w:val="00096856"/>
    <w:rsid w:val="000A0867"/>
    <w:rsid w:val="000A4824"/>
    <w:rsid w:val="000A5965"/>
    <w:rsid w:val="000B0727"/>
    <w:rsid w:val="000B11ED"/>
    <w:rsid w:val="000B250F"/>
    <w:rsid w:val="000B419A"/>
    <w:rsid w:val="000C135D"/>
    <w:rsid w:val="000C1EE6"/>
    <w:rsid w:val="000C38B8"/>
    <w:rsid w:val="000C4907"/>
    <w:rsid w:val="000C4C9E"/>
    <w:rsid w:val="000C56D5"/>
    <w:rsid w:val="000C5C8A"/>
    <w:rsid w:val="000D1D43"/>
    <w:rsid w:val="000D225C"/>
    <w:rsid w:val="000D2A5C"/>
    <w:rsid w:val="000D330E"/>
    <w:rsid w:val="000E0918"/>
    <w:rsid w:val="000E0A9D"/>
    <w:rsid w:val="000E0E5F"/>
    <w:rsid w:val="000E2260"/>
    <w:rsid w:val="000E28B2"/>
    <w:rsid w:val="000E543B"/>
    <w:rsid w:val="000E6FBC"/>
    <w:rsid w:val="000E7B54"/>
    <w:rsid w:val="000F261D"/>
    <w:rsid w:val="000F2B00"/>
    <w:rsid w:val="000F3032"/>
    <w:rsid w:val="000F5037"/>
    <w:rsid w:val="000F66D6"/>
    <w:rsid w:val="000F725D"/>
    <w:rsid w:val="000F73A4"/>
    <w:rsid w:val="001011C3"/>
    <w:rsid w:val="00101ED5"/>
    <w:rsid w:val="00101EFA"/>
    <w:rsid w:val="00106420"/>
    <w:rsid w:val="00106B18"/>
    <w:rsid w:val="00110B98"/>
    <w:rsid w:val="00110D87"/>
    <w:rsid w:val="00113477"/>
    <w:rsid w:val="00114DB9"/>
    <w:rsid w:val="00116087"/>
    <w:rsid w:val="001177A3"/>
    <w:rsid w:val="00120846"/>
    <w:rsid w:val="001226DF"/>
    <w:rsid w:val="00125541"/>
    <w:rsid w:val="00130296"/>
    <w:rsid w:val="00131679"/>
    <w:rsid w:val="001319EA"/>
    <w:rsid w:val="00135C03"/>
    <w:rsid w:val="001375B0"/>
    <w:rsid w:val="0013779D"/>
    <w:rsid w:val="001423B6"/>
    <w:rsid w:val="001448A7"/>
    <w:rsid w:val="00146621"/>
    <w:rsid w:val="0014677F"/>
    <w:rsid w:val="001514DA"/>
    <w:rsid w:val="001532DC"/>
    <w:rsid w:val="001539A6"/>
    <w:rsid w:val="00155193"/>
    <w:rsid w:val="001563D4"/>
    <w:rsid w:val="00157FDB"/>
    <w:rsid w:val="0016117F"/>
    <w:rsid w:val="00162325"/>
    <w:rsid w:val="00162753"/>
    <w:rsid w:val="00164581"/>
    <w:rsid w:val="00165D0D"/>
    <w:rsid w:val="00167CDE"/>
    <w:rsid w:val="00174BD2"/>
    <w:rsid w:val="00176CF3"/>
    <w:rsid w:val="00177AE2"/>
    <w:rsid w:val="00180438"/>
    <w:rsid w:val="00181DF1"/>
    <w:rsid w:val="001835B9"/>
    <w:rsid w:val="00183F65"/>
    <w:rsid w:val="00185175"/>
    <w:rsid w:val="00185F4C"/>
    <w:rsid w:val="00192B5F"/>
    <w:rsid w:val="00193BA3"/>
    <w:rsid w:val="001951DA"/>
    <w:rsid w:val="00195AA9"/>
    <w:rsid w:val="00195EEB"/>
    <w:rsid w:val="001967E6"/>
    <w:rsid w:val="001A36C3"/>
    <w:rsid w:val="001A5230"/>
    <w:rsid w:val="001A6E11"/>
    <w:rsid w:val="001B30B1"/>
    <w:rsid w:val="001B48FC"/>
    <w:rsid w:val="001B70E5"/>
    <w:rsid w:val="001C187D"/>
    <w:rsid w:val="001C26DF"/>
    <w:rsid w:val="001C3269"/>
    <w:rsid w:val="001C3CA1"/>
    <w:rsid w:val="001C43C4"/>
    <w:rsid w:val="001C757E"/>
    <w:rsid w:val="001C75E1"/>
    <w:rsid w:val="001D1DB4"/>
    <w:rsid w:val="001D3954"/>
    <w:rsid w:val="001E1649"/>
    <w:rsid w:val="001E22C1"/>
    <w:rsid w:val="001E2A10"/>
    <w:rsid w:val="001E35FC"/>
    <w:rsid w:val="001E4F60"/>
    <w:rsid w:val="001F02B7"/>
    <w:rsid w:val="001F083D"/>
    <w:rsid w:val="001F0E5E"/>
    <w:rsid w:val="001F4804"/>
    <w:rsid w:val="001F5380"/>
    <w:rsid w:val="001F7E57"/>
    <w:rsid w:val="001F7E85"/>
    <w:rsid w:val="002029AD"/>
    <w:rsid w:val="00202E19"/>
    <w:rsid w:val="00203282"/>
    <w:rsid w:val="00205285"/>
    <w:rsid w:val="00212B62"/>
    <w:rsid w:val="002131D8"/>
    <w:rsid w:val="002166F5"/>
    <w:rsid w:val="00216C92"/>
    <w:rsid w:val="00223893"/>
    <w:rsid w:val="00224FBA"/>
    <w:rsid w:val="002251B1"/>
    <w:rsid w:val="00225209"/>
    <w:rsid w:val="00227BBD"/>
    <w:rsid w:val="002322E1"/>
    <w:rsid w:val="002337C0"/>
    <w:rsid w:val="00233C84"/>
    <w:rsid w:val="00235F9C"/>
    <w:rsid w:val="002404C6"/>
    <w:rsid w:val="002501AF"/>
    <w:rsid w:val="00257383"/>
    <w:rsid w:val="002574F9"/>
    <w:rsid w:val="00262B61"/>
    <w:rsid w:val="00266167"/>
    <w:rsid w:val="0027020D"/>
    <w:rsid w:val="00271E6F"/>
    <w:rsid w:val="002730FB"/>
    <w:rsid w:val="0027668F"/>
    <w:rsid w:val="00276811"/>
    <w:rsid w:val="00276BB0"/>
    <w:rsid w:val="00277BAD"/>
    <w:rsid w:val="002809F4"/>
    <w:rsid w:val="0028265F"/>
    <w:rsid w:val="00282699"/>
    <w:rsid w:val="0028360A"/>
    <w:rsid w:val="002838BC"/>
    <w:rsid w:val="00283B50"/>
    <w:rsid w:val="00286679"/>
    <w:rsid w:val="00286C1C"/>
    <w:rsid w:val="00287A49"/>
    <w:rsid w:val="00291A95"/>
    <w:rsid w:val="002926DF"/>
    <w:rsid w:val="00293574"/>
    <w:rsid w:val="00296697"/>
    <w:rsid w:val="002A0274"/>
    <w:rsid w:val="002B0472"/>
    <w:rsid w:val="002B0B97"/>
    <w:rsid w:val="002B2963"/>
    <w:rsid w:val="002B32CA"/>
    <w:rsid w:val="002B3403"/>
    <w:rsid w:val="002B3D67"/>
    <w:rsid w:val="002B5E39"/>
    <w:rsid w:val="002B6B12"/>
    <w:rsid w:val="002B7A7F"/>
    <w:rsid w:val="002C22C1"/>
    <w:rsid w:val="002C280C"/>
    <w:rsid w:val="002C4720"/>
    <w:rsid w:val="002C4DBD"/>
    <w:rsid w:val="002D09FE"/>
    <w:rsid w:val="002D2E93"/>
    <w:rsid w:val="002D3BAA"/>
    <w:rsid w:val="002D452B"/>
    <w:rsid w:val="002D4C4B"/>
    <w:rsid w:val="002D552B"/>
    <w:rsid w:val="002D62E7"/>
    <w:rsid w:val="002E040A"/>
    <w:rsid w:val="002E0C12"/>
    <w:rsid w:val="002E3A70"/>
    <w:rsid w:val="002E6140"/>
    <w:rsid w:val="002E6985"/>
    <w:rsid w:val="002E71B6"/>
    <w:rsid w:val="002F04A9"/>
    <w:rsid w:val="002F284C"/>
    <w:rsid w:val="002F34BE"/>
    <w:rsid w:val="002F77C8"/>
    <w:rsid w:val="003023C8"/>
    <w:rsid w:val="0030243C"/>
    <w:rsid w:val="00304F22"/>
    <w:rsid w:val="00306C7C"/>
    <w:rsid w:val="00310301"/>
    <w:rsid w:val="00311724"/>
    <w:rsid w:val="0031628C"/>
    <w:rsid w:val="00316EAF"/>
    <w:rsid w:val="00317FE5"/>
    <w:rsid w:val="00320B3F"/>
    <w:rsid w:val="003225E4"/>
    <w:rsid w:val="00322EDD"/>
    <w:rsid w:val="0032432E"/>
    <w:rsid w:val="003307EA"/>
    <w:rsid w:val="00330F0D"/>
    <w:rsid w:val="00332320"/>
    <w:rsid w:val="00341E15"/>
    <w:rsid w:val="003432C2"/>
    <w:rsid w:val="003472B5"/>
    <w:rsid w:val="00347D72"/>
    <w:rsid w:val="00350A7F"/>
    <w:rsid w:val="00351889"/>
    <w:rsid w:val="00352ACC"/>
    <w:rsid w:val="0035461F"/>
    <w:rsid w:val="00354DB8"/>
    <w:rsid w:val="003551F6"/>
    <w:rsid w:val="00357611"/>
    <w:rsid w:val="003605D0"/>
    <w:rsid w:val="00367237"/>
    <w:rsid w:val="0037077F"/>
    <w:rsid w:val="00372411"/>
    <w:rsid w:val="0037306F"/>
    <w:rsid w:val="00373882"/>
    <w:rsid w:val="00373FBB"/>
    <w:rsid w:val="0037537E"/>
    <w:rsid w:val="00375ADC"/>
    <w:rsid w:val="00375E28"/>
    <w:rsid w:val="00382790"/>
    <w:rsid w:val="003843DB"/>
    <w:rsid w:val="003854C1"/>
    <w:rsid w:val="003863A0"/>
    <w:rsid w:val="00386F83"/>
    <w:rsid w:val="00387E49"/>
    <w:rsid w:val="00390D9D"/>
    <w:rsid w:val="003916B7"/>
    <w:rsid w:val="00393761"/>
    <w:rsid w:val="00397D18"/>
    <w:rsid w:val="003A1B36"/>
    <w:rsid w:val="003A43FD"/>
    <w:rsid w:val="003A4FF0"/>
    <w:rsid w:val="003A51EB"/>
    <w:rsid w:val="003A5D40"/>
    <w:rsid w:val="003B1454"/>
    <w:rsid w:val="003B18B6"/>
    <w:rsid w:val="003B1984"/>
    <w:rsid w:val="003B2DC4"/>
    <w:rsid w:val="003B5540"/>
    <w:rsid w:val="003C52E8"/>
    <w:rsid w:val="003C5470"/>
    <w:rsid w:val="003C59E0"/>
    <w:rsid w:val="003C6C8D"/>
    <w:rsid w:val="003C7779"/>
    <w:rsid w:val="003D3D55"/>
    <w:rsid w:val="003D4F95"/>
    <w:rsid w:val="003D5096"/>
    <w:rsid w:val="003D5287"/>
    <w:rsid w:val="003D5F42"/>
    <w:rsid w:val="003D60A9"/>
    <w:rsid w:val="003E2F54"/>
    <w:rsid w:val="003E362E"/>
    <w:rsid w:val="003E3EF6"/>
    <w:rsid w:val="003E46BB"/>
    <w:rsid w:val="003E5CCA"/>
    <w:rsid w:val="003F0C6B"/>
    <w:rsid w:val="003F36D2"/>
    <w:rsid w:val="003F4C97"/>
    <w:rsid w:val="003F5042"/>
    <w:rsid w:val="003F5783"/>
    <w:rsid w:val="003F7FE6"/>
    <w:rsid w:val="00400193"/>
    <w:rsid w:val="00402D74"/>
    <w:rsid w:val="004033FD"/>
    <w:rsid w:val="00403753"/>
    <w:rsid w:val="0040458A"/>
    <w:rsid w:val="00405CB0"/>
    <w:rsid w:val="00411A64"/>
    <w:rsid w:val="00414CEB"/>
    <w:rsid w:val="00421054"/>
    <w:rsid w:val="004212E7"/>
    <w:rsid w:val="004214A9"/>
    <w:rsid w:val="0042223B"/>
    <w:rsid w:val="004237F6"/>
    <w:rsid w:val="00423A0E"/>
    <w:rsid w:val="00424313"/>
    <w:rsid w:val="0042446D"/>
    <w:rsid w:val="004266C1"/>
    <w:rsid w:val="004272B8"/>
    <w:rsid w:val="00427BF8"/>
    <w:rsid w:val="004301EA"/>
    <w:rsid w:val="00431C02"/>
    <w:rsid w:val="00437395"/>
    <w:rsid w:val="004378B4"/>
    <w:rsid w:val="00444A93"/>
    <w:rsid w:val="00445047"/>
    <w:rsid w:val="00445947"/>
    <w:rsid w:val="004464FC"/>
    <w:rsid w:val="004465AC"/>
    <w:rsid w:val="004475DA"/>
    <w:rsid w:val="004476BE"/>
    <w:rsid w:val="004477B5"/>
    <w:rsid w:val="00452495"/>
    <w:rsid w:val="0045326B"/>
    <w:rsid w:val="00453DE9"/>
    <w:rsid w:val="00455BC1"/>
    <w:rsid w:val="0046242B"/>
    <w:rsid w:val="00463E39"/>
    <w:rsid w:val="004657FC"/>
    <w:rsid w:val="004718AE"/>
    <w:rsid w:val="004729EA"/>
    <w:rsid w:val="004733F6"/>
    <w:rsid w:val="00474288"/>
    <w:rsid w:val="00474649"/>
    <w:rsid w:val="00474E69"/>
    <w:rsid w:val="00476020"/>
    <w:rsid w:val="004760FF"/>
    <w:rsid w:val="00477ED7"/>
    <w:rsid w:val="00482AD9"/>
    <w:rsid w:val="00484182"/>
    <w:rsid w:val="00486591"/>
    <w:rsid w:val="00493C37"/>
    <w:rsid w:val="0049621B"/>
    <w:rsid w:val="0049660C"/>
    <w:rsid w:val="004A09D7"/>
    <w:rsid w:val="004A0FB0"/>
    <w:rsid w:val="004A0FD7"/>
    <w:rsid w:val="004A10C4"/>
    <w:rsid w:val="004A353B"/>
    <w:rsid w:val="004A6591"/>
    <w:rsid w:val="004A73D5"/>
    <w:rsid w:val="004A7412"/>
    <w:rsid w:val="004B2BCC"/>
    <w:rsid w:val="004B2C87"/>
    <w:rsid w:val="004B3F8F"/>
    <w:rsid w:val="004B4AA1"/>
    <w:rsid w:val="004C0AFF"/>
    <w:rsid w:val="004C1895"/>
    <w:rsid w:val="004C1D11"/>
    <w:rsid w:val="004C4335"/>
    <w:rsid w:val="004C6D40"/>
    <w:rsid w:val="004C75FA"/>
    <w:rsid w:val="004D3042"/>
    <w:rsid w:val="004D3B2A"/>
    <w:rsid w:val="004D45BB"/>
    <w:rsid w:val="004D4770"/>
    <w:rsid w:val="004E2A59"/>
    <w:rsid w:val="004E7667"/>
    <w:rsid w:val="004F0C3C"/>
    <w:rsid w:val="004F1D49"/>
    <w:rsid w:val="004F229F"/>
    <w:rsid w:val="004F5596"/>
    <w:rsid w:val="004F55C3"/>
    <w:rsid w:val="004F63FC"/>
    <w:rsid w:val="004F7038"/>
    <w:rsid w:val="00500815"/>
    <w:rsid w:val="0050108A"/>
    <w:rsid w:val="00501FA1"/>
    <w:rsid w:val="00505A92"/>
    <w:rsid w:val="005062FC"/>
    <w:rsid w:val="005079DB"/>
    <w:rsid w:val="005117B5"/>
    <w:rsid w:val="005123B5"/>
    <w:rsid w:val="00514A6D"/>
    <w:rsid w:val="00516B69"/>
    <w:rsid w:val="005170F8"/>
    <w:rsid w:val="00517511"/>
    <w:rsid w:val="005203F1"/>
    <w:rsid w:val="00521BC3"/>
    <w:rsid w:val="005230C6"/>
    <w:rsid w:val="0052773F"/>
    <w:rsid w:val="005325D8"/>
    <w:rsid w:val="00533632"/>
    <w:rsid w:val="00533BE7"/>
    <w:rsid w:val="00533D8F"/>
    <w:rsid w:val="00535948"/>
    <w:rsid w:val="00536460"/>
    <w:rsid w:val="0053699C"/>
    <w:rsid w:val="00540B5E"/>
    <w:rsid w:val="00540E05"/>
    <w:rsid w:val="00541E6E"/>
    <w:rsid w:val="0054251F"/>
    <w:rsid w:val="0054281D"/>
    <w:rsid w:val="00544763"/>
    <w:rsid w:val="00551429"/>
    <w:rsid w:val="005514A3"/>
    <w:rsid w:val="005520D8"/>
    <w:rsid w:val="00552AA0"/>
    <w:rsid w:val="00552D6D"/>
    <w:rsid w:val="00556C73"/>
    <w:rsid w:val="00556CF1"/>
    <w:rsid w:val="005574B8"/>
    <w:rsid w:val="00562482"/>
    <w:rsid w:val="0056251B"/>
    <w:rsid w:val="00563DBC"/>
    <w:rsid w:val="005646D8"/>
    <w:rsid w:val="005648F6"/>
    <w:rsid w:val="00565A43"/>
    <w:rsid w:val="00571221"/>
    <w:rsid w:val="00574BBD"/>
    <w:rsid w:val="00574F37"/>
    <w:rsid w:val="005762A7"/>
    <w:rsid w:val="00576677"/>
    <w:rsid w:val="00580DB0"/>
    <w:rsid w:val="00581414"/>
    <w:rsid w:val="0058414B"/>
    <w:rsid w:val="00585FD8"/>
    <w:rsid w:val="00586D52"/>
    <w:rsid w:val="00587DF2"/>
    <w:rsid w:val="005916D7"/>
    <w:rsid w:val="005943F3"/>
    <w:rsid w:val="0059687D"/>
    <w:rsid w:val="0059716D"/>
    <w:rsid w:val="00597535"/>
    <w:rsid w:val="005A0479"/>
    <w:rsid w:val="005A1164"/>
    <w:rsid w:val="005A427F"/>
    <w:rsid w:val="005A5334"/>
    <w:rsid w:val="005A5423"/>
    <w:rsid w:val="005A55E8"/>
    <w:rsid w:val="005A698C"/>
    <w:rsid w:val="005B189E"/>
    <w:rsid w:val="005B732F"/>
    <w:rsid w:val="005C059A"/>
    <w:rsid w:val="005C40ED"/>
    <w:rsid w:val="005C55AF"/>
    <w:rsid w:val="005C78D8"/>
    <w:rsid w:val="005D11F5"/>
    <w:rsid w:val="005D2A97"/>
    <w:rsid w:val="005D7AB3"/>
    <w:rsid w:val="005D7C0A"/>
    <w:rsid w:val="005E0799"/>
    <w:rsid w:val="005F1489"/>
    <w:rsid w:val="005F1F92"/>
    <w:rsid w:val="005F4B7B"/>
    <w:rsid w:val="005F5A80"/>
    <w:rsid w:val="005F5D6B"/>
    <w:rsid w:val="00600D40"/>
    <w:rsid w:val="0060217E"/>
    <w:rsid w:val="00603ABA"/>
    <w:rsid w:val="00604141"/>
    <w:rsid w:val="006044FF"/>
    <w:rsid w:val="006062B3"/>
    <w:rsid w:val="00607C96"/>
    <w:rsid w:val="00607CC5"/>
    <w:rsid w:val="00616D86"/>
    <w:rsid w:val="006221B5"/>
    <w:rsid w:val="0062300B"/>
    <w:rsid w:val="00623C1F"/>
    <w:rsid w:val="00631592"/>
    <w:rsid w:val="00631776"/>
    <w:rsid w:val="00632A32"/>
    <w:rsid w:val="00633014"/>
    <w:rsid w:val="00634349"/>
    <w:rsid w:val="0063437B"/>
    <w:rsid w:val="0063519C"/>
    <w:rsid w:val="00635319"/>
    <w:rsid w:val="00635E98"/>
    <w:rsid w:val="00644FEA"/>
    <w:rsid w:val="0064661E"/>
    <w:rsid w:val="00647DE8"/>
    <w:rsid w:val="00651741"/>
    <w:rsid w:val="00653418"/>
    <w:rsid w:val="00655712"/>
    <w:rsid w:val="0065593C"/>
    <w:rsid w:val="00660E7D"/>
    <w:rsid w:val="0066370E"/>
    <w:rsid w:val="006640A9"/>
    <w:rsid w:val="00664CEF"/>
    <w:rsid w:val="006673CA"/>
    <w:rsid w:val="00667DD2"/>
    <w:rsid w:val="0067081A"/>
    <w:rsid w:val="00672661"/>
    <w:rsid w:val="006734F8"/>
    <w:rsid w:val="00673C26"/>
    <w:rsid w:val="006756A9"/>
    <w:rsid w:val="0067727B"/>
    <w:rsid w:val="00680349"/>
    <w:rsid w:val="006812AF"/>
    <w:rsid w:val="0068327D"/>
    <w:rsid w:val="00683996"/>
    <w:rsid w:val="006839D2"/>
    <w:rsid w:val="00685555"/>
    <w:rsid w:val="00686B61"/>
    <w:rsid w:val="00694AF0"/>
    <w:rsid w:val="006952BF"/>
    <w:rsid w:val="00695C2E"/>
    <w:rsid w:val="006A0BB5"/>
    <w:rsid w:val="006A1556"/>
    <w:rsid w:val="006A178E"/>
    <w:rsid w:val="006A3658"/>
    <w:rsid w:val="006A4414"/>
    <w:rsid w:val="006A4686"/>
    <w:rsid w:val="006A5115"/>
    <w:rsid w:val="006B0E9E"/>
    <w:rsid w:val="006B4DF3"/>
    <w:rsid w:val="006B5AE4"/>
    <w:rsid w:val="006B5F2D"/>
    <w:rsid w:val="006C0EC4"/>
    <w:rsid w:val="006C2933"/>
    <w:rsid w:val="006C34C1"/>
    <w:rsid w:val="006D0687"/>
    <w:rsid w:val="006D1507"/>
    <w:rsid w:val="006D184A"/>
    <w:rsid w:val="006D4054"/>
    <w:rsid w:val="006D7D35"/>
    <w:rsid w:val="006E02EC"/>
    <w:rsid w:val="006E088F"/>
    <w:rsid w:val="006E48F0"/>
    <w:rsid w:val="006E6B54"/>
    <w:rsid w:val="006E6CB6"/>
    <w:rsid w:val="006E7485"/>
    <w:rsid w:val="006E7898"/>
    <w:rsid w:val="006F1EE7"/>
    <w:rsid w:val="007017E3"/>
    <w:rsid w:val="007038AE"/>
    <w:rsid w:val="00703F4C"/>
    <w:rsid w:val="00706959"/>
    <w:rsid w:val="0071438F"/>
    <w:rsid w:val="007158FD"/>
    <w:rsid w:val="00716BD4"/>
    <w:rsid w:val="0071739E"/>
    <w:rsid w:val="007211B1"/>
    <w:rsid w:val="0072203E"/>
    <w:rsid w:val="00723AAE"/>
    <w:rsid w:val="007257C9"/>
    <w:rsid w:val="0073025B"/>
    <w:rsid w:val="00732263"/>
    <w:rsid w:val="00734F6F"/>
    <w:rsid w:val="00736E00"/>
    <w:rsid w:val="007403BC"/>
    <w:rsid w:val="00740AA4"/>
    <w:rsid w:val="00742FFD"/>
    <w:rsid w:val="00743BC9"/>
    <w:rsid w:val="00746187"/>
    <w:rsid w:val="00747972"/>
    <w:rsid w:val="007479EB"/>
    <w:rsid w:val="00750A7F"/>
    <w:rsid w:val="00752744"/>
    <w:rsid w:val="0076254F"/>
    <w:rsid w:val="00763391"/>
    <w:rsid w:val="00770475"/>
    <w:rsid w:val="007735B4"/>
    <w:rsid w:val="00777665"/>
    <w:rsid w:val="007801F5"/>
    <w:rsid w:val="00781C59"/>
    <w:rsid w:val="0078369F"/>
    <w:rsid w:val="00783CA4"/>
    <w:rsid w:val="007842FB"/>
    <w:rsid w:val="00786124"/>
    <w:rsid w:val="007862FA"/>
    <w:rsid w:val="00790658"/>
    <w:rsid w:val="00790FCF"/>
    <w:rsid w:val="00791806"/>
    <w:rsid w:val="00793B71"/>
    <w:rsid w:val="0079422F"/>
    <w:rsid w:val="0079514B"/>
    <w:rsid w:val="00795551"/>
    <w:rsid w:val="0079586C"/>
    <w:rsid w:val="00795AB1"/>
    <w:rsid w:val="007A02FE"/>
    <w:rsid w:val="007A1E29"/>
    <w:rsid w:val="007A2DC1"/>
    <w:rsid w:val="007A2E75"/>
    <w:rsid w:val="007A491D"/>
    <w:rsid w:val="007B0230"/>
    <w:rsid w:val="007B2387"/>
    <w:rsid w:val="007B4897"/>
    <w:rsid w:val="007C1BCB"/>
    <w:rsid w:val="007C5722"/>
    <w:rsid w:val="007C7371"/>
    <w:rsid w:val="007D1981"/>
    <w:rsid w:val="007D2B0C"/>
    <w:rsid w:val="007D3319"/>
    <w:rsid w:val="007D335D"/>
    <w:rsid w:val="007D3FCB"/>
    <w:rsid w:val="007D740B"/>
    <w:rsid w:val="007D77B0"/>
    <w:rsid w:val="007E24A0"/>
    <w:rsid w:val="007E3314"/>
    <w:rsid w:val="007E460B"/>
    <w:rsid w:val="007E4B03"/>
    <w:rsid w:val="007E4DCF"/>
    <w:rsid w:val="007E78ED"/>
    <w:rsid w:val="007F00B9"/>
    <w:rsid w:val="007F2DAF"/>
    <w:rsid w:val="007F2E3F"/>
    <w:rsid w:val="007F324B"/>
    <w:rsid w:val="007F6243"/>
    <w:rsid w:val="0080553C"/>
    <w:rsid w:val="00805B46"/>
    <w:rsid w:val="008072FE"/>
    <w:rsid w:val="008105C8"/>
    <w:rsid w:val="00810872"/>
    <w:rsid w:val="008136F9"/>
    <w:rsid w:val="0081374A"/>
    <w:rsid w:val="00816606"/>
    <w:rsid w:val="00823CCE"/>
    <w:rsid w:val="00825DC2"/>
    <w:rsid w:val="00830C4C"/>
    <w:rsid w:val="00833D08"/>
    <w:rsid w:val="00834AD3"/>
    <w:rsid w:val="00837A74"/>
    <w:rsid w:val="00843795"/>
    <w:rsid w:val="008437A0"/>
    <w:rsid w:val="00843C2B"/>
    <w:rsid w:val="008440B7"/>
    <w:rsid w:val="008448AB"/>
    <w:rsid w:val="0084563E"/>
    <w:rsid w:val="00847F0F"/>
    <w:rsid w:val="008504A8"/>
    <w:rsid w:val="00852448"/>
    <w:rsid w:val="00853477"/>
    <w:rsid w:val="0085442D"/>
    <w:rsid w:val="00856DAF"/>
    <w:rsid w:val="008608CC"/>
    <w:rsid w:val="008617F2"/>
    <w:rsid w:val="0086235A"/>
    <w:rsid w:val="00864C5E"/>
    <w:rsid w:val="00870240"/>
    <w:rsid w:val="00872FD3"/>
    <w:rsid w:val="00874F0D"/>
    <w:rsid w:val="008817C1"/>
    <w:rsid w:val="0088258A"/>
    <w:rsid w:val="00886332"/>
    <w:rsid w:val="0089057D"/>
    <w:rsid w:val="008914EA"/>
    <w:rsid w:val="00892107"/>
    <w:rsid w:val="00892A66"/>
    <w:rsid w:val="00893426"/>
    <w:rsid w:val="0089465C"/>
    <w:rsid w:val="00895ECE"/>
    <w:rsid w:val="008978B5"/>
    <w:rsid w:val="008A26D9"/>
    <w:rsid w:val="008A2B89"/>
    <w:rsid w:val="008A3F29"/>
    <w:rsid w:val="008A4EFF"/>
    <w:rsid w:val="008B01DB"/>
    <w:rsid w:val="008C0C29"/>
    <w:rsid w:val="008C1255"/>
    <w:rsid w:val="008C2E85"/>
    <w:rsid w:val="008C4B39"/>
    <w:rsid w:val="008C6750"/>
    <w:rsid w:val="008C7DD9"/>
    <w:rsid w:val="008D689C"/>
    <w:rsid w:val="008D7268"/>
    <w:rsid w:val="008D7999"/>
    <w:rsid w:val="008E1F7E"/>
    <w:rsid w:val="008E33A0"/>
    <w:rsid w:val="008E3987"/>
    <w:rsid w:val="008E46DC"/>
    <w:rsid w:val="008E6901"/>
    <w:rsid w:val="008E73B2"/>
    <w:rsid w:val="008F210C"/>
    <w:rsid w:val="008F212A"/>
    <w:rsid w:val="008F3638"/>
    <w:rsid w:val="008F3683"/>
    <w:rsid w:val="008F4441"/>
    <w:rsid w:val="008F6CB9"/>
    <w:rsid w:val="008F6CCC"/>
    <w:rsid w:val="008F6F31"/>
    <w:rsid w:val="008F74DF"/>
    <w:rsid w:val="008F7ABB"/>
    <w:rsid w:val="00900617"/>
    <w:rsid w:val="00900F5F"/>
    <w:rsid w:val="0090284D"/>
    <w:rsid w:val="00903F07"/>
    <w:rsid w:val="00903FF9"/>
    <w:rsid w:val="009053E8"/>
    <w:rsid w:val="00905ABD"/>
    <w:rsid w:val="00911BEB"/>
    <w:rsid w:val="00911BFA"/>
    <w:rsid w:val="0091252A"/>
    <w:rsid w:val="009127BA"/>
    <w:rsid w:val="00914867"/>
    <w:rsid w:val="00917331"/>
    <w:rsid w:val="00922104"/>
    <w:rsid w:val="009227A6"/>
    <w:rsid w:val="00923C93"/>
    <w:rsid w:val="00930C9B"/>
    <w:rsid w:val="00933EC1"/>
    <w:rsid w:val="00934F86"/>
    <w:rsid w:val="00935481"/>
    <w:rsid w:val="00935722"/>
    <w:rsid w:val="00937FBE"/>
    <w:rsid w:val="009407CA"/>
    <w:rsid w:val="009410BB"/>
    <w:rsid w:val="009433FC"/>
    <w:rsid w:val="00943A2E"/>
    <w:rsid w:val="009530DB"/>
    <w:rsid w:val="00953676"/>
    <w:rsid w:val="00953CA0"/>
    <w:rsid w:val="0095457C"/>
    <w:rsid w:val="00962015"/>
    <w:rsid w:val="00962BC1"/>
    <w:rsid w:val="009671D7"/>
    <w:rsid w:val="009705EE"/>
    <w:rsid w:val="009719C1"/>
    <w:rsid w:val="00971D91"/>
    <w:rsid w:val="00977927"/>
    <w:rsid w:val="00980E9E"/>
    <w:rsid w:val="0098135C"/>
    <w:rsid w:val="0098156A"/>
    <w:rsid w:val="00981F46"/>
    <w:rsid w:val="00986F73"/>
    <w:rsid w:val="00987D64"/>
    <w:rsid w:val="00991BAC"/>
    <w:rsid w:val="00992AC3"/>
    <w:rsid w:val="009935B9"/>
    <w:rsid w:val="0099451A"/>
    <w:rsid w:val="009959AA"/>
    <w:rsid w:val="009A06DD"/>
    <w:rsid w:val="009A2D21"/>
    <w:rsid w:val="009A3E9E"/>
    <w:rsid w:val="009A495B"/>
    <w:rsid w:val="009A6EA0"/>
    <w:rsid w:val="009A7ED6"/>
    <w:rsid w:val="009B0931"/>
    <w:rsid w:val="009B46D7"/>
    <w:rsid w:val="009B7BD3"/>
    <w:rsid w:val="009C0244"/>
    <w:rsid w:val="009C1335"/>
    <w:rsid w:val="009C1AB2"/>
    <w:rsid w:val="009C4EDD"/>
    <w:rsid w:val="009C5B28"/>
    <w:rsid w:val="009C6500"/>
    <w:rsid w:val="009C6CA6"/>
    <w:rsid w:val="009C7251"/>
    <w:rsid w:val="009D091E"/>
    <w:rsid w:val="009D5CDD"/>
    <w:rsid w:val="009D6358"/>
    <w:rsid w:val="009E1F24"/>
    <w:rsid w:val="009E2E91"/>
    <w:rsid w:val="009E5C61"/>
    <w:rsid w:val="009E732A"/>
    <w:rsid w:val="009F03A7"/>
    <w:rsid w:val="009F12E8"/>
    <w:rsid w:val="009F3013"/>
    <w:rsid w:val="009F4531"/>
    <w:rsid w:val="009F4BE4"/>
    <w:rsid w:val="009F5454"/>
    <w:rsid w:val="009F6BC8"/>
    <w:rsid w:val="00A043FA"/>
    <w:rsid w:val="00A0552E"/>
    <w:rsid w:val="00A0759B"/>
    <w:rsid w:val="00A139F5"/>
    <w:rsid w:val="00A16FD8"/>
    <w:rsid w:val="00A2038A"/>
    <w:rsid w:val="00A209B6"/>
    <w:rsid w:val="00A219F5"/>
    <w:rsid w:val="00A229AE"/>
    <w:rsid w:val="00A2737F"/>
    <w:rsid w:val="00A33E09"/>
    <w:rsid w:val="00A343FA"/>
    <w:rsid w:val="00A349DD"/>
    <w:rsid w:val="00A365F4"/>
    <w:rsid w:val="00A373CB"/>
    <w:rsid w:val="00A42319"/>
    <w:rsid w:val="00A4411A"/>
    <w:rsid w:val="00A4727A"/>
    <w:rsid w:val="00A47D6E"/>
    <w:rsid w:val="00A47D80"/>
    <w:rsid w:val="00A53132"/>
    <w:rsid w:val="00A542DB"/>
    <w:rsid w:val="00A563F2"/>
    <w:rsid w:val="00A566E8"/>
    <w:rsid w:val="00A612E4"/>
    <w:rsid w:val="00A713F4"/>
    <w:rsid w:val="00A71BEB"/>
    <w:rsid w:val="00A73969"/>
    <w:rsid w:val="00A73BE9"/>
    <w:rsid w:val="00A810F9"/>
    <w:rsid w:val="00A81448"/>
    <w:rsid w:val="00A857F4"/>
    <w:rsid w:val="00A86ECC"/>
    <w:rsid w:val="00A86FCC"/>
    <w:rsid w:val="00A87A77"/>
    <w:rsid w:val="00A87FD4"/>
    <w:rsid w:val="00A93860"/>
    <w:rsid w:val="00A941DA"/>
    <w:rsid w:val="00A94AE4"/>
    <w:rsid w:val="00AA1148"/>
    <w:rsid w:val="00AA1A25"/>
    <w:rsid w:val="00AA343F"/>
    <w:rsid w:val="00AA69AF"/>
    <w:rsid w:val="00AA710D"/>
    <w:rsid w:val="00AB04B9"/>
    <w:rsid w:val="00AB0872"/>
    <w:rsid w:val="00AB0CF4"/>
    <w:rsid w:val="00AB14B0"/>
    <w:rsid w:val="00AB17EC"/>
    <w:rsid w:val="00AB5034"/>
    <w:rsid w:val="00AB6D25"/>
    <w:rsid w:val="00AC3A8B"/>
    <w:rsid w:val="00AC4FAD"/>
    <w:rsid w:val="00AC54D3"/>
    <w:rsid w:val="00AD098B"/>
    <w:rsid w:val="00AD208C"/>
    <w:rsid w:val="00AD6265"/>
    <w:rsid w:val="00AE2D4B"/>
    <w:rsid w:val="00AE4F99"/>
    <w:rsid w:val="00AE5084"/>
    <w:rsid w:val="00AE6A22"/>
    <w:rsid w:val="00AE70D0"/>
    <w:rsid w:val="00AF0742"/>
    <w:rsid w:val="00AF3454"/>
    <w:rsid w:val="00AF40AD"/>
    <w:rsid w:val="00AF6538"/>
    <w:rsid w:val="00AF78B2"/>
    <w:rsid w:val="00B06DC5"/>
    <w:rsid w:val="00B07D67"/>
    <w:rsid w:val="00B1210E"/>
    <w:rsid w:val="00B1229D"/>
    <w:rsid w:val="00B123B3"/>
    <w:rsid w:val="00B13FEF"/>
    <w:rsid w:val="00B14952"/>
    <w:rsid w:val="00B16745"/>
    <w:rsid w:val="00B22982"/>
    <w:rsid w:val="00B22FC3"/>
    <w:rsid w:val="00B2451C"/>
    <w:rsid w:val="00B258F0"/>
    <w:rsid w:val="00B31A55"/>
    <w:rsid w:val="00B31E5A"/>
    <w:rsid w:val="00B32B3F"/>
    <w:rsid w:val="00B41ECD"/>
    <w:rsid w:val="00B439AE"/>
    <w:rsid w:val="00B501DD"/>
    <w:rsid w:val="00B51938"/>
    <w:rsid w:val="00B5238B"/>
    <w:rsid w:val="00B53063"/>
    <w:rsid w:val="00B54E0A"/>
    <w:rsid w:val="00B5655F"/>
    <w:rsid w:val="00B56562"/>
    <w:rsid w:val="00B62916"/>
    <w:rsid w:val="00B62C0A"/>
    <w:rsid w:val="00B653AB"/>
    <w:rsid w:val="00B65F9E"/>
    <w:rsid w:val="00B662C2"/>
    <w:rsid w:val="00B66B19"/>
    <w:rsid w:val="00B70E06"/>
    <w:rsid w:val="00B72CDE"/>
    <w:rsid w:val="00B751E3"/>
    <w:rsid w:val="00B7551D"/>
    <w:rsid w:val="00B75A07"/>
    <w:rsid w:val="00B763FB"/>
    <w:rsid w:val="00B80415"/>
    <w:rsid w:val="00B8054C"/>
    <w:rsid w:val="00B813B4"/>
    <w:rsid w:val="00B83D8F"/>
    <w:rsid w:val="00B871B0"/>
    <w:rsid w:val="00B87554"/>
    <w:rsid w:val="00B914E9"/>
    <w:rsid w:val="00B91EE5"/>
    <w:rsid w:val="00B956EE"/>
    <w:rsid w:val="00B96C16"/>
    <w:rsid w:val="00BA2BA1"/>
    <w:rsid w:val="00BA3F61"/>
    <w:rsid w:val="00BA5222"/>
    <w:rsid w:val="00BA72A4"/>
    <w:rsid w:val="00BB167D"/>
    <w:rsid w:val="00BB2137"/>
    <w:rsid w:val="00BB22A0"/>
    <w:rsid w:val="00BB4466"/>
    <w:rsid w:val="00BB4D48"/>
    <w:rsid w:val="00BB4E0C"/>
    <w:rsid w:val="00BB4E44"/>
    <w:rsid w:val="00BB4F09"/>
    <w:rsid w:val="00BC1069"/>
    <w:rsid w:val="00BC2970"/>
    <w:rsid w:val="00BC3E1B"/>
    <w:rsid w:val="00BC3E7C"/>
    <w:rsid w:val="00BC63CC"/>
    <w:rsid w:val="00BD0F3F"/>
    <w:rsid w:val="00BD12C1"/>
    <w:rsid w:val="00BD239F"/>
    <w:rsid w:val="00BD2661"/>
    <w:rsid w:val="00BD42E6"/>
    <w:rsid w:val="00BD4CDB"/>
    <w:rsid w:val="00BD4E33"/>
    <w:rsid w:val="00BD512A"/>
    <w:rsid w:val="00BD523F"/>
    <w:rsid w:val="00BD6FAB"/>
    <w:rsid w:val="00BD79BD"/>
    <w:rsid w:val="00BE2D0A"/>
    <w:rsid w:val="00BE41B2"/>
    <w:rsid w:val="00BE43FD"/>
    <w:rsid w:val="00BE4BC7"/>
    <w:rsid w:val="00BE662B"/>
    <w:rsid w:val="00BF6337"/>
    <w:rsid w:val="00C00BAA"/>
    <w:rsid w:val="00C030DE"/>
    <w:rsid w:val="00C0366F"/>
    <w:rsid w:val="00C03E04"/>
    <w:rsid w:val="00C05F17"/>
    <w:rsid w:val="00C11231"/>
    <w:rsid w:val="00C1250F"/>
    <w:rsid w:val="00C12DBF"/>
    <w:rsid w:val="00C14194"/>
    <w:rsid w:val="00C16955"/>
    <w:rsid w:val="00C20546"/>
    <w:rsid w:val="00C21721"/>
    <w:rsid w:val="00C22105"/>
    <w:rsid w:val="00C225B9"/>
    <w:rsid w:val="00C23E7C"/>
    <w:rsid w:val="00C244B6"/>
    <w:rsid w:val="00C2451D"/>
    <w:rsid w:val="00C26E55"/>
    <w:rsid w:val="00C30A88"/>
    <w:rsid w:val="00C31D46"/>
    <w:rsid w:val="00C32443"/>
    <w:rsid w:val="00C3472D"/>
    <w:rsid w:val="00C3702F"/>
    <w:rsid w:val="00C37211"/>
    <w:rsid w:val="00C4140A"/>
    <w:rsid w:val="00C4450A"/>
    <w:rsid w:val="00C44D93"/>
    <w:rsid w:val="00C4645C"/>
    <w:rsid w:val="00C46AEF"/>
    <w:rsid w:val="00C47217"/>
    <w:rsid w:val="00C52D5A"/>
    <w:rsid w:val="00C556C5"/>
    <w:rsid w:val="00C63D5C"/>
    <w:rsid w:val="00C64A37"/>
    <w:rsid w:val="00C66A90"/>
    <w:rsid w:val="00C66ECA"/>
    <w:rsid w:val="00C7158E"/>
    <w:rsid w:val="00C7250B"/>
    <w:rsid w:val="00C72601"/>
    <w:rsid w:val="00C72809"/>
    <w:rsid w:val="00C7346B"/>
    <w:rsid w:val="00C73ACD"/>
    <w:rsid w:val="00C74B0E"/>
    <w:rsid w:val="00C75B70"/>
    <w:rsid w:val="00C7624E"/>
    <w:rsid w:val="00C775B4"/>
    <w:rsid w:val="00C77613"/>
    <w:rsid w:val="00C77C0E"/>
    <w:rsid w:val="00C80DEA"/>
    <w:rsid w:val="00C81031"/>
    <w:rsid w:val="00C82CEC"/>
    <w:rsid w:val="00C838EA"/>
    <w:rsid w:val="00C878B5"/>
    <w:rsid w:val="00C90090"/>
    <w:rsid w:val="00C91687"/>
    <w:rsid w:val="00C924A8"/>
    <w:rsid w:val="00C945FE"/>
    <w:rsid w:val="00C96FAA"/>
    <w:rsid w:val="00C9708C"/>
    <w:rsid w:val="00C97A04"/>
    <w:rsid w:val="00CA107B"/>
    <w:rsid w:val="00CA2B47"/>
    <w:rsid w:val="00CA484D"/>
    <w:rsid w:val="00CA489B"/>
    <w:rsid w:val="00CA4FB6"/>
    <w:rsid w:val="00CA53C7"/>
    <w:rsid w:val="00CA5C30"/>
    <w:rsid w:val="00CA60E9"/>
    <w:rsid w:val="00CA6CF8"/>
    <w:rsid w:val="00CB1B15"/>
    <w:rsid w:val="00CB74E5"/>
    <w:rsid w:val="00CB7C4E"/>
    <w:rsid w:val="00CC0091"/>
    <w:rsid w:val="00CC31C8"/>
    <w:rsid w:val="00CC38EB"/>
    <w:rsid w:val="00CC4C18"/>
    <w:rsid w:val="00CC739E"/>
    <w:rsid w:val="00CC7BF2"/>
    <w:rsid w:val="00CD58B7"/>
    <w:rsid w:val="00CD65D8"/>
    <w:rsid w:val="00CD670F"/>
    <w:rsid w:val="00CE2F23"/>
    <w:rsid w:val="00CE30E7"/>
    <w:rsid w:val="00CF14C3"/>
    <w:rsid w:val="00CF1DD3"/>
    <w:rsid w:val="00CF4099"/>
    <w:rsid w:val="00CF5888"/>
    <w:rsid w:val="00CF61A1"/>
    <w:rsid w:val="00CF6304"/>
    <w:rsid w:val="00D00796"/>
    <w:rsid w:val="00D008E7"/>
    <w:rsid w:val="00D01EF6"/>
    <w:rsid w:val="00D036FC"/>
    <w:rsid w:val="00D123C6"/>
    <w:rsid w:val="00D13C03"/>
    <w:rsid w:val="00D13D06"/>
    <w:rsid w:val="00D13E87"/>
    <w:rsid w:val="00D1493B"/>
    <w:rsid w:val="00D169BD"/>
    <w:rsid w:val="00D16EC0"/>
    <w:rsid w:val="00D21305"/>
    <w:rsid w:val="00D22180"/>
    <w:rsid w:val="00D260B2"/>
    <w:rsid w:val="00D26101"/>
    <w:rsid w:val="00D261A2"/>
    <w:rsid w:val="00D30A7D"/>
    <w:rsid w:val="00D35127"/>
    <w:rsid w:val="00D4041E"/>
    <w:rsid w:val="00D50557"/>
    <w:rsid w:val="00D51DA1"/>
    <w:rsid w:val="00D543AB"/>
    <w:rsid w:val="00D601DD"/>
    <w:rsid w:val="00D616D2"/>
    <w:rsid w:val="00D62A26"/>
    <w:rsid w:val="00D63B5F"/>
    <w:rsid w:val="00D64299"/>
    <w:rsid w:val="00D6456F"/>
    <w:rsid w:val="00D64BC3"/>
    <w:rsid w:val="00D64F12"/>
    <w:rsid w:val="00D66F78"/>
    <w:rsid w:val="00D67281"/>
    <w:rsid w:val="00D70EF7"/>
    <w:rsid w:val="00D7198E"/>
    <w:rsid w:val="00D72138"/>
    <w:rsid w:val="00D73A5D"/>
    <w:rsid w:val="00D77E86"/>
    <w:rsid w:val="00D77F66"/>
    <w:rsid w:val="00D8057C"/>
    <w:rsid w:val="00D8397C"/>
    <w:rsid w:val="00D85134"/>
    <w:rsid w:val="00D87BBA"/>
    <w:rsid w:val="00D90117"/>
    <w:rsid w:val="00D935A5"/>
    <w:rsid w:val="00D948AC"/>
    <w:rsid w:val="00D94EED"/>
    <w:rsid w:val="00D96026"/>
    <w:rsid w:val="00DA38FF"/>
    <w:rsid w:val="00DA7B7F"/>
    <w:rsid w:val="00DA7C1C"/>
    <w:rsid w:val="00DB0E16"/>
    <w:rsid w:val="00DB147A"/>
    <w:rsid w:val="00DB1B7A"/>
    <w:rsid w:val="00DB2F8B"/>
    <w:rsid w:val="00DB4821"/>
    <w:rsid w:val="00DB5B57"/>
    <w:rsid w:val="00DB7A78"/>
    <w:rsid w:val="00DC0EE0"/>
    <w:rsid w:val="00DC36C3"/>
    <w:rsid w:val="00DC5A2D"/>
    <w:rsid w:val="00DC6708"/>
    <w:rsid w:val="00DD2A39"/>
    <w:rsid w:val="00DD3AF3"/>
    <w:rsid w:val="00DD46A2"/>
    <w:rsid w:val="00DD572B"/>
    <w:rsid w:val="00DD7324"/>
    <w:rsid w:val="00DE4C8B"/>
    <w:rsid w:val="00DE4C95"/>
    <w:rsid w:val="00DE4D5C"/>
    <w:rsid w:val="00DE74DC"/>
    <w:rsid w:val="00DE766C"/>
    <w:rsid w:val="00DF0E35"/>
    <w:rsid w:val="00DF1417"/>
    <w:rsid w:val="00DF3E32"/>
    <w:rsid w:val="00DF6CBD"/>
    <w:rsid w:val="00E01436"/>
    <w:rsid w:val="00E03689"/>
    <w:rsid w:val="00E045BD"/>
    <w:rsid w:val="00E07CCA"/>
    <w:rsid w:val="00E07E05"/>
    <w:rsid w:val="00E16BDF"/>
    <w:rsid w:val="00E17B77"/>
    <w:rsid w:val="00E20A92"/>
    <w:rsid w:val="00E20FF5"/>
    <w:rsid w:val="00E23337"/>
    <w:rsid w:val="00E23BCB"/>
    <w:rsid w:val="00E255CE"/>
    <w:rsid w:val="00E259EA"/>
    <w:rsid w:val="00E271EF"/>
    <w:rsid w:val="00E301F1"/>
    <w:rsid w:val="00E32061"/>
    <w:rsid w:val="00E42FF9"/>
    <w:rsid w:val="00E433CA"/>
    <w:rsid w:val="00E45F72"/>
    <w:rsid w:val="00E4714C"/>
    <w:rsid w:val="00E50DC5"/>
    <w:rsid w:val="00E51AEB"/>
    <w:rsid w:val="00E522A7"/>
    <w:rsid w:val="00E54452"/>
    <w:rsid w:val="00E5760D"/>
    <w:rsid w:val="00E6088C"/>
    <w:rsid w:val="00E61CE4"/>
    <w:rsid w:val="00E62865"/>
    <w:rsid w:val="00E63F51"/>
    <w:rsid w:val="00E65FA4"/>
    <w:rsid w:val="00E66484"/>
    <w:rsid w:val="00E664C5"/>
    <w:rsid w:val="00E66F38"/>
    <w:rsid w:val="00E671A2"/>
    <w:rsid w:val="00E6752C"/>
    <w:rsid w:val="00E67E88"/>
    <w:rsid w:val="00E711DA"/>
    <w:rsid w:val="00E73725"/>
    <w:rsid w:val="00E73B97"/>
    <w:rsid w:val="00E73EC0"/>
    <w:rsid w:val="00E75BE7"/>
    <w:rsid w:val="00E76CD3"/>
    <w:rsid w:val="00E76D26"/>
    <w:rsid w:val="00E80291"/>
    <w:rsid w:val="00E8493C"/>
    <w:rsid w:val="00E874A9"/>
    <w:rsid w:val="00E942ED"/>
    <w:rsid w:val="00EA0B3B"/>
    <w:rsid w:val="00EA262F"/>
    <w:rsid w:val="00EA395C"/>
    <w:rsid w:val="00EB1390"/>
    <w:rsid w:val="00EB2C71"/>
    <w:rsid w:val="00EB40A0"/>
    <w:rsid w:val="00EB4340"/>
    <w:rsid w:val="00EB46EA"/>
    <w:rsid w:val="00EB556D"/>
    <w:rsid w:val="00EB5A7D"/>
    <w:rsid w:val="00EB7014"/>
    <w:rsid w:val="00EC17A8"/>
    <w:rsid w:val="00EC4C70"/>
    <w:rsid w:val="00EC66D4"/>
    <w:rsid w:val="00EC7563"/>
    <w:rsid w:val="00ED1E39"/>
    <w:rsid w:val="00ED4A8A"/>
    <w:rsid w:val="00ED55C0"/>
    <w:rsid w:val="00ED682B"/>
    <w:rsid w:val="00ED6AC1"/>
    <w:rsid w:val="00ED7DA0"/>
    <w:rsid w:val="00EE1720"/>
    <w:rsid w:val="00EE41D5"/>
    <w:rsid w:val="00EE64A5"/>
    <w:rsid w:val="00EE6D63"/>
    <w:rsid w:val="00EE7198"/>
    <w:rsid w:val="00EF0BA1"/>
    <w:rsid w:val="00EF0C00"/>
    <w:rsid w:val="00EF1227"/>
    <w:rsid w:val="00EF27BC"/>
    <w:rsid w:val="00EF2EF4"/>
    <w:rsid w:val="00EF5F04"/>
    <w:rsid w:val="00EF6577"/>
    <w:rsid w:val="00EF76D5"/>
    <w:rsid w:val="00F037A4"/>
    <w:rsid w:val="00F03F7B"/>
    <w:rsid w:val="00F10880"/>
    <w:rsid w:val="00F11469"/>
    <w:rsid w:val="00F16068"/>
    <w:rsid w:val="00F17B19"/>
    <w:rsid w:val="00F258D3"/>
    <w:rsid w:val="00F260DB"/>
    <w:rsid w:val="00F27C8F"/>
    <w:rsid w:val="00F306A5"/>
    <w:rsid w:val="00F31C54"/>
    <w:rsid w:val="00F32749"/>
    <w:rsid w:val="00F35136"/>
    <w:rsid w:val="00F36525"/>
    <w:rsid w:val="00F36C52"/>
    <w:rsid w:val="00F37172"/>
    <w:rsid w:val="00F41623"/>
    <w:rsid w:val="00F41DF8"/>
    <w:rsid w:val="00F42D40"/>
    <w:rsid w:val="00F436E8"/>
    <w:rsid w:val="00F44709"/>
    <w:rsid w:val="00F4477E"/>
    <w:rsid w:val="00F4558E"/>
    <w:rsid w:val="00F46A47"/>
    <w:rsid w:val="00F47117"/>
    <w:rsid w:val="00F474C3"/>
    <w:rsid w:val="00F53565"/>
    <w:rsid w:val="00F54A9B"/>
    <w:rsid w:val="00F553D6"/>
    <w:rsid w:val="00F571B6"/>
    <w:rsid w:val="00F63E09"/>
    <w:rsid w:val="00F65A79"/>
    <w:rsid w:val="00F65E6B"/>
    <w:rsid w:val="00F67D8F"/>
    <w:rsid w:val="00F70A0F"/>
    <w:rsid w:val="00F75499"/>
    <w:rsid w:val="00F770A6"/>
    <w:rsid w:val="00F776E6"/>
    <w:rsid w:val="00F802BE"/>
    <w:rsid w:val="00F81DEC"/>
    <w:rsid w:val="00F824F7"/>
    <w:rsid w:val="00F82916"/>
    <w:rsid w:val="00F82DC8"/>
    <w:rsid w:val="00F84767"/>
    <w:rsid w:val="00F85001"/>
    <w:rsid w:val="00F85CAF"/>
    <w:rsid w:val="00F86024"/>
    <w:rsid w:val="00F8611A"/>
    <w:rsid w:val="00F868C7"/>
    <w:rsid w:val="00F90094"/>
    <w:rsid w:val="00F91223"/>
    <w:rsid w:val="00FA2F08"/>
    <w:rsid w:val="00FA40A5"/>
    <w:rsid w:val="00FA44F0"/>
    <w:rsid w:val="00FA5128"/>
    <w:rsid w:val="00FA5BA4"/>
    <w:rsid w:val="00FB19DE"/>
    <w:rsid w:val="00FB42D4"/>
    <w:rsid w:val="00FB5906"/>
    <w:rsid w:val="00FB762F"/>
    <w:rsid w:val="00FB7961"/>
    <w:rsid w:val="00FC0144"/>
    <w:rsid w:val="00FC19D6"/>
    <w:rsid w:val="00FC2AED"/>
    <w:rsid w:val="00FC77D9"/>
    <w:rsid w:val="00FD02AC"/>
    <w:rsid w:val="00FD5EA7"/>
    <w:rsid w:val="00FE1A88"/>
    <w:rsid w:val="00FE32A6"/>
    <w:rsid w:val="00FE3726"/>
    <w:rsid w:val="00FE4274"/>
    <w:rsid w:val="00FE6435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8FA9C-CABA-4E46-8F53-1C43EFFC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link w:val="tytuwykresuZnak"/>
    <w:autoRedefine/>
    <w:qFormat/>
    <w:rsid w:val="00F65A79"/>
    <w:pPr>
      <w:spacing w:before="0" w:after="0"/>
    </w:pPr>
    <w:rPr>
      <w:b/>
      <w:noProof/>
      <w:spacing w:val="-2"/>
      <w:sz w:val="18"/>
      <w:shd w:val="clear" w:color="auto" w:fill="FFFFFF"/>
      <w:lang w:eastAsia="pl-PL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F3E32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B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B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BC8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B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BC8"/>
    <w:rPr>
      <w:rFonts w:ascii="Fira Sans" w:hAnsi="Fira Sans"/>
      <w:b/>
      <w:bCs/>
      <w:sz w:val="20"/>
      <w:szCs w:val="20"/>
    </w:rPr>
  </w:style>
  <w:style w:type="paragraph" w:customStyle="1" w:styleId="tytutablicy">
    <w:name w:val="tytuł tablicy"/>
    <w:basedOn w:val="tytuwykresu"/>
    <w:next w:val="Normalny"/>
    <w:link w:val="tytutablicyZnak"/>
    <w:autoRedefine/>
    <w:qFormat/>
    <w:rsid w:val="00165D0D"/>
    <w:pPr>
      <w:numPr>
        <w:numId w:val="4"/>
      </w:numPr>
      <w:tabs>
        <w:tab w:val="left" w:pos="851"/>
      </w:tabs>
      <w:ind w:left="851" w:hanging="851"/>
    </w:pPr>
  </w:style>
  <w:style w:type="character" w:customStyle="1" w:styleId="tytuwykresuZnak">
    <w:name w:val="tytuł wykresu Znak"/>
    <w:basedOn w:val="Domylnaczcionkaakapitu"/>
    <w:link w:val="tytuwykresu"/>
    <w:rsid w:val="00F65A79"/>
    <w:rPr>
      <w:rFonts w:ascii="Fira Sans" w:hAnsi="Fira Sans"/>
      <w:b/>
      <w:noProof/>
      <w:spacing w:val="-2"/>
      <w:sz w:val="18"/>
      <w:lang w:eastAsia="pl-PL"/>
    </w:rPr>
  </w:style>
  <w:style w:type="character" w:customStyle="1" w:styleId="tytutablicyZnak">
    <w:name w:val="tytuł tablicy Znak"/>
    <w:basedOn w:val="tytuwykresuZnak"/>
    <w:link w:val="tytutablicy"/>
    <w:rsid w:val="00165D0D"/>
    <w:rPr>
      <w:rFonts w:ascii="Fira Sans" w:hAnsi="Fira Sans"/>
      <w:b/>
      <w:noProof/>
      <w:spacing w:val="-2"/>
      <w:sz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A5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21" Type="http://schemas.openxmlformats.org/officeDocument/2006/relationships/hyperlink" Target="mailto:M.Ryczkowski@stat.gov.pl" TargetMode="External"/><Relationship Id="rId34" Type="http://schemas.openxmlformats.org/officeDocument/2006/relationships/hyperlink" Target="http://swaid.stat.gov.pl/SitePagesDBW/RynekPrac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footer" Target="footer2.xml"/><Relationship Id="rId29" Type="http://schemas.openxmlformats.org/officeDocument/2006/relationships/hyperlink" Target="https://bdl.stat.gov.pl/BDL/dane/podgrup/tema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3013,pojecie.html" TargetMode="External"/><Relationship Id="rId37" Type="http://schemas.openxmlformats.org/officeDocument/2006/relationships/hyperlink" Target="http://stat.gov.pl/metainformacje/slownik-pojec/pojecia-stosowane-w-statystyce-publicznej/3012,pojecie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waid.stat.gov.pl/SitePagesDBW/RynekPracy.aspx" TargetMode="External"/><Relationship Id="rId36" Type="http://schemas.openxmlformats.org/officeDocument/2006/relationships/hyperlink" Target="https://stat.gov.pl/metainformacje/slownik-pojec/pojecia-stosowane-w-statystyce-publicznej/3011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metainformacje/slownik-pojec/pojecia-stosowane-w-statystyce-publicznej/301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rynek-pracy/" TargetMode="External"/><Relationship Id="rId30" Type="http://schemas.openxmlformats.org/officeDocument/2006/relationships/hyperlink" Target="https://stat.gov.pl/metainformacje/slownik-pojec/pojecia-stosowane-w-statystyce-publicznej/3011,pojecie.html" TargetMode="External"/><Relationship Id="rId35" Type="http://schemas.openxmlformats.org/officeDocument/2006/relationships/hyperlink" Target="https://bdl.stat.gov.pl/BDL/dane/podgrup/temat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rynek-pracy/" TargetMode="External"/><Relationship Id="rId38" Type="http://schemas.openxmlformats.org/officeDocument/2006/relationships/hyperlink" Target="http://stat.gov.pl/metainformacje/slownik-pojec/pojecia-stosowane-w-statystyce-publicznej/301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0_publikacje\0_SYGNALNE\popyt_na_prace_w_2018\wykresy%201_2_5_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E:\0_publikacje\0_SYGNALNE\popyt_na_prace_w_2018\wykresy%201_2_5_aa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E:\0_publikacje\0_SYGNALNE\popyt_na_prace_w_2018\pozosta&#322;e%20wykresy_aa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E:\0_publikacje\0_SYGNALNE\popyt_na_prace_w_2018\pozosta&#322;e%20wykresy_aa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E:\0_publikacje\0_SYGNALNE\popyt_na_prace_w_2018\wykresy%201_2_5_aa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E:\0_publikacje\0_SYGNALNE\popyt_na_prace_w_2018\pozosta&#322;e%20wykresy_aa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947405515498454E-2"/>
          <c:y val="0.11891848077813809"/>
          <c:w val="0.88535453737574177"/>
          <c:h val="0.56604639493592657"/>
        </c:manualLayout>
      </c:layout>
      <c:lineChart>
        <c:grouping val="standard"/>
        <c:varyColors val="0"/>
        <c:ser>
          <c:idx val="0"/>
          <c:order val="0"/>
          <c:tx>
            <c:strRef>
              <c:f>'wykres 1'!$D$1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>
              <a:solidFill>
                <a:srgbClr val="008542"/>
              </a:solidFill>
              <a:prstDash val="solid"/>
            </a:ln>
          </c:spPr>
          <c:marker>
            <c:symbol val="none"/>
          </c:marker>
          <c:cat>
            <c:multiLvlStrRef>
              <c:f>'wykres 1'!$A$2:$B$38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'wykres 1'!$D$2:$D$38</c:f>
              <c:numCache>
                <c:formatCode>General</c:formatCode>
                <c:ptCount val="37"/>
                <c:pt idx="0">
                  <c:v>131.1</c:v>
                </c:pt>
                <c:pt idx="1">
                  <c:v>101.8</c:v>
                </c:pt>
                <c:pt idx="2">
                  <c:v>104.3</c:v>
                </c:pt>
                <c:pt idx="3">
                  <c:v>119.3</c:v>
                </c:pt>
                <c:pt idx="4">
                  <c:v>108.1</c:v>
                </c:pt>
                <c:pt idx="5">
                  <c:v>94</c:v>
                </c:pt>
                <c:pt idx="6">
                  <c:v>104.3</c:v>
                </c:pt>
                <c:pt idx="7">
                  <c:v>122.9</c:v>
                </c:pt>
                <c:pt idx="8">
                  <c:v>95.9</c:v>
                </c:pt>
                <c:pt idx="9">
                  <c:v>83.8</c:v>
                </c:pt>
                <c:pt idx="10">
                  <c:v>97.1</c:v>
                </c:pt>
                <c:pt idx="11">
                  <c:v>99.7</c:v>
                </c:pt>
                <c:pt idx="12">
                  <c:v>115.7</c:v>
                </c:pt>
                <c:pt idx="13">
                  <c:v>80.8</c:v>
                </c:pt>
                <c:pt idx="14">
                  <c:v>83.9</c:v>
                </c:pt>
                <c:pt idx="15">
                  <c:v>66.7</c:v>
                </c:pt>
                <c:pt idx="16">
                  <c:v>95.9</c:v>
                </c:pt>
                <c:pt idx="17">
                  <c:v>72.7</c:v>
                </c:pt>
                <c:pt idx="18">
                  <c:v>79.8</c:v>
                </c:pt>
                <c:pt idx="19">
                  <c:v>71.8</c:v>
                </c:pt>
                <c:pt idx="20">
                  <c:v>95.8</c:v>
                </c:pt>
                <c:pt idx="21">
                  <c:v>71.3</c:v>
                </c:pt>
                <c:pt idx="22">
                  <c:v>74.900000000000006</c:v>
                </c:pt>
                <c:pt idx="23">
                  <c:v>75.5</c:v>
                </c:pt>
                <c:pt idx="24">
                  <c:v>82.8</c:v>
                </c:pt>
                <c:pt idx="25">
                  <c:v>68.900000000000006</c:v>
                </c:pt>
                <c:pt idx="26">
                  <c:v>71.900000000000006</c:v>
                </c:pt>
                <c:pt idx="27">
                  <c:v>60.6</c:v>
                </c:pt>
                <c:pt idx="28">
                  <c:v>79</c:v>
                </c:pt>
                <c:pt idx="29">
                  <c:v>60.9</c:v>
                </c:pt>
                <c:pt idx="30">
                  <c:v>61.9</c:v>
                </c:pt>
                <c:pt idx="31">
                  <c:v>62.4</c:v>
                </c:pt>
                <c:pt idx="32">
                  <c:v>87.9</c:v>
                </c:pt>
                <c:pt idx="33">
                  <c:v>58.8</c:v>
                </c:pt>
                <c:pt idx="34">
                  <c:v>80.599999999999994</c:v>
                </c:pt>
                <c:pt idx="35">
                  <c:v>73.2</c:v>
                </c:pt>
                <c:pt idx="36">
                  <c:v>88.7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7C5-439B-8FAC-9C969507FBCF}"/>
            </c:ext>
          </c:extLst>
        </c:ser>
        <c:ser>
          <c:idx val="1"/>
          <c:order val="1"/>
          <c:tx>
            <c:strRef>
              <c:f>'wykres 1'!$F$1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>
              <a:solidFill>
                <a:srgbClr val="001D77"/>
              </a:solidFill>
              <a:prstDash val="solid"/>
            </a:ln>
          </c:spPr>
          <c:marker>
            <c:symbol val="none"/>
          </c:marker>
          <c:cat>
            <c:multiLvlStrRef>
              <c:f>'wykres 1'!$A$2:$B$38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'wykres 1'!$F$2:$F$38</c:f>
              <c:numCache>
                <c:formatCode>General</c:formatCode>
                <c:ptCount val="37"/>
                <c:pt idx="0">
                  <c:v>182.9</c:v>
                </c:pt>
                <c:pt idx="1">
                  <c:v>178.1</c:v>
                </c:pt>
                <c:pt idx="2">
                  <c:v>132.69999999999999</c:v>
                </c:pt>
                <c:pt idx="3">
                  <c:v>115.6</c:v>
                </c:pt>
                <c:pt idx="4">
                  <c:v>178.6</c:v>
                </c:pt>
                <c:pt idx="5">
                  <c:v>149.19999999999999</c:v>
                </c:pt>
                <c:pt idx="6">
                  <c:v>141.19999999999999</c:v>
                </c:pt>
                <c:pt idx="7">
                  <c:v>111.4</c:v>
                </c:pt>
                <c:pt idx="8">
                  <c:v>159.73999999999998</c:v>
                </c:pt>
                <c:pt idx="9">
                  <c:v>121.786</c:v>
                </c:pt>
                <c:pt idx="10">
                  <c:v>104.04600000000002</c:v>
                </c:pt>
                <c:pt idx="11">
                  <c:v>79.459000000000003</c:v>
                </c:pt>
                <c:pt idx="12">
                  <c:v>156.05000000000001</c:v>
                </c:pt>
                <c:pt idx="13">
                  <c:v>126.26400000000002</c:v>
                </c:pt>
                <c:pt idx="14">
                  <c:v>123.804</c:v>
                </c:pt>
                <c:pt idx="15">
                  <c:v>96.316999999999993</c:v>
                </c:pt>
                <c:pt idx="16">
                  <c:v>179.142</c:v>
                </c:pt>
                <c:pt idx="17">
                  <c:v>144.30700000000004</c:v>
                </c:pt>
                <c:pt idx="18">
                  <c:v>137.363</c:v>
                </c:pt>
                <c:pt idx="19">
                  <c:v>154</c:v>
                </c:pt>
                <c:pt idx="20">
                  <c:v>192.8</c:v>
                </c:pt>
                <c:pt idx="21">
                  <c:v>154.4</c:v>
                </c:pt>
                <c:pt idx="22">
                  <c:v>137.69999999999999</c:v>
                </c:pt>
                <c:pt idx="23">
                  <c:v>117.1</c:v>
                </c:pt>
                <c:pt idx="24">
                  <c:v>192</c:v>
                </c:pt>
                <c:pt idx="25">
                  <c:v>159.4</c:v>
                </c:pt>
                <c:pt idx="26">
                  <c:v>147.6</c:v>
                </c:pt>
                <c:pt idx="27">
                  <c:v>119.7</c:v>
                </c:pt>
                <c:pt idx="28">
                  <c:v>225.5</c:v>
                </c:pt>
                <c:pt idx="29">
                  <c:v>165.1</c:v>
                </c:pt>
                <c:pt idx="30">
                  <c:v>160.5</c:v>
                </c:pt>
                <c:pt idx="31">
                  <c:v>143</c:v>
                </c:pt>
                <c:pt idx="32">
                  <c:v>258</c:v>
                </c:pt>
                <c:pt idx="33">
                  <c:v>167.9</c:v>
                </c:pt>
                <c:pt idx="34">
                  <c:v>167.3</c:v>
                </c:pt>
                <c:pt idx="35">
                  <c:v>124.5</c:v>
                </c:pt>
                <c:pt idx="36">
                  <c:v>262.3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7C5-439B-8FAC-9C969507FB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76036944"/>
        <c:axId val="1676037488"/>
      </c:lineChart>
      <c:catAx>
        <c:axId val="16760369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tx1">
                <a:tint val="75000"/>
                <a:shade val="95000"/>
                <a:satMod val="105000"/>
              </a:schemeClr>
            </a:solidFill>
          </a:ln>
        </c:spPr>
        <c:crossAx val="1676037488"/>
        <c:crosses val="autoZero"/>
        <c:auto val="1"/>
        <c:lblAlgn val="ctr"/>
        <c:lblOffset val="100"/>
        <c:tickMarkSkip val="1"/>
        <c:noMultiLvlLbl val="0"/>
      </c:catAx>
      <c:valAx>
        <c:axId val="16760374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6036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681319362638781E-2"/>
          <c:y val="0.88704222633935503"/>
          <c:w val="0.86167163367527699"/>
          <c:h val="8.5339427208822968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165487609912073"/>
          <c:y val="3.7301587301587308E-2"/>
          <c:w val="0.47110311750599521"/>
          <c:h val="0.9354761904761906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DFC-4B52-9104-5ED5CFFACF50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DFC-4B52-9104-5ED5CFFACF50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DFC-4B52-9104-5ED5CFFACF50}"/>
              </c:ext>
            </c:extLst>
          </c:dPt>
          <c:cat>
            <c:strRef>
              <c:f>'wykres 2'!$E$13:$E$15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'wykres 2'!$F$13:$F$15</c:f>
              <c:numCache>
                <c:formatCode>0.0%</c:formatCode>
                <c:ptCount val="3"/>
                <c:pt idx="0">
                  <c:v>0.39006584396804717</c:v>
                </c:pt>
                <c:pt idx="1">
                  <c:v>0.20077496525291666</c:v>
                </c:pt>
                <c:pt idx="2">
                  <c:v>0.40915919077903662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DFC-4B52-9104-5ED5CFFAC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033933124335165"/>
          <c:y val="0.36326388888888911"/>
          <c:w val="0.25740770966888632"/>
          <c:h val="0.37032441162772373"/>
        </c:manualLayout>
      </c:layout>
      <c:overlay val="0"/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040631162942801"/>
          <c:y val="0"/>
          <c:w val="0.46407355419121327"/>
          <c:h val="0.880479292929292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'wykres 3 i 4'!$B$18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'wykres 3 i 4'!$A$19:$A$33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'wykres 3 i 4'!$B$19:$B$33</c:f>
              <c:numCache>
                <c:formatCode>0.0</c:formatCode>
                <c:ptCount val="15"/>
                <c:pt idx="0">
                  <c:v>0.60000000000000064</c:v>
                </c:pt>
                <c:pt idx="1">
                  <c:v>0.2</c:v>
                </c:pt>
                <c:pt idx="2">
                  <c:v>0.60000000000000064</c:v>
                </c:pt>
                <c:pt idx="3">
                  <c:v>0.30000000000000032</c:v>
                </c:pt>
                <c:pt idx="4">
                  <c:v>0.9</c:v>
                </c:pt>
                <c:pt idx="5">
                  <c:v>2.2999999999999998</c:v>
                </c:pt>
                <c:pt idx="6">
                  <c:v>2.5</c:v>
                </c:pt>
                <c:pt idx="7">
                  <c:v>0.2</c:v>
                </c:pt>
                <c:pt idx="8">
                  <c:v>0.5</c:v>
                </c:pt>
                <c:pt idx="9">
                  <c:v>2.6</c:v>
                </c:pt>
                <c:pt idx="10">
                  <c:v>0.4</c:v>
                </c:pt>
                <c:pt idx="11">
                  <c:v>2.2999999999999998</c:v>
                </c:pt>
                <c:pt idx="12">
                  <c:v>5.8</c:v>
                </c:pt>
                <c:pt idx="13">
                  <c:v>5.5</c:v>
                </c:pt>
                <c:pt idx="14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11-4138-8D23-FFDB41CD2966}"/>
            </c:ext>
          </c:extLst>
        </c:ser>
        <c:ser>
          <c:idx val="1"/>
          <c:order val="1"/>
          <c:tx>
            <c:strRef>
              <c:f>'wykres 3 i 4'!$C$18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3 i 4'!$A$19:$A$33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'wykres 3 i 4'!$C$19:$C$33</c:f>
              <c:numCache>
                <c:formatCode>0.0</c:formatCode>
                <c:ptCount val="15"/>
                <c:pt idx="0">
                  <c:v>2.4</c:v>
                </c:pt>
                <c:pt idx="1">
                  <c:v>1</c:v>
                </c:pt>
                <c:pt idx="2">
                  <c:v>6</c:v>
                </c:pt>
                <c:pt idx="3">
                  <c:v>2.6</c:v>
                </c:pt>
                <c:pt idx="4">
                  <c:v>6.3</c:v>
                </c:pt>
                <c:pt idx="5">
                  <c:v>5.8</c:v>
                </c:pt>
                <c:pt idx="6">
                  <c:v>8</c:v>
                </c:pt>
                <c:pt idx="7">
                  <c:v>1.5</c:v>
                </c:pt>
                <c:pt idx="8">
                  <c:v>1.9000000000000001</c:v>
                </c:pt>
                <c:pt idx="9">
                  <c:v>6.7</c:v>
                </c:pt>
                <c:pt idx="10">
                  <c:v>4.4000000000000004</c:v>
                </c:pt>
                <c:pt idx="11">
                  <c:v>11</c:v>
                </c:pt>
                <c:pt idx="12">
                  <c:v>24.7</c:v>
                </c:pt>
                <c:pt idx="13">
                  <c:v>26</c:v>
                </c:pt>
                <c:pt idx="14">
                  <c:v>31.8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11-4138-8D23-FFDB41CD29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76038032"/>
        <c:axId val="1676034224"/>
      </c:barChart>
      <c:catAx>
        <c:axId val="1676038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76034224"/>
        <c:crosses val="autoZero"/>
        <c:auto val="1"/>
        <c:lblAlgn val="ctr"/>
        <c:lblOffset val="100"/>
        <c:tickLblSkip val="1"/>
        <c:noMultiLvlLbl val="0"/>
      </c:catAx>
      <c:valAx>
        <c:axId val="1676034224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76038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547002398081536"/>
          <c:y val="0.95315378787878791"/>
          <c:w val="0.73067366107114362"/>
          <c:h val="4.42424242424243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409628682201532"/>
          <c:y val="5.1752528816749098E-2"/>
          <c:w val="0.51392401774651264"/>
          <c:h val="0.7478684959722304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'wykres 3 i 4'!$B$7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'wykres 3 i 4'!$A$8:$A$15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
           wyżsi urzędnicy i kierownicy</c:v>
                </c:pt>
              </c:strCache>
            </c:strRef>
          </c:cat>
          <c:val>
            <c:numRef>
              <c:f>'wykres 3 i 4'!$B$8:$B$15</c:f>
              <c:numCache>
                <c:formatCode>General</c:formatCode>
                <c:ptCount val="8"/>
                <c:pt idx="0">
                  <c:v>1.6</c:v>
                </c:pt>
                <c:pt idx="1">
                  <c:v>4.2</c:v>
                </c:pt>
                <c:pt idx="2">
                  <c:v>7.1</c:v>
                </c:pt>
                <c:pt idx="3">
                  <c:v>2.7</c:v>
                </c:pt>
                <c:pt idx="4">
                  <c:v>4.5</c:v>
                </c:pt>
                <c:pt idx="5">
                  <c:v>2.8</c:v>
                </c:pt>
                <c:pt idx="6">
                  <c:v>6.5</c:v>
                </c:pt>
                <c:pt idx="7">
                  <c:v>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16-4488-AA8A-1A0373D3C5B9}"/>
            </c:ext>
          </c:extLst>
        </c:ser>
        <c:ser>
          <c:idx val="1"/>
          <c:order val="1"/>
          <c:tx>
            <c:strRef>
              <c:f>'wykres 3 i 4'!$C$7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'wykres 3 i 4'!$A$8:$A$15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
           wyżsi urzędnicy i kierownicy</c:v>
                </c:pt>
              </c:strCache>
            </c:strRef>
          </c:cat>
          <c:val>
            <c:numRef>
              <c:f>'wykres 3 i 4'!$C$8:$C$15</c:f>
              <c:numCache>
                <c:formatCode>General</c:formatCode>
                <c:ptCount val="8"/>
                <c:pt idx="0">
                  <c:v>12.3</c:v>
                </c:pt>
                <c:pt idx="1">
                  <c:v>23.4</c:v>
                </c:pt>
                <c:pt idx="2">
                  <c:v>36.9</c:v>
                </c:pt>
                <c:pt idx="3">
                  <c:v>14</c:v>
                </c:pt>
                <c:pt idx="4">
                  <c:v>16.399999999999999</c:v>
                </c:pt>
                <c:pt idx="5">
                  <c:v>10</c:v>
                </c:pt>
                <c:pt idx="6">
                  <c:v>24.7</c:v>
                </c:pt>
                <c:pt idx="7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16-4488-AA8A-1A0373D3C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76032592"/>
        <c:axId val="1676033136"/>
      </c:barChart>
      <c:catAx>
        <c:axId val="16760325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676033136"/>
        <c:crosses val="autoZero"/>
        <c:auto val="1"/>
        <c:lblAlgn val="ctr"/>
        <c:lblOffset val="100"/>
        <c:noMultiLvlLbl val="0"/>
      </c:catAx>
      <c:valAx>
        <c:axId val="167603313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676032592"/>
        <c:crosses val="autoZero"/>
        <c:crossBetween val="between"/>
        <c:majorUnit val="5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0963229416467"/>
          <c:y val="5.1740740740740754E-2"/>
          <c:w val="0.69337849720223821"/>
          <c:h val="0.8490740740740757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cat>
            <c:strRef>
              <c:f>'wykres 5'!$V$15:$V$30</c:f>
              <c:strCache>
                <c:ptCount val="16"/>
                <c:pt idx="0">
                  <c:v>Podlaskie</c:v>
                </c:pt>
                <c:pt idx="1">
                  <c:v>Lubuskie</c:v>
                </c:pt>
                <c:pt idx="2">
                  <c:v>Świętokrzyskie</c:v>
                </c:pt>
                <c:pt idx="3">
                  <c:v>Lubelskie</c:v>
                </c:pt>
                <c:pt idx="4">
                  <c:v>Opolskie</c:v>
                </c:pt>
                <c:pt idx="5">
                  <c:v>Podkarpackie</c:v>
                </c:pt>
                <c:pt idx="6">
                  <c:v>Warmińsko-Mazurskie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Pomorskie</c:v>
                </c:pt>
                <c:pt idx="11">
                  <c:v>Dolnosląskie</c:v>
                </c:pt>
                <c:pt idx="12">
                  <c:v>Wielkopolskie</c:v>
                </c:pt>
                <c:pt idx="13">
                  <c:v>Małopolskie</c:v>
                </c:pt>
                <c:pt idx="14">
                  <c:v>Śląskie</c:v>
                </c:pt>
                <c:pt idx="15">
                  <c:v>Mazowieckie</c:v>
                </c:pt>
              </c:strCache>
            </c:strRef>
          </c:cat>
          <c:val>
            <c:numRef>
              <c:f>'wykres 5'!$W$15:$W$30</c:f>
              <c:numCache>
                <c:formatCode>General</c:formatCode>
                <c:ptCount val="16"/>
                <c:pt idx="0">
                  <c:v>2.4</c:v>
                </c:pt>
                <c:pt idx="1">
                  <c:v>2.6</c:v>
                </c:pt>
                <c:pt idx="2">
                  <c:v>2.6</c:v>
                </c:pt>
                <c:pt idx="3">
                  <c:v>2.7</c:v>
                </c:pt>
                <c:pt idx="4">
                  <c:v>2.8</c:v>
                </c:pt>
                <c:pt idx="5">
                  <c:v>3.3</c:v>
                </c:pt>
                <c:pt idx="6">
                  <c:v>3.5</c:v>
                </c:pt>
                <c:pt idx="7">
                  <c:v>5</c:v>
                </c:pt>
                <c:pt idx="8">
                  <c:v>5.8</c:v>
                </c:pt>
                <c:pt idx="9">
                  <c:v>9</c:v>
                </c:pt>
                <c:pt idx="10">
                  <c:v>9.4</c:v>
                </c:pt>
                <c:pt idx="11">
                  <c:v>11.6</c:v>
                </c:pt>
                <c:pt idx="12">
                  <c:v>13.5</c:v>
                </c:pt>
                <c:pt idx="13">
                  <c:v>17</c:v>
                </c:pt>
                <c:pt idx="14">
                  <c:v>18.899999999999999</c:v>
                </c:pt>
                <c:pt idx="15">
                  <c:v>32.1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C5-4C94-A6AF-97DFC02783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75410848"/>
        <c:axId val="1674614752"/>
      </c:barChart>
      <c:catAx>
        <c:axId val="1675410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 w="6350"/>
        </c:spPr>
        <c:crossAx val="1674614752"/>
        <c:crosses val="autoZero"/>
        <c:auto val="1"/>
        <c:lblAlgn val="ctr"/>
        <c:lblOffset val="100"/>
        <c:noMultiLvlLbl val="0"/>
      </c:catAx>
      <c:valAx>
        <c:axId val="1674614752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General" sourceLinked="1"/>
        <c:majorTickMark val="out"/>
        <c:minorTickMark val="none"/>
        <c:tickLblPos val="nextTo"/>
        <c:spPr>
          <a:ln w="6350"/>
        </c:spPr>
        <c:crossAx val="16754108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521406371406443"/>
          <c:y val="1.3983021368718327E-2"/>
          <c:w val="0.45793337218337216"/>
          <c:h val="0.887708654922629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'wykres 6'!$B$2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'wykres 6'!$A$3:$A$17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'wykres 6'!$B$3:$B$17</c:f>
              <c:numCache>
                <c:formatCode>0.0</c:formatCode>
                <c:ptCount val="15"/>
                <c:pt idx="0">
                  <c:v>2.4</c:v>
                </c:pt>
                <c:pt idx="1">
                  <c:v>0.60000000000000064</c:v>
                </c:pt>
                <c:pt idx="2">
                  <c:v>1.4</c:v>
                </c:pt>
                <c:pt idx="3">
                  <c:v>2.1</c:v>
                </c:pt>
                <c:pt idx="4">
                  <c:v>1.2</c:v>
                </c:pt>
                <c:pt idx="5">
                  <c:v>5.0999999999999996</c:v>
                </c:pt>
                <c:pt idx="6">
                  <c:v>5.7</c:v>
                </c:pt>
                <c:pt idx="7">
                  <c:v>1.4</c:v>
                </c:pt>
                <c:pt idx="8">
                  <c:v>1.5</c:v>
                </c:pt>
                <c:pt idx="9">
                  <c:v>3.5</c:v>
                </c:pt>
                <c:pt idx="10">
                  <c:v>3.5</c:v>
                </c:pt>
                <c:pt idx="11">
                  <c:v>7.2</c:v>
                </c:pt>
                <c:pt idx="12">
                  <c:v>26.1</c:v>
                </c:pt>
                <c:pt idx="13">
                  <c:v>10.9</c:v>
                </c:pt>
                <c:pt idx="14">
                  <c:v>13.9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0B-49E3-8594-411EC5CF3D57}"/>
            </c:ext>
          </c:extLst>
        </c:ser>
        <c:ser>
          <c:idx val="1"/>
          <c:order val="1"/>
          <c:tx>
            <c:strRef>
              <c:f>'wykres 6'!$C$2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'wykres 6'!$A$3:$A$17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'wykres 6'!$C$3:$C$17</c:f>
              <c:numCache>
                <c:formatCode>0.0</c:formatCode>
                <c:ptCount val="15"/>
                <c:pt idx="0">
                  <c:v>4.2</c:v>
                </c:pt>
                <c:pt idx="1">
                  <c:v>2.1</c:v>
                </c:pt>
                <c:pt idx="2">
                  <c:v>8.4</c:v>
                </c:pt>
                <c:pt idx="3">
                  <c:v>10.200000000000001</c:v>
                </c:pt>
                <c:pt idx="4">
                  <c:v>3.7</c:v>
                </c:pt>
                <c:pt idx="5">
                  <c:v>13.1</c:v>
                </c:pt>
                <c:pt idx="6">
                  <c:v>13.9</c:v>
                </c:pt>
                <c:pt idx="7">
                  <c:v>2.4</c:v>
                </c:pt>
                <c:pt idx="8">
                  <c:v>2.8</c:v>
                </c:pt>
                <c:pt idx="9">
                  <c:v>9.5</c:v>
                </c:pt>
                <c:pt idx="10">
                  <c:v>9.8000000000000007</c:v>
                </c:pt>
                <c:pt idx="11">
                  <c:v>22</c:v>
                </c:pt>
                <c:pt idx="12">
                  <c:v>74.900000000000006</c:v>
                </c:pt>
                <c:pt idx="13">
                  <c:v>37.5</c:v>
                </c:pt>
                <c:pt idx="1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0B-49E3-8594-411EC5CF3D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74608768"/>
        <c:axId val="1674615296"/>
      </c:barChart>
      <c:catAx>
        <c:axId val="16746087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ln w="6350"/>
        </c:spPr>
        <c:crossAx val="1674615296"/>
        <c:crosses val="autoZero"/>
        <c:auto val="1"/>
        <c:lblAlgn val="ctr"/>
        <c:lblOffset val="100"/>
        <c:noMultiLvlLbl val="0"/>
      </c:catAx>
      <c:valAx>
        <c:axId val="1674615296"/>
        <c:scaling>
          <c:orientation val="minMax"/>
        </c:scaling>
        <c:delete val="0"/>
        <c:axPos val="b"/>
        <c:majorGridlines>
          <c:spPr>
            <a:ln w="6350"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6746087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76825951825978"/>
          <c:y val="0.9521669191919182"/>
          <c:w val="0.63846328671328667"/>
          <c:h val="4.783308080808094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5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0.03997</cdr:x>
      <cdr:y>0.02206</cdr:y>
    </cdr:from>
    <cdr:to>
      <cdr:x>0.08375</cdr:x>
      <cdr:y>0.09191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00025" y="57150"/>
          <a:ext cx="219075" cy="1809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0.7067</cdr:x>
      <cdr:y>0.26061</cdr:y>
    </cdr:from>
    <cdr:to>
      <cdr:x>0.91037</cdr:x>
      <cdr:y>0.33117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39022" y="478424"/>
          <a:ext cx="904667" cy="1295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0.93898</cdr:x>
      <cdr:y>0.90881</cdr:y>
    </cdr:from>
    <cdr:to>
      <cdr:x>0.98533</cdr:x>
      <cdr:y>0.94426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39788" y="3598759"/>
          <a:ext cx="238918" cy="1403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0.95011</cdr:x>
      <cdr:y>0.82308</cdr:y>
    </cdr:from>
    <cdr:to>
      <cdr:x>0.99053</cdr:x>
      <cdr:y>0.88462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54167" y="2221801"/>
          <a:ext cx="202229" cy="1661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0.95135</cdr:x>
      <cdr:y>0.92441</cdr:y>
    </cdr:from>
    <cdr:to>
      <cdr:x>0.9893</cdr:x>
      <cdr:y>0.97362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761352" y="2516330"/>
          <a:ext cx="189959" cy="1339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0.94947</cdr:x>
      <cdr:y>0.91811</cdr:y>
    </cdr:from>
    <cdr:to>
      <cdr:x>0.98832</cdr:x>
      <cdr:y>0.94698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60081" y="3546966"/>
          <a:ext cx="198863" cy="1115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75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4DEF3-4421-4DD5-9D72-6B2E3A25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I kwartale 2019 r.</dc:title>
  <cp:revision>2</cp:revision>
  <cp:lastPrinted>2019-06-04T11:42:00Z</cp:lastPrinted>
  <dcterms:created xsi:type="dcterms:W3CDTF">2019-06-10T07:20:00Z</dcterms:created>
  <dcterms:modified xsi:type="dcterms:W3CDTF">2019-06-10T07:20:00Z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