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123" w:rsidRPr="006E1DCF" w:rsidRDefault="00685123" w:rsidP="00685123">
      <w:pPr>
        <w:pStyle w:val="tytuinformacji"/>
        <w:rPr>
          <w:shd w:val="clear" w:color="auto" w:fill="FFFFFF"/>
        </w:rPr>
      </w:pPr>
      <w:r w:rsidRPr="006E1DCF">
        <w:t>Wskaźniki cen towarów i usług konsumpcyjnych w styczniu 201</w:t>
      </w:r>
      <w:r w:rsidR="00FF39EB" w:rsidRPr="006E1DCF">
        <w:t>9</w:t>
      </w:r>
      <w:r w:rsidRPr="006E1DCF">
        <w:t xml:space="preserve"> r. (dane wstępne</w:t>
      </w:r>
      <w:r w:rsidR="00A54FF9" w:rsidRPr="00072E75">
        <w:rPr>
          <w:vertAlign w:val="superscript"/>
        </w:rPr>
        <w:footnoteReference w:id="1"/>
      </w:r>
      <w:r w:rsidRPr="006E1DCF">
        <w:t>)</w:t>
      </w:r>
    </w:p>
    <w:p w:rsidR="00393761" w:rsidRPr="00FF39EB" w:rsidRDefault="00393761" w:rsidP="00074DD8">
      <w:pPr>
        <w:pStyle w:val="tytuinformacji"/>
        <w:rPr>
          <w:sz w:val="32"/>
          <w:highlight w:val="yellow"/>
        </w:rPr>
      </w:pPr>
    </w:p>
    <w:p w:rsidR="00685123" w:rsidRPr="006E1DCF" w:rsidRDefault="0055720B" w:rsidP="00685123">
      <w:pPr>
        <w:pStyle w:val="LID"/>
        <w:contextualSpacing/>
        <w:rPr>
          <w:shd w:val="clear" w:color="auto" w:fill="FFFFFF"/>
        </w:rPr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3C98" w:rsidRPr="00B66B19" w:rsidRDefault="0055720B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33375" cy="333375"/>
                                  <wp:effectExtent l="0" t="0" r="9525" b="9525"/>
                                  <wp:docPr id="1" name="Obraz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B3C98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8B3C9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100,1</w:t>
                            </w:r>
                          </w:p>
                          <w:p w:rsidR="008B3C98" w:rsidRPr="00A4450E" w:rsidRDefault="008B3C98" w:rsidP="00883763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A4450E">
                              <w:t>w porównaniu z </w:t>
                            </w:r>
                            <w:r>
                              <w:t>poprzednim</w:t>
                            </w:r>
                            <w:r w:rsidRPr="00A4450E">
                              <w:t xml:space="preserve"> miesiącem</w:t>
                            </w:r>
                            <w:r>
                              <w:t xml:space="preserve"> (grudzień 2018 r.)</w:t>
                            </w:r>
                          </w:p>
                          <w:p w:rsidR="008B3C98" w:rsidRPr="00883763" w:rsidRDefault="008B3C98" w:rsidP="00883763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:rsidR="008B3C98" w:rsidRPr="00B66B19" w:rsidRDefault="0055720B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33375" cy="333375"/>
                            <wp:effectExtent l="0" t="0" r="9525" b="9525"/>
                            <wp:docPr id="1" name="Obraz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B3C98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8B3C9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100,1</w:t>
                      </w:r>
                    </w:p>
                    <w:p w:rsidR="008B3C98" w:rsidRPr="00A4450E" w:rsidRDefault="008B3C98" w:rsidP="00883763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A4450E">
                        <w:t>w porównaniu z </w:t>
                      </w:r>
                      <w:r>
                        <w:t>poprzednim</w:t>
                      </w:r>
                      <w:r w:rsidRPr="00A4450E">
                        <w:t xml:space="preserve"> miesiącem</w:t>
                      </w:r>
                      <w:r>
                        <w:t xml:space="preserve"> (grudzień 2018 r.)</w:t>
                      </w:r>
                    </w:p>
                    <w:p w:rsidR="008B3C98" w:rsidRPr="00883763" w:rsidRDefault="008B3C98" w:rsidP="00883763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85123" w:rsidRPr="00072E75">
        <w:t>W styczniu 201</w:t>
      </w:r>
      <w:r w:rsidR="006E1DCF" w:rsidRPr="00072E75">
        <w:t>9</w:t>
      </w:r>
      <w:r w:rsidR="00685123" w:rsidRPr="00072E75">
        <w:t> r. ceny towarów i usług konsumpcyj-nych, według wstępnych danych, były wyższe o 0,</w:t>
      </w:r>
      <w:r w:rsidR="006E1DCF" w:rsidRPr="00072E75">
        <w:t>1</w:t>
      </w:r>
      <w:r w:rsidR="00685123" w:rsidRPr="00072E75">
        <w:t xml:space="preserve">% </w:t>
      </w:r>
      <w:r w:rsidR="00685123" w:rsidRPr="00072E75">
        <w:br/>
        <w:t>niż w grudniu ub. roku.</w:t>
      </w:r>
      <w:r w:rsidR="00685123" w:rsidRPr="00072E75">
        <w:rPr>
          <w:shd w:val="clear" w:color="auto" w:fill="FFFFFF"/>
        </w:rPr>
        <w:t xml:space="preserve"> </w:t>
      </w:r>
      <w:r w:rsidR="006E1DCF" w:rsidRPr="00072E75">
        <w:t>W porównaniu z analo</w:t>
      </w:r>
      <w:r w:rsidR="006E1DCF" w:rsidRPr="00072E75">
        <w:softHyphen/>
        <w:t xml:space="preserve">gicznym miesiącem ub. roku ceny towarów i usług </w:t>
      </w:r>
      <w:r w:rsidR="00A54FF9">
        <w:t>k</w:t>
      </w:r>
      <w:r w:rsidR="006E1DCF" w:rsidRPr="00072E75">
        <w:t>onsumpcyjnych wzrosły o 0,9%.</w:t>
      </w:r>
    </w:p>
    <w:p w:rsidR="00685123" w:rsidRPr="00FF39EB" w:rsidRDefault="00685123" w:rsidP="00685123">
      <w:pPr>
        <w:pStyle w:val="LID"/>
        <w:contextualSpacing/>
        <w:rPr>
          <w:highlight w:val="yellow"/>
        </w:rPr>
      </w:pPr>
    </w:p>
    <w:p w:rsidR="00685123" w:rsidRPr="00FF39EB" w:rsidRDefault="00685123" w:rsidP="00685123">
      <w:pPr>
        <w:pStyle w:val="LID"/>
        <w:contextualSpacing/>
        <w:rPr>
          <w:highlight w:val="yellow"/>
        </w:rPr>
      </w:pPr>
    </w:p>
    <w:p w:rsidR="00685123" w:rsidRPr="00FF39EB" w:rsidRDefault="00685123" w:rsidP="00685123">
      <w:pPr>
        <w:pStyle w:val="LID"/>
        <w:contextualSpacing/>
        <w:rPr>
          <w:highlight w:val="yellow"/>
        </w:rPr>
      </w:pPr>
    </w:p>
    <w:p w:rsidR="00685123" w:rsidRPr="00FF39EB" w:rsidRDefault="00685123" w:rsidP="0006476D">
      <w:pPr>
        <w:pStyle w:val="LID"/>
        <w:spacing w:line="220" w:lineRule="exact"/>
        <w:rPr>
          <w:highlight w:val="yellow"/>
        </w:rPr>
      </w:pPr>
    </w:p>
    <w:tbl>
      <w:tblPr>
        <w:tblStyle w:val="Siatkatabelijasna10"/>
        <w:tblpPr w:leftFromText="142" w:rightFromText="142" w:vertAnchor="text" w:horzAnchor="margin" w:tblpXSpec="center" w:tblpY="341"/>
        <w:tblW w:w="80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571"/>
        <w:gridCol w:w="2251"/>
        <w:gridCol w:w="2246"/>
      </w:tblGrid>
      <w:tr w:rsidR="00685123" w:rsidRPr="00FF39EB" w:rsidTr="00685123">
        <w:trPr>
          <w:trHeight w:val="57"/>
        </w:trPr>
        <w:tc>
          <w:tcPr>
            <w:tcW w:w="3571" w:type="dxa"/>
            <w:vMerge w:val="restart"/>
            <w:vAlign w:val="center"/>
          </w:tcPr>
          <w:p w:rsidR="00685123" w:rsidRPr="006E1DCF" w:rsidRDefault="00685123" w:rsidP="0006476D">
            <w:pPr>
              <w:pStyle w:val="Nagwek1"/>
              <w:tabs>
                <w:tab w:val="right" w:leader="dot" w:pos="4139"/>
              </w:tabs>
              <w:spacing w:line="220" w:lineRule="exact"/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bookmarkStart w:id="0" w:name="_GoBack"/>
            <w:r w:rsidRPr="006E1DCF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4497" w:type="dxa"/>
            <w:gridSpan w:val="2"/>
            <w:vAlign w:val="center"/>
          </w:tcPr>
          <w:p w:rsidR="00685123" w:rsidRPr="006E1DCF" w:rsidRDefault="00685123" w:rsidP="0006476D">
            <w:pPr>
              <w:pStyle w:val="Nagwek3"/>
              <w:spacing w:before="0" w:line="220" w:lineRule="exact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6E1DCF">
              <w:rPr>
                <w:rFonts w:ascii="Fira Sans" w:hAnsi="Fira Sans"/>
                <w:color w:val="000000" w:themeColor="text1"/>
                <w:sz w:val="16"/>
                <w:szCs w:val="16"/>
              </w:rPr>
              <w:t>I 201</w:t>
            </w:r>
            <w:r w:rsidR="006E1DCF" w:rsidRPr="006E1DCF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</w:tr>
      <w:tr w:rsidR="00685123" w:rsidRPr="00FF39EB" w:rsidTr="00685123">
        <w:trPr>
          <w:trHeight w:val="57"/>
        </w:trPr>
        <w:tc>
          <w:tcPr>
            <w:tcW w:w="3571" w:type="dxa"/>
            <w:vMerge/>
            <w:tcBorders>
              <w:bottom w:val="single" w:sz="12" w:space="0" w:color="212492"/>
            </w:tcBorders>
            <w:vAlign w:val="center"/>
          </w:tcPr>
          <w:p w:rsidR="00685123" w:rsidRPr="006E1DCF" w:rsidRDefault="00685123" w:rsidP="0006476D">
            <w:pPr>
              <w:pStyle w:val="Nagwek1"/>
              <w:tabs>
                <w:tab w:val="right" w:leader="dot" w:pos="4139"/>
              </w:tabs>
              <w:spacing w:line="220" w:lineRule="exact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51" w:type="dxa"/>
            <w:tcBorders>
              <w:bottom w:val="single" w:sz="12" w:space="0" w:color="212492"/>
            </w:tcBorders>
            <w:vAlign w:val="center"/>
          </w:tcPr>
          <w:p w:rsidR="00685123" w:rsidRPr="006E1DCF" w:rsidRDefault="00685123" w:rsidP="0006476D">
            <w:pPr>
              <w:spacing w:line="22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6E1DCF">
              <w:rPr>
                <w:color w:val="000000" w:themeColor="text1"/>
                <w:sz w:val="16"/>
                <w:szCs w:val="16"/>
              </w:rPr>
              <w:t>I 201</w:t>
            </w:r>
            <w:r w:rsidR="00072E75">
              <w:rPr>
                <w:color w:val="000000" w:themeColor="text1"/>
                <w:sz w:val="16"/>
                <w:szCs w:val="16"/>
              </w:rPr>
              <w:t>8</w:t>
            </w:r>
            <w:r w:rsidRPr="006E1DCF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2246" w:type="dxa"/>
            <w:tcBorders>
              <w:bottom w:val="single" w:sz="12" w:space="0" w:color="212492"/>
            </w:tcBorders>
            <w:vAlign w:val="center"/>
          </w:tcPr>
          <w:p w:rsidR="00685123" w:rsidRPr="006E1DCF" w:rsidRDefault="00685123" w:rsidP="0006476D">
            <w:pPr>
              <w:spacing w:line="220" w:lineRule="exact"/>
              <w:jc w:val="center"/>
              <w:rPr>
                <w:color w:val="000000" w:themeColor="text1"/>
                <w:sz w:val="16"/>
                <w:szCs w:val="16"/>
              </w:rPr>
            </w:pPr>
            <w:r w:rsidRPr="006E1DCF">
              <w:rPr>
                <w:color w:val="000000" w:themeColor="text1"/>
                <w:sz w:val="16"/>
                <w:szCs w:val="16"/>
              </w:rPr>
              <w:t>XII 201</w:t>
            </w:r>
            <w:r w:rsidR="006E1DCF" w:rsidRPr="006E1DCF">
              <w:rPr>
                <w:color w:val="000000" w:themeColor="text1"/>
                <w:sz w:val="16"/>
                <w:szCs w:val="16"/>
              </w:rPr>
              <w:t>8</w:t>
            </w:r>
            <w:r w:rsidRPr="006E1DCF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685123" w:rsidRPr="00FF39EB" w:rsidTr="00685123">
        <w:trPr>
          <w:trHeight w:val="57"/>
        </w:trPr>
        <w:tc>
          <w:tcPr>
            <w:tcW w:w="3571" w:type="dxa"/>
            <w:tcBorders>
              <w:top w:val="single" w:sz="12" w:space="0" w:color="212492"/>
            </w:tcBorders>
            <w:vAlign w:val="center"/>
          </w:tcPr>
          <w:p w:rsidR="00685123" w:rsidRPr="00072E75" w:rsidRDefault="00685123" w:rsidP="0006476D">
            <w:pPr>
              <w:pStyle w:val="Nagwek5"/>
              <w:tabs>
                <w:tab w:val="right" w:leader="dot" w:pos="4156"/>
              </w:tabs>
              <w:spacing w:before="0" w:line="22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072E75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2251" w:type="dxa"/>
            <w:tcBorders>
              <w:top w:val="single" w:sz="12" w:space="0" w:color="212492"/>
            </w:tcBorders>
            <w:vAlign w:val="center"/>
          </w:tcPr>
          <w:p w:rsidR="00685123" w:rsidRPr="006E1DCF" w:rsidRDefault="006E1DCF" w:rsidP="0006476D">
            <w:pPr>
              <w:spacing w:line="220" w:lineRule="exact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6E1DCF">
              <w:rPr>
                <w:rFonts w:cs="Arial"/>
                <w:b/>
                <w:color w:val="000000" w:themeColor="text1"/>
                <w:sz w:val="16"/>
                <w:szCs w:val="16"/>
              </w:rPr>
              <w:t>100,9</w:t>
            </w:r>
          </w:p>
        </w:tc>
        <w:tc>
          <w:tcPr>
            <w:tcW w:w="2246" w:type="dxa"/>
            <w:tcBorders>
              <w:top w:val="single" w:sz="12" w:space="0" w:color="212492"/>
            </w:tcBorders>
            <w:vAlign w:val="center"/>
          </w:tcPr>
          <w:p w:rsidR="00685123" w:rsidRPr="006E1DCF" w:rsidRDefault="00685123" w:rsidP="0006476D">
            <w:pPr>
              <w:spacing w:line="220" w:lineRule="exact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6E1DCF">
              <w:rPr>
                <w:rFonts w:cs="Arial"/>
                <w:b/>
                <w:color w:val="000000" w:themeColor="text1"/>
                <w:sz w:val="16"/>
                <w:szCs w:val="16"/>
              </w:rPr>
              <w:t>100,</w:t>
            </w:r>
            <w:r w:rsidR="006E1DCF" w:rsidRPr="006E1DCF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</w:tr>
      <w:tr w:rsidR="00685123" w:rsidRPr="00FF39EB" w:rsidTr="00685123">
        <w:trPr>
          <w:trHeight w:val="57"/>
        </w:trPr>
        <w:tc>
          <w:tcPr>
            <w:tcW w:w="3571" w:type="dxa"/>
            <w:vAlign w:val="center"/>
          </w:tcPr>
          <w:p w:rsidR="00685123" w:rsidRPr="00072E75" w:rsidRDefault="00685123" w:rsidP="0006476D">
            <w:pPr>
              <w:pStyle w:val="Nagwek8"/>
              <w:tabs>
                <w:tab w:val="right" w:leader="dot" w:pos="4156"/>
              </w:tabs>
              <w:spacing w:before="0" w:line="220" w:lineRule="exact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72E75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Żywność, napoje bezalkoholowe </w:t>
            </w:r>
            <w:r w:rsidRPr="00072E75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i alkoholowe oraz wyroby tytoniowe</w:t>
            </w:r>
          </w:p>
        </w:tc>
        <w:tc>
          <w:tcPr>
            <w:tcW w:w="2251" w:type="dxa"/>
            <w:vAlign w:val="center"/>
          </w:tcPr>
          <w:p w:rsidR="00685123" w:rsidRPr="00072E75" w:rsidRDefault="00072E75" w:rsidP="0006476D">
            <w:pPr>
              <w:spacing w:line="220" w:lineRule="exact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72E75">
              <w:rPr>
                <w:rFonts w:cs="Arial"/>
                <w:color w:val="000000" w:themeColor="text1"/>
                <w:sz w:val="16"/>
                <w:szCs w:val="16"/>
              </w:rPr>
              <w:t>100,9</w:t>
            </w:r>
          </w:p>
        </w:tc>
        <w:tc>
          <w:tcPr>
            <w:tcW w:w="2246" w:type="dxa"/>
            <w:vAlign w:val="center"/>
          </w:tcPr>
          <w:p w:rsidR="00685123" w:rsidRPr="00072E75" w:rsidRDefault="00072E75" w:rsidP="0006476D">
            <w:pPr>
              <w:spacing w:line="220" w:lineRule="exact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72E75">
              <w:rPr>
                <w:rFonts w:cs="Arial"/>
                <w:color w:val="000000" w:themeColor="text1"/>
                <w:sz w:val="16"/>
                <w:szCs w:val="16"/>
              </w:rPr>
              <w:t>100,9</w:t>
            </w:r>
          </w:p>
        </w:tc>
      </w:tr>
      <w:tr w:rsidR="00685123" w:rsidRPr="00FF39EB" w:rsidTr="00685123">
        <w:trPr>
          <w:trHeight w:val="57"/>
        </w:trPr>
        <w:tc>
          <w:tcPr>
            <w:tcW w:w="3571" w:type="dxa"/>
            <w:vAlign w:val="center"/>
          </w:tcPr>
          <w:p w:rsidR="00685123" w:rsidRPr="00764E44" w:rsidRDefault="00685123" w:rsidP="0006476D">
            <w:pPr>
              <w:tabs>
                <w:tab w:val="right" w:leader="dot" w:pos="4156"/>
              </w:tabs>
              <w:spacing w:line="220" w:lineRule="exact"/>
              <w:contextualSpacing/>
              <w:rPr>
                <w:color w:val="000000" w:themeColor="text1"/>
                <w:sz w:val="16"/>
                <w:szCs w:val="16"/>
                <w:lang w:val="en-US"/>
              </w:rPr>
            </w:pPr>
            <w:r w:rsidRPr="00072E75">
              <w:rPr>
                <w:rFonts w:cstheme="majorBidi"/>
                <w:bCs/>
                <w:color w:val="000000" w:themeColor="text1"/>
                <w:sz w:val="16"/>
                <w:szCs w:val="16"/>
              </w:rPr>
              <w:t>Mieszkanie</w:t>
            </w:r>
            <w:r w:rsidR="00EB5AED" w:rsidRPr="0006476D">
              <w:rPr>
                <w:rStyle w:val="Odwoanieprzypisudolnego"/>
                <w:rFonts w:cstheme="majorBidi"/>
                <w:bCs/>
                <w:color w:val="000000" w:themeColor="text1"/>
                <w:sz w:val="20"/>
                <w:szCs w:val="20"/>
              </w:rPr>
              <w:footnoteReference w:id="2"/>
            </w:r>
          </w:p>
        </w:tc>
        <w:tc>
          <w:tcPr>
            <w:tcW w:w="2251" w:type="dxa"/>
            <w:vAlign w:val="center"/>
          </w:tcPr>
          <w:p w:rsidR="00685123" w:rsidRPr="00072E75" w:rsidRDefault="00072E75" w:rsidP="0006476D">
            <w:pPr>
              <w:spacing w:line="220" w:lineRule="exact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 w:rsidRPr="00072E75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100,6</w:t>
            </w:r>
          </w:p>
        </w:tc>
        <w:tc>
          <w:tcPr>
            <w:tcW w:w="2246" w:type="dxa"/>
            <w:vAlign w:val="center"/>
          </w:tcPr>
          <w:p w:rsidR="00685123" w:rsidRPr="00072E75" w:rsidRDefault="00072E75" w:rsidP="0006476D">
            <w:pPr>
              <w:spacing w:line="220" w:lineRule="exact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 w:rsidRPr="00072E75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99,3</w:t>
            </w:r>
          </w:p>
        </w:tc>
      </w:tr>
      <w:tr w:rsidR="00685123" w:rsidRPr="00FF39EB" w:rsidTr="00685123">
        <w:trPr>
          <w:trHeight w:val="57"/>
        </w:trPr>
        <w:tc>
          <w:tcPr>
            <w:tcW w:w="3571" w:type="dxa"/>
            <w:vAlign w:val="center"/>
          </w:tcPr>
          <w:p w:rsidR="00685123" w:rsidRPr="00072E75" w:rsidRDefault="00685123" w:rsidP="0006476D">
            <w:pPr>
              <w:spacing w:line="220" w:lineRule="exact"/>
              <w:rPr>
                <w:rFonts w:cs="Arial"/>
                <w:color w:val="000000" w:themeColor="text1"/>
                <w:sz w:val="16"/>
                <w:szCs w:val="16"/>
              </w:rPr>
            </w:pPr>
            <w:r w:rsidRPr="00072E75">
              <w:rPr>
                <w:rFonts w:cs="Arial"/>
                <w:color w:val="000000" w:themeColor="text1"/>
                <w:sz w:val="16"/>
                <w:szCs w:val="16"/>
              </w:rPr>
              <w:t>Transport</w:t>
            </w:r>
          </w:p>
        </w:tc>
        <w:tc>
          <w:tcPr>
            <w:tcW w:w="2251" w:type="dxa"/>
            <w:vAlign w:val="center"/>
          </w:tcPr>
          <w:p w:rsidR="00685123" w:rsidRPr="00072E75" w:rsidRDefault="00072E75" w:rsidP="0006476D">
            <w:pPr>
              <w:spacing w:line="220" w:lineRule="exact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72E75">
              <w:rPr>
                <w:rFonts w:cs="Arial"/>
                <w:color w:val="000000" w:themeColor="text1"/>
                <w:sz w:val="16"/>
                <w:szCs w:val="16"/>
              </w:rPr>
              <w:t>102,6</w:t>
            </w:r>
          </w:p>
        </w:tc>
        <w:tc>
          <w:tcPr>
            <w:tcW w:w="2246" w:type="dxa"/>
            <w:vAlign w:val="center"/>
          </w:tcPr>
          <w:p w:rsidR="00685123" w:rsidRPr="00072E75" w:rsidRDefault="00072E75" w:rsidP="0006476D">
            <w:pPr>
              <w:spacing w:line="220" w:lineRule="exact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72E75">
              <w:rPr>
                <w:rFonts w:cs="Arial"/>
                <w:color w:val="000000" w:themeColor="text1"/>
                <w:sz w:val="16"/>
                <w:szCs w:val="16"/>
              </w:rPr>
              <w:t>98,1</w:t>
            </w:r>
          </w:p>
        </w:tc>
      </w:tr>
    </w:tbl>
    <w:bookmarkEnd w:id="0"/>
    <w:p w:rsidR="00685123" w:rsidRPr="006E1DCF" w:rsidRDefault="00685123" w:rsidP="00685123">
      <w:pPr>
        <w:pStyle w:val="LID"/>
        <w:spacing w:before="0" w:after="0"/>
        <w:rPr>
          <w:shd w:val="clear" w:color="auto" w:fill="FFFFFF"/>
        </w:rPr>
      </w:pPr>
      <w:r w:rsidRPr="006E1DCF">
        <w:t>Tablica 1.</w:t>
      </w:r>
      <w:r w:rsidRPr="006E1DCF">
        <w:rPr>
          <w:shd w:val="clear" w:color="auto" w:fill="FFFFFF"/>
        </w:rPr>
        <w:t xml:space="preserve"> </w:t>
      </w:r>
      <w:r w:rsidRPr="006E1DCF">
        <w:rPr>
          <w:bCs/>
          <w:shd w:val="clear" w:color="auto" w:fill="FFFFFF"/>
        </w:rPr>
        <w:t>Wskaźniki cen towarów i usług konsumpcyjnych w styczniu 201</w:t>
      </w:r>
      <w:r w:rsidR="006E1DCF" w:rsidRPr="006E1DCF">
        <w:rPr>
          <w:bCs/>
          <w:shd w:val="clear" w:color="auto" w:fill="FFFFFF"/>
        </w:rPr>
        <w:t>9</w:t>
      </w:r>
      <w:r w:rsidRPr="006E1DCF">
        <w:rPr>
          <w:bCs/>
          <w:shd w:val="clear" w:color="auto" w:fill="FFFFFF"/>
        </w:rPr>
        <w:t xml:space="preserve"> r.</w:t>
      </w:r>
    </w:p>
    <w:p w:rsidR="00685123" w:rsidRPr="0006476D" w:rsidRDefault="00685123" w:rsidP="0006476D">
      <w:pPr>
        <w:pStyle w:val="tytuwykresu"/>
        <w:spacing w:before="0" w:after="0"/>
        <w:rPr>
          <w:sz w:val="19"/>
          <w:szCs w:val="19"/>
          <w:highlight w:val="yellow"/>
        </w:rPr>
      </w:pPr>
    </w:p>
    <w:p w:rsidR="00685123" w:rsidRPr="00764E44" w:rsidRDefault="00685123" w:rsidP="00685123">
      <w:pPr>
        <w:pStyle w:val="tytuwykresu"/>
        <w:spacing w:before="0"/>
        <w:rPr>
          <w:noProof/>
          <w:lang w:eastAsia="pl-PL"/>
        </w:rPr>
      </w:pPr>
      <w:r w:rsidRPr="00764E44">
        <w:rPr>
          <w:noProof/>
          <w:lang w:eastAsia="pl-PL"/>
        </w:rPr>
        <w:t xml:space="preserve">Wykres 1. Ceny towarów i usług </w:t>
      </w:r>
      <w:r w:rsidRPr="0006476D">
        <w:rPr>
          <w:noProof/>
          <w:lang w:eastAsia="pl-PL"/>
        </w:rPr>
        <w:t>konsumpcyjnych</w:t>
      </w:r>
      <w:r w:rsidR="00764E44" w:rsidRPr="0006476D">
        <w:rPr>
          <w:noProof/>
          <w:color w:val="000000" w:themeColor="text1"/>
          <w:lang w:eastAsia="pl-PL"/>
        </w:rPr>
        <w:t>*</w:t>
      </w:r>
      <w:r w:rsidRPr="0006476D">
        <w:rPr>
          <w:noProof/>
          <w:lang w:eastAsia="pl-PL"/>
        </w:rPr>
        <w:t xml:space="preserve"> (</w:t>
      </w:r>
      <w:r w:rsidRPr="00764E44">
        <w:rPr>
          <w:noProof/>
          <w:lang w:eastAsia="pl-PL"/>
        </w:rPr>
        <w:t xml:space="preserve">zmiana w % do okresu poprzedniego) </w:t>
      </w:r>
    </w:p>
    <w:p w:rsidR="00764E44" w:rsidRDefault="00F15E50">
      <w:pPr>
        <w:spacing w:before="0" w:after="160" w:line="259" w:lineRule="auto"/>
        <w:rPr>
          <w:highlight w:val="yellow"/>
        </w:rPr>
      </w:pPr>
      <w:r w:rsidRPr="00F15E50">
        <w:rPr>
          <w:noProof/>
          <w:lang w:eastAsia="pl-PL"/>
        </w:rPr>
        <w:lastRenderedPageBreak/>
        <w:drawing>
          <wp:inline distT="0" distB="0" distL="0" distR="0">
            <wp:extent cx="5122545" cy="2500356"/>
            <wp:effectExtent l="0" t="0" r="0" b="0"/>
            <wp:docPr id="6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64E44" w:rsidRPr="0006476D" w:rsidRDefault="00764E44" w:rsidP="0006476D">
      <w:pPr>
        <w:spacing w:before="0" w:line="200" w:lineRule="exact"/>
        <w:rPr>
          <w:noProof/>
          <w:color w:val="000000" w:themeColor="text1"/>
          <w:sz w:val="16"/>
          <w:szCs w:val="19"/>
          <w:lang w:eastAsia="pl-PL"/>
        </w:rPr>
      </w:pPr>
      <w:r w:rsidRPr="0006476D">
        <w:rPr>
          <w:noProof/>
          <w:color w:val="000000" w:themeColor="text1"/>
          <w:sz w:val="20"/>
          <w:szCs w:val="20"/>
          <w:lang w:eastAsia="pl-PL"/>
        </w:rPr>
        <w:t xml:space="preserve">* </w:t>
      </w:r>
      <w:r w:rsidR="0006476D" w:rsidRPr="0006476D">
        <w:rPr>
          <w:noProof/>
          <w:color w:val="000000" w:themeColor="text1"/>
          <w:sz w:val="16"/>
          <w:szCs w:val="19"/>
          <w:lang w:eastAsia="pl-PL"/>
        </w:rPr>
        <w:t>Dane ostateczne z wyjątkiem danych wstępnych za styczeń 2019 r.</w:t>
      </w:r>
    </w:p>
    <w:p w:rsidR="00883763" w:rsidRDefault="0006476D" w:rsidP="00883763">
      <w:pPr>
        <w:pStyle w:val="tytuwykresu"/>
        <w:rPr>
          <w:shd w:val="clear" w:color="auto" w:fill="FFFFFF"/>
        </w:rPr>
      </w:pPr>
      <w:r w:rsidRPr="00767603">
        <w:rPr>
          <w:noProof/>
          <w:lang w:eastAsia="pl-PL"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-9525</wp:posOffset>
            </wp:positionH>
            <wp:positionV relativeFrom="line">
              <wp:posOffset>405130</wp:posOffset>
            </wp:positionV>
            <wp:extent cx="5124450" cy="2530475"/>
            <wp:effectExtent l="0" t="0" r="0" b="0"/>
            <wp:wrapSquare wrapText="bothSides"/>
            <wp:docPr id="12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55720B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42208" behindDoc="1" locked="0" layoutInCell="1" allowOverlap="1">
                <wp:simplePos x="0" y="0"/>
                <wp:positionH relativeFrom="column">
                  <wp:posOffset>5267325</wp:posOffset>
                </wp:positionH>
                <wp:positionV relativeFrom="paragraph">
                  <wp:posOffset>434975</wp:posOffset>
                </wp:positionV>
                <wp:extent cx="1725295" cy="1630045"/>
                <wp:effectExtent l="0" t="0" r="0" b="0"/>
                <wp:wrapTight wrapText="bothSides">
                  <wp:wrapPolygon edited="0">
                    <wp:start x="0" y="0"/>
                    <wp:lineTo x="0" y="0"/>
                    <wp:lineTo x="0" y="0"/>
                  </wp:wrapPolygon>
                </wp:wrapTight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63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3C98" w:rsidRPr="00BF2F65" w:rsidRDefault="008B3C98" w:rsidP="00767603">
                            <w:pPr>
                              <w:pStyle w:val="Tekstprzypisudolnego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1819B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edług wstępnych danych </w:t>
                            </w:r>
                            <w:r w:rsidR="001819B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br/>
                              <w:t>w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styczniu 2019 r. wskaźnik cen towarów i usług konsumpcyjnych znalazł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br/>
                              <w:t xml:space="preserve">się poniżej dolnej granicy odchyleń od celu inflacyjnego określonego przez Radę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br/>
                              <w:t xml:space="preserve">Polityki Pieniężnej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br/>
                              <w:t>(2,5% +/- 1 p. proc.)</w:t>
                            </w:r>
                          </w:p>
                          <w:p w:rsidR="008B3C98" w:rsidRPr="00BF2F65" w:rsidRDefault="008B3C98" w:rsidP="00883763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margin-left:414.75pt;margin-top:34.25pt;width:135.85pt;height:128.35pt;z-index:-251574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uJ3uQ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" filled="f" stroked="f">
                <v:textbox>
                  <w:txbxContent>
                    <w:p w:rsidR="008B3C98" w:rsidRPr="00BF2F65" w:rsidRDefault="008B3C98" w:rsidP="00767603">
                      <w:pPr>
                        <w:pStyle w:val="Tekstprzypisudolnego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1819B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edług wstępnych danych </w:t>
                      </w:r>
                      <w:r w:rsidR="001819B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br/>
                        <w:t>w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styczniu 2019 r. wskaźnik cen towarów i usług konsumpcyjnych znalazł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br/>
                        <w:t xml:space="preserve">się poniżej dolnej granicy odchyleń od celu inflacyjnego określonego przez Radę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br/>
                        <w:t xml:space="preserve">Polityki Pieniężnej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br/>
                        <w:t>(2,5% +/- 1 p. proc.)</w:t>
                      </w:r>
                    </w:p>
                    <w:p w:rsidR="008B3C98" w:rsidRPr="00BF2F65" w:rsidRDefault="008B3C98" w:rsidP="00883763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883763" w:rsidRPr="00767603">
        <w:t>Wykres 2.</w:t>
      </w:r>
      <w:r w:rsidR="00883763" w:rsidRPr="00767603">
        <w:rPr>
          <w:shd w:val="clear" w:color="auto" w:fill="FFFFFF"/>
        </w:rPr>
        <w:t xml:space="preserve"> C</w:t>
      </w:r>
      <w:r w:rsidR="00883763" w:rsidRPr="00767603">
        <w:rPr>
          <w:bCs/>
          <w:shd w:val="clear" w:color="auto" w:fill="FFFFFF"/>
        </w:rPr>
        <w:t xml:space="preserve">eny towarów i usług </w:t>
      </w:r>
      <w:r w:rsidR="00883763" w:rsidRPr="00764E44">
        <w:rPr>
          <w:bCs/>
          <w:shd w:val="clear" w:color="auto" w:fill="FFFFFF"/>
        </w:rPr>
        <w:t>konsumpcyjnych</w:t>
      </w:r>
      <w:r w:rsidR="00B600A6" w:rsidRPr="00764E44">
        <w:rPr>
          <w:bCs/>
          <w:shd w:val="clear" w:color="auto" w:fill="FFFFFF"/>
        </w:rPr>
        <w:t>*</w:t>
      </w:r>
      <w:r>
        <w:rPr>
          <w:bCs/>
          <w:shd w:val="clear" w:color="auto" w:fill="FFFFFF"/>
        </w:rPr>
        <w:t xml:space="preserve"> </w:t>
      </w:r>
      <w:r>
        <w:rPr>
          <w:bCs/>
          <w:shd w:val="clear" w:color="auto" w:fill="FFFFFF"/>
        </w:rPr>
        <w:br/>
      </w:r>
      <w:r w:rsidR="00883763" w:rsidRPr="00764E44">
        <w:rPr>
          <w:shd w:val="clear" w:color="auto" w:fill="FFFFFF"/>
        </w:rPr>
        <w:t>(zmiana</w:t>
      </w:r>
      <w:r w:rsidR="00883763" w:rsidRPr="00767603">
        <w:rPr>
          <w:shd w:val="clear" w:color="auto" w:fill="FFFFFF"/>
        </w:rPr>
        <w:t xml:space="preserve"> w % do analogicznego okresu roku poprzedniego)</w:t>
      </w:r>
    </w:p>
    <w:p w:rsidR="00B600A6" w:rsidRPr="00CE0E7C" w:rsidRDefault="00B600A6" w:rsidP="0006476D">
      <w:pPr>
        <w:spacing w:before="240" w:line="200" w:lineRule="exact"/>
        <w:rPr>
          <w:noProof/>
          <w:sz w:val="16"/>
          <w:szCs w:val="19"/>
          <w:lang w:eastAsia="pl-PL"/>
        </w:rPr>
      </w:pPr>
      <w:r w:rsidRPr="0006476D">
        <w:rPr>
          <w:noProof/>
          <w:sz w:val="20"/>
          <w:szCs w:val="20"/>
          <w:lang w:eastAsia="pl-PL"/>
        </w:rPr>
        <w:t xml:space="preserve">* </w:t>
      </w:r>
      <w:r w:rsidRPr="00764E44">
        <w:rPr>
          <w:noProof/>
          <w:sz w:val="16"/>
          <w:szCs w:val="19"/>
          <w:lang w:eastAsia="pl-PL"/>
        </w:rPr>
        <w:t xml:space="preserve">Dane ostateczne z wyjątkiem danych </w:t>
      </w:r>
      <w:r w:rsidR="0006476D">
        <w:rPr>
          <w:noProof/>
          <w:sz w:val="16"/>
          <w:szCs w:val="19"/>
          <w:lang w:eastAsia="pl-PL"/>
        </w:rPr>
        <w:t xml:space="preserve">wstępnych </w:t>
      </w:r>
      <w:r w:rsidRPr="00764E44">
        <w:rPr>
          <w:noProof/>
          <w:sz w:val="16"/>
          <w:szCs w:val="19"/>
          <w:lang w:eastAsia="pl-PL"/>
        </w:rPr>
        <w:t xml:space="preserve">za styczeń </w:t>
      </w:r>
      <w:r w:rsidR="008F190C" w:rsidRPr="00764E44">
        <w:rPr>
          <w:noProof/>
          <w:sz w:val="16"/>
          <w:szCs w:val="19"/>
          <w:lang w:eastAsia="pl-PL"/>
        </w:rPr>
        <w:t>2019 r.</w:t>
      </w:r>
    </w:p>
    <w:p w:rsidR="00883763" w:rsidRPr="00FF39EB" w:rsidRDefault="00883763" w:rsidP="00883763">
      <w:pPr>
        <w:spacing w:before="0" w:after="160" w:line="259" w:lineRule="auto"/>
        <w:rPr>
          <w:highlight w:val="yellow"/>
        </w:rPr>
      </w:pPr>
    </w:p>
    <w:p w:rsidR="00883763" w:rsidRPr="0006476D" w:rsidRDefault="00883763" w:rsidP="00883763">
      <w:pPr>
        <w:pStyle w:val="tytuwykresu"/>
        <w:rPr>
          <w:shd w:val="clear" w:color="auto" w:fill="FFFFFF"/>
        </w:rPr>
      </w:pPr>
      <w:r w:rsidRPr="00FF39EB">
        <w:t>Wykres 3.</w:t>
      </w:r>
      <w:r w:rsidRPr="00FF39EB">
        <w:rPr>
          <w:shd w:val="clear" w:color="auto" w:fill="FFFFFF"/>
        </w:rPr>
        <w:t xml:space="preserve"> </w:t>
      </w:r>
      <w:r w:rsidRPr="00FF39EB">
        <w:rPr>
          <w:bCs/>
          <w:shd w:val="clear" w:color="auto" w:fill="FFFFFF"/>
        </w:rPr>
        <w:t xml:space="preserve">System wag stosowany w obliczeniach wskaźników cen towarów </w:t>
      </w:r>
      <w:r w:rsidRPr="00FF39EB">
        <w:rPr>
          <w:bCs/>
          <w:shd w:val="clear" w:color="auto" w:fill="FFFFFF"/>
        </w:rPr>
        <w:br/>
        <w:t xml:space="preserve">i usług konsumpcyjnych w </w:t>
      </w:r>
      <w:r w:rsidRPr="00C73761">
        <w:rPr>
          <w:bCs/>
          <w:shd w:val="clear" w:color="auto" w:fill="FFFFFF"/>
        </w:rPr>
        <w:t>201</w:t>
      </w:r>
      <w:r w:rsidR="00FF39EB" w:rsidRPr="00C73761">
        <w:rPr>
          <w:bCs/>
          <w:shd w:val="clear" w:color="auto" w:fill="FFFFFF"/>
        </w:rPr>
        <w:t>8</w:t>
      </w:r>
      <w:r w:rsidRPr="00C73761">
        <w:rPr>
          <w:bCs/>
          <w:shd w:val="clear" w:color="auto" w:fill="FFFFFF"/>
        </w:rPr>
        <w:t xml:space="preserve"> r</w:t>
      </w:r>
      <w:r w:rsidRPr="00C73761">
        <w:rPr>
          <w:bCs/>
          <w:i/>
          <w:iCs/>
          <w:shd w:val="clear" w:color="auto" w:fill="FFFFFF"/>
        </w:rPr>
        <w:t>.</w:t>
      </w:r>
      <w:r w:rsidR="00460E1A" w:rsidRPr="0006476D">
        <w:rPr>
          <w:rStyle w:val="Odwoanieprzypisudolnego"/>
          <w:bCs/>
          <w:iCs/>
          <w:sz w:val="20"/>
          <w:szCs w:val="20"/>
          <w:shd w:val="clear" w:color="auto" w:fill="FFFFFF"/>
        </w:rPr>
        <w:footnoteReference w:id="3"/>
      </w:r>
    </w:p>
    <w:p w:rsidR="00883763" w:rsidRPr="00FF39EB" w:rsidRDefault="00FF39EB" w:rsidP="00883763">
      <w:pPr>
        <w:spacing w:before="0" w:after="160" w:line="259" w:lineRule="auto"/>
        <w:rPr>
          <w:highlight w:val="yellow"/>
        </w:rPr>
      </w:pPr>
      <w:r w:rsidRPr="00FF39EB">
        <w:rPr>
          <w:noProof/>
          <w:lang w:eastAsia="pl-PL"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align>left</wp:align>
            </wp:positionH>
            <wp:positionV relativeFrom="line">
              <wp:posOffset>36195</wp:posOffset>
            </wp:positionV>
            <wp:extent cx="5116005" cy="3603008"/>
            <wp:effectExtent l="0" t="0" r="0" b="0"/>
            <wp:wrapSquare wrapText="bothSides"/>
            <wp:docPr id="4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</w:p>
    <w:p w:rsidR="00883763" w:rsidRPr="00FF39EB" w:rsidRDefault="00883763" w:rsidP="00883763">
      <w:pPr>
        <w:spacing w:before="0" w:after="160" w:line="259" w:lineRule="auto"/>
        <w:rPr>
          <w:highlight w:val="yellow"/>
        </w:rPr>
      </w:pPr>
    </w:p>
    <w:p w:rsidR="00883763" w:rsidRPr="00FF39EB" w:rsidRDefault="00883763" w:rsidP="00883763">
      <w:pPr>
        <w:spacing w:before="0" w:after="160" w:line="259" w:lineRule="auto"/>
        <w:rPr>
          <w:highlight w:val="yellow"/>
        </w:rPr>
      </w:pPr>
    </w:p>
    <w:p w:rsidR="00883763" w:rsidRPr="00FF39EB" w:rsidRDefault="00883763" w:rsidP="00883763">
      <w:pPr>
        <w:spacing w:before="0" w:after="160" w:line="259" w:lineRule="auto"/>
        <w:rPr>
          <w:highlight w:val="yellow"/>
        </w:rPr>
      </w:pPr>
    </w:p>
    <w:p w:rsidR="00685123" w:rsidRPr="00FF39EB" w:rsidRDefault="00685123" w:rsidP="00883763">
      <w:pPr>
        <w:spacing w:before="0" w:after="160" w:line="259" w:lineRule="auto"/>
        <w:rPr>
          <w:b/>
          <w:noProof/>
          <w:szCs w:val="19"/>
          <w:highlight w:val="yellow"/>
          <w:lang w:eastAsia="pl-PL"/>
        </w:rPr>
        <w:sectPr w:rsidR="00685123" w:rsidRPr="00FF39EB" w:rsidSect="0006476D">
          <w:headerReference w:type="default" r:id="rId15"/>
          <w:footerReference w:type="default" r:id="rId16"/>
          <w:headerReference w:type="first" r:id="rId17"/>
          <w:footerReference w:type="first" r:id="rId18"/>
          <w:footnotePr>
            <w:numFmt w:val="lowerLetter"/>
            <w:numRestart w:val="eachSect"/>
          </w:footnotePr>
          <w:type w:val="continuous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Pr="00FF39EB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883763" w:rsidRPr="00FF39EB" w:rsidTr="006E1DCF">
        <w:trPr>
          <w:trHeight w:val="1912"/>
        </w:trPr>
        <w:tc>
          <w:tcPr>
            <w:tcW w:w="4379" w:type="dxa"/>
          </w:tcPr>
          <w:p w:rsidR="00883763" w:rsidRPr="00FF39EB" w:rsidRDefault="00883763" w:rsidP="006E1DCF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FF39EB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883763" w:rsidRPr="00FF39EB" w:rsidRDefault="00883763" w:rsidP="006E1DC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FF39EB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:rsidR="00883763" w:rsidRPr="00FF39EB" w:rsidRDefault="00883763" w:rsidP="006E1DCF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FF39EB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Anna Bobel</w:t>
            </w:r>
          </w:p>
          <w:p w:rsidR="00883763" w:rsidRPr="00FF39EB" w:rsidRDefault="00883763" w:rsidP="006E1DC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FF39E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35 12</w:t>
            </w:r>
          </w:p>
          <w:p w:rsidR="00883763" w:rsidRPr="00FF39EB" w:rsidRDefault="00883763" w:rsidP="006E1DCF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FF39EB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r w:rsidRPr="00FF39EB">
              <w:rPr>
                <w:rFonts w:ascii="Fira Sans" w:eastAsiaTheme="minorHAnsi" w:hAnsi="Fira Sans" w:cstheme="minorBidi"/>
                <w:color w:val="1F497D"/>
                <w:sz w:val="18"/>
                <w:szCs w:val="18"/>
                <w:lang w:val="en-US"/>
              </w:rPr>
              <w:t xml:space="preserve"> </w:t>
            </w:r>
            <w:hyperlink r:id="rId19" w:history="1">
              <w:r w:rsidRPr="00FF39EB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a.bobel@stat.gov.pl</w:t>
              </w:r>
            </w:hyperlink>
          </w:p>
        </w:tc>
        <w:tc>
          <w:tcPr>
            <w:tcW w:w="3942" w:type="dxa"/>
          </w:tcPr>
          <w:p w:rsidR="00883763" w:rsidRPr="00FF39EB" w:rsidRDefault="00883763" w:rsidP="006E1DC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FF39EB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FF39EB">
              <w:rPr>
                <w:rFonts w:cs="Arial"/>
                <w:color w:val="000000" w:themeColor="text1"/>
                <w:sz w:val="20"/>
              </w:rPr>
              <w:br/>
            </w:r>
            <w:r w:rsidRPr="00FF39EB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83763" w:rsidRPr="00FF39EB" w:rsidRDefault="00883763" w:rsidP="006E1DCF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FF39E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883763" w:rsidRPr="00FF39EB" w:rsidRDefault="00883763" w:rsidP="006E1DC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FF39E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 75, 22 608 30 09</w:t>
            </w:r>
          </w:p>
          <w:p w:rsidR="00883763" w:rsidRPr="00FF39EB" w:rsidRDefault="00883763" w:rsidP="006E1DC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FF39EB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0" w:history="1">
              <w:r w:rsidRPr="00FF39EB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FF39EB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FF39EB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FF39EB" w:rsidRDefault="000470AA" w:rsidP="000470AA">
            <w:pPr>
              <w:rPr>
                <w:b/>
                <w:sz w:val="20"/>
              </w:rPr>
            </w:pPr>
            <w:r w:rsidRPr="00FF39EB">
              <w:rPr>
                <w:b/>
                <w:sz w:val="20"/>
              </w:rPr>
              <w:t xml:space="preserve">Wydział Współpracy z Mediami </w:t>
            </w:r>
          </w:p>
          <w:p w:rsidR="000470AA" w:rsidRPr="00FF39EB" w:rsidRDefault="000470AA" w:rsidP="000470AA">
            <w:pPr>
              <w:rPr>
                <w:sz w:val="20"/>
              </w:rPr>
            </w:pPr>
            <w:r w:rsidRPr="00FF39EB">
              <w:rPr>
                <w:b/>
                <w:sz w:val="20"/>
              </w:rPr>
              <w:t xml:space="preserve">tel.: </w:t>
            </w:r>
            <w:r w:rsidR="00097840" w:rsidRPr="00FF39EB">
              <w:rPr>
                <w:sz w:val="20"/>
              </w:rPr>
              <w:t>22 608 34 91, 22</w:t>
            </w:r>
            <w:r w:rsidRPr="00FF39EB">
              <w:rPr>
                <w:sz w:val="20"/>
              </w:rPr>
              <w:t xml:space="preserve"> 608 38 04 </w:t>
            </w:r>
          </w:p>
          <w:p w:rsidR="000470AA" w:rsidRPr="00FF39EB" w:rsidRDefault="000470AA" w:rsidP="000470AA">
            <w:pPr>
              <w:rPr>
                <w:sz w:val="20"/>
                <w:lang w:val="en-US"/>
              </w:rPr>
            </w:pPr>
            <w:r w:rsidRPr="00FF39EB">
              <w:rPr>
                <w:b/>
                <w:sz w:val="20"/>
                <w:lang w:val="en-US"/>
              </w:rPr>
              <w:t>faks:</w:t>
            </w:r>
            <w:r w:rsidR="00097840" w:rsidRPr="00FF39EB">
              <w:rPr>
                <w:sz w:val="20"/>
                <w:lang w:val="en-US"/>
              </w:rPr>
              <w:t xml:space="preserve"> 22</w:t>
            </w:r>
            <w:r w:rsidRPr="00FF39EB">
              <w:rPr>
                <w:sz w:val="20"/>
                <w:lang w:val="en-US"/>
              </w:rPr>
              <w:t xml:space="preserve"> 608 38 86 </w:t>
            </w:r>
          </w:p>
          <w:p w:rsidR="000470AA" w:rsidRPr="00FF39EB" w:rsidRDefault="000470AA" w:rsidP="000470AA">
            <w:pPr>
              <w:rPr>
                <w:sz w:val="18"/>
                <w:lang w:val="en-US"/>
              </w:rPr>
            </w:pPr>
            <w:r w:rsidRPr="00FF39EB">
              <w:rPr>
                <w:b/>
                <w:sz w:val="20"/>
                <w:lang w:val="en-US"/>
              </w:rPr>
              <w:t>e-mail:</w:t>
            </w:r>
            <w:r w:rsidRPr="00FF39EB">
              <w:rPr>
                <w:sz w:val="20"/>
                <w:lang w:val="en-US"/>
              </w:rPr>
              <w:t xml:space="preserve"> </w:t>
            </w:r>
            <w:hyperlink r:id="rId21" w:history="1">
              <w:r w:rsidRPr="00FF39EB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FF39EB" w:rsidRDefault="000470AA" w:rsidP="000470AA">
            <w:pPr>
              <w:rPr>
                <w:sz w:val="18"/>
                <w:lang w:val="en-US"/>
              </w:rPr>
            </w:pPr>
            <w:r w:rsidRPr="00FF39EB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FF39EB" w:rsidRDefault="000470AA" w:rsidP="000470AA">
            <w:pPr>
              <w:rPr>
                <w:sz w:val="18"/>
              </w:rPr>
            </w:pPr>
            <w:r w:rsidRPr="00FF39EB">
              <w:rPr>
                <w:sz w:val="20"/>
              </w:rPr>
              <w:t>www.stat.gov.pl</w:t>
            </w:r>
          </w:p>
        </w:tc>
      </w:tr>
      <w:tr w:rsidR="000470AA" w:rsidRPr="00FF39EB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FF39EB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FF39EB" w:rsidRDefault="000470AA" w:rsidP="000470AA">
            <w:pPr>
              <w:rPr>
                <w:sz w:val="18"/>
              </w:rPr>
            </w:pPr>
            <w:r w:rsidRPr="00FF39EB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FF39EB" w:rsidRDefault="000470AA" w:rsidP="000470AA">
            <w:pPr>
              <w:rPr>
                <w:sz w:val="18"/>
              </w:rPr>
            </w:pPr>
            <w:r w:rsidRPr="00FF39EB">
              <w:rPr>
                <w:sz w:val="20"/>
              </w:rPr>
              <w:t>@GUS_STAT</w:t>
            </w:r>
          </w:p>
        </w:tc>
      </w:tr>
      <w:tr w:rsidR="000470AA" w:rsidRPr="00FF39EB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FF39EB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FF39EB" w:rsidRDefault="000470AA" w:rsidP="000470AA">
            <w:pPr>
              <w:rPr>
                <w:sz w:val="18"/>
              </w:rPr>
            </w:pPr>
            <w:r w:rsidRPr="00FF39EB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FF39EB" w:rsidRDefault="000470AA" w:rsidP="000470AA">
            <w:pPr>
              <w:rPr>
                <w:sz w:val="20"/>
              </w:rPr>
            </w:pPr>
            <w:r w:rsidRPr="00FF39EB">
              <w:rPr>
                <w:sz w:val="20"/>
              </w:rPr>
              <w:t>@GlownyUrzadStatystyczny</w:t>
            </w:r>
          </w:p>
        </w:tc>
      </w:tr>
    </w:tbl>
    <w:p w:rsidR="00D261A2" w:rsidRPr="00001C5B" w:rsidRDefault="0055720B" w:rsidP="00E76D26">
      <w:pPr>
        <w:rPr>
          <w:sz w:val="18"/>
        </w:rPr>
      </w:pPr>
      <w:r>
        <w:rPr>
          <w:noProof/>
          <w:sz w:val="18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3C98" w:rsidRDefault="008B3C98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8B3C98" w:rsidRPr="006761A7" w:rsidRDefault="008B3C98" w:rsidP="00883763">
                            <w:pPr>
                              <w:rPr>
                                <w:b/>
                              </w:rPr>
                            </w:pPr>
                            <w:r w:rsidRPr="006761A7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8B3C98" w:rsidRPr="006761A7" w:rsidRDefault="000E7F95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8B3C98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Komunikaty i obwieszczenia Prezesa GUS</w:t>
                              </w:r>
                            </w:hyperlink>
                          </w:p>
                          <w:p w:rsidR="008B3C98" w:rsidRPr="006761A7" w:rsidRDefault="000E7F95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8B3C98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</w:p>
                          <w:p w:rsidR="008B3C98" w:rsidRPr="00E233EA" w:rsidRDefault="008B3C98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8B3C98" w:rsidRPr="00E233EA" w:rsidRDefault="008B3C98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E233EA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8B3C98" w:rsidRPr="006761A7" w:rsidRDefault="000E7F95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8B3C98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(DBW) Ceny</w:t>
                              </w:r>
                            </w:hyperlink>
                          </w:p>
                          <w:p w:rsidR="008B3C98" w:rsidRPr="006761A7" w:rsidRDefault="000E7F95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8B3C98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8B3C98" w:rsidRPr="006761A7" w:rsidRDefault="000E7F95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8B3C98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 (BDL)</w:t>
                              </w:r>
                            </w:hyperlink>
                          </w:p>
                          <w:p w:rsidR="008B3C98" w:rsidRPr="006761A7" w:rsidRDefault="000E7F95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8B3C98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Ceny. Handel)</w:t>
                              </w:r>
                            </w:hyperlink>
                          </w:p>
                          <w:p w:rsidR="008B3C98" w:rsidRPr="006761A7" w:rsidRDefault="000E7F95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8B3C98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Ceny (Obszary tematyczne: Ceny. Handel)</w:t>
                              </w:r>
                            </w:hyperlink>
                          </w:p>
                          <w:p w:rsidR="008B3C98" w:rsidRPr="006761A7" w:rsidRDefault="008B3C98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8B3C98" w:rsidRDefault="008B3C98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8B3C98" w:rsidRPr="006761A7" w:rsidRDefault="000E7F95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8B3C98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towarów i usług konsumpcyjnych</w:t>
                              </w:r>
                            </w:hyperlink>
                          </w:p>
                          <w:p w:rsidR="008B3C98" w:rsidRPr="00E233EA" w:rsidRDefault="000E7F95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3" w:history="1">
                              <w:r w:rsidR="008B3C98" w:rsidRPr="00E233E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Cena detaliczna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.5pt;margin-top:34.7pt;width:516.5pt;height:349.8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LwCEU4+AgAAcwQAAA4A&#10;AAAAAAAAAAAAAAAALgIAAGRycy9lMm9Eb2MueG1sUEsBAi0AFAAGAAgAAAAhACsuXqPfAAAACQEA&#10;AA8AAAAAAAAAAAAAAAAAmAQAAGRycy9kb3ducmV2LnhtbFBLBQYAAAAABAAEAPMAAACkBQAAAAA=&#10;" fillcolor="#f2f2f2 [3052]" strokecolor="white [3212]">
                <v:textbox>
                  <w:txbxContent>
                    <w:p w:rsidR="008B3C98" w:rsidRDefault="008B3C98" w:rsidP="00883763">
                      <w:pPr>
                        <w:rPr>
                          <w:b/>
                        </w:rPr>
                      </w:pPr>
                    </w:p>
                    <w:p w:rsidR="008B3C98" w:rsidRPr="006761A7" w:rsidRDefault="008B3C98" w:rsidP="00883763">
                      <w:pPr>
                        <w:rPr>
                          <w:b/>
                        </w:rPr>
                      </w:pPr>
                      <w:r w:rsidRPr="006761A7">
                        <w:rPr>
                          <w:b/>
                        </w:rPr>
                        <w:t>Powiązane opracowania</w:t>
                      </w:r>
                    </w:p>
                    <w:p w:rsidR="008B3C98" w:rsidRPr="006761A7" w:rsidRDefault="000E7F95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8B3C98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Komunikaty i obwieszczenia Prezesa GUS</w:t>
                        </w:r>
                      </w:hyperlink>
                    </w:p>
                    <w:p w:rsidR="008B3C98" w:rsidRPr="006761A7" w:rsidRDefault="000E7F95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8B3C98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</w:t>
                        </w:r>
                      </w:hyperlink>
                    </w:p>
                    <w:p w:rsidR="008B3C98" w:rsidRPr="00E233EA" w:rsidRDefault="008B3C98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8B3C98" w:rsidRPr="00E233EA" w:rsidRDefault="008B3C98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E233EA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8B3C98" w:rsidRPr="006761A7" w:rsidRDefault="000E7F95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8B3C98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(DBW) Ceny</w:t>
                        </w:r>
                      </w:hyperlink>
                    </w:p>
                    <w:p w:rsidR="008B3C98" w:rsidRPr="006761A7" w:rsidRDefault="000E7F95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8B3C98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8B3C98" w:rsidRPr="006761A7" w:rsidRDefault="000E7F95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8B3C98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Lokalnych (BDL)</w:t>
                        </w:r>
                      </w:hyperlink>
                    </w:p>
                    <w:p w:rsidR="008B3C98" w:rsidRPr="006761A7" w:rsidRDefault="000E7F95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8B3C98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Ceny. Handel)</w:t>
                        </w:r>
                      </w:hyperlink>
                    </w:p>
                    <w:p w:rsidR="008B3C98" w:rsidRPr="006761A7" w:rsidRDefault="000E7F95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8B3C98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Ceny (Obszary tematyczne: Ceny. Handel)</w:t>
                        </w:r>
                      </w:hyperlink>
                    </w:p>
                    <w:p w:rsidR="008B3C98" w:rsidRPr="006761A7" w:rsidRDefault="008B3C98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8B3C98" w:rsidRDefault="008B3C98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8B3C98" w:rsidRPr="006761A7" w:rsidRDefault="000E7F95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8B3C98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towarów i usług konsumpcyjnych</w:t>
                        </w:r>
                      </w:hyperlink>
                    </w:p>
                    <w:p w:rsidR="008B3C98" w:rsidRPr="00E233EA" w:rsidRDefault="000E7F95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42" w:history="1">
                        <w:r w:rsidR="008B3C98" w:rsidRPr="00E233E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Cena detaliczna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685123">
      <w:headerReference w:type="default" r:id="rId43"/>
      <w:footerReference w:type="default" r:id="rId44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F95" w:rsidRDefault="000E7F95" w:rsidP="000662E2">
      <w:pPr>
        <w:spacing w:after="0" w:line="240" w:lineRule="auto"/>
      </w:pPr>
      <w:r>
        <w:separator/>
      </w:r>
    </w:p>
  </w:endnote>
  <w:endnote w:type="continuationSeparator" w:id="0">
    <w:p w:rsidR="000E7F95" w:rsidRDefault="000E7F9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Fira Sans SemiBold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7"/>
      <w:docPartObj>
        <w:docPartGallery w:val="Page Numbers (Bottom of Page)"/>
        <w:docPartUnique/>
      </w:docPartObj>
    </w:sdtPr>
    <w:sdtEndPr/>
    <w:sdtContent>
      <w:p w:rsidR="008B3C98" w:rsidRDefault="000847BA" w:rsidP="003B18B6">
        <w:pPr>
          <w:pStyle w:val="Stopka"/>
          <w:jc w:val="center"/>
        </w:pPr>
        <w:r>
          <w:fldChar w:fldCharType="begin"/>
        </w:r>
        <w:r w:rsidR="00C06882">
          <w:instrText>PAGE   \* MERGEFORMAT</w:instrText>
        </w:r>
        <w:r>
          <w:fldChar w:fldCharType="separate"/>
        </w:r>
        <w:r w:rsidR="0055720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8"/>
      <w:docPartObj>
        <w:docPartGallery w:val="Page Numbers (Bottom of Page)"/>
        <w:docPartUnique/>
      </w:docPartObj>
    </w:sdtPr>
    <w:sdtEndPr/>
    <w:sdtContent>
      <w:p w:rsidR="008B3C98" w:rsidRDefault="000847BA" w:rsidP="003B18B6">
        <w:pPr>
          <w:pStyle w:val="Stopka"/>
          <w:jc w:val="center"/>
        </w:pPr>
        <w:r>
          <w:fldChar w:fldCharType="begin"/>
        </w:r>
        <w:r w:rsidR="00C06882">
          <w:instrText>PAGE   \* MERGEFORMAT</w:instrText>
        </w:r>
        <w:r>
          <w:fldChar w:fldCharType="separate"/>
        </w:r>
        <w:r w:rsidR="000E7F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8B3C98" w:rsidRDefault="000847BA" w:rsidP="003B18B6">
        <w:pPr>
          <w:pStyle w:val="Stopka"/>
          <w:jc w:val="center"/>
        </w:pPr>
        <w:r>
          <w:fldChar w:fldCharType="begin"/>
        </w:r>
        <w:r w:rsidR="00C06882">
          <w:instrText>PAGE   \* MERGEFORMAT</w:instrText>
        </w:r>
        <w:r>
          <w:fldChar w:fldCharType="separate"/>
        </w:r>
        <w:r w:rsidR="0055720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F95" w:rsidRDefault="000E7F95" w:rsidP="000662E2">
      <w:pPr>
        <w:spacing w:after="0" w:line="240" w:lineRule="auto"/>
      </w:pPr>
      <w:r>
        <w:separator/>
      </w:r>
    </w:p>
  </w:footnote>
  <w:footnote w:type="continuationSeparator" w:id="0">
    <w:p w:rsidR="000E7F95" w:rsidRDefault="000E7F95" w:rsidP="000662E2">
      <w:pPr>
        <w:spacing w:after="0" w:line="240" w:lineRule="auto"/>
      </w:pPr>
      <w:r>
        <w:continuationSeparator/>
      </w:r>
    </w:p>
  </w:footnote>
  <w:footnote w:id="1">
    <w:p w:rsidR="00A54FF9" w:rsidRPr="00CE3847" w:rsidRDefault="00A54FF9" w:rsidP="00A54FF9">
      <w:pPr>
        <w:pStyle w:val="Tekstprzypisudolnego"/>
        <w:spacing w:before="0"/>
        <w:rPr>
          <w:bCs/>
          <w:sz w:val="16"/>
          <w:szCs w:val="16"/>
        </w:rPr>
      </w:pPr>
      <w:r w:rsidRPr="00C06882">
        <w:rPr>
          <w:rStyle w:val="Odwoanieprzypisudolnego"/>
        </w:rPr>
        <w:footnoteRef/>
      </w:r>
      <w:r w:rsidRPr="00C06882">
        <w:t xml:space="preserve"> </w:t>
      </w:r>
      <w:r w:rsidRPr="00CE3847">
        <w:rPr>
          <w:bCs/>
          <w:sz w:val="16"/>
          <w:szCs w:val="16"/>
        </w:rPr>
        <w:t xml:space="preserve">Dane mają charakter wstępny i prezentowane są w zawężonym zakresie. Obliczone są na strukturze wydatków gospodarstw domowych (bez </w:t>
      </w:r>
      <w:r w:rsidR="004533BD">
        <w:rPr>
          <w:bCs/>
          <w:sz w:val="16"/>
          <w:szCs w:val="16"/>
        </w:rPr>
        <w:t>spożycia naturalnego) z 2017 r.</w:t>
      </w:r>
    </w:p>
  </w:footnote>
  <w:footnote w:id="2">
    <w:p w:rsidR="008B3C98" w:rsidRDefault="008B3C98" w:rsidP="0006476D">
      <w:pPr>
        <w:pStyle w:val="Tekstprzypisudolnego"/>
        <w:spacing w:before="0"/>
      </w:pPr>
      <w:r w:rsidRPr="0006476D">
        <w:rPr>
          <w:rStyle w:val="Odwoanieprzypisudolnego"/>
        </w:rPr>
        <w:footnoteRef/>
      </w:r>
      <w:r w:rsidRPr="0006476D">
        <w:t xml:space="preserve"> </w:t>
      </w:r>
      <w:r w:rsidRPr="00CE3847">
        <w:rPr>
          <w:bCs/>
          <w:sz w:val="16"/>
          <w:szCs w:val="16"/>
        </w:rPr>
        <w:t xml:space="preserve">W obliczeniach wskaźników cen konsumpcyjnych energii elektrycznej zostały uwzględnione przepisy ustawy </w:t>
      </w:r>
      <w:r w:rsidRPr="00CE3847">
        <w:rPr>
          <w:bCs/>
          <w:sz w:val="16"/>
          <w:szCs w:val="16"/>
        </w:rPr>
        <w:br/>
        <w:t>z dnia 28 grudnia 2018 r. o zmianie ustawy o podatku akcyzowym oraz niektórych innych ustaw (Dz. U. z 2018 r., poz. 2538).</w:t>
      </w:r>
    </w:p>
  </w:footnote>
  <w:footnote w:id="3">
    <w:p w:rsidR="008B3C98" w:rsidRPr="0006476D" w:rsidRDefault="0006476D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 w:rsidR="008B3C98" w:rsidRPr="00C73761">
        <w:t xml:space="preserve"> </w:t>
      </w:r>
      <w:r w:rsidR="008B3C98" w:rsidRPr="0006476D">
        <w:rPr>
          <w:sz w:val="16"/>
          <w:szCs w:val="16"/>
        </w:rPr>
        <w:t xml:space="preserve">Struktura wydatków gospodarstw domowych (bez </w:t>
      </w:r>
      <w:r w:rsidR="004533BD">
        <w:rPr>
          <w:sz w:val="16"/>
          <w:szCs w:val="16"/>
        </w:rPr>
        <w:t>spożycia naturalnego) z 2017 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C98" w:rsidRDefault="0055720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01D0EE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8B3C98" w:rsidRDefault="008B3C9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C98" w:rsidRDefault="0055720B" w:rsidP="004A1AD2">
    <w:pPr>
      <w:pStyle w:val="Nagwek"/>
      <w:tabs>
        <w:tab w:val="clear" w:pos="4536"/>
        <w:tab w:val="clear" w:pos="9072"/>
        <w:tab w:val="left" w:pos="6417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B3C98" w:rsidRPr="003C6C8D" w:rsidRDefault="008B3C98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29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8B3C98" w:rsidRPr="003C6C8D" w:rsidRDefault="008B3C98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D0641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8B3C98">
      <w:rPr>
        <w:noProof/>
        <w:lang w:eastAsia="pl-PL"/>
      </w:rPr>
      <w:drawing>
        <wp:inline distT="0" distB="0" distL="0" distR="0">
          <wp:extent cx="1153274" cy="720000"/>
          <wp:effectExtent l="0" t="0" r="0" b="4445"/>
          <wp:docPr id="33" name="Obraz 33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B3C98">
      <w:rPr>
        <w:noProof/>
        <w:lang w:eastAsia="pl-PL"/>
      </w:rPr>
      <w:tab/>
    </w:r>
  </w:p>
  <w:p w:rsidR="008B3C98" w:rsidRDefault="0055720B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B3C98" w:rsidRPr="00C97596" w:rsidRDefault="008B3C98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15.02.2019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8B3C98" w:rsidRPr="00C97596" w:rsidRDefault="008B3C98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15.02.2019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C98" w:rsidRDefault="008B3C98">
    <w:pPr>
      <w:pStyle w:val="Nagwek"/>
    </w:pPr>
  </w:p>
  <w:p w:rsidR="008B3C98" w:rsidRDefault="008B3C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5pt;height:125.25pt;visibility:visible" o:bullet="t">
        <v:imagedata r:id="rId1" o:title=""/>
      </v:shape>
    </w:pict>
  </w:numPicBullet>
  <w:numPicBullet w:numPicBulletId="1">
    <w:pict>
      <v:shape id="_x0000_i1029" type="#_x0000_t75" style="width:123.75pt;height:125.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savePreviewPicture/>
  <w:hdrShapeDefaults>
    <o:shapedefaults v:ext="edit" spidmax="2049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4582E"/>
    <w:rsid w:val="000470AA"/>
    <w:rsid w:val="00057CA1"/>
    <w:rsid w:val="0006476D"/>
    <w:rsid w:val="000662E2"/>
    <w:rsid w:val="00066883"/>
    <w:rsid w:val="00072E75"/>
    <w:rsid w:val="00074DD8"/>
    <w:rsid w:val="000806F7"/>
    <w:rsid w:val="000847BA"/>
    <w:rsid w:val="00097840"/>
    <w:rsid w:val="000B02C1"/>
    <w:rsid w:val="000B0727"/>
    <w:rsid w:val="000C135D"/>
    <w:rsid w:val="000D1D43"/>
    <w:rsid w:val="000D225C"/>
    <w:rsid w:val="000D2A5C"/>
    <w:rsid w:val="000E0918"/>
    <w:rsid w:val="000E7F95"/>
    <w:rsid w:val="001011C3"/>
    <w:rsid w:val="00110D87"/>
    <w:rsid w:val="00114DB9"/>
    <w:rsid w:val="00116087"/>
    <w:rsid w:val="00130296"/>
    <w:rsid w:val="001423B6"/>
    <w:rsid w:val="001448A7"/>
    <w:rsid w:val="00146621"/>
    <w:rsid w:val="00162325"/>
    <w:rsid w:val="001819B2"/>
    <w:rsid w:val="001951DA"/>
    <w:rsid w:val="001C3269"/>
    <w:rsid w:val="001D1DB4"/>
    <w:rsid w:val="0021152F"/>
    <w:rsid w:val="002574F9"/>
    <w:rsid w:val="00262B61"/>
    <w:rsid w:val="00276811"/>
    <w:rsid w:val="00282699"/>
    <w:rsid w:val="002926DF"/>
    <w:rsid w:val="00296697"/>
    <w:rsid w:val="002B0472"/>
    <w:rsid w:val="002B6B12"/>
    <w:rsid w:val="002E6140"/>
    <w:rsid w:val="002E6985"/>
    <w:rsid w:val="002E71B6"/>
    <w:rsid w:val="002F77C8"/>
    <w:rsid w:val="00304F22"/>
    <w:rsid w:val="00306C7C"/>
    <w:rsid w:val="00322EDD"/>
    <w:rsid w:val="00332320"/>
    <w:rsid w:val="00347D72"/>
    <w:rsid w:val="00357611"/>
    <w:rsid w:val="00367237"/>
    <w:rsid w:val="0037077F"/>
    <w:rsid w:val="00372411"/>
    <w:rsid w:val="00373882"/>
    <w:rsid w:val="003843DB"/>
    <w:rsid w:val="00393761"/>
    <w:rsid w:val="00397D18"/>
    <w:rsid w:val="003A1B36"/>
    <w:rsid w:val="003B1454"/>
    <w:rsid w:val="003B18B6"/>
    <w:rsid w:val="003C59E0"/>
    <w:rsid w:val="003C6C8D"/>
    <w:rsid w:val="003D4F95"/>
    <w:rsid w:val="003D5F42"/>
    <w:rsid w:val="003D60A9"/>
    <w:rsid w:val="003F4C97"/>
    <w:rsid w:val="003F7FE6"/>
    <w:rsid w:val="00400193"/>
    <w:rsid w:val="004212E7"/>
    <w:rsid w:val="0042446D"/>
    <w:rsid w:val="00427BF8"/>
    <w:rsid w:val="00431C02"/>
    <w:rsid w:val="00437395"/>
    <w:rsid w:val="00445047"/>
    <w:rsid w:val="004533BD"/>
    <w:rsid w:val="00460E1A"/>
    <w:rsid w:val="00463E39"/>
    <w:rsid w:val="004657FC"/>
    <w:rsid w:val="0047240F"/>
    <w:rsid w:val="004733F6"/>
    <w:rsid w:val="00474E69"/>
    <w:rsid w:val="0049621B"/>
    <w:rsid w:val="004A1AD2"/>
    <w:rsid w:val="004C1895"/>
    <w:rsid w:val="004C6D40"/>
    <w:rsid w:val="004F0C3C"/>
    <w:rsid w:val="004F63FC"/>
    <w:rsid w:val="00505A92"/>
    <w:rsid w:val="005203F1"/>
    <w:rsid w:val="00521BC3"/>
    <w:rsid w:val="00533632"/>
    <w:rsid w:val="00541E6E"/>
    <w:rsid w:val="0054251F"/>
    <w:rsid w:val="005520D8"/>
    <w:rsid w:val="00556CF1"/>
    <w:rsid w:val="0055720B"/>
    <w:rsid w:val="005762A7"/>
    <w:rsid w:val="005916D7"/>
    <w:rsid w:val="005A698C"/>
    <w:rsid w:val="005D1B4C"/>
    <w:rsid w:val="005E0799"/>
    <w:rsid w:val="005F5A80"/>
    <w:rsid w:val="006044FF"/>
    <w:rsid w:val="00607CC5"/>
    <w:rsid w:val="00633014"/>
    <w:rsid w:val="0063437B"/>
    <w:rsid w:val="006673CA"/>
    <w:rsid w:val="00673C26"/>
    <w:rsid w:val="006812AF"/>
    <w:rsid w:val="0068327D"/>
    <w:rsid w:val="00685123"/>
    <w:rsid w:val="00694AF0"/>
    <w:rsid w:val="006A4686"/>
    <w:rsid w:val="006B0E9E"/>
    <w:rsid w:val="006B5AE4"/>
    <w:rsid w:val="006D1507"/>
    <w:rsid w:val="006D4054"/>
    <w:rsid w:val="006E02EC"/>
    <w:rsid w:val="006E1DCF"/>
    <w:rsid w:val="006E514B"/>
    <w:rsid w:val="007211B1"/>
    <w:rsid w:val="00746187"/>
    <w:rsid w:val="0076254F"/>
    <w:rsid w:val="00764E44"/>
    <w:rsid w:val="00767603"/>
    <w:rsid w:val="007801F5"/>
    <w:rsid w:val="00783CA4"/>
    <w:rsid w:val="007842FB"/>
    <w:rsid w:val="00786124"/>
    <w:rsid w:val="0079514B"/>
    <w:rsid w:val="007A2DC1"/>
    <w:rsid w:val="007D3319"/>
    <w:rsid w:val="007D335D"/>
    <w:rsid w:val="007E3314"/>
    <w:rsid w:val="007E4B03"/>
    <w:rsid w:val="007F324B"/>
    <w:rsid w:val="0080553C"/>
    <w:rsid w:val="00805B46"/>
    <w:rsid w:val="00825DC2"/>
    <w:rsid w:val="00834AD3"/>
    <w:rsid w:val="00843795"/>
    <w:rsid w:val="00847F0F"/>
    <w:rsid w:val="00852115"/>
    <w:rsid w:val="00852448"/>
    <w:rsid w:val="0088258A"/>
    <w:rsid w:val="00883763"/>
    <w:rsid w:val="00886332"/>
    <w:rsid w:val="008A26D9"/>
    <w:rsid w:val="008B3C98"/>
    <w:rsid w:val="008C0C29"/>
    <w:rsid w:val="008F190C"/>
    <w:rsid w:val="008F3638"/>
    <w:rsid w:val="008F4441"/>
    <w:rsid w:val="008F6F31"/>
    <w:rsid w:val="008F74DF"/>
    <w:rsid w:val="009127BA"/>
    <w:rsid w:val="009227A6"/>
    <w:rsid w:val="00933EC1"/>
    <w:rsid w:val="009530DB"/>
    <w:rsid w:val="00953676"/>
    <w:rsid w:val="009705EE"/>
    <w:rsid w:val="00977927"/>
    <w:rsid w:val="0098135C"/>
    <w:rsid w:val="0098156A"/>
    <w:rsid w:val="00991AFA"/>
    <w:rsid w:val="00991BAC"/>
    <w:rsid w:val="009A6EA0"/>
    <w:rsid w:val="009C1335"/>
    <w:rsid w:val="009C1AB2"/>
    <w:rsid w:val="009C7251"/>
    <w:rsid w:val="009E2E91"/>
    <w:rsid w:val="00A139F5"/>
    <w:rsid w:val="00A13E5E"/>
    <w:rsid w:val="00A34C24"/>
    <w:rsid w:val="00A365F4"/>
    <w:rsid w:val="00A47D80"/>
    <w:rsid w:val="00A53132"/>
    <w:rsid w:val="00A54FF9"/>
    <w:rsid w:val="00A563F2"/>
    <w:rsid w:val="00A566E8"/>
    <w:rsid w:val="00A810F9"/>
    <w:rsid w:val="00A86ECC"/>
    <w:rsid w:val="00A86FCC"/>
    <w:rsid w:val="00A90643"/>
    <w:rsid w:val="00AA710D"/>
    <w:rsid w:val="00AB6D25"/>
    <w:rsid w:val="00AE2D4B"/>
    <w:rsid w:val="00AE4F99"/>
    <w:rsid w:val="00B11B69"/>
    <w:rsid w:val="00B14952"/>
    <w:rsid w:val="00B31E5A"/>
    <w:rsid w:val="00B600A6"/>
    <w:rsid w:val="00B653AB"/>
    <w:rsid w:val="00B65F9E"/>
    <w:rsid w:val="00B66B19"/>
    <w:rsid w:val="00B914E9"/>
    <w:rsid w:val="00B956EE"/>
    <w:rsid w:val="00BA2BA1"/>
    <w:rsid w:val="00BA3562"/>
    <w:rsid w:val="00BB4F09"/>
    <w:rsid w:val="00BC03AA"/>
    <w:rsid w:val="00BD4E33"/>
    <w:rsid w:val="00C030DE"/>
    <w:rsid w:val="00C06882"/>
    <w:rsid w:val="00C22105"/>
    <w:rsid w:val="00C244B6"/>
    <w:rsid w:val="00C3702F"/>
    <w:rsid w:val="00C4500A"/>
    <w:rsid w:val="00C64A37"/>
    <w:rsid w:val="00C7158E"/>
    <w:rsid w:val="00C7250B"/>
    <w:rsid w:val="00C7346B"/>
    <w:rsid w:val="00C73761"/>
    <w:rsid w:val="00C77C0E"/>
    <w:rsid w:val="00C91687"/>
    <w:rsid w:val="00C924A8"/>
    <w:rsid w:val="00C945FE"/>
    <w:rsid w:val="00C950B4"/>
    <w:rsid w:val="00C96FAA"/>
    <w:rsid w:val="00C97A04"/>
    <w:rsid w:val="00CA107B"/>
    <w:rsid w:val="00CA484D"/>
    <w:rsid w:val="00CA4FB6"/>
    <w:rsid w:val="00CC739E"/>
    <w:rsid w:val="00CD58B7"/>
    <w:rsid w:val="00CE3847"/>
    <w:rsid w:val="00CF4099"/>
    <w:rsid w:val="00CF4441"/>
    <w:rsid w:val="00D00796"/>
    <w:rsid w:val="00D261A2"/>
    <w:rsid w:val="00D616D2"/>
    <w:rsid w:val="00D63B5F"/>
    <w:rsid w:val="00D70EF7"/>
    <w:rsid w:val="00D8397C"/>
    <w:rsid w:val="00D94EED"/>
    <w:rsid w:val="00D96026"/>
    <w:rsid w:val="00DA7C1C"/>
    <w:rsid w:val="00DB147A"/>
    <w:rsid w:val="00DB1B7A"/>
    <w:rsid w:val="00DC6708"/>
    <w:rsid w:val="00E01436"/>
    <w:rsid w:val="00E045BD"/>
    <w:rsid w:val="00E17B77"/>
    <w:rsid w:val="00E23337"/>
    <w:rsid w:val="00E259EA"/>
    <w:rsid w:val="00E32061"/>
    <w:rsid w:val="00E42FF9"/>
    <w:rsid w:val="00E4714C"/>
    <w:rsid w:val="00E51AEB"/>
    <w:rsid w:val="00E522A7"/>
    <w:rsid w:val="00E54452"/>
    <w:rsid w:val="00E664C5"/>
    <w:rsid w:val="00E671A2"/>
    <w:rsid w:val="00E76D26"/>
    <w:rsid w:val="00EB1390"/>
    <w:rsid w:val="00EB2C71"/>
    <w:rsid w:val="00EB4340"/>
    <w:rsid w:val="00EB556D"/>
    <w:rsid w:val="00EB5A7D"/>
    <w:rsid w:val="00EB5AED"/>
    <w:rsid w:val="00ED55C0"/>
    <w:rsid w:val="00ED682B"/>
    <w:rsid w:val="00EE41D5"/>
    <w:rsid w:val="00F037A4"/>
    <w:rsid w:val="00F15E50"/>
    <w:rsid w:val="00F27C8F"/>
    <w:rsid w:val="00F32749"/>
    <w:rsid w:val="00F37172"/>
    <w:rsid w:val="00F4477E"/>
    <w:rsid w:val="00F668A2"/>
    <w:rsid w:val="00F67D8F"/>
    <w:rsid w:val="00F739B3"/>
    <w:rsid w:val="00F802BE"/>
    <w:rsid w:val="00F80E93"/>
    <w:rsid w:val="00F86024"/>
    <w:rsid w:val="00F8611A"/>
    <w:rsid w:val="00FA5128"/>
    <w:rsid w:val="00FB42D4"/>
    <w:rsid w:val="00FB5906"/>
    <w:rsid w:val="00FB762F"/>
    <w:rsid w:val="00FC2AED"/>
    <w:rsid w:val="00FD0F08"/>
    <w:rsid w:val="00FD5EA7"/>
    <w:rsid w:val="00FF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286543-62B9-4856-9B02-7FCF866A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0">
    <w:name w:val="Siatka tabeli — jasna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footer" Target="footer2.xml"/><Relationship Id="rId26" Type="http://schemas.openxmlformats.org/officeDocument/2006/relationships/hyperlink" Target="http://stat.gov.pl/sygnalne/informacje-sygnalne/" TargetMode="External"/><Relationship Id="rId39" Type="http://schemas.openxmlformats.org/officeDocument/2006/relationships/hyperlink" Target="http://stat.gov.pl/obszary-tematyczne/ceny-handel/wskazniki-cen/" TargetMode="External"/><Relationship Id="rId21" Type="http://schemas.openxmlformats.org/officeDocument/2006/relationships/hyperlink" Target="mailto:obslugaprasowa@stat.gov.pl" TargetMode="External"/><Relationship Id="rId34" Type="http://schemas.openxmlformats.org/officeDocument/2006/relationships/hyperlink" Target="http://stat.gov.pl/sygnalne/komunikaty-i-obwieszczenia/" TargetMode="External"/><Relationship Id="rId42" Type="http://schemas.openxmlformats.org/officeDocument/2006/relationships/hyperlink" Target="http://stat.gov.pl/metainformacje/slownik-pojec/pojecia-stosowane-w-statystyce-publicznej/32,pojecie.html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9" Type="http://schemas.openxmlformats.org/officeDocument/2006/relationships/hyperlink" Target="https://bdl.stat.gov.pl/BDL/star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7.png"/><Relationship Id="rId32" Type="http://schemas.openxmlformats.org/officeDocument/2006/relationships/hyperlink" Target="http://stat.gov.pl/metainformacje/slownik-pojec/pojecia-stosowane-w-statystyce-publicznej/711,pojecie.html" TargetMode="External"/><Relationship Id="rId37" Type="http://schemas.openxmlformats.org/officeDocument/2006/relationships/hyperlink" Target="http://bdm.stat.gov.pl/" TargetMode="External"/><Relationship Id="rId40" Type="http://schemas.openxmlformats.org/officeDocument/2006/relationships/hyperlink" Target="http://stat.gov.pl/obszary-tematyczne/ceny-handel/ceny/" TargetMode="Externa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image" Target="media/image6.png"/><Relationship Id="rId28" Type="http://schemas.openxmlformats.org/officeDocument/2006/relationships/hyperlink" Target="http://bdm.stat.gov.pl/" TargetMode="External"/><Relationship Id="rId36" Type="http://schemas.openxmlformats.org/officeDocument/2006/relationships/hyperlink" Target="http://swaid.stat.gov.pl/SitePagesDBW/Ceny.aspx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a.bobel@stat.gov.pl" TargetMode="External"/><Relationship Id="rId31" Type="http://schemas.openxmlformats.org/officeDocument/2006/relationships/hyperlink" Target="http://stat.gov.pl/obszary-tematyczne/ceny-handel/ceny/" TargetMode="External"/><Relationship Id="rId44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Relationship Id="rId22" Type="http://schemas.openxmlformats.org/officeDocument/2006/relationships/image" Target="media/image5.png"/><Relationship Id="rId27" Type="http://schemas.openxmlformats.org/officeDocument/2006/relationships/hyperlink" Target="http://swaid.stat.gov.pl/SitePagesDBW/Ceny.aspx" TargetMode="External"/><Relationship Id="rId30" Type="http://schemas.openxmlformats.org/officeDocument/2006/relationships/hyperlink" Target="http://stat.gov.pl/obszary-tematyczne/ceny-handel/wskazniki-cen/" TargetMode="External"/><Relationship Id="rId35" Type="http://schemas.openxmlformats.org/officeDocument/2006/relationships/hyperlink" Target="http://stat.gov.pl/sygnalne/informacje-sygnalne/" TargetMode="External"/><Relationship Id="rId43" Type="http://schemas.openxmlformats.org/officeDocument/2006/relationships/header" Target="head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header" Target="header2.xml"/><Relationship Id="rId25" Type="http://schemas.openxmlformats.org/officeDocument/2006/relationships/hyperlink" Target="http://stat.gov.pl/sygnalne/komunikaty-i-obwieszczenia/" TargetMode="External"/><Relationship Id="rId33" Type="http://schemas.openxmlformats.org/officeDocument/2006/relationships/hyperlink" Target="http://stat.gov.pl/metainformacje/slownik-pojec/pojecia-stosowane-w-statystyce-publicznej/32,pojecie.html" TargetMode="External"/><Relationship Id="rId38" Type="http://schemas.openxmlformats.org/officeDocument/2006/relationships/hyperlink" Target="https://bdl.stat.gov.pl/BDL/start" TargetMode="External"/><Relationship Id="rId46" Type="http://schemas.openxmlformats.org/officeDocument/2006/relationships/theme" Target="theme/theme1.xml"/><Relationship Id="rId20" Type="http://schemas.openxmlformats.org/officeDocument/2006/relationships/hyperlink" Target="mailto:rzecznik@stat.gov.pl" TargetMode="External"/><Relationship Id="rId41" Type="http://schemas.openxmlformats.org/officeDocument/2006/relationships/hyperlink" Target="http://stat.gov.pl/metainformacje/slownik-pojec/pojecia-stosowane-w-statystyce-publicznej/711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cmfgus01a\d04a\CenyDet\DyskF\ROBOCZY\Ula\Ci&#261;gutka_pier_str\WST_2019\WYKRESY\01_2019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\\cmfgus01a\d04a\CenyDet\DyskF\ROBOCZY\Ula\Ci&#261;gutka_pier_str\WST_2019\WYKRESY\01_2019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26E-2"/>
          <c:y val="4.8511576626240401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4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1692166686676253E-2"/>
                  <c:y val="5.09603432471216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6200416163942164E-2"/>
                  <c:y val="-2.98065444900947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1980130057168732E-2"/>
                  <c:y val="3.59417644078953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518882548548221E-2"/>
                  <c:y val="-3.39523223877313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7181844786106935E-2"/>
                  <c:y val="-2.47512621411144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2588851802025429E-2"/>
                  <c:y val="3.16378659549912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1768583780132725E-2"/>
                  <c:y val="3.615045217561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4271949856009601E-2"/>
                  <c:y val="3.14190140845070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5603517024352338E-2"/>
                  <c:y val="-2.9814122688991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2651778249624295E-2"/>
                  <c:y val="-3.38996362186674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1.7181844786106935E-2"/>
                  <c:y val="-2.47512621411144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2175837974928331E-2"/>
                  <c:y val="3.63530173917376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0559645750294805E-2"/>
                  <c:y val="-3.39000348831414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4.0157478934874993E-2"/>
                  <c:y val="4.21751133702097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8644129818074685E-2"/>
                  <c:y val="3.57231275227986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1.5353532040570782E-2"/>
                  <c:y val="-2.45325874707838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4.3211671326599969E-2"/>
                  <c:y val="4.00271091842328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5.1531195586912784E-2"/>
                  <c:y val="3.572272885832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9165355310629958E-2"/>
                  <c:y val="3.5941705533573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4.848716932205667E-2"/>
                  <c:y val="-3.91295122612484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4.790726246991632E-2"/>
                  <c:y val="-2.88366370259392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4.0174145311606867E-2"/>
                  <c:y val="-3.37659766884929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4.5089211077803712E-2"/>
                  <c:y val="4.51034579123664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4.0089386039603589E-2"/>
                  <c:y val="4.49563539964524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2.031152355955506E-2"/>
                  <c:y val="-4.02818132072160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4.2987743006094987E-2"/>
                  <c:y val="3.3838175528528559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-0,2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2.3522786084724051E-2"/>
                  <c:y val="2.7183200707218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'M-1'!$B$14:$B$38</c:f>
              <c:strCache>
                <c:ptCount val="25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</c:strCache>
            </c:strRef>
          </c:cat>
          <c:val>
            <c:numRef>
              <c:f>'M-1'!$C$14:$C$38</c:f>
              <c:numCache>
                <c:formatCode>0.0</c:formatCode>
                <c:ptCount val="25"/>
                <c:pt idx="0">
                  <c:v>0.40000000000000568</c:v>
                </c:pt>
                <c:pt idx="1">
                  <c:v>0.29999999999999727</c:v>
                </c:pt>
                <c:pt idx="2">
                  <c:v>-9.9999999999994357E-2</c:v>
                </c:pt>
                <c:pt idx="3">
                  <c:v>0.29999999999999727</c:v>
                </c:pt>
                <c:pt idx="4">
                  <c:v>0</c:v>
                </c:pt>
                <c:pt idx="5">
                  <c:v>-0.20000000000000284</c:v>
                </c:pt>
                <c:pt idx="6">
                  <c:v>-0.20000000000000284</c:v>
                </c:pt>
                <c:pt idx="7">
                  <c:v>-9.9999999999994357E-2</c:v>
                </c:pt>
                <c:pt idx="8">
                  <c:v>0.40000000000000568</c:v>
                </c:pt>
                <c:pt idx="9">
                  <c:v>0.5</c:v>
                </c:pt>
                <c:pt idx="10">
                  <c:v>0.5</c:v>
                </c:pt>
                <c:pt idx="11">
                  <c:v>0.20000000000000284</c:v>
                </c:pt>
                <c:pt idx="12">
                  <c:v>0.29999999999999727</c:v>
                </c:pt>
                <c:pt idx="13">
                  <c:v>-0.2</c:v>
                </c:pt>
                <c:pt idx="14">
                  <c:v>-0.1</c:v>
                </c:pt>
                <c:pt idx="15">
                  <c:v>0.5</c:v>
                </c:pt>
                <c:pt idx="16">
                  <c:v>0.2</c:v>
                </c:pt>
                <c:pt idx="17">
                  <c:v>0.1</c:v>
                </c:pt>
                <c:pt idx="18">
                  <c:v>-0.2</c:v>
                </c:pt>
                <c:pt idx="19">
                  <c:v>0</c:v>
                </c:pt>
                <c:pt idx="20">
                  <c:v>0.2</c:v>
                </c:pt>
                <c:pt idx="21">
                  <c:v>0.4</c:v>
                </c:pt>
                <c:pt idx="22">
                  <c:v>0</c:v>
                </c:pt>
                <c:pt idx="23">
                  <c:v>0</c:v>
                </c:pt>
                <c:pt idx="24" formatCode="General">
                  <c:v>0.1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94872816"/>
        <c:axId val="-594871184"/>
      </c:lineChart>
      <c:dateAx>
        <c:axId val="-594872816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594871184"/>
        <c:crossesAt val="0"/>
        <c:auto val="0"/>
        <c:lblOffset val="100"/>
        <c:baseTimeUnit val="days"/>
      </c:dateAx>
      <c:valAx>
        <c:axId val="-594871184"/>
        <c:scaling>
          <c:orientation val="minMax"/>
          <c:max val="0.60000000000000064"/>
          <c:min val="-0.60000000000000064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594872816"/>
        <c:crossesAt val="1"/>
        <c:crossBetween val="between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2"/>
            <c:bubble3D val="0"/>
            <c:spPr>
              <a:ln>
                <a:solidFill>
                  <a:srgbClr val="001D77"/>
                </a:solidFill>
              </a:ln>
            </c:spPr>
          </c:dPt>
          <c:dPt>
            <c:idx val="24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1704921069766393E-2"/>
                  <c:y val="-3.53151187120245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0923729509488792E-2"/>
                  <c:y val="-2.53759678366948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7022490507253446E-2"/>
                  <c:y val="3.40048008814735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520961931652225E-2"/>
                  <c:y val="3.85258932787659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2107876545614089E-2"/>
                  <c:y val="-3.98909963796632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2671210203485811E-2"/>
                  <c:y val="3.89985046434755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4265991626910811E-2"/>
                  <c:y val="-4.14095702817566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9124135916658552E-2"/>
                  <c:y val="-4.13391311191563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8328062778168191E-2"/>
                  <c:y val="4.61064023005902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5253181853673805E-2"/>
                  <c:y val="3.29877402754654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4620776944796025E-2"/>
                  <c:y val="-4.49630096017629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4580664005452247E-2"/>
                  <c:y val="3.8580591846371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4.5502459592410401E-2"/>
                  <c:y val="4.3238610564552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5252689224537358E-2"/>
                  <c:y val="3.3261596961638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8638107292376602E-2"/>
                  <c:y val="3.20462773492839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4.5105411103302892E-2"/>
                  <c:y val="-3.77311941879824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4.3159795424377277E-2"/>
                  <c:y val="-3.62100802179506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4.6561255563363713E-2"/>
                  <c:y val="-3.7163235961858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6668228312641521E-2"/>
                  <c:y val="-3.92685787800817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3519808548307189E-2"/>
                  <c:y val="-3.99764480203369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2.5646131022097288E-2"/>
                  <c:y val="-4.44528530346602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1.7856640899508083E-2"/>
                  <c:y val="-3.02845466929014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5046654173498903E-2"/>
                  <c:y val="3.40657635840775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4.0109705629733754E-2"/>
                  <c:y val="3.65143030119570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0228385873709119E-2"/>
                  <c:y val="-4.98472891758662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5681114293960842E-2"/>
                  <c:y val="2.9523631719122659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1,4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1435292231207015E-2"/>
                  <c:y val="2.7559939224357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(+FE)'!$B$14:$B$38</c:f>
              <c:strCache>
                <c:ptCount val="25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</c:strCache>
            </c:strRef>
          </c:cat>
          <c:val>
            <c:numRef>
              <c:f>'M-12 (+FE)'!$C$14:$C$38</c:f>
              <c:numCache>
                <c:formatCode>0.0</c:formatCode>
                <c:ptCount val="25"/>
                <c:pt idx="0">
                  <c:v>1.7000000000000028</c:v>
                </c:pt>
                <c:pt idx="1">
                  <c:v>2.2000000000000037</c:v>
                </c:pt>
                <c:pt idx="2">
                  <c:v>2</c:v>
                </c:pt>
                <c:pt idx="3">
                  <c:v>2</c:v>
                </c:pt>
                <c:pt idx="4">
                  <c:v>1.9000000000000061</c:v>
                </c:pt>
                <c:pt idx="5">
                  <c:v>1.5</c:v>
                </c:pt>
                <c:pt idx="6">
                  <c:v>1.7000000000000028</c:v>
                </c:pt>
                <c:pt idx="7">
                  <c:v>1.7999999999999965</c:v>
                </c:pt>
                <c:pt idx="8">
                  <c:v>2.2000000000000037</c:v>
                </c:pt>
                <c:pt idx="9">
                  <c:v>2.0999999999999943</c:v>
                </c:pt>
                <c:pt idx="10">
                  <c:v>2.5</c:v>
                </c:pt>
                <c:pt idx="11">
                  <c:v>2.0999999999999943</c:v>
                </c:pt>
                <c:pt idx="12">
                  <c:v>1.9000000000000061</c:v>
                </c:pt>
                <c:pt idx="13">
                  <c:v>1.4</c:v>
                </c:pt>
                <c:pt idx="14">
                  <c:v>1.3</c:v>
                </c:pt>
                <c:pt idx="15">
                  <c:v>1.6</c:v>
                </c:pt>
                <c:pt idx="16">
                  <c:v>1.7</c:v>
                </c:pt>
                <c:pt idx="17">
                  <c:v>2</c:v>
                </c:pt>
                <c:pt idx="18">
                  <c:v>2</c:v>
                </c:pt>
                <c:pt idx="19">
                  <c:v>2</c:v>
                </c:pt>
                <c:pt idx="20">
                  <c:v>1.9000000000000001</c:v>
                </c:pt>
                <c:pt idx="21">
                  <c:v>1.8</c:v>
                </c:pt>
                <c:pt idx="22">
                  <c:v>1.3</c:v>
                </c:pt>
                <c:pt idx="23">
                  <c:v>1.1000000000000001</c:v>
                </c:pt>
                <c:pt idx="24">
                  <c:v>0.9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94870096"/>
        <c:axId val="-594869552"/>
      </c:lineChart>
      <c:dateAx>
        <c:axId val="-594870096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594869552"/>
        <c:crossesAt val="0"/>
        <c:auto val="0"/>
        <c:lblOffset val="100"/>
        <c:baseTimeUnit val="days"/>
      </c:dateAx>
      <c:valAx>
        <c:axId val="-594869552"/>
        <c:scaling>
          <c:orientation val="minMax"/>
          <c:max val="4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594870096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2863205691702072"/>
          <c:y val="4.5267504380125223E-2"/>
          <c:w val="0.51626076491275008"/>
          <c:h val="0.8785142984150642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</c:spPr>
          <c:invertIfNegative val="0"/>
          <c:dLbls>
            <c:numFmt formatCode="#,##0.00" sourceLinked="0"/>
            <c:spPr>
              <a:noFill/>
              <a:ln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'SYSTEM WAG'!$B$2:$B$13</c:f>
              <c:strCache>
                <c:ptCount val="12"/>
                <c:pt idx="0">
                  <c:v>Inne towary i usługi</c:v>
                </c:pt>
                <c:pt idx="1">
                  <c:v>Restauracje i hotele</c:v>
                </c:pt>
                <c:pt idx="2">
                  <c:v>Edukacja</c:v>
                </c:pt>
                <c:pt idx="3">
                  <c:v>Rekreacja i kultura</c:v>
                </c:pt>
                <c:pt idx="4">
                  <c:v>Łączność</c:v>
                </c:pt>
                <c:pt idx="5">
                  <c:v>Transport</c:v>
                </c:pt>
                <c:pt idx="6">
                  <c:v>Zdrowie</c:v>
                </c:pt>
                <c:pt idx="7">
                  <c:v>Wyposażenie mieszkania 
i prowadzenie gospodarstwa domowego</c:v>
                </c:pt>
                <c:pt idx="8">
                  <c:v>Użytkowanie mieszkania 
lub domu i nośniki energii</c:v>
                </c:pt>
                <c:pt idx="9">
                  <c:v>Odzież i obuwie</c:v>
                </c:pt>
                <c:pt idx="10">
                  <c:v>Napoje alkoholowe 
i wyroby tytoniowe</c:v>
                </c:pt>
                <c:pt idx="11">
                  <c:v>Żywność i napoje bezalkoholowe</c:v>
                </c:pt>
              </c:strCache>
            </c:strRef>
          </c:cat>
          <c:val>
            <c:numRef>
              <c:f>'SYSTEM WAG'!$G$2:$G$13</c:f>
              <c:numCache>
                <c:formatCode>0.00</c:formatCode>
                <c:ptCount val="12"/>
                <c:pt idx="0">
                  <c:v>5.55</c:v>
                </c:pt>
                <c:pt idx="1">
                  <c:v>5.71</c:v>
                </c:pt>
                <c:pt idx="2">
                  <c:v>1</c:v>
                </c:pt>
                <c:pt idx="3">
                  <c:v>6.92</c:v>
                </c:pt>
                <c:pt idx="4">
                  <c:v>4.87</c:v>
                </c:pt>
                <c:pt idx="5">
                  <c:v>8.7399999999999984</c:v>
                </c:pt>
                <c:pt idx="6">
                  <c:v>5.6899999999999995</c:v>
                </c:pt>
                <c:pt idx="7">
                  <c:v>5.25</c:v>
                </c:pt>
                <c:pt idx="8">
                  <c:v>20.350000000000001</c:v>
                </c:pt>
                <c:pt idx="9">
                  <c:v>5.37</c:v>
                </c:pt>
                <c:pt idx="10">
                  <c:v>6.1899999999999995</c:v>
                </c:pt>
                <c:pt idx="11">
                  <c:v>24.36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-594869008"/>
        <c:axId val="-594876080"/>
      </c:barChart>
      <c:catAx>
        <c:axId val="-5948690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>
            <a:solidFill>
              <a:schemeClr val="bg1">
                <a:lumMod val="50000"/>
              </a:schemeClr>
            </a:solidFill>
          </a:ln>
        </c:spPr>
        <c:txPr>
          <a:bodyPr rot="0" vert="horz"/>
          <a:lstStyle/>
          <a:p>
            <a:pPr algn="r">
              <a:defRPr sz="800"/>
            </a:pPr>
            <a:endParaRPr lang="pl-PL"/>
          </a:p>
        </c:txPr>
        <c:crossAx val="-594876080"/>
        <c:crosses val="autoZero"/>
        <c:auto val="0"/>
        <c:lblAlgn val="ctr"/>
        <c:lblOffset val="100"/>
        <c:noMultiLvlLbl val="0"/>
      </c:catAx>
      <c:valAx>
        <c:axId val="-594876080"/>
        <c:scaling>
          <c:orientation val="minMax"/>
        </c:scaling>
        <c:delete val="0"/>
        <c:axPos val="b"/>
        <c:majorGridlines>
          <c:spPr>
            <a:ln w="3175">
              <a:solidFill>
                <a:srgbClr val="B2B2B2"/>
              </a:solidFill>
              <a:prstDash val="sysDot"/>
            </a:ln>
          </c:spPr>
        </c:majorGridlines>
        <c:title>
          <c:tx>
            <c:rich>
              <a:bodyPr anchor="b" anchorCtr="1"/>
              <a:lstStyle/>
              <a:p>
                <a:pPr algn="r">
                  <a:defRPr/>
                </a:pPr>
                <a:r>
                  <a:rPr lang="pl-PL" b="0"/>
                  <a:t>%</a:t>
                </a:r>
              </a:p>
            </c:rich>
          </c:tx>
          <c:layout>
            <c:manualLayout>
              <c:xMode val="edge"/>
              <c:yMode val="edge"/>
              <c:x val="0.96046223117610507"/>
              <c:y val="0.93581559052340335"/>
            </c:manualLayout>
          </c:layout>
          <c:overlay val="0"/>
          <c:spPr>
            <a:noFill/>
            <a:ln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noFill/>
          <a:ln w="6350">
            <a:noFill/>
            <a:prstDash val="sysDot"/>
          </a:ln>
        </c:spPr>
        <c:crossAx val="-59486900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>
          <a:latin typeface="Fira Sans" pitchFamily="34" charset="0"/>
          <a:ea typeface="Fira Sans" pitchFamily="34" charset="0"/>
        </a:defRPr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0.48733</cdr:x>
      <cdr:y>0.86938</cdr:y>
    </cdr:from>
    <cdr:to>
      <cdr:x>0.48765</cdr:x>
      <cdr:y>0.94906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V="1">
          <a:off x="2500592" y="2229443"/>
          <a:ext cx="1642" cy="204331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tx1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wrap="square" lIns="18288" tIns="0" rIns="0" bIns="0" upright="1"/>
        <a:lstStyle xmlns:a="http://schemas.openxmlformats.org/drawingml/2006/main"/>
        <a:p xmlns:a="http://schemas.openxmlformats.org/drawingml/2006/main">
          <a:endParaRPr lang="pl-PL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0.06988</cdr:x>
      <cdr:y>0.92678</cdr:y>
    </cdr:from>
    <cdr:to>
      <cdr:x>0.44753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57963" y="2321999"/>
          <a:ext cx="1934530" cy="18307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0.52296</cdr:x>
      <cdr:y>0.93654</cdr:y>
    </cdr:from>
    <cdr:to>
      <cdr:x>0.80828</cdr:x>
      <cdr:y>1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2678886" y="2341683"/>
          <a:ext cx="1461565" cy="15867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0.87142</cdr:x>
      <cdr:y>0.93433</cdr:y>
    </cdr:from>
    <cdr:to>
      <cdr:x>0.97174</cdr:x>
      <cdr:y>1</cdr:y>
    </cdr:to>
    <cdr:sp macro="" textlink="">
      <cdr:nvSpPr>
        <cdr:cNvPr id="10" name="pole tekstowe 1"/>
        <cdr:cNvSpPr txBox="1"/>
      </cdr:nvSpPr>
      <cdr:spPr>
        <a:xfrm xmlns:a="http://schemas.openxmlformats.org/drawingml/2006/main">
          <a:off x="4446985" y="2399109"/>
          <a:ext cx="511969" cy="16668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0.89548</cdr:x>
      <cdr:y>0.86631</cdr:y>
    </cdr:from>
    <cdr:to>
      <cdr:x>0.89691</cdr:x>
      <cdr:y>0.94905</cdr:y>
    </cdr:to>
    <cdr:sp macro="" textlink="">
      <cdr:nvSpPr>
        <cdr:cNvPr id="8" name="Łącznik prosty 7"/>
        <cdr:cNvSpPr/>
      </cdr:nvSpPr>
      <cdr:spPr>
        <a:xfrm xmlns:a="http://schemas.openxmlformats.org/drawingml/2006/main">
          <a:off x="4587121" y="2166090"/>
          <a:ext cx="7318" cy="206862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0.07065</cdr:x>
      <cdr:y>0.93639</cdr:y>
    </cdr:from>
    <cdr:to>
      <cdr:x>0.44376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62074" y="2369581"/>
          <a:ext cx="1912149" cy="16096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0.53924</cdr:x>
      <cdr:y>0.93596</cdr:y>
    </cdr:from>
    <cdr:to>
      <cdr:x>0.80082</cdr:x>
      <cdr:y>1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2763547" y="2371594"/>
          <a:ext cx="1340570" cy="16205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0.48182</cdr:x>
      <cdr:y>0.86763</cdr:y>
    </cdr:from>
    <cdr:to>
      <cdr:x>0.48217</cdr:x>
      <cdr:y>0.95258</cdr:y>
    </cdr:to>
    <cdr:sp macro="" textlink="">
      <cdr:nvSpPr>
        <cdr:cNvPr id="10" name="Łącznik prosty 9"/>
        <cdr:cNvSpPr/>
      </cdr:nvSpPr>
      <cdr:spPr bwMode="auto">
        <a:xfrm xmlns:a="http://schemas.openxmlformats.org/drawingml/2006/main" flipH="1" flipV="1">
          <a:off x="2469076" y="2195522"/>
          <a:ext cx="1794" cy="214964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Fira Sans Light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Fira Sans Light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Fira Sans Light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Fira Sans Light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Fira Sans Light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Fira Sans Light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Fira Sans Light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Fira Sans Light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Fira Sans Light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0.06867</cdr:x>
      <cdr:y>0.35471</cdr:y>
    </cdr:from>
    <cdr:to>
      <cdr:x>0.92874</cdr:x>
      <cdr:y>0.35473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1782" y="1021555"/>
          <a:ext cx="4405956" cy="8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0.55948</cdr:y>
    </cdr:from>
    <cdr:to>
      <cdr:x>0.92967</cdr:x>
      <cdr:y>0.55976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51629" y="1611300"/>
          <a:ext cx="4410871" cy="805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0.15048</cdr:y>
    </cdr:from>
    <cdr:to>
      <cdr:x>0.92967</cdr:x>
      <cdr:y>0.15172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1629" y="433387"/>
          <a:ext cx="4410871" cy="356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0.03232</cdr:x>
      <cdr:y>0.17622</cdr:y>
    </cdr:from>
    <cdr:to>
      <cdr:x>0.30088</cdr:x>
      <cdr:y>0.27253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65598" y="445926"/>
          <a:ext cx="1376222" cy="24371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Cel inflacyjny 2,5</a:t>
          </a:r>
        </a:p>
      </cdr:txBody>
    </cdr:sp>
  </cdr:relSizeAnchor>
  <cdr:relSizeAnchor xmlns:cdr="http://schemas.openxmlformats.org/drawingml/2006/chartDrawing">
    <cdr:from>
      <cdr:x>0.16068</cdr:x>
      <cdr:y>0.24832</cdr:y>
    </cdr:from>
    <cdr:to>
      <cdr:x>0.23446</cdr:x>
      <cdr:y>0.35004</cdr:y>
    </cdr:to>
    <cdr:sp macro="" textlink="">
      <cdr:nvSpPr>
        <cdr:cNvPr id="17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823394" y="628380"/>
          <a:ext cx="378086" cy="257388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0.4184</cdr:x>
      <cdr:y>0.18444</cdr:y>
    </cdr:from>
    <cdr:to>
      <cdr:x>0.71199</cdr:x>
      <cdr:y>0.26664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2144075" y="466714"/>
          <a:ext cx="1504471" cy="20802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800" b="1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</a:t>
          </a:r>
          <a:r>
            <a:rPr lang="pl-PL" sz="800" b="1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inflacyjnego</a:t>
          </a:r>
        </a:p>
      </cdr:txBody>
    </cdr:sp>
  </cdr:relSizeAnchor>
  <cdr:relSizeAnchor xmlns:cdr="http://schemas.openxmlformats.org/drawingml/2006/chartDrawing">
    <cdr:from>
      <cdr:x>0.37984</cdr:x>
      <cdr:y>0.15742</cdr:y>
    </cdr:from>
    <cdr:to>
      <cdr:x>0.41541</cdr:x>
      <cdr:y>0.22693</cdr:y>
    </cdr:to>
    <cdr:sp macro="" textlink="">
      <cdr:nvSpPr>
        <cdr:cNvPr id="19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 flipV="1">
          <a:off x="1946493" y="398350"/>
          <a:ext cx="182230" cy="175893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0.20825</cdr:x>
      <cdr:y>0.2254</cdr:y>
    </cdr:from>
    <cdr:to>
      <cdr:x>0.41518</cdr:x>
      <cdr:y>0.55675</cdr:y>
    </cdr:to>
    <cdr:sp macro="" textlink="">
      <cdr:nvSpPr>
        <cdr:cNvPr id="20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067165" y="570367"/>
          <a:ext cx="1060398" cy="83847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0.86273</cdr:x>
      <cdr:y>0.93639</cdr:y>
    </cdr:from>
    <cdr:to>
      <cdr:x>0.98421</cdr:x>
      <cdr:y>0.99279</cdr:y>
    </cdr:to>
    <cdr:sp macro="" textlink="">
      <cdr:nvSpPr>
        <cdr:cNvPr id="21" name="pole tekstowe 1"/>
        <cdr:cNvSpPr txBox="1"/>
      </cdr:nvSpPr>
      <cdr:spPr>
        <a:xfrm xmlns:a="http://schemas.openxmlformats.org/drawingml/2006/main">
          <a:off x="4419600" y="2474686"/>
          <a:ext cx="622300" cy="14906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0.89435</cdr:x>
      <cdr:y>0.86735</cdr:y>
    </cdr:from>
    <cdr:to>
      <cdr:x>0.8947</cdr:x>
      <cdr:y>0.9523</cdr:y>
    </cdr:to>
    <cdr:sp macro="" textlink="">
      <cdr:nvSpPr>
        <cdr:cNvPr id="22" name="Łącznik prosty 9"/>
        <cdr:cNvSpPr/>
      </cdr:nvSpPr>
      <cdr:spPr bwMode="auto">
        <a:xfrm xmlns:a="http://schemas.openxmlformats.org/drawingml/2006/main" flipH="1" flipV="1">
          <a:off x="4583071" y="2194807"/>
          <a:ext cx="1794" cy="214964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FC75FE-584B-4E5D-8EA7-E5A72B172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Zawistowska Beata</dc:creator>
  <cp:lastModifiedBy>Żołynia Marcin</cp:lastModifiedBy>
  <cp:revision>2</cp:revision>
  <cp:lastPrinted>2018-02-14T10:13:00Z</cp:lastPrinted>
  <dcterms:created xsi:type="dcterms:W3CDTF">2019-02-15T08:41:00Z</dcterms:created>
  <dcterms:modified xsi:type="dcterms:W3CDTF">2019-02-15T08:41:00Z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