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8E3" w:rsidRPr="00091E91" w:rsidRDefault="00A468E3" w:rsidP="00A468E3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bookmarkStart w:id="0" w:name="_GoBack"/>
      <w:bookmarkEnd w:id="0"/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i według krajów w 2017 </w:t>
      </w:r>
    </w:p>
    <w:p w:rsidR="00A468E3" w:rsidRPr="00001C5B" w:rsidRDefault="00A468E3" w:rsidP="00A468E3">
      <w:pPr>
        <w:pStyle w:val="tytuinformacji"/>
        <w:rPr>
          <w:sz w:val="32"/>
        </w:rPr>
      </w:pPr>
    </w:p>
    <w:p w:rsidR="00A468E3" w:rsidRPr="00690129" w:rsidRDefault="00A468E3" w:rsidP="00A468E3">
      <w:pPr>
        <w:pStyle w:val="LID"/>
      </w:pPr>
      <w:r w:rsidRPr="00690129"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F6F338E" wp14:editId="4819BE4E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E3" w:rsidRPr="00B66B19" w:rsidRDefault="00A468E3" w:rsidP="00A468E3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0995" cy="327660"/>
                                  <wp:effectExtent l="0" t="0" r="1905" b="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995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111,9</w:t>
                            </w:r>
                          </w:p>
                          <w:p w:rsidR="00A468E3" w:rsidRPr="00690129" w:rsidRDefault="00A468E3" w:rsidP="00A468E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Wskaźnik dynamiki importu w złotych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F338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A468E3" w:rsidRPr="00B66B19" w:rsidRDefault="00A468E3" w:rsidP="00A468E3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0995" cy="327660"/>
                            <wp:effectExtent l="0" t="0" r="1905" b="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995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111,9</w:t>
                      </w:r>
                    </w:p>
                    <w:p w:rsidR="00A468E3" w:rsidRPr="00690129" w:rsidRDefault="00A468E3" w:rsidP="00A468E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Wskaźnik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dynamiki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importu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w </w:t>
                      </w:r>
                      <w:proofErr w:type="spellStart"/>
                      <w:r>
                        <w:rPr>
                          <w:lang w:val="en-US"/>
                        </w:rPr>
                        <w:t>złotych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Obroty towarowe handlu zagranicznego</w:t>
      </w:r>
      <w:r>
        <w:rPr>
          <w:rFonts w:cs="Arial"/>
        </w:rPr>
        <w:t xml:space="preserve">  w 2017 roku</w:t>
      </w:r>
      <w:r w:rsidRPr="00690129">
        <w:rPr>
          <w:rFonts w:cs="Arial"/>
        </w:rPr>
        <w:t xml:space="preserve"> </w:t>
      </w:r>
      <w:r>
        <w:rPr>
          <w:rFonts w:cs="Arial"/>
        </w:rPr>
        <w:t>według danych ostatecznych wyniosły</w:t>
      </w:r>
      <w:r w:rsidRPr="00690129">
        <w:rPr>
          <w:rFonts w:cs="Arial"/>
        </w:rPr>
        <w:t xml:space="preserve"> w cenach bieżących </w:t>
      </w:r>
      <w:r>
        <w:rPr>
          <w:rFonts w:cs="Arial"/>
          <w:bCs/>
          <w:color w:val="000000"/>
        </w:rPr>
        <w:t>882,6</w:t>
      </w:r>
      <w:r w:rsidRPr="00690129">
        <w:rPr>
          <w:rFonts w:cs="Arial"/>
          <w:bCs/>
          <w:color w:val="000000"/>
        </w:rPr>
        <w:t> </w:t>
      </w:r>
      <w:r w:rsidRPr="00690129">
        <w:rPr>
          <w:rFonts w:cs="Arial"/>
        </w:rPr>
        <w:t>ml</w:t>
      </w:r>
      <w:r>
        <w:rPr>
          <w:rFonts w:cs="Arial"/>
        </w:rPr>
        <w:t>d</w:t>
      </w:r>
      <w:r w:rsidRPr="00690129">
        <w:rPr>
          <w:rFonts w:cs="Arial"/>
        </w:rPr>
        <w:t> zł</w:t>
      </w:r>
      <w:r w:rsidRPr="00992926">
        <w:rPr>
          <w:rFonts w:cs="Arial"/>
        </w:rPr>
        <w:t xml:space="preserve"> </w:t>
      </w:r>
      <w:r>
        <w:rPr>
          <w:rFonts w:cs="Arial"/>
        </w:rPr>
        <w:t xml:space="preserve">w  eksporcie oraz </w:t>
      </w:r>
      <w:r w:rsidRPr="00690129">
        <w:rPr>
          <w:rFonts w:cs="Arial"/>
        </w:rPr>
        <w:t> </w:t>
      </w:r>
      <w:r>
        <w:rPr>
          <w:rFonts w:cs="Arial"/>
          <w:bCs/>
          <w:color w:val="000000"/>
        </w:rPr>
        <w:t>880,1</w:t>
      </w:r>
      <w:r w:rsidRPr="00690129">
        <w:rPr>
          <w:rFonts w:cs="Arial"/>
          <w:bCs/>
          <w:color w:val="000000"/>
        </w:rPr>
        <w:t xml:space="preserve"> </w:t>
      </w:r>
      <w:r>
        <w:rPr>
          <w:rFonts w:cs="Arial"/>
        </w:rPr>
        <w:t>mld</w:t>
      </w:r>
      <w:r w:rsidRPr="00690129">
        <w:rPr>
          <w:rFonts w:cs="Arial"/>
        </w:rPr>
        <w:t xml:space="preserve"> zł</w:t>
      </w:r>
      <w:r w:rsidRPr="00992926">
        <w:rPr>
          <w:rFonts w:cs="Arial"/>
        </w:rPr>
        <w:t xml:space="preserve"> </w:t>
      </w:r>
      <w:r>
        <w:rPr>
          <w:rFonts w:cs="Arial"/>
        </w:rPr>
        <w:t>w</w:t>
      </w:r>
      <w:r w:rsidRPr="00690129">
        <w:rPr>
          <w:rFonts w:cs="Arial"/>
        </w:rPr>
        <w:t> impor</w:t>
      </w:r>
      <w:r>
        <w:rPr>
          <w:rFonts w:cs="Arial"/>
        </w:rPr>
        <w:t>cie</w:t>
      </w:r>
      <w:r w:rsidRPr="00690129">
        <w:rPr>
          <w:rFonts w:cs="Arial"/>
        </w:rPr>
        <w:t xml:space="preserve">. </w:t>
      </w:r>
      <w:r w:rsidRPr="00690129">
        <w:rPr>
          <w:rFonts w:cs="Arial"/>
          <w:spacing w:val="-3"/>
        </w:rPr>
        <w:t xml:space="preserve">Dodatnie saldo ukształtowało się na poziomie </w:t>
      </w:r>
      <w:r>
        <w:rPr>
          <w:rFonts w:cs="Arial"/>
          <w:bCs/>
          <w:color w:val="000000"/>
        </w:rPr>
        <w:t>2,5</w:t>
      </w:r>
      <w:r w:rsidRPr="00690129">
        <w:rPr>
          <w:rFonts w:cs="Arial"/>
          <w:spacing w:val="-3"/>
        </w:rPr>
        <w:t xml:space="preserve"> ml</w:t>
      </w:r>
      <w:r>
        <w:rPr>
          <w:rFonts w:cs="Arial"/>
          <w:spacing w:val="-3"/>
        </w:rPr>
        <w:t>d</w:t>
      </w:r>
      <w:r w:rsidRPr="00690129">
        <w:rPr>
          <w:rFonts w:cs="Arial"/>
          <w:spacing w:val="-3"/>
        </w:rPr>
        <w:t xml:space="preserve"> zł, </w:t>
      </w:r>
      <w:r>
        <w:rPr>
          <w:rFonts w:cs="Arial"/>
          <w:spacing w:val="-3"/>
        </w:rPr>
        <w:t>podczas gdy</w:t>
      </w:r>
      <w:r w:rsidRPr="00690129">
        <w:rPr>
          <w:rFonts w:cs="Arial"/>
          <w:spacing w:val="-3"/>
        </w:rPr>
        <w:t xml:space="preserve"> </w:t>
      </w:r>
      <w:r w:rsidRPr="00F70DA2">
        <w:t>w</w:t>
      </w:r>
      <w:r>
        <w:t xml:space="preserve"> </w:t>
      </w:r>
      <w:r w:rsidRPr="00F70DA2">
        <w:t>2016</w:t>
      </w:r>
      <w:r>
        <w:rPr>
          <w:rFonts w:cs="Arial"/>
          <w:spacing w:val="-3"/>
        </w:rPr>
        <w:t> r.</w:t>
      </w:r>
      <w:r w:rsidRPr="00690129">
        <w:rPr>
          <w:rFonts w:cs="Arial"/>
          <w:spacing w:val="-3"/>
        </w:rPr>
        <w:t xml:space="preserve"> wyniosło </w:t>
      </w:r>
      <w:r>
        <w:rPr>
          <w:rFonts w:cs="Arial"/>
          <w:spacing w:val="-3"/>
        </w:rPr>
        <w:t>17,0</w:t>
      </w:r>
      <w:r w:rsidRPr="00690129">
        <w:rPr>
          <w:rFonts w:cs="Arial"/>
          <w:spacing w:val="-3"/>
        </w:rPr>
        <w:t xml:space="preserve"> ml</w:t>
      </w:r>
      <w:r>
        <w:rPr>
          <w:rFonts w:cs="Arial"/>
          <w:spacing w:val="-3"/>
        </w:rPr>
        <w:t>d</w:t>
      </w:r>
      <w:r w:rsidRPr="00690129">
        <w:rPr>
          <w:rFonts w:cs="Arial"/>
          <w:spacing w:val="-3"/>
        </w:rPr>
        <w:t xml:space="preserve"> zł</w:t>
      </w:r>
      <w:r w:rsidRPr="009A5C86">
        <w:rPr>
          <w:rFonts w:cs="Arial"/>
          <w:spacing w:val="-3"/>
        </w:rPr>
        <w:t>.</w:t>
      </w:r>
      <w:r>
        <w:rPr>
          <w:rFonts w:cs="Arial"/>
          <w:spacing w:val="-3"/>
        </w:rPr>
        <w:t xml:space="preserve"> </w:t>
      </w:r>
      <w:r w:rsidRPr="009A5C86">
        <w:rPr>
          <w:rFonts w:cs="Arial"/>
        </w:rPr>
        <w:t xml:space="preserve">W porównaniu </w:t>
      </w:r>
      <w:r w:rsidRPr="00F70DA2">
        <w:t>z</w:t>
      </w:r>
      <w:r>
        <w:t xml:space="preserve"> </w:t>
      </w:r>
      <w:r w:rsidRPr="009A5C86">
        <w:rPr>
          <w:rFonts w:cs="Arial"/>
          <w:spacing w:val="-3"/>
        </w:rPr>
        <w:t>2016 rok</w:t>
      </w:r>
      <w:r>
        <w:rPr>
          <w:rFonts w:cs="Arial"/>
          <w:spacing w:val="-3"/>
        </w:rPr>
        <w:t>iem</w:t>
      </w:r>
      <w:r w:rsidRPr="009A5C86">
        <w:rPr>
          <w:rFonts w:cs="Arial"/>
        </w:rPr>
        <w:t xml:space="preserve"> eksport wzrósł </w:t>
      </w:r>
      <w:r w:rsidRPr="00F70DA2">
        <w:t>o</w:t>
      </w:r>
      <w:r>
        <w:t xml:space="preserve"> 9,8</w:t>
      </w:r>
      <w:r w:rsidRPr="009A5C86">
        <w:rPr>
          <w:rFonts w:cs="Arial"/>
        </w:rPr>
        <w:t>%, a import o 1</w:t>
      </w:r>
      <w:r>
        <w:rPr>
          <w:rFonts w:cs="Arial"/>
        </w:rPr>
        <w:t>1</w:t>
      </w:r>
      <w:r w:rsidRPr="009A5C86">
        <w:rPr>
          <w:rFonts w:cs="Arial"/>
        </w:rPr>
        <w:t>,</w:t>
      </w:r>
      <w:r>
        <w:rPr>
          <w:rFonts w:cs="Arial"/>
        </w:rPr>
        <w:t>9</w:t>
      </w:r>
      <w:r w:rsidRPr="009A5C86">
        <w:rPr>
          <w:rFonts w:cs="Arial"/>
        </w:rPr>
        <w:t>%</w:t>
      </w:r>
      <w:r>
        <w:rPr>
          <w:rFonts w:cs="Arial"/>
        </w:rPr>
        <w:t>.</w:t>
      </w:r>
    </w:p>
    <w:p w:rsidR="00A468E3" w:rsidRPr="00690129" w:rsidRDefault="00A468E3" w:rsidP="00A468E3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A468E3" w:rsidRPr="00277A82" w:rsidRDefault="00A468E3" w:rsidP="00A468E3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EA68982" wp14:editId="75F60B87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E3" w:rsidRPr="00074DD8" w:rsidRDefault="00A468E3" w:rsidP="00A468E3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Dodatnie saldo w handlu zagranicznym notujemy od 2015 r.</w:t>
                            </w:r>
                          </w:p>
                          <w:p w:rsidR="00A468E3" w:rsidRPr="00D616D2" w:rsidRDefault="00A468E3" w:rsidP="00A468E3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68982" id="_x0000_s1027" type="#_x0000_t202" style="position:absolute;margin-left:412.05pt;margin-top:12.2pt;width:135.85pt;height:65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8+XOU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A468E3" w:rsidRPr="00074DD8" w:rsidRDefault="00A468E3" w:rsidP="00A468E3">
                      <w:pPr>
                        <w:pStyle w:val="tekstzboku"/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Dodatnie saldo w handlu zagranicznym notujemy od 2015 r.</w:t>
                      </w:r>
                    </w:p>
                    <w:p w:rsidR="00A468E3" w:rsidRPr="00D616D2" w:rsidRDefault="00A468E3" w:rsidP="00A468E3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277A82">
        <w:t xml:space="preserve">Obroty towarowe handlu zagranicznego wyrażone w dolarach USA </w:t>
      </w:r>
      <w:r>
        <w:t>i</w:t>
      </w:r>
      <w:r w:rsidRPr="00277A82">
        <w:t xml:space="preserve"> w </w:t>
      </w:r>
      <w:r>
        <w:t>euro</w:t>
      </w:r>
      <w:r w:rsidRPr="00277A82">
        <w:t xml:space="preserve"> </w:t>
      </w:r>
    </w:p>
    <w:p w:rsidR="00A468E3" w:rsidRPr="0084092E" w:rsidRDefault="00A468E3" w:rsidP="00A468E3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84092E">
        <w:rPr>
          <w:rFonts w:cs="Arial"/>
          <w:spacing w:val="-3"/>
          <w:szCs w:val="19"/>
        </w:rPr>
        <w:t xml:space="preserve">Eksport wyrażony w dolarach USA wyniósł </w:t>
      </w:r>
      <w:r>
        <w:rPr>
          <w:rFonts w:cs="Arial"/>
          <w:bCs/>
          <w:color w:val="000000"/>
          <w:szCs w:val="19"/>
        </w:rPr>
        <w:t xml:space="preserve">231,6 </w:t>
      </w:r>
      <w:r w:rsidRPr="0084092E">
        <w:rPr>
          <w:rFonts w:cs="Arial"/>
          <w:spacing w:val="-3"/>
          <w:szCs w:val="19"/>
        </w:rPr>
        <w:t>ml</w:t>
      </w:r>
      <w:r>
        <w:rPr>
          <w:rFonts w:cs="Arial"/>
          <w:spacing w:val="-3"/>
          <w:szCs w:val="19"/>
        </w:rPr>
        <w:t>d</w:t>
      </w:r>
      <w:r w:rsidRPr="0084092E">
        <w:rPr>
          <w:rFonts w:cs="Arial"/>
          <w:spacing w:val="-3"/>
          <w:szCs w:val="19"/>
        </w:rPr>
        <w:t xml:space="preserve"> USD, a import </w:t>
      </w:r>
      <w:r>
        <w:rPr>
          <w:rFonts w:cs="Arial"/>
          <w:bCs/>
          <w:color w:val="000000"/>
          <w:szCs w:val="19"/>
        </w:rPr>
        <w:t>231,0</w:t>
      </w:r>
      <w:r w:rsidRPr="0084092E">
        <w:rPr>
          <w:rFonts w:cs="Arial"/>
          <w:spacing w:val="-3"/>
          <w:szCs w:val="19"/>
        </w:rPr>
        <w:t xml:space="preserve"> ml</w:t>
      </w:r>
      <w:r>
        <w:rPr>
          <w:rFonts w:cs="Arial"/>
          <w:spacing w:val="-3"/>
          <w:szCs w:val="19"/>
        </w:rPr>
        <w:t>d</w:t>
      </w:r>
      <w:r w:rsidRPr="0084092E">
        <w:rPr>
          <w:rFonts w:cs="Arial"/>
          <w:spacing w:val="-3"/>
          <w:szCs w:val="19"/>
        </w:rPr>
        <w:t xml:space="preserve"> USD (wzrost  odpowiednio o </w:t>
      </w:r>
      <w:r>
        <w:rPr>
          <w:rFonts w:cs="Arial"/>
          <w:spacing w:val="-3"/>
          <w:szCs w:val="19"/>
        </w:rPr>
        <w:t>12,9</w:t>
      </w:r>
      <w:r w:rsidRPr="0084092E">
        <w:rPr>
          <w:rFonts w:cs="Arial"/>
          <w:spacing w:val="-3"/>
          <w:szCs w:val="19"/>
        </w:rPr>
        <w:t>% i o </w:t>
      </w:r>
      <w:r>
        <w:rPr>
          <w:rFonts w:cs="Arial"/>
          <w:spacing w:val="-3"/>
          <w:szCs w:val="19"/>
        </w:rPr>
        <w:t>15,1</w:t>
      </w:r>
      <w:r w:rsidRPr="0084092E">
        <w:rPr>
          <w:rFonts w:cs="Arial"/>
          <w:spacing w:val="-3"/>
          <w:szCs w:val="19"/>
        </w:rPr>
        <w:t xml:space="preserve">%). Dodatnie saldo ukształtowało się </w:t>
      </w:r>
      <w:r>
        <w:rPr>
          <w:rFonts w:cs="Arial"/>
          <w:spacing w:val="-3"/>
          <w:szCs w:val="19"/>
        </w:rPr>
        <w:t>na poziomie</w:t>
      </w:r>
      <w:r w:rsidRPr="0084092E">
        <w:rPr>
          <w:rFonts w:cs="Arial"/>
          <w:spacing w:val="-3"/>
          <w:szCs w:val="19"/>
        </w:rPr>
        <w:t xml:space="preserve">                          </w:t>
      </w:r>
      <w:r>
        <w:rPr>
          <w:rFonts w:cs="Arial"/>
          <w:bCs/>
          <w:color w:val="000000"/>
          <w:szCs w:val="19"/>
        </w:rPr>
        <w:t>0,6</w:t>
      </w:r>
      <w:r w:rsidRPr="0084092E">
        <w:rPr>
          <w:rFonts w:cs="Arial"/>
          <w:bCs/>
          <w:color w:val="000000"/>
          <w:szCs w:val="19"/>
        </w:rPr>
        <w:t xml:space="preserve"> </w:t>
      </w:r>
      <w:r>
        <w:rPr>
          <w:rFonts w:cs="Arial"/>
          <w:spacing w:val="-3"/>
          <w:szCs w:val="19"/>
        </w:rPr>
        <w:t>mld</w:t>
      </w:r>
      <w:r w:rsidRPr="0084092E">
        <w:rPr>
          <w:rFonts w:cs="Arial"/>
          <w:spacing w:val="-3"/>
          <w:szCs w:val="19"/>
        </w:rPr>
        <w:t> USD (w analogicznym okresie 2016 roku 4</w:t>
      </w:r>
      <w:r>
        <w:rPr>
          <w:rFonts w:cs="Arial"/>
          <w:spacing w:val="-3"/>
          <w:szCs w:val="19"/>
        </w:rPr>
        <w:t>,4 mld</w:t>
      </w:r>
      <w:r w:rsidRPr="0084092E">
        <w:rPr>
          <w:rFonts w:cs="Arial"/>
          <w:spacing w:val="-3"/>
          <w:szCs w:val="19"/>
        </w:rPr>
        <w:t xml:space="preserve"> USD). </w:t>
      </w:r>
    </w:p>
    <w:p w:rsidR="00A468E3" w:rsidRDefault="00A468E3" w:rsidP="00A468E3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84092E">
        <w:rPr>
          <w:rFonts w:cs="Arial"/>
          <w:szCs w:val="19"/>
        </w:rPr>
        <w:t>Eksport wyrażony w euro wyniósł</w:t>
      </w:r>
      <w:r w:rsidRPr="00277A82">
        <w:rPr>
          <w:rFonts w:cs="Arial"/>
          <w:szCs w:val="19"/>
        </w:rPr>
        <w:t xml:space="preserve"> </w:t>
      </w:r>
      <w:r>
        <w:rPr>
          <w:rFonts w:cs="Arial"/>
          <w:bCs/>
          <w:color w:val="000000"/>
          <w:szCs w:val="19"/>
        </w:rPr>
        <w:t>206,6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EUR, a import </w:t>
      </w:r>
      <w:r>
        <w:rPr>
          <w:rFonts w:cs="Arial"/>
          <w:bCs/>
          <w:color w:val="000000"/>
          <w:szCs w:val="19"/>
        </w:rPr>
        <w:t>206,1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   (wzrost w eksporcie o </w:t>
      </w:r>
      <w:r>
        <w:rPr>
          <w:rFonts w:cs="Arial"/>
          <w:szCs w:val="19"/>
        </w:rPr>
        <w:t>11,8</w:t>
      </w:r>
      <w:r w:rsidRPr="00277A82">
        <w:rPr>
          <w:rFonts w:cs="Arial"/>
          <w:szCs w:val="19"/>
        </w:rPr>
        <w:t xml:space="preserve">%, a w imporcie o </w:t>
      </w:r>
      <w:r>
        <w:rPr>
          <w:rFonts w:cs="Arial"/>
          <w:szCs w:val="19"/>
        </w:rPr>
        <w:t>13,9</w:t>
      </w:r>
      <w:r w:rsidRPr="00277A82">
        <w:rPr>
          <w:rFonts w:cs="Arial"/>
          <w:szCs w:val="19"/>
        </w:rPr>
        <w:t xml:space="preserve">%). Dodatnie saldo wyniosło </w:t>
      </w:r>
      <w:r>
        <w:rPr>
          <w:rFonts w:cs="Arial"/>
          <w:bCs/>
          <w:color w:val="000000"/>
          <w:szCs w:val="19"/>
        </w:rPr>
        <w:t>0</w:t>
      </w:r>
      <w:r w:rsidRPr="00277A82">
        <w:rPr>
          <w:rFonts w:cs="Arial"/>
          <w:bCs/>
          <w:color w:val="000000"/>
          <w:szCs w:val="19"/>
        </w:rPr>
        <w:t>,</w:t>
      </w:r>
      <w:r>
        <w:rPr>
          <w:rFonts w:cs="Arial"/>
          <w:bCs/>
          <w:color w:val="000000"/>
          <w:szCs w:val="19"/>
        </w:rPr>
        <w:t>5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    wobec 3</w:t>
      </w:r>
      <w:r>
        <w:rPr>
          <w:rFonts w:cs="Arial"/>
          <w:szCs w:val="19"/>
        </w:rPr>
        <w:t>,9</w:t>
      </w:r>
      <w:r w:rsidRPr="00277A82">
        <w:rPr>
          <w:rFonts w:cs="Arial"/>
          <w:szCs w:val="19"/>
        </w:rPr>
        <w:t xml:space="preserve"> ml</w:t>
      </w:r>
      <w:r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w analogicznym okresie 2016 roku.</w:t>
      </w:r>
    </w:p>
    <w:p w:rsidR="00A468E3" w:rsidRPr="00277A82" w:rsidRDefault="00A468E3" w:rsidP="00A468E3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A468E3" w:rsidRPr="00017EBA" w:rsidRDefault="00A468E3" w:rsidP="00A468E3">
      <w:pPr>
        <w:pStyle w:val="tytuwykresu"/>
      </w:pPr>
      <w:r w:rsidRPr="00017EBA">
        <w:t>Wykres 1</w:t>
      </w:r>
      <w:r>
        <w:t>.</w:t>
      </w:r>
      <w:r w:rsidRPr="00017EBA">
        <w:rPr>
          <w:shd w:val="clear" w:color="auto" w:fill="FFFFFF"/>
        </w:rPr>
        <w:t xml:space="preserve"> Obroty z</w:t>
      </w:r>
      <w:r>
        <w:rPr>
          <w:shd w:val="clear" w:color="auto" w:fill="FFFFFF"/>
        </w:rPr>
        <w:t>a trzy ostatnie miesiące</w:t>
      </w:r>
      <w:r w:rsidR="001E6D81">
        <w:rPr>
          <w:shd w:val="clear" w:color="auto" w:fill="FFFFFF"/>
        </w:rPr>
        <w:t xml:space="preserve"> 2017 r.</w:t>
      </w:r>
      <w:r>
        <w:rPr>
          <w:shd w:val="clear" w:color="auto" w:fill="FFFFFF"/>
        </w:rPr>
        <w:t xml:space="preserve"> w mld zł</w:t>
      </w:r>
    </w:p>
    <w:p w:rsidR="00A468E3" w:rsidRDefault="00A468E3" w:rsidP="00A468E3">
      <w:pPr>
        <w:pStyle w:val="Nagwek1"/>
        <w:rPr>
          <w:noProof/>
        </w:rPr>
      </w:pPr>
      <w:r>
        <w:rPr>
          <w:noProof/>
        </w:rPr>
        <w:drawing>
          <wp:inline distT="0" distB="0" distL="0" distR="0" wp14:anchorId="66A61222" wp14:editId="06E4C4AC">
            <wp:extent cx="4887595" cy="1839884"/>
            <wp:effectExtent l="0" t="0" r="8255" b="825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468E3" w:rsidRDefault="00A468E3" w:rsidP="00A468E3">
      <w:pPr>
        <w:pStyle w:val="Nagwek1"/>
        <w:rPr>
          <w:color w:val="auto"/>
          <w:shd w:val="clear" w:color="auto" w:fill="FFFFFF"/>
        </w:rPr>
      </w:pPr>
      <w:r w:rsidRPr="00F70DA2">
        <w:rPr>
          <w:noProof/>
          <w:sz w:val="18"/>
          <w:szCs w:val="18"/>
        </w:rPr>
        <w:drawing>
          <wp:anchor distT="0" distB="0" distL="114300" distR="114300" simplePos="0" relativeHeight="251741184" behindDoc="1" locked="0" layoutInCell="1" allowOverlap="1" wp14:anchorId="3EE5166F" wp14:editId="3092B2DE">
            <wp:simplePos x="0" y="0"/>
            <wp:positionH relativeFrom="margin">
              <wp:align>left</wp:align>
            </wp:positionH>
            <wp:positionV relativeFrom="paragraph">
              <wp:posOffset>345383</wp:posOffset>
            </wp:positionV>
            <wp:extent cx="5029200" cy="963930"/>
            <wp:effectExtent l="0" t="0" r="0" b="762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0DA2">
        <w:rPr>
          <w:color w:val="auto"/>
          <w:sz w:val="18"/>
          <w:szCs w:val="18"/>
        </w:rPr>
        <w:t>Wykres 2</w:t>
      </w:r>
      <w:r>
        <w:rPr>
          <w:color w:val="auto"/>
          <w:sz w:val="18"/>
          <w:szCs w:val="18"/>
        </w:rPr>
        <w:t>.</w:t>
      </w:r>
      <w:r w:rsidRPr="00F70DA2">
        <w:rPr>
          <w:color w:val="auto"/>
          <w:sz w:val="18"/>
          <w:szCs w:val="18"/>
          <w:shd w:val="clear" w:color="auto" w:fill="FFFFFF"/>
        </w:rPr>
        <w:t xml:space="preserve"> Wskaźniki wartości </w:t>
      </w:r>
      <w:r>
        <w:rPr>
          <w:color w:val="auto"/>
          <w:sz w:val="18"/>
          <w:szCs w:val="18"/>
          <w:shd w:val="clear" w:color="auto" w:fill="FFFFFF"/>
        </w:rPr>
        <w:t xml:space="preserve">eksportu </w:t>
      </w:r>
      <w:r w:rsidRPr="00F70DA2">
        <w:rPr>
          <w:color w:val="auto"/>
          <w:sz w:val="18"/>
          <w:szCs w:val="18"/>
          <w:shd w:val="clear" w:color="auto" w:fill="FFFFFF"/>
        </w:rPr>
        <w:t>w złotych - rok poprzedni = 100</w:t>
      </w:r>
    </w:p>
    <w:p w:rsidR="00A468E3" w:rsidRDefault="00A468E3" w:rsidP="00A468E3">
      <w:pPr>
        <w:rPr>
          <w:lang w:eastAsia="pl-PL"/>
        </w:rPr>
      </w:pPr>
    </w:p>
    <w:p w:rsidR="00A468E3" w:rsidRDefault="00A468E3" w:rsidP="00A468E3">
      <w:pPr>
        <w:pStyle w:val="Nagwek1"/>
      </w:pPr>
      <w:r w:rsidRPr="00F70DA2">
        <w:rPr>
          <w:color w:val="auto"/>
          <w:sz w:val="18"/>
          <w:szCs w:val="18"/>
        </w:rPr>
        <w:lastRenderedPageBreak/>
        <w:t xml:space="preserve">Wykres </w:t>
      </w:r>
      <w:r>
        <w:rPr>
          <w:color w:val="auto"/>
          <w:sz w:val="18"/>
          <w:szCs w:val="18"/>
        </w:rPr>
        <w:t>3.</w:t>
      </w:r>
      <w:r w:rsidRPr="00F70DA2">
        <w:rPr>
          <w:color w:val="auto"/>
          <w:sz w:val="18"/>
          <w:szCs w:val="18"/>
          <w:shd w:val="clear" w:color="auto" w:fill="FFFFFF"/>
        </w:rPr>
        <w:t xml:space="preserve"> Wskaźniki wartości </w:t>
      </w:r>
      <w:r>
        <w:rPr>
          <w:color w:val="auto"/>
          <w:sz w:val="18"/>
          <w:szCs w:val="18"/>
          <w:shd w:val="clear" w:color="auto" w:fill="FFFFFF"/>
        </w:rPr>
        <w:t xml:space="preserve">importu </w:t>
      </w:r>
      <w:r w:rsidRPr="00F70DA2">
        <w:rPr>
          <w:color w:val="auto"/>
          <w:sz w:val="18"/>
          <w:szCs w:val="18"/>
          <w:shd w:val="clear" w:color="auto" w:fill="FFFFFF"/>
        </w:rPr>
        <w:t>w złotych - rok poprzedni = 100</w:t>
      </w:r>
    </w:p>
    <w:p w:rsidR="00A468E3" w:rsidRDefault="00A468E3" w:rsidP="00A468E3">
      <w:pPr>
        <w:pStyle w:val="Nagwek1"/>
      </w:pPr>
      <w:r>
        <w:rPr>
          <w:noProof/>
        </w:rPr>
        <w:drawing>
          <wp:inline distT="0" distB="0" distL="0" distR="0" wp14:anchorId="437E2139" wp14:editId="211B54D8">
            <wp:extent cx="5186680" cy="1025236"/>
            <wp:effectExtent l="0" t="0" r="0" b="3810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468E3" w:rsidRPr="003C6B82" w:rsidRDefault="00A468E3" w:rsidP="00A468E3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0160" behindDoc="1" locked="0" layoutInCell="1" allowOverlap="1" wp14:anchorId="57D9A3EA" wp14:editId="53721E19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E3" w:rsidRDefault="00A468E3" w:rsidP="00A468E3">
                            <w:pPr>
                              <w:pStyle w:val="tekstzboku"/>
                            </w:pPr>
                            <w:r w:rsidRPr="008720A0">
                              <w:t xml:space="preserve">Na wysoki udział krajów rozwiniętych w obrotach towarowych </w:t>
                            </w:r>
                            <w:r>
                              <w:t>miały</w:t>
                            </w:r>
                            <w:r w:rsidRPr="008720A0">
                              <w:t xml:space="preserve"> </w:t>
                            </w:r>
                            <w:r>
                              <w:t xml:space="preserve">wpływ duże obroty z </w:t>
                            </w:r>
                            <w:r w:rsidRPr="008720A0">
                              <w:t>UE</w:t>
                            </w:r>
                            <w:r>
                              <w:t xml:space="preserve"> </w:t>
                            </w: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Pr="00074DD8" w:rsidRDefault="00A468E3" w:rsidP="00A468E3">
                            <w:pPr>
                              <w:pStyle w:val="tekstzboku"/>
                            </w:pPr>
                          </w:p>
                          <w:p w:rsidR="00A468E3" w:rsidRPr="00D616D2" w:rsidRDefault="00A468E3" w:rsidP="00A468E3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9A3EA" id="Pole tekstowe 16" o:spid="_x0000_s1028" type="#_x0000_t202" style="position:absolute;margin-left:411pt;margin-top:12.4pt;width:135.85pt;height:65.5pt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Gq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rFWcwtNEeUwcFoSXxCuOnA/aKkRzvW1P/cMycoUZ8NSrnKF4vo33RYlNcFHtw0sp1G&#10;mOEIVdNAybi9C8nzI+VblLyVSY04m7GTU8tosyTS6UlEH0/P6dbvh7t5BQ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CW&#10;SDGq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A468E3" w:rsidRDefault="00A468E3" w:rsidP="00A468E3">
                      <w:pPr>
                        <w:pStyle w:val="tekstzboku"/>
                      </w:pPr>
                      <w:r w:rsidRPr="008720A0">
                        <w:t xml:space="preserve">Na wysoki udział krajów rozwiniętych w obrotach towarowych </w:t>
                      </w:r>
                      <w:r>
                        <w:t>miały</w:t>
                      </w:r>
                      <w:r w:rsidRPr="008720A0">
                        <w:t xml:space="preserve"> </w:t>
                      </w:r>
                      <w:r>
                        <w:t xml:space="preserve">wpływ duże obroty z </w:t>
                      </w:r>
                      <w:r w:rsidRPr="008720A0">
                        <w:t>UE</w:t>
                      </w:r>
                      <w:r>
                        <w:t xml:space="preserve"> </w:t>
                      </w: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Pr="00074DD8" w:rsidRDefault="00A468E3" w:rsidP="00A468E3">
                      <w:pPr>
                        <w:pStyle w:val="tekstzboku"/>
                      </w:pPr>
                    </w:p>
                    <w:p w:rsidR="00A468E3" w:rsidRPr="00D616D2" w:rsidRDefault="00A468E3" w:rsidP="00A468E3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C6B82">
        <w:t>Obroty towarowe ogółem i według grup krajów</w:t>
      </w:r>
    </w:p>
    <w:p w:rsidR="00A468E3" w:rsidRDefault="00A468E3" w:rsidP="00A468E3">
      <w:pPr>
        <w:rPr>
          <w:shd w:val="clear" w:color="auto" w:fill="FFFFFF"/>
        </w:rPr>
      </w:pPr>
      <w:r>
        <w:rPr>
          <w:rFonts w:cs="Arial"/>
          <w:spacing w:val="-3"/>
        </w:rPr>
        <w:t>Największy u</w:t>
      </w:r>
      <w:r w:rsidRPr="003C6B82">
        <w:rPr>
          <w:rFonts w:cs="Arial"/>
          <w:spacing w:val="-3"/>
        </w:rPr>
        <w:t>dział w eksporcie ogółem</w:t>
      </w:r>
      <w:r>
        <w:rPr>
          <w:rFonts w:cs="Arial"/>
          <w:spacing w:val="-3"/>
        </w:rPr>
        <w:t xml:space="preserve"> Polska ma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 xml:space="preserve">mi </w:t>
      </w:r>
      <w:r w:rsidRPr="003C6B82">
        <w:rPr>
          <w:rFonts w:cs="Arial"/>
        </w:rPr>
        <w:t>–</w:t>
      </w:r>
      <w:r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86,</w:t>
      </w:r>
      <w:r>
        <w:rPr>
          <w:rFonts w:cs="Arial"/>
          <w:spacing w:val="-3"/>
        </w:rPr>
        <w:t>6</w:t>
      </w:r>
      <w:r w:rsidRPr="003C6B82">
        <w:rPr>
          <w:rFonts w:cs="Arial"/>
          <w:spacing w:val="-3"/>
        </w:rPr>
        <w:t>%</w:t>
      </w:r>
      <w:r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(w tym UE</w:t>
      </w:r>
      <w:r>
        <w:rPr>
          <w:rFonts w:cs="Arial"/>
          <w:spacing w:val="-3"/>
        </w:rPr>
        <w:t> 80,0</w:t>
      </w:r>
      <w:r w:rsidRPr="003C6B82">
        <w:rPr>
          <w:rFonts w:cs="Arial"/>
          <w:spacing w:val="-3"/>
        </w:rPr>
        <w:t xml:space="preserve">%), a w imporcie </w:t>
      </w:r>
      <w:r w:rsidRPr="003C6B82">
        <w:rPr>
          <w:rFonts w:cs="Arial"/>
        </w:rPr>
        <w:t xml:space="preserve">– </w:t>
      </w:r>
      <w:r w:rsidRPr="003C6B82">
        <w:rPr>
          <w:rFonts w:cs="Arial"/>
          <w:spacing w:val="-3"/>
        </w:rPr>
        <w:t>67,</w:t>
      </w:r>
      <w:r>
        <w:rPr>
          <w:rFonts w:cs="Arial"/>
          <w:spacing w:val="-3"/>
        </w:rPr>
        <w:t>7% (w tym UE 60,4</w:t>
      </w:r>
      <w:r w:rsidRPr="003C6B82">
        <w:rPr>
          <w:rFonts w:cs="Arial"/>
          <w:spacing w:val="-3"/>
        </w:rPr>
        <w:t>%), wobec odpowiednio 86,</w:t>
      </w:r>
      <w:r>
        <w:rPr>
          <w:rFonts w:cs="Arial"/>
          <w:spacing w:val="-3"/>
        </w:rPr>
        <w:t>3</w:t>
      </w:r>
      <w:r w:rsidRPr="003C6B82">
        <w:rPr>
          <w:rFonts w:cs="Arial"/>
          <w:spacing w:val="-3"/>
        </w:rPr>
        <w:t xml:space="preserve">% (w tym UE </w:t>
      </w:r>
      <w:r>
        <w:rPr>
          <w:rFonts w:cs="Arial"/>
          <w:spacing w:val="-3"/>
        </w:rPr>
        <w:t>79,8</w:t>
      </w:r>
      <w:r w:rsidRPr="003C6B82">
        <w:rPr>
          <w:rFonts w:cs="Arial"/>
          <w:spacing w:val="-3"/>
        </w:rPr>
        <w:t>%) i</w:t>
      </w:r>
      <w:r>
        <w:rPr>
          <w:rFonts w:cs="Arial"/>
          <w:spacing w:val="-3"/>
        </w:rPr>
        <w:t> </w:t>
      </w:r>
      <w:r w:rsidRPr="003C6B82">
        <w:rPr>
          <w:rFonts w:cs="Arial"/>
          <w:spacing w:val="-3"/>
        </w:rPr>
        <w:t>68,</w:t>
      </w:r>
      <w:r>
        <w:rPr>
          <w:rFonts w:cs="Arial"/>
          <w:spacing w:val="-3"/>
        </w:rPr>
        <w:t>2</w:t>
      </w:r>
      <w:r w:rsidRPr="003C6B82">
        <w:rPr>
          <w:rFonts w:cs="Arial"/>
          <w:spacing w:val="-3"/>
        </w:rPr>
        <w:t>% (w tym UE 61,</w:t>
      </w:r>
      <w:r>
        <w:rPr>
          <w:rFonts w:cs="Arial"/>
          <w:spacing w:val="-3"/>
        </w:rPr>
        <w:t>2</w:t>
      </w:r>
      <w:r w:rsidRPr="003C6B82">
        <w:rPr>
          <w:rFonts w:cs="Arial"/>
          <w:spacing w:val="-3"/>
        </w:rPr>
        <w:t>%) w analogicznym okresie 2016 roku</w:t>
      </w:r>
      <w:r w:rsidRPr="003C6B82">
        <w:rPr>
          <w:shd w:val="clear" w:color="auto" w:fill="FFFFFF"/>
        </w:rPr>
        <w:t>.</w:t>
      </w:r>
      <w:r>
        <w:rPr>
          <w:shd w:val="clear" w:color="auto" w:fill="FFFFFF"/>
        </w:rPr>
        <w:t xml:space="preserve"> Natomiast najmniejszy udział odnotowano z krajami </w:t>
      </w:r>
      <w:r w:rsidRPr="008720A0">
        <w:rPr>
          <w:rFonts w:cs="Arial"/>
          <w:spacing w:val="-3"/>
        </w:rPr>
        <w:t>Europy Środkowo-Wschodniej</w:t>
      </w:r>
      <w:r>
        <w:rPr>
          <w:rFonts w:cs="Arial"/>
          <w:spacing w:val="-3"/>
        </w:rPr>
        <w:t>, który w eksporcie ogółem wyniósł 5,8%, a w imporcie 7,9%, wobec odpowiednio 5,5% i 7,2% w 2016 r.</w:t>
      </w:r>
    </w:p>
    <w:p w:rsidR="00A468E3" w:rsidRDefault="00A468E3" w:rsidP="00A468E3">
      <w:pPr>
        <w:rPr>
          <w:rFonts w:cs="Arial"/>
          <w:spacing w:val="-3"/>
        </w:rPr>
      </w:pPr>
      <w:r w:rsidRPr="008720A0">
        <w:rPr>
          <w:rFonts w:cs="Arial"/>
          <w:spacing w:val="-3"/>
        </w:rPr>
        <w:t xml:space="preserve">Ujemne salda odnotowano z krajami rozwijającymi się – minus </w:t>
      </w:r>
      <w:r>
        <w:rPr>
          <w:rFonts w:cs="Arial"/>
          <w:color w:val="000000"/>
        </w:rPr>
        <w:t xml:space="preserve">147,5 </w:t>
      </w:r>
      <w:r>
        <w:rPr>
          <w:rFonts w:cs="Arial"/>
          <w:spacing w:val="-3"/>
        </w:rPr>
        <w:t>mld zł (min</w:t>
      </w:r>
      <w:r w:rsidRPr="008720A0">
        <w:rPr>
          <w:rFonts w:cs="Arial"/>
          <w:spacing w:val="-3"/>
        </w:rPr>
        <w:t>us </w:t>
      </w:r>
      <w:r w:rsidRPr="008720A0">
        <w:rPr>
          <w:rFonts w:cs="Arial"/>
          <w:color w:val="000000"/>
        </w:rPr>
        <w:t>3</w:t>
      </w:r>
      <w:r>
        <w:rPr>
          <w:rFonts w:cs="Arial"/>
          <w:color w:val="000000"/>
        </w:rPr>
        <w:t>8,7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 USD, minus </w:t>
      </w:r>
      <w:r w:rsidRPr="008720A0">
        <w:rPr>
          <w:rFonts w:cs="Arial"/>
          <w:color w:val="000000"/>
        </w:rPr>
        <w:t>3</w:t>
      </w:r>
      <w:r>
        <w:rPr>
          <w:rFonts w:cs="Arial"/>
          <w:color w:val="000000"/>
        </w:rPr>
        <w:t>4,5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EUR) i z krajami Europy Środkowo-Wschodniej – minus </w:t>
      </w:r>
      <w:r>
        <w:rPr>
          <w:rFonts w:cs="Arial"/>
          <w:spacing w:val="-3"/>
        </w:rPr>
        <w:t>18,6</w:t>
      </w:r>
      <w:r w:rsidRPr="008720A0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(minus </w:t>
      </w:r>
      <w:r w:rsidRPr="008720A0">
        <w:rPr>
          <w:rFonts w:cs="Arial"/>
          <w:color w:val="000000"/>
        </w:rPr>
        <w:t>4</w:t>
      </w:r>
      <w:r>
        <w:rPr>
          <w:rFonts w:cs="Arial"/>
          <w:color w:val="000000"/>
        </w:rPr>
        <w:t>,9</w:t>
      </w:r>
      <w:r w:rsidRPr="008720A0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minus </w:t>
      </w:r>
      <w:r>
        <w:rPr>
          <w:rFonts w:cs="Arial"/>
          <w:color w:val="000000"/>
        </w:rPr>
        <w:t>4,3</w:t>
      </w:r>
      <w:r w:rsidRPr="008720A0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EUR). Dodatnie saldo uzyskano w obrotach z  krajami rozwiniętymi </w:t>
      </w:r>
      <w:r>
        <w:rPr>
          <w:rFonts w:cs="Arial"/>
          <w:color w:val="000000"/>
        </w:rPr>
        <w:t>168,6</w:t>
      </w:r>
      <w:r w:rsidRPr="008720A0">
        <w:rPr>
          <w:rFonts w:cs="Arial"/>
          <w:spacing w:val="-3"/>
        </w:rPr>
        <w:t xml:space="preserve"> ml</w:t>
      </w:r>
      <w:r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zł (</w:t>
      </w:r>
      <w:r>
        <w:rPr>
          <w:rFonts w:cs="Arial"/>
          <w:color w:val="000000"/>
        </w:rPr>
        <w:t>44,2</w:t>
      </w:r>
      <w:r w:rsidRPr="008720A0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</w:t>
      </w:r>
      <w:r>
        <w:rPr>
          <w:rFonts w:cs="Arial"/>
          <w:color w:val="000000"/>
        </w:rPr>
        <w:t>39,4</w:t>
      </w:r>
      <w:r w:rsidRPr="008720A0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EUR),</w:t>
      </w:r>
      <w:r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 xml:space="preserve">w tym z krajami UE saldo osiągnęło poziom </w:t>
      </w:r>
      <w:r>
        <w:rPr>
          <w:rFonts w:cs="Arial"/>
          <w:color w:val="000000"/>
        </w:rPr>
        <w:t>175,1</w:t>
      </w:r>
      <w:r w:rsidRPr="008720A0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</w:t>
      </w:r>
      <w:r w:rsidRPr="008720A0">
        <w:rPr>
          <w:rFonts w:cs="Arial"/>
          <w:color w:val="000000"/>
        </w:rPr>
        <w:t>4</w:t>
      </w:r>
      <w:r>
        <w:rPr>
          <w:rFonts w:cs="Arial"/>
          <w:color w:val="000000"/>
        </w:rPr>
        <w:t>5,8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USD, </w:t>
      </w:r>
      <w:r>
        <w:rPr>
          <w:rFonts w:cs="Arial"/>
          <w:color w:val="000000"/>
        </w:rPr>
        <w:t>41,0</w:t>
      </w:r>
      <w:r w:rsidRPr="008720A0">
        <w:rPr>
          <w:rFonts w:cs="Arial"/>
          <w:color w:val="000000"/>
        </w:rPr>
        <w:t> </w:t>
      </w:r>
      <w:r w:rsidRPr="008720A0">
        <w:rPr>
          <w:rFonts w:cs="Arial"/>
        </w:rPr>
        <w:t>ml</w:t>
      </w:r>
      <w:r>
        <w:rPr>
          <w:rFonts w:cs="Arial"/>
        </w:rPr>
        <w:t>d</w:t>
      </w:r>
      <w:r w:rsidRPr="008720A0">
        <w:rPr>
          <w:rFonts w:cs="Arial"/>
        </w:rPr>
        <w:t> EUR</w:t>
      </w:r>
      <w:r w:rsidRPr="008720A0">
        <w:rPr>
          <w:rFonts w:cs="Arial"/>
          <w:spacing w:val="-3"/>
        </w:rPr>
        <w:t>).</w:t>
      </w:r>
    </w:p>
    <w:p w:rsidR="00A468E3" w:rsidRPr="00C30406" w:rsidRDefault="00A468E3" w:rsidP="00A468E3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A468E3" w:rsidRPr="00E33A76" w:rsidTr="001B0813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A468E3" w:rsidRPr="00673305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A468E3" w:rsidRPr="00673305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2017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A468E3" w:rsidRPr="00673305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2016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A468E3" w:rsidRPr="00673305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2017</w:t>
            </w:r>
          </w:p>
        </w:tc>
      </w:tr>
      <w:tr w:rsidR="00A468E3" w:rsidRPr="00E33A76" w:rsidTr="001B0813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A468E3" w:rsidRPr="00673305" w:rsidRDefault="00A468E3" w:rsidP="001B0813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A468E3" w:rsidRPr="00673305" w:rsidRDefault="00A468E3" w:rsidP="001B0813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A468E3" w:rsidRPr="00673305" w:rsidRDefault="00A468E3" w:rsidP="001B0813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A468E3" w:rsidRPr="00673305" w:rsidRDefault="00A468E3" w:rsidP="001B0813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A468E3" w:rsidRPr="00673305" w:rsidRDefault="00A468E3" w:rsidP="001B0813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A468E3" w:rsidRPr="00673305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A468E3" w:rsidRPr="00673305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A468E3" w:rsidRPr="00673305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2016 = 100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:rsidR="00A468E3" w:rsidRPr="00673305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A468E3" w:rsidRPr="00E33A76" w:rsidTr="001B0813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A468E3" w:rsidRPr="00673305" w:rsidRDefault="00A468E3" w:rsidP="001B0813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A468E3" w:rsidRPr="00673305" w:rsidRDefault="00A468E3" w:rsidP="001B0813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A468E3" w:rsidRPr="00673305" w:rsidRDefault="00A468E3" w:rsidP="001B0813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A468E3" w:rsidRPr="00673305" w:rsidRDefault="00A468E3" w:rsidP="001B0813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A468E3" w:rsidRPr="00673305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A468E3" w:rsidRPr="00673305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A468E3" w:rsidRPr="00673305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:rsidR="00A468E3" w:rsidRPr="00673305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468E3" w:rsidRPr="00E33A76" w:rsidTr="001B0813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A468E3" w:rsidRPr="00E33A76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A468E3" w:rsidRPr="007E4565" w:rsidRDefault="00A468E3" w:rsidP="001B0813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7E4565">
              <w:rPr>
                <w:b/>
                <w:sz w:val="16"/>
                <w:szCs w:val="16"/>
              </w:rPr>
              <w:t>882,6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A468E3" w:rsidRPr="007E4565" w:rsidRDefault="00A468E3" w:rsidP="001B0813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7E4565">
              <w:rPr>
                <w:b/>
                <w:sz w:val="16"/>
                <w:szCs w:val="16"/>
              </w:rPr>
              <w:t>231,6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A468E3" w:rsidRPr="007E4565" w:rsidRDefault="00A468E3" w:rsidP="001B0813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7E4565">
              <w:rPr>
                <w:b/>
                <w:sz w:val="16"/>
                <w:szCs w:val="16"/>
              </w:rPr>
              <w:t>206,6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A468E3" w:rsidRPr="00E33A76" w:rsidTr="001B0813">
        <w:trPr>
          <w:trHeight w:val="352"/>
        </w:trPr>
        <w:tc>
          <w:tcPr>
            <w:tcW w:w="2552" w:type="dxa"/>
            <w:vAlign w:val="center"/>
          </w:tcPr>
          <w:p w:rsidR="00A468E3" w:rsidRPr="00E33A76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764,6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200,6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179,0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66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64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86,6</w:t>
            </w:r>
          </w:p>
        </w:tc>
      </w:tr>
      <w:tr w:rsidR="00A468E3" w:rsidRPr="00E33A76" w:rsidTr="001B0813">
        <w:trPr>
          <w:trHeight w:val="342"/>
        </w:trPr>
        <w:tc>
          <w:tcPr>
            <w:tcW w:w="2552" w:type="dxa"/>
            <w:vAlign w:val="center"/>
          </w:tcPr>
          <w:p w:rsidR="00A468E3" w:rsidRPr="00E33A76" w:rsidRDefault="00A468E3" w:rsidP="001B081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706,5</w:t>
            </w:r>
          </w:p>
        </w:tc>
        <w:tc>
          <w:tcPr>
            <w:tcW w:w="717" w:type="dxa"/>
            <w:vAlign w:val="center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185,3</w:t>
            </w:r>
          </w:p>
        </w:tc>
        <w:tc>
          <w:tcPr>
            <w:tcW w:w="717" w:type="dxa"/>
            <w:vAlign w:val="center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165,4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66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64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</w:t>
            </w:r>
          </w:p>
        </w:tc>
      </w:tr>
      <w:tr w:rsidR="00A468E3" w:rsidRPr="00E33A76" w:rsidTr="001B0813">
        <w:trPr>
          <w:trHeight w:val="270"/>
        </w:trPr>
        <w:tc>
          <w:tcPr>
            <w:tcW w:w="2552" w:type="dxa"/>
            <w:vAlign w:val="center"/>
          </w:tcPr>
          <w:p w:rsidR="00A468E3" w:rsidRPr="00E33A76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503,8</w:t>
            </w:r>
          </w:p>
        </w:tc>
        <w:tc>
          <w:tcPr>
            <w:tcW w:w="717" w:type="dxa"/>
            <w:vAlign w:val="center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132,2</w:t>
            </w:r>
          </w:p>
        </w:tc>
        <w:tc>
          <w:tcPr>
            <w:tcW w:w="717" w:type="dxa"/>
            <w:vAlign w:val="center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66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64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57,1</w:t>
            </w:r>
          </w:p>
        </w:tc>
      </w:tr>
      <w:tr w:rsidR="00A468E3" w:rsidRPr="00E33A76" w:rsidTr="001B0813">
        <w:trPr>
          <w:trHeight w:val="342"/>
        </w:trPr>
        <w:tc>
          <w:tcPr>
            <w:tcW w:w="2552" w:type="dxa"/>
            <w:vAlign w:val="center"/>
          </w:tcPr>
          <w:p w:rsidR="00A468E3" w:rsidRPr="00E33A76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66,9</w:t>
            </w:r>
          </w:p>
        </w:tc>
        <w:tc>
          <w:tcPr>
            <w:tcW w:w="717" w:type="dxa"/>
            <w:vAlign w:val="center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717" w:type="dxa"/>
            <w:vAlign w:val="center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66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64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7,6</w:t>
            </w:r>
          </w:p>
        </w:tc>
      </w:tr>
      <w:tr w:rsidR="00A468E3" w:rsidRPr="00E33A76" w:rsidTr="001B0813">
        <w:trPr>
          <w:trHeight w:val="308"/>
        </w:trPr>
        <w:tc>
          <w:tcPr>
            <w:tcW w:w="2552" w:type="dxa"/>
            <w:vAlign w:val="center"/>
          </w:tcPr>
          <w:p w:rsidR="00A468E3" w:rsidRPr="00E33A76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717" w:type="dxa"/>
            <w:vAlign w:val="center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17" w:type="dxa"/>
            <w:vAlign w:val="center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120,3</w:t>
            </w:r>
          </w:p>
        </w:tc>
        <w:tc>
          <w:tcPr>
            <w:tcW w:w="66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64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</w:tr>
      <w:tr w:rsidR="00A468E3" w:rsidRPr="00E33A76" w:rsidTr="001B0813">
        <w:trPr>
          <w:trHeight w:val="342"/>
        </w:trPr>
        <w:tc>
          <w:tcPr>
            <w:tcW w:w="2552" w:type="dxa"/>
            <w:vAlign w:val="center"/>
          </w:tcPr>
          <w:p w:rsidR="00A468E3" w:rsidRPr="00A00ADB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1"/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880,1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231,0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206,1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66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656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A468E3" w:rsidRPr="00E33A76" w:rsidTr="001B0813">
        <w:trPr>
          <w:trHeight w:val="352"/>
        </w:trPr>
        <w:tc>
          <w:tcPr>
            <w:tcW w:w="2552" w:type="dxa"/>
            <w:vAlign w:val="center"/>
          </w:tcPr>
          <w:p w:rsidR="00A468E3" w:rsidRPr="00E33A76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596,0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156,4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139,6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66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64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67,7</w:t>
            </w:r>
          </w:p>
        </w:tc>
      </w:tr>
      <w:tr w:rsidR="00A468E3" w:rsidRPr="00E33A76" w:rsidTr="001B0813">
        <w:trPr>
          <w:trHeight w:val="342"/>
        </w:trPr>
        <w:tc>
          <w:tcPr>
            <w:tcW w:w="2552" w:type="dxa"/>
            <w:vAlign w:val="center"/>
          </w:tcPr>
          <w:p w:rsidR="00A468E3" w:rsidRPr="00E33A76" w:rsidRDefault="00A468E3" w:rsidP="001B081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531,4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139,5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124,4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66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64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60,4</w:t>
            </w:r>
          </w:p>
        </w:tc>
      </w:tr>
      <w:tr w:rsidR="00A468E3" w:rsidRPr="00E33A76" w:rsidTr="001B0813">
        <w:trPr>
          <w:trHeight w:val="352"/>
        </w:trPr>
        <w:tc>
          <w:tcPr>
            <w:tcW w:w="2552" w:type="dxa"/>
            <w:vAlign w:val="center"/>
          </w:tcPr>
          <w:p w:rsidR="00A468E3" w:rsidRPr="00E33A76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424,7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66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64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48,3</w:t>
            </w:r>
          </w:p>
        </w:tc>
      </w:tr>
      <w:tr w:rsidR="00A468E3" w:rsidRPr="00E33A76" w:rsidTr="001B0813">
        <w:trPr>
          <w:trHeight w:val="342"/>
        </w:trPr>
        <w:tc>
          <w:tcPr>
            <w:tcW w:w="2552" w:type="dxa"/>
            <w:vAlign w:val="center"/>
          </w:tcPr>
          <w:p w:rsidR="00A468E3" w:rsidRPr="00E33A76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214,4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66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113,1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64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</w:tr>
      <w:tr w:rsidR="00A468E3" w:rsidRPr="00E33A76" w:rsidTr="001B0813">
        <w:trPr>
          <w:trHeight w:val="355"/>
        </w:trPr>
        <w:tc>
          <w:tcPr>
            <w:tcW w:w="2552" w:type="dxa"/>
            <w:vAlign w:val="center"/>
          </w:tcPr>
          <w:p w:rsidR="00A468E3" w:rsidRPr="00E33A76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69,7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122,8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126,4</w:t>
            </w:r>
          </w:p>
        </w:tc>
        <w:tc>
          <w:tcPr>
            <w:tcW w:w="66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64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</w:t>
            </w:r>
          </w:p>
        </w:tc>
      </w:tr>
      <w:tr w:rsidR="00A468E3" w:rsidRPr="00E33A76" w:rsidTr="001B0813">
        <w:trPr>
          <w:trHeight w:val="342"/>
        </w:trPr>
        <w:tc>
          <w:tcPr>
            <w:tcW w:w="2552" w:type="dxa"/>
            <w:vAlign w:val="center"/>
          </w:tcPr>
          <w:p w:rsidR="00A468E3" w:rsidRPr="00E33A76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17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A468E3" w:rsidRPr="00E33A76" w:rsidTr="001B0813">
        <w:trPr>
          <w:trHeight w:val="352"/>
        </w:trPr>
        <w:tc>
          <w:tcPr>
            <w:tcW w:w="2552" w:type="dxa"/>
            <w:vAlign w:val="center"/>
          </w:tcPr>
          <w:p w:rsidR="00A468E3" w:rsidRPr="00E33A76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168,6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39,4</w:t>
            </w:r>
          </w:p>
        </w:tc>
        <w:tc>
          <w:tcPr>
            <w:tcW w:w="717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A468E3" w:rsidRPr="00E33A76" w:rsidTr="001B0813">
        <w:trPr>
          <w:trHeight w:val="342"/>
        </w:trPr>
        <w:tc>
          <w:tcPr>
            <w:tcW w:w="2552" w:type="dxa"/>
            <w:vAlign w:val="center"/>
          </w:tcPr>
          <w:p w:rsidR="00A468E3" w:rsidRPr="00E33A76" w:rsidRDefault="00A468E3" w:rsidP="001B081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175,1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717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A468E3" w:rsidRPr="00E33A76" w:rsidTr="001B0813">
        <w:trPr>
          <w:trHeight w:val="352"/>
        </w:trPr>
        <w:tc>
          <w:tcPr>
            <w:tcW w:w="2552" w:type="dxa"/>
            <w:vAlign w:val="center"/>
          </w:tcPr>
          <w:p w:rsidR="00A468E3" w:rsidRPr="00E33A76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717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A468E3" w:rsidRPr="00E33A76" w:rsidTr="001B0813">
        <w:trPr>
          <w:trHeight w:val="342"/>
        </w:trPr>
        <w:tc>
          <w:tcPr>
            <w:tcW w:w="2552" w:type="dxa"/>
            <w:vAlign w:val="center"/>
          </w:tcPr>
          <w:p w:rsidR="00A468E3" w:rsidRPr="00E33A76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-147,5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-38,7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-34,6</w:t>
            </w:r>
          </w:p>
        </w:tc>
        <w:tc>
          <w:tcPr>
            <w:tcW w:w="717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A468E3" w:rsidRPr="00E33A76" w:rsidTr="001B0813">
        <w:trPr>
          <w:trHeight w:val="258"/>
        </w:trPr>
        <w:tc>
          <w:tcPr>
            <w:tcW w:w="2552" w:type="dxa"/>
            <w:vAlign w:val="center"/>
          </w:tcPr>
          <w:p w:rsidR="00A468E3" w:rsidRPr="00E33A76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-18,6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-4,9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-4,3</w:t>
            </w:r>
          </w:p>
        </w:tc>
        <w:tc>
          <w:tcPr>
            <w:tcW w:w="717" w:type="dxa"/>
            <w:vAlign w:val="center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:rsidR="00A468E3" w:rsidRPr="00E33A76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</w:tbl>
    <w:p w:rsidR="00A468E3" w:rsidRDefault="00A468E3" w:rsidP="00A468E3">
      <w:pPr>
        <w:pStyle w:val="Nagwek1"/>
      </w:pPr>
      <w:r w:rsidRPr="003C6B82">
        <w:lastRenderedPageBreak/>
        <w:t xml:space="preserve">Obroty towarowe według </w:t>
      </w:r>
      <w:r>
        <w:t>ważniejszych</w:t>
      </w:r>
      <w:r w:rsidRPr="003C6B82">
        <w:t xml:space="preserve"> krajów</w:t>
      </w:r>
    </w:p>
    <w:p w:rsidR="00A468E3" w:rsidRPr="00366025" w:rsidRDefault="00A468E3" w:rsidP="00A468E3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</w:rPr>
      </w:pPr>
      <w:r w:rsidRPr="00366025">
        <w:rPr>
          <w:rFonts w:cs="Arial"/>
        </w:rPr>
        <w:t xml:space="preserve">W 2017 r. wśród głównych partnerów handlowych Polski </w:t>
      </w:r>
      <w:r>
        <w:rPr>
          <w:rFonts w:cs="Arial"/>
        </w:rPr>
        <w:t>o</w:t>
      </w:r>
      <w:r w:rsidRPr="00366025">
        <w:rPr>
          <w:rFonts w:cs="Arial"/>
        </w:rPr>
        <w:t>dnotowano wzrost eksportu oraz importu do wszystkich krajów z pierwszej dziesiątki naszych partnerów.</w:t>
      </w:r>
    </w:p>
    <w:p w:rsidR="00A468E3" w:rsidRDefault="00A468E3" w:rsidP="00A468E3">
      <w:pPr>
        <w:rPr>
          <w:rFonts w:cs="Arial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2208" behindDoc="1" locked="0" layoutInCell="1" allowOverlap="1" wp14:anchorId="5BF999F8" wp14:editId="1194A6B9">
                <wp:simplePos x="0" y="0"/>
                <wp:positionH relativeFrom="column">
                  <wp:posOffset>5210734</wp:posOffset>
                </wp:positionH>
                <wp:positionV relativeFrom="paragraph">
                  <wp:posOffset>392176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E3" w:rsidRDefault="00A468E3" w:rsidP="00A468E3">
                            <w:pPr>
                              <w:pStyle w:val="tekstzboku"/>
                            </w:pPr>
                            <w:r>
                              <w:t xml:space="preserve">Od wejścia Polski do UE największym naszym partnerem handlowym, w eksporcie, jak i imporcie są Niemcy </w:t>
                            </w: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Pr="00074DD8" w:rsidRDefault="00A468E3" w:rsidP="00A468E3">
                            <w:pPr>
                              <w:pStyle w:val="tekstzboku"/>
                            </w:pPr>
                          </w:p>
                          <w:p w:rsidR="00A468E3" w:rsidRPr="00D616D2" w:rsidRDefault="00A468E3" w:rsidP="00A468E3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999F8" id="Pole tekstowe 5" o:spid="_x0000_s1029" type="#_x0000_t202" style="position:absolute;margin-left:410.3pt;margin-top:30.9pt;width:135.85pt;height:65.5pt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" filled="f" stroked="f">
                <v:textbox>
                  <w:txbxContent>
                    <w:p w:rsidR="00A468E3" w:rsidRDefault="00A468E3" w:rsidP="00A468E3">
                      <w:pPr>
                        <w:pStyle w:val="tekstzboku"/>
                      </w:pPr>
                      <w:r>
                        <w:t xml:space="preserve">Od wejścia Polski do UE największym naszym partnerem handlowym, w eksporcie, jak i imporcie są Niemcy </w:t>
                      </w: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Pr="00074DD8" w:rsidRDefault="00A468E3" w:rsidP="00A468E3">
                      <w:pPr>
                        <w:pStyle w:val="tekstzboku"/>
                      </w:pPr>
                    </w:p>
                    <w:p w:rsidR="00A468E3" w:rsidRPr="00D616D2" w:rsidRDefault="00A468E3" w:rsidP="00A468E3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66025">
        <w:rPr>
          <w:rFonts w:cs="Arial"/>
        </w:rPr>
        <w:t xml:space="preserve">Obroty z pierwszą dziesiątką naszych partnerów handlowych </w:t>
      </w:r>
      <w:r>
        <w:rPr>
          <w:rFonts w:cs="Arial"/>
        </w:rPr>
        <w:t xml:space="preserve">w eksporcie w 2017 r. tak jak      </w:t>
      </w:r>
      <w:r w:rsidRPr="00947BE6">
        <w:t>w</w:t>
      </w:r>
      <w:r>
        <w:t xml:space="preserve"> </w:t>
      </w:r>
      <w:r w:rsidRPr="00947BE6">
        <w:t>analogicznych</w:t>
      </w:r>
      <w:r>
        <w:rPr>
          <w:rFonts w:cs="Arial"/>
        </w:rPr>
        <w:t xml:space="preserve"> okresie 2016 r. </w:t>
      </w:r>
      <w:r w:rsidRPr="00366025">
        <w:rPr>
          <w:rFonts w:cs="Arial"/>
        </w:rPr>
        <w:t>stanowiły 66,</w:t>
      </w:r>
      <w:r>
        <w:rPr>
          <w:rFonts w:cs="Arial"/>
        </w:rPr>
        <w:t>3</w:t>
      </w:r>
      <w:r w:rsidRPr="00366025">
        <w:rPr>
          <w:rFonts w:cs="Arial"/>
        </w:rPr>
        <w:t xml:space="preserve">%, a importu ogółem – </w:t>
      </w:r>
      <w:r>
        <w:rPr>
          <w:rFonts w:cs="Arial"/>
        </w:rPr>
        <w:t>65,7</w:t>
      </w:r>
      <w:r w:rsidRPr="00366025">
        <w:rPr>
          <w:rFonts w:cs="Arial"/>
        </w:rPr>
        <w:t>% (wobec 66,</w:t>
      </w:r>
      <w:r>
        <w:rPr>
          <w:rFonts w:cs="Arial"/>
        </w:rPr>
        <w:t>2</w:t>
      </w:r>
      <w:r w:rsidRPr="00366025">
        <w:rPr>
          <w:rFonts w:cs="Arial"/>
        </w:rPr>
        <w:t xml:space="preserve">% </w:t>
      </w:r>
      <w:r>
        <w:rPr>
          <w:rFonts w:cs="Arial"/>
        </w:rPr>
        <w:t xml:space="preserve">       </w:t>
      </w:r>
      <w:r w:rsidRPr="00366025">
        <w:rPr>
          <w:rFonts w:cs="Arial"/>
        </w:rPr>
        <w:t>w 2016 r.).</w:t>
      </w:r>
    </w:p>
    <w:p w:rsidR="00A468E3" w:rsidRPr="002D45CF" w:rsidRDefault="00A468E3" w:rsidP="00A468E3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  <w:r w:rsidRPr="00483835">
        <w:rPr>
          <w:rFonts w:cs="Arial"/>
          <w:szCs w:val="19"/>
        </w:rPr>
        <w:t xml:space="preserve">Udział Niemiec w eksporcie </w:t>
      </w:r>
      <w:r>
        <w:rPr>
          <w:rFonts w:cs="Arial"/>
          <w:szCs w:val="19"/>
        </w:rPr>
        <w:t xml:space="preserve">wzrósł </w:t>
      </w:r>
      <w:r w:rsidRPr="00483835">
        <w:rPr>
          <w:rFonts w:cs="Arial"/>
          <w:szCs w:val="19"/>
        </w:rPr>
        <w:t xml:space="preserve">w porównaniu z </w:t>
      </w:r>
      <w:r>
        <w:rPr>
          <w:rFonts w:cs="Arial"/>
          <w:szCs w:val="19"/>
        </w:rPr>
        <w:t>2016 r.</w:t>
      </w:r>
      <w:r w:rsidRPr="00483835">
        <w:rPr>
          <w:rFonts w:cs="Arial"/>
          <w:szCs w:val="19"/>
        </w:rPr>
        <w:t xml:space="preserve"> </w:t>
      </w:r>
      <w:r w:rsidRPr="00483835">
        <w:rPr>
          <w:szCs w:val="19"/>
        </w:rPr>
        <w:t>o 0</w:t>
      </w:r>
      <w:r w:rsidRPr="00483835">
        <w:rPr>
          <w:rFonts w:cs="Arial"/>
          <w:szCs w:val="19"/>
        </w:rPr>
        <w:t>,</w:t>
      </w:r>
      <w:r>
        <w:rPr>
          <w:rFonts w:cs="Arial"/>
          <w:szCs w:val="19"/>
        </w:rPr>
        <w:t>1</w:t>
      </w:r>
      <w:r w:rsidRPr="00483835">
        <w:rPr>
          <w:rFonts w:cs="Arial"/>
          <w:szCs w:val="19"/>
        </w:rPr>
        <w:t> p. proc. i wyniósł 2</w:t>
      </w:r>
      <w:r>
        <w:rPr>
          <w:rFonts w:cs="Arial"/>
          <w:szCs w:val="19"/>
        </w:rPr>
        <w:t>7</w:t>
      </w:r>
      <w:r w:rsidRPr="00483835">
        <w:rPr>
          <w:rFonts w:cs="Arial"/>
          <w:szCs w:val="19"/>
        </w:rPr>
        <w:t>,</w:t>
      </w:r>
      <w:r>
        <w:rPr>
          <w:rFonts w:cs="Arial"/>
          <w:szCs w:val="19"/>
        </w:rPr>
        <w:t>5</w:t>
      </w:r>
      <w:r w:rsidRPr="00483835">
        <w:rPr>
          <w:rFonts w:cs="Arial"/>
          <w:szCs w:val="19"/>
        </w:rPr>
        <w:t xml:space="preserve">%, a w imporcie </w:t>
      </w:r>
      <w:r>
        <w:rPr>
          <w:rFonts w:cs="Arial"/>
          <w:szCs w:val="19"/>
        </w:rPr>
        <w:t xml:space="preserve">obniżył się </w:t>
      </w:r>
      <w:r w:rsidRPr="00483835">
        <w:rPr>
          <w:rFonts w:cs="Arial"/>
          <w:szCs w:val="19"/>
        </w:rPr>
        <w:t>o 0,</w:t>
      </w:r>
      <w:r>
        <w:rPr>
          <w:rFonts w:cs="Arial"/>
          <w:szCs w:val="19"/>
        </w:rPr>
        <w:t>2</w:t>
      </w:r>
      <w:r w:rsidRPr="00483835">
        <w:rPr>
          <w:rFonts w:cs="Arial"/>
          <w:szCs w:val="19"/>
        </w:rPr>
        <w:t xml:space="preserve"> p. proc i stanowił 2</w:t>
      </w:r>
      <w:r>
        <w:rPr>
          <w:rFonts w:cs="Arial"/>
          <w:szCs w:val="19"/>
        </w:rPr>
        <w:t>3,1</w:t>
      </w:r>
      <w:r w:rsidRPr="00483835">
        <w:rPr>
          <w:rFonts w:cs="Arial"/>
          <w:szCs w:val="19"/>
        </w:rPr>
        <w:t xml:space="preserve">%. Dodatnie saldo wyniosło </w:t>
      </w:r>
      <w:r>
        <w:rPr>
          <w:rFonts w:cs="Arial"/>
          <w:szCs w:val="19"/>
        </w:rPr>
        <w:t>39,0</w:t>
      </w:r>
      <w:r w:rsidRPr="00483835">
        <w:rPr>
          <w:rFonts w:cs="Arial"/>
          <w:szCs w:val="19"/>
        </w:rPr>
        <w:t xml:space="preserve"> mld zł (</w:t>
      </w:r>
      <w:r>
        <w:rPr>
          <w:rFonts w:cs="Arial"/>
          <w:szCs w:val="19"/>
        </w:rPr>
        <w:t>10,2</w:t>
      </w:r>
      <w:r w:rsidRPr="00483835">
        <w:rPr>
          <w:rFonts w:cs="Arial"/>
          <w:szCs w:val="19"/>
        </w:rPr>
        <w:t xml:space="preserve"> mld USD</w:t>
      </w:r>
      <w:r w:rsidRPr="00797CEA">
        <w:rPr>
          <w:rFonts w:cs="Arial"/>
          <w:szCs w:val="19"/>
        </w:rPr>
        <w:t xml:space="preserve">, </w:t>
      </w:r>
      <w:r>
        <w:rPr>
          <w:rFonts w:cs="Arial"/>
          <w:szCs w:val="19"/>
        </w:rPr>
        <w:t>9,1</w:t>
      </w:r>
      <w:r w:rsidRPr="00797CEA">
        <w:rPr>
          <w:rFonts w:cs="Arial"/>
          <w:szCs w:val="19"/>
        </w:rPr>
        <w:t xml:space="preserve"> mld </w:t>
      </w:r>
      <w:r w:rsidRPr="00483835">
        <w:rPr>
          <w:rFonts w:cs="Arial"/>
          <w:szCs w:val="19"/>
        </w:rPr>
        <w:t xml:space="preserve">EUR) wobec </w:t>
      </w:r>
      <w:r>
        <w:rPr>
          <w:rFonts w:cs="Arial"/>
          <w:szCs w:val="19"/>
        </w:rPr>
        <w:t>36,8</w:t>
      </w:r>
      <w:r w:rsidRPr="00483835">
        <w:rPr>
          <w:rFonts w:cs="Arial"/>
          <w:szCs w:val="19"/>
        </w:rPr>
        <w:t xml:space="preserve"> mld zł (</w:t>
      </w:r>
      <w:r>
        <w:rPr>
          <w:rFonts w:cs="Arial"/>
          <w:szCs w:val="19"/>
        </w:rPr>
        <w:t>9,4</w:t>
      </w:r>
      <w:r w:rsidRPr="00483835">
        <w:rPr>
          <w:rFonts w:cs="Arial"/>
          <w:szCs w:val="19"/>
        </w:rPr>
        <w:t xml:space="preserve"> mld USD, </w:t>
      </w:r>
      <w:r>
        <w:rPr>
          <w:rFonts w:cs="Arial"/>
          <w:szCs w:val="19"/>
        </w:rPr>
        <w:t>8,4</w:t>
      </w:r>
      <w:r w:rsidRPr="00483835">
        <w:rPr>
          <w:rFonts w:cs="Arial"/>
          <w:szCs w:val="19"/>
        </w:rPr>
        <w:t xml:space="preserve"> mld EUR) </w:t>
      </w:r>
      <w:r w:rsidRPr="00483835">
        <w:rPr>
          <w:rFonts w:cs="Arial"/>
          <w:spacing w:val="-3"/>
          <w:szCs w:val="19"/>
        </w:rPr>
        <w:t xml:space="preserve">w </w:t>
      </w:r>
      <w:r>
        <w:rPr>
          <w:rFonts w:cs="Arial"/>
          <w:spacing w:val="-3"/>
          <w:szCs w:val="19"/>
        </w:rPr>
        <w:t>2016</w:t>
      </w:r>
      <w:r w:rsidRPr="00483835">
        <w:rPr>
          <w:rFonts w:cs="Arial"/>
          <w:spacing w:val="-3"/>
          <w:szCs w:val="19"/>
        </w:rPr>
        <w:t xml:space="preserve"> r.</w:t>
      </w:r>
      <w:r w:rsidRPr="002D45CF">
        <w:rPr>
          <w:rFonts w:cs="Arial"/>
          <w:spacing w:val="-3"/>
          <w:sz w:val="18"/>
          <w:szCs w:val="18"/>
        </w:rPr>
        <w:t xml:space="preserve"> </w:t>
      </w:r>
    </w:p>
    <w:p w:rsidR="00A468E3" w:rsidRPr="002D45CF" w:rsidRDefault="00A468E3" w:rsidP="00A468E3">
      <w:pPr>
        <w:rPr>
          <w:rFonts w:cs="Arial"/>
          <w:sz w:val="18"/>
          <w:szCs w:val="18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0ECCC2B4" wp14:editId="60562F68">
                <wp:simplePos x="0" y="0"/>
                <wp:positionH relativeFrom="column">
                  <wp:posOffset>5365608</wp:posOffset>
                </wp:positionH>
                <wp:positionV relativeFrom="paragraph">
                  <wp:posOffset>4607332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E3" w:rsidRPr="00FF1498" w:rsidRDefault="00A468E3" w:rsidP="00A468E3">
                            <w:pPr>
                              <w:pStyle w:val="tekstzboku"/>
                            </w:pPr>
                            <w:r w:rsidRPr="00FF1498">
                              <w:rPr>
                                <w:rFonts w:cs="Arial"/>
                              </w:rPr>
                              <w:t>Udział Rosji w</w:t>
                            </w:r>
                            <w:r>
                              <w:rPr>
                                <w:rFonts w:cs="Arial"/>
                              </w:rPr>
                              <w:t xml:space="preserve"> imporcie wzrósł w porównaniu z 2</w:t>
                            </w:r>
                            <w:r w:rsidRPr="00FF1498">
                              <w:rPr>
                                <w:rFonts w:cs="Arial"/>
                              </w:rPr>
                              <w:t>016</w:t>
                            </w:r>
                            <w:r>
                              <w:rPr>
                                <w:rFonts w:cs="Arial"/>
                              </w:rPr>
                              <w:t> r. o 0,6 p. proc. i stanowił 6,4</w:t>
                            </w:r>
                            <w:r w:rsidRPr="00FF1498">
                              <w:rPr>
                                <w:rFonts w:cs="Arial"/>
                              </w:rPr>
                              <w:t>%</w:t>
                            </w:r>
                            <w:r w:rsidRPr="00FF1498">
                              <w:t xml:space="preserve"> </w:t>
                            </w: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Pr="00074DD8" w:rsidRDefault="00A468E3" w:rsidP="00A468E3">
                            <w:pPr>
                              <w:pStyle w:val="tekstzboku"/>
                            </w:pPr>
                          </w:p>
                          <w:p w:rsidR="00A468E3" w:rsidRPr="00D616D2" w:rsidRDefault="00A468E3" w:rsidP="00A468E3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CC2B4" id="Pole tekstowe 14" o:spid="_x0000_s1030" type="#_x0000_t202" style="position:absolute;margin-left:422.5pt;margin-top:362.8pt;width:135.85pt;height:65.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" filled="f" stroked="f">
                <v:textbox>
                  <w:txbxContent>
                    <w:p w:rsidR="00A468E3" w:rsidRPr="00FF1498" w:rsidRDefault="00A468E3" w:rsidP="00A468E3">
                      <w:pPr>
                        <w:pStyle w:val="tekstzboku"/>
                      </w:pPr>
                      <w:r w:rsidRPr="00FF1498">
                        <w:rPr>
                          <w:rFonts w:cs="Arial"/>
                        </w:rPr>
                        <w:t>Udział Rosji w</w:t>
                      </w:r>
                      <w:r>
                        <w:rPr>
                          <w:rFonts w:cs="Arial"/>
                        </w:rPr>
                        <w:t xml:space="preserve"> imporcie wzrósł w porównaniu z 2</w:t>
                      </w:r>
                      <w:r w:rsidRPr="00FF1498">
                        <w:rPr>
                          <w:rFonts w:cs="Arial"/>
                        </w:rPr>
                        <w:t>016</w:t>
                      </w:r>
                      <w:r>
                        <w:rPr>
                          <w:rFonts w:cs="Arial"/>
                        </w:rPr>
                        <w:t> r. o 0,6 p. proc. i stanowił 6,4</w:t>
                      </w:r>
                      <w:r w:rsidRPr="00FF1498">
                        <w:rPr>
                          <w:rFonts w:cs="Arial"/>
                        </w:rPr>
                        <w:t>%</w:t>
                      </w:r>
                      <w:r w:rsidRPr="00FF1498">
                        <w:t xml:space="preserve"> </w:t>
                      </w: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Pr="00074DD8" w:rsidRDefault="00A468E3" w:rsidP="00A468E3">
                      <w:pPr>
                        <w:pStyle w:val="tekstzboku"/>
                      </w:pPr>
                    </w:p>
                    <w:p w:rsidR="00A468E3" w:rsidRPr="00D616D2" w:rsidRDefault="00A468E3" w:rsidP="00A468E3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Arial"/>
          <w:b/>
          <w:spacing w:val="-3"/>
          <w:sz w:val="18"/>
          <w:szCs w:val="18"/>
        </w:rPr>
        <w:t>Tablica 2</w:t>
      </w:r>
      <w:r w:rsidRPr="00C30406">
        <w:rPr>
          <w:rFonts w:cs="Arial"/>
          <w:b/>
          <w:spacing w:val="-3"/>
          <w:sz w:val="18"/>
          <w:szCs w:val="18"/>
        </w:rPr>
        <w:t xml:space="preserve">. </w:t>
      </w:r>
      <w:r>
        <w:rPr>
          <w:rFonts w:cs="Arial"/>
          <w:b/>
          <w:spacing w:val="-3"/>
          <w:sz w:val="18"/>
          <w:szCs w:val="18"/>
        </w:rPr>
        <w:t>Obroty towarowe według ważniejszych krajów</w:t>
      </w:r>
      <w:r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A468E3" w:rsidRPr="00366025" w:rsidTr="001B0813">
        <w:tc>
          <w:tcPr>
            <w:tcW w:w="2407" w:type="dxa"/>
            <w:vMerge w:val="restart"/>
            <w:tcBorders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2017</w:t>
            </w:r>
          </w:p>
        </w:tc>
        <w:tc>
          <w:tcPr>
            <w:tcW w:w="644" w:type="dxa"/>
            <w:tcBorders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2016</w:t>
            </w:r>
          </w:p>
        </w:tc>
        <w:tc>
          <w:tcPr>
            <w:tcW w:w="644" w:type="dxa"/>
            <w:tcBorders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2017</w:t>
            </w:r>
          </w:p>
        </w:tc>
      </w:tr>
      <w:tr w:rsidR="00A468E3" w:rsidRPr="00366025" w:rsidTr="001B0813">
        <w:tc>
          <w:tcPr>
            <w:tcW w:w="2407" w:type="dxa"/>
            <w:vMerge/>
            <w:tcBorders>
              <w:bottom w:val="single" w:sz="4" w:space="0" w:color="001D77"/>
            </w:tcBorders>
          </w:tcPr>
          <w:p w:rsidR="00A468E3" w:rsidRPr="005F3D74" w:rsidRDefault="00A468E3" w:rsidP="001B081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A468E3" w:rsidRPr="005F3D74" w:rsidRDefault="00A468E3" w:rsidP="001B081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A468E3" w:rsidRPr="005F3D74" w:rsidRDefault="00A468E3" w:rsidP="001B081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A468E3" w:rsidRPr="005F3D74" w:rsidRDefault="00A468E3" w:rsidP="001B081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2016 = 100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A468E3" w:rsidRPr="005F3D74" w:rsidRDefault="00A468E3" w:rsidP="001B081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A468E3" w:rsidRPr="00366025" w:rsidTr="001B0813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A468E3" w:rsidRPr="005F3D74" w:rsidRDefault="00A468E3" w:rsidP="001B081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A468E3" w:rsidRPr="005F3D74" w:rsidRDefault="00A468E3" w:rsidP="001B081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A468E3" w:rsidRPr="005F3D74" w:rsidRDefault="00A468E3" w:rsidP="001B081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A468E3" w:rsidRPr="005F3D74" w:rsidRDefault="00A468E3" w:rsidP="001B081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A468E3" w:rsidRPr="005F3D74" w:rsidRDefault="00A468E3" w:rsidP="001B081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A468E3" w:rsidRPr="005F3D74" w:rsidRDefault="00A468E3" w:rsidP="001B081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A468E3" w:rsidRPr="005F3D74" w:rsidRDefault="00A468E3" w:rsidP="001B081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:rsidR="00A468E3" w:rsidRPr="005F3D74" w:rsidRDefault="00A468E3" w:rsidP="001B081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468E3" w:rsidRPr="00366025" w:rsidTr="001B0813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A468E3" w:rsidRPr="00366025" w:rsidRDefault="00A468E3" w:rsidP="001B081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242,6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63,7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56,8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110,3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113,4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112,2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27,4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27,5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W. Brytania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56,8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14,9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13,3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106,3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109,2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108,1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Czechy 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56,8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14,9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13,3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107,6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110,6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109,5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4. Francja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49,7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13,0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11,6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112,4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115,3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114,3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43,2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11,3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10,1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112,9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115,7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114,8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38,8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10,2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107,8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110,8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109,7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Rosja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26,4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116,1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120,0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118,4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 Szwecja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24,8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106,7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109,7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108,5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9. Hiszpania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24,0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110,2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113,1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112,0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 Stany Zjednoczone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23,4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123,9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127,7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126,3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A468E3" w:rsidRPr="00366025" w:rsidTr="001B0813">
        <w:tc>
          <w:tcPr>
            <w:tcW w:w="8023" w:type="dxa"/>
            <w:gridSpan w:val="9"/>
            <w:vAlign w:val="center"/>
          </w:tcPr>
          <w:p w:rsidR="00A468E3" w:rsidRPr="00366025" w:rsidRDefault="00A468E3" w:rsidP="001B081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203,6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53,5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47,7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111,1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114,3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113,1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23,3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23,1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103,7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27,2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24,3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110,0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113,4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112,0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12,0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11,8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55,9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14,7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13,1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123,4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126,8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125,4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46,9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12,3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11,0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107,2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110,0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109,1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Francja 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34,2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9,0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109,2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112,2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111,1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33,6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111,3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114,4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113,3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31,7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8,3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7,4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111,5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114,5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113,4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25,0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113,1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116,4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115,2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9. Belgia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22,5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108,1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110,9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109,9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A468E3" w:rsidRPr="00366025" w:rsidTr="001B0813">
        <w:tc>
          <w:tcPr>
            <w:tcW w:w="2407" w:type="dxa"/>
            <w:vAlign w:val="bottom"/>
          </w:tcPr>
          <w:p w:rsidR="00A468E3" w:rsidRPr="00366025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 W. Brytania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21,1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772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103,9</w:t>
            </w:r>
          </w:p>
        </w:tc>
        <w:tc>
          <w:tcPr>
            <w:tcW w:w="671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106,9</w:t>
            </w:r>
          </w:p>
        </w:tc>
        <w:tc>
          <w:tcPr>
            <w:tcW w:w="670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105,7</w:t>
            </w:r>
          </w:p>
        </w:tc>
        <w:tc>
          <w:tcPr>
            <w:tcW w:w="644" w:type="dxa"/>
            <w:vAlign w:val="bottom"/>
          </w:tcPr>
          <w:p w:rsidR="00A468E3" w:rsidRPr="00366025" w:rsidRDefault="00A468E3" w:rsidP="001B081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A468E3" w:rsidRDefault="00A468E3" w:rsidP="00A468E3">
      <w:pPr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46304" behindDoc="0" locked="0" layoutInCell="1" allowOverlap="1" wp14:anchorId="65659593" wp14:editId="05281EB8">
            <wp:simplePos x="0" y="0"/>
            <wp:positionH relativeFrom="column">
              <wp:posOffset>-67945</wp:posOffset>
            </wp:positionH>
            <wp:positionV relativeFrom="paragraph">
              <wp:posOffset>243840</wp:posOffset>
            </wp:positionV>
            <wp:extent cx="5122545" cy="1092200"/>
            <wp:effectExtent l="0" t="0" r="1905" b="0"/>
            <wp:wrapSquare wrapText="bothSides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DA2">
        <w:rPr>
          <w:b/>
          <w:sz w:val="18"/>
          <w:szCs w:val="18"/>
        </w:rPr>
        <w:t xml:space="preserve">Wykres </w:t>
      </w:r>
      <w:r>
        <w:rPr>
          <w:b/>
          <w:sz w:val="18"/>
          <w:szCs w:val="18"/>
        </w:rPr>
        <w:t>4.</w:t>
      </w:r>
      <w:r w:rsidRPr="00F70DA2">
        <w:rPr>
          <w:b/>
          <w:sz w:val="18"/>
          <w:szCs w:val="18"/>
          <w:shd w:val="clear" w:color="auto" w:fill="FFFFFF"/>
        </w:rPr>
        <w:t xml:space="preserve"> </w:t>
      </w:r>
      <w:r>
        <w:rPr>
          <w:b/>
          <w:sz w:val="18"/>
          <w:szCs w:val="18"/>
          <w:shd w:val="clear" w:color="auto" w:fill="FFFFFF"/>
        </w:rPr>
        <w:t>Saldo Polski z Rosją (w mld zł)</w:t>
      </w:r>
      <w:r w:rsidRPr="002E14D1">
        <w:rPr>
          <w:noProof/>
          <w:lang w:eastAsia="pl-PL"/>
        </w:rPr>
        <w:t xml:space="preserve"> </w:t>
      </w:r>
    </w:p>
    <w:p w:rsidR="00A468E3" w:rsidRDefault="00A468E3" w:rsidP="00A468E3">
      <w:pPr>
        <w:pStyle w:val="Nagwek1"/>
      </w:pPr>
      <w:r>
        <w:lastRenderedPageBreak/>
        <w:t>Import według kraju wysyłki</w:t>
      </w:r>
      <w:r w:rsidRPr="003C6B82">
        <w:t xml:space="preserve"> ogółem i według grup krajów</w:t>
      </w:r>
    </w:p>
    <w:p w:rsidR="00A468E3" w:rsidRDefault="00A468E3" w:rsidP="00A468E3">
      <w:pPr>
        <w:rPr>
          <w:shd w:val="clear" w:color="auto" w:fill="FFFFFF"/>
        </w:rPr>
      </w:pPr>
      <w:r>
        <w:rPr>
          <w:rFonts w:cs="Arial"/>
          <w:spacing w:val="-3"/>
        </w:rPr>
        <w:t xml:space="preserve">Największy obrót towarowy w imporcie według kraju wysyłki Polska odnotowała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 xml:space="preserve">mi </w:t>
      </w:r>
      <w:r w:rsidRPr="003C6B82">
        <w:rPr>
          <w:rFonts w:cs="Arial"/>
        </w:rPr>
        <w:t>–</w:t>
      </w:r>
      <w:r>
        <w:rPr>
          <w:rFonts w:cs="Arial"/>
          <w:spacing w:val="-3"/>
        </w:rPr>
        <w:t xml:space="preserve"> 672,6 mld zł, </w:t>
      </w:r>
      <w:r w:rsidRPr="003C6B82">
        <w:rPr>
          <w:rFonts w:cs="Arial"/>
          <w:spacing w:val="-3"/>
        </w:rPr>
        <w:t xml:space="preserve">w tym </w:t>
      </w:r>
      <w:r>
        <w:rPr>
          <w:rFonts w:cs="Arial"/>
          <w:spacing w:val="-3"/>
        </w:rPr>
        <w:t xml:space="preserve">z </w:t>
      </w:r>
      <w:r w:rsidRPr="003C6B82">
        <w:rPr>
          <w:rFonts w:cs="Arial"/>
          <w:spacing w:val="-3"/>
        </w:rPr>
        <w:t>UE</w:t>
      </w:r>
      <w:r>
        <w:rPr>
          <w:rFonts w:cs="Arial"/>
          <w:spacing w:val="-3"/>
        </w:rPr>
        <w:t xml:space="preserve"> – 631,8 mld zł,</w:t>
      </w:r>
      <w:r w:rsidRPr="003C6B82">
        <w:rPr>
          <w:rFonts w:cs="Arial"/>
          <w:spacing w:val="-3"/>
        </w:rPr>
        <w:t xml:space="preserve"> wobec odpowiednio </w:t>
      </w:r>
      <w:r>
        <w:rPr>
          <w:rFonts w:cs="Arial"/>
          <w:spacing w:val="-3"/>
        </w:rPr>
        <w:t xml:space="preserve">605,9 mld zł, </w:t>
      </w:r>
      <w:r w:rsidRPr="003C6B82">
        <w:rPr>
          <w:rFonts w:cs="Arial"/>
          <w:spacing w:val="-3"/>
        </w:rPr>
        <w:t xml:space="preserve">w tym </w:t>
      </w:r>
      <w:r>
        <w:rPr>
          <w:rFonts w:cs="Arial"/>
          <w:spacing w:val="-3"/>
        </w:rPr>
        <w:t>z UE 570,2  mld zł </w:t>
      </w:r>
      <w:r w:rsidRPr="003C6B82">
        <w:rPr>
          <w:rFonts w:cs="Arial"/>
          <w:spacing w:val="-3"/>
        </w:rPr>
        <w:t>w </w:t>
      </w:r>
      <w:r>
        <w:rPr>
          <w:rFonts w:cs="Arial"/>
          <w:spacing w:val="-3"/>
        </w:rPr>
        <w:t xml:space="preserve">porównaniu z </w:t>
      </w:r>
      <w:r w:rsidRPr="003C6B82">
        <w:rPr>
          <w:rFonts w:cs="Arial"/>
          <w:spacing w:val="-3"/>
        </w:rPr>
        <w:t>2016 roku</w:t>
      </w:r>
      <w:r w:rsidRPr="003C6B8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A468E3" w:rsidRDefault="00A468E3" w:rsidP="00A468E3">
      <w:pPr>
        <w:rPr>
          <w:b/>
          <w:sz w:val="18"/>
          <w:szCs w:val="18"/>
          <w:shd w:val="clear" w:color="auto" w:fill="FFFFFF"/>
        </w:rPr>
      </w:pPr>
      <w:r>
        <w:rPr>
          <w:rFonts w:cs="Arial"/>
          <w:b/>
          <w:spacing w:val="-3"/>
          <w:sz w:val="18"/>
          <w:szCs w:val="18"/>
        </w:rPr>
        <w:t>Tablica 3</w:t>
      </w:r>
      <w:r w:rsidRPr="00C30406">
        <w:rPr>
          <w:rFonts w:cs="Arial"/>
          <w:b/>
          <w:spacing w:val="-3"/>
          <w:sz w:val="18"/>
          <w:szCs w:val="18"/>
        </w:rPr>
        <w:t>.</w:t>
      </w:r>
      <w:r>
        <w:rPr>
          <w:rFonts w:cs="Arial"/>
          <w:b/>
          <w:spacing w:val="-3"/>
          <w:sz w:val="18"/>
          <w:szCs w:val="18"/>
        </w:rPr>
        <w:t xml:space="preserve"> </w:t>
      </w:r>
      <w:r w:rsidRPr="0048231B">
        <w:rPr>
          <w:b/>
        </w:rPr>
        <w:t>Import według kraju wysyłki</w:t>
      </w:r>
      <w:r>
        <w:rPr>
          <w:rStyle w:val="Odwoanieprzypisudolnego"/>
          <w:b/>
        </w:rPr>
        <w:footnoteReference w:id="2"/>
      </w:r>
      <w:r w:rsidRPr="0048231B">
        <w:rPr>
          <w:b/>
        </w:rPr>
        <w:t xml:space="preserve"> ogółem </w:t>
      </w:r>
      <w:r>
        <w:rPr>
          <w:b/>
        </w:rPr>
        <w:t>i według grup krajów</w:t>
      </w:r>
    </w:p>
    <w:tbl>
      <w:tblPr>
        <w:tblW w:w="7976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17"/>
        <w:gridCol w:w="717"/>
        <w:gridCol w:w="717"/>
        <w:gridCol w:w="719"/>
        <w:gridCol w:w="717"/>
        <w:gridCol w:w="717"/>
      </w:tblGrid>
      <w:tr w:rsidR="00A468E3" w:rsidRPr="0051165C" w:rsidTr="001B0813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0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2017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2016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2017</w:t>
            </w:r>
          </w:p>
        </w:tc>
      </w:tr>
      <w:tr w:rsidR="00A468E3" w:rsidRPr="0051165C" w:rsidTr="001B0813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A468E3" w:rsidRPr="005F3D74" w:rsidRDefault="00A468E3" w:rsidP="001B0813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A468E3" w:rsidRPr="005F3D74" w:rsidRDefault="00A468E3" w:rsidP="001B0813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A468E3" w:rsidRPr="005F3D74" w:rsidRDefault="00A468E3" w:rsidP="001B0813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  <w:p w:rsidR="00A468E3" w:rsidRPr="005F3D74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5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2016 = 100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A468E3" w:rsidRPr="0051165C" w:rsidTr="001B0813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A468E3" w:rsidRPr="005F3D74" w:rsidRDefault="00A468E3" w:rsidP="001B0813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A468E3" w:rsidRPr="005F3D74" w:rsidRDefault="00A468E3" w:rsidP="001B0813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A468E3" w:rsidRPr="005F3D74" w:rsidRDefault="00A468E3" w:rsidP="001B0813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A468E3" w:rsidRPr="005F3D74" w:rsidRDefault="00A468E3" w:rsidP="001B0813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A468E3" w:rsidRPr="005F3D74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A468E3" w:rsidRPr="005F3D74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A468E3" w:rsidRPr="005F3D74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34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:rsidR="00A468E3" w:rsidRPr="005F3D74" w:rsidRDefault="00A468E3" w:rsidP="001B081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468E3" w:rsidRPr="0051165C" w:rsidTr="001B0813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A468E3" w:rsidRPr="00A00ADB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880,1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231,0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206,1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A468E3" w:rsidRPr="00053C25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53C25">
              <w:rPr>
                <w:rFonts w:cs="Arial"/>
                <w:b/>
                <w:bCs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A468E3" w:rsidRPr="00053C25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53C25">
              <w:rPr>
                <w:rFonts w:cs="Arial"/>
                <w:b/>
                <w:bCs/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719" w:type="dxa"/>
            <w:tcBorders>
              <w:top w:val="single" w:sz="12" w:space="0" w:color="001D77"/>
            </w:tcBorders>
            <w:vAlign w:val="bottom"/>
          </w:tcPr>
          <w:p w:rsidR="00A468E3" w:rsidRPr="00053C25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53C25">
              <w:rPr>
                <w:rFonts w:cs="Arial"/>
                <w:b/>
                <w:bCs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A468E3" w:rsidRPr="0051165C" w:rsidTr="001B0813">
        <w:trPr>
          <w:trHeight w:val="352"/>
        </w:trPr>
        <w:tc>
          <w:tcPr>
            <w:tcW w:w="2237" w:type="dxa"/>
            <w:vAlign w:val="center"/>
          </w:tcPr>
          <w:p w:rsidR="00A468E3" w:rsidRPr="0051165C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672,6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176,5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157,5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719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77,1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76,4</w:t>
            </w:r>
          </w:p>
        </w:tc>
      </w:tr>
      <w:tr w:rsidR="00A468E3" w:rsidRPr="0051165C" w:rsidTr="001B0813">
        <w:trPr>
          <w:trHeight w:val="342"/>
        </w:trPr>
        <w:tc>
          <w:tcPr>
            <w:tcW w:w="2237" w:type="dxa"/>
            <w:vAlign w:val="center"/>
          </w:tcPr>
          <w:p w:rsidR="00A468E3" w:rsidRPr="0051165C" w:rsidRDefault="00A468E3" w:rsidP="001B081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631,8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165,9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147,9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719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71,8</w:t>
            </w:r>
          </w:p>
        </w:tc>
      </w:tr>
      <w:tr w:rsidR="00A468E3" w:rsidRPr="0051165C" w:rsidTr="001B0813">
        <w:trPr>
          <w:trHeight w:val="352"/>
        </w:trPr>
        <w:tc>
          <w:tcPr>
            <w:tcW w:w="2237" w:type="dxa"/>
            <w:vAlign w:val="center"/>
          </w:tcPr>
          <w:p w:rsidR="00A468E3" w:rsidRPr="0051165C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512,5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134,5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719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58,2</w:t>
            </w:r>
          </w:p>
        </w:tc>
      </w:tr>
      <w:tr w:rsidR="00A468E3" w:rsidRPr="0051165C" w:rsidTr="001B0813">
        <w:trPr>
          <w:trHeight w:val="342"/>
        </w:trPr>
        <w:tc>
          <w:tcPr>
            <w:tcW w:w="2237" w:type="dxa"/>
            <w:vAlign w:val="center"/>
          </w:tcPr>
          <w:p w:rsidR="00A468E3" w:rsidRPr="0051165C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136,1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719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15,5</w:t>
            </w:r>
          </w:p>
        </w:tc>
      </w:tr>
      <w:tr w:rsidR="00A468E3" w:rsidRPr="0051165C" w:rsidTr="001B0813">
        <w:trPr>
          <w:trHeight w:val="355"/>
        </w:trPr>
        <w:tc>
          <w:tcPr>
            <w:tcW w:w="2237" w:type="dxa"/>
            <w:vAlign w:val="center"/>
          </w:tcPr>
          <w:p w:rsidR="00A468E3" w:rsidRPr="0051165C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122,1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719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124,1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8,1</w:t>
            </w:r>
          </w:p>
        </w:tc>
      </w:tr>
      <w:tr w:rsidR="00A468E3" w:rsidRPr="0051165C" w:rsidTr="001B0813">
        <w:trPr>
          <w:trHeight w:val="342"/>
        </w:trPr>
        <w:tc>
          <w:tcPr>
            <w:tcW w:w="2237" w:type="dxa"/>
            <w:vAlign w:val="center"/>
          </w:tcPr>
          <w:p w:rsidR="00A468E3" w:rsidRPr="0051165C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100" w:afterAutospacing="1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100" w:afterAutospacing="1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100" w:afterAutospacing="1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A468E3" w:rsidRPr="0051165C" w:rsidTr="001B0813">
        <w:trPr>
          <w:trHeight w:val="352"/>
        </w:trPr>
        <w:tc>
          <w:tcPr>
            <w:tcW w:w="2237" w:type="dxa"/>
            <w:vAlign w:val="center"/>
          </w:tcPr>
          <w:p w:rsidR="00A468E3" w:rsidRPr="0051165C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100" w:afterAutospacing="1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100" w:afterAutospacing="1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100" w:afterAutospacing="1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A468E3" w:rsidRPr="0051165C" w:rsidTr="001B0813">
        <w:trPr>
          <w:trHeight w:val="342"/>
        </w:trPr>
        <w:tc>
          <w:tcPr>
            <w:tcW w:w="2237" w:type="dxa"/>
            <w:vAlign w:val="center"/>
          </w:tcPr>
          <w:p w:rsidR="00A468E3" w:rsidRPr="0051165C" w:rsidRDefault="00A468E3" w:rsidP="001B081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100" w:afterAutospacing="1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100" w:afterAutospacing="1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100" w:afterAutospacing="1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A468E3" w:rsidRPr="0051165C" w:rsidTr="001B0813">
        <w:trPr>
          <w:trHeight w:val="352"/>
        </w:trPr>
        <w:tc>
          <w:tcPr>
            <w:tcW w:w="2237" w:type="dxa"/>
            <w:vAlign w:val="center"/>
          </w:tcPr>
          <w:p w:rsidR="00A468E3" w:rsidRPr="0051165C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100" w:afterAutospacing="1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-8,7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100" w:afterAutospacing="1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-2,3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100" w:afterAutospacing="1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-2,1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A468E3" w:rsidRPr="0051165C" w:rsidTr="001B0813">
        <w:trPr>
          <w:trHeight w:val="342"/>
        </w:trPr>
        <w:tc>
          <w:tcPr>
            <w:tcW w:w="2237" w:type="dxa"/>
            <w:vAlign w:val="center"/>
          </w:tcPr>
          <w:p w:rsidR="00A468E3" w:rsidRPr="0051165C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100" w:afterAutospacing="1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-69,2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100" w:afterAutospacing="1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-18,1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100" w:afterAutospacing="1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-16,3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A468E3" w:rsidRPr="0051165C" w:rsidTr="001B0813">
        <w:trPr>
          <w:trHeight w:val="258"/>
        </w:trPr>
        <w:tc>
          <w:tcPr>
            <w:tcW w:w="2237" w:type="dxa"/>
            <w:vAlign w:val="center"/>
          </w:tcPr>
          <w:p w:rsidR="00A468E3" w:rsidRPr="0051165C" w:rsidRDefault="00A468E3" w:rsidP="001B081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18" w:type="dxa"/>
            <w:vAlign w:val="bottom"/>
          </w:tcPr>
          <w:p w:rsidR="00A468E3" w:rsidRDefault="00A468E3" w:rsidP="001B0813">
            <w:pPr>
              <w:spacing w:after="100" w:afterAutospacing="1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-20,3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100" w:afterAutospacing="1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-5,4</w:t>
            </w:r>
          </w:p>
        </w:tc>
        <w:tc>
          <w:tcPr>
            <w:tcW w:w="717" w:type="dxa"/>
            <w:vAlign w:val="bottom"/>
          </w:tcPr>
          <w:p w:rsidR="00A468E3" w:rsidRDefault="00A468E3" w:rsidP="001B0813">
            <w:pPr>
              <w:spacing w:after="100" w:afterAutospacing="1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-4,7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A468E3" w:rsidRPr="0051165C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</w:tbl>
    <w:p w:rsidR="00A468E3" w:rsidRDefault="00A468E3" w:rsidP="00A468E3">
      <w:pPr>
        <w:rPr>
          <w:b/>
          <w:sz w:val="18"/>
          <w:szCs w:val="18"/>
        </w:rPr>
      </w:pPr>
    </w:p>
    <w:p w:rsidR="00010D91" w:rsidRDefault="00010D91" w:rsidP="00A468E3">
      <w:pPr>
        <w:rPr>
          <w:b/>
          <w:sz w:val="18"/>
          <w:szCs w:val="18"/>
        </w:rPr>
      </w:pPr>
    </w:p>
    <w:p w:rsidR="00010D91" w:rsidRDefault="00010D91" w:rsidP="00A468E3">
      <w:pPr>
        <w:rPr>
          <w:b/>
          <w:sz w:val="18"/>
          <w:szCs w:val="18"/>
        </w:rPr>
      </w:pPr>
    </w:p>
    <w:p w:rsidR="00010D91" w:rsidRDefault="00010D91" w:rsidP="00A468E3">
      <w:pPr>
        <w:rPr>
          <w:b/>
          <w:sz w:val="18"/>
          <w:szCs w:val="18"/>
        </w:rPr>
      </w:pPr>
    </w:p>
    <w:p w:rsidR="00010D91" w:rsidRDefault="00010D91" w:rsidP="00A468E3">
      <w:pPr>
        <w:rPr>
          <w:b/>
          <w:sz w:val="18"/>
          <w:szCs w:val="18"/>
        </w:rPr>
      </w:pPr>
    </w:p>
    <w:p w:rsidR="00A468E3" w:rsidRDefault="00A468E3" w:rsidP="00A468E3">
      <w:pPr>
        <w:rPr>
          <w:b/>
          <w:sz w:val="18"/>
          <w:szCs w:val="18"/>
          <w:shd w:val="clear" w:color="auto" w:fill="FFFFFF"/>
        </w:rPr>
      </w:pPr>
      <w:r w:rsidRPr="00F70DA2">
        <w:rPr>
          <w:b/>
          <w:sz w:val="18"/>
          <w:szCs w:val="18"/>
        </w:rPr>
        <w:t xml:space="preserve">Wykres </w:t>
      </w:r>
      <w:r>
        <w:rPr>
          <w:b/>
          <w:sz w:val="18"/>
          <w:szCs w:val="18"/>
        </w:rPr>
        <w:t>5.</w:t>
      </w:r>
      <w:r w:rsidRPr="00F70DA2">
        <w:rPr>
          <w:b/>
          <w:sz w:val="18"/>
          <w:szCs w:val="18"/>
          <w:shd w:val="clear" w:color="auto" w:fill="FFFFFF"/>
        </w:rPr>
        <w:t xml:space="preserve"> </w:t>
      </w:r>
      <w:r w:rsidRPr="002313C5">
        <w:rPr>
          <w:b/>
          <w:sz w:val="18"/>
          <w:szCs w:val="18"/>
          <w:shd w:val="clear" w:color="auto" w:fill="FFFFFF"/>
        </w:rPr>
        <w:t xml:space="preserve">Udział grup krajów </w:t>
      </w:r>
      <w:r w:rsidR="00CE36AB">
        <w:rPr>
          <w:b/>
          <w:sz w:val="18"/>
          <w:szCs w:val="18"/>
          <w:shd w:val="clear" w:color="auto" w:fill="FFFFFF"/>
        </w:rPr>
        <w:t xml:space="preserve">w imporcie </w:t>
      </w:r>
      <w:r w:rsidRPr="002313C5">
        <w:rPr>
          <w:b/>
          <w:sz w:val="18"/>
          <w:szCs w:val="18"/>
          <w:shd w:val="clear" w:color="auto" w:fill="FFFFFF"/>
        </w:rPr>
        <w:t xml:space="preserve">według kraju pochodzenia, a kraju wysyłki </w:t>
      </w:r>
      <w:r>
        <w:rPr>
          <w:b/>
          <w:sz w:val="18"/>
          <w:szCs w:val="18"/>
          <w:shd w:val="clear" w:color="auto" w:fill="FFFFFF"/>
        </w:rPr>
        <w:t>w</w:t>
      </w:r>
      <w:r w:rsidRPr="002313C5">
        <w:rPr>
          <w:b/>
          <w:sz w:val="18"/>
          <w:szCs w:val="18"/>
          <w:shd w:val="clear" w:color="auto" w:fill="FFFFFF"/>
        </w:rPr>
        <w:t xml:space="preserve"> 2017 r.</w:t>
      </w:r>
      <w:r>
        <w:rPr>
          <w:noProof/>
          <w:lang w:eastAsia="pl-PL"/>
        </w:rPr>
        <w:drawing>
          <wp:anchor distT="0" distB="0" distL="114300" distR="114300" simplePos="0" relativeHeight="251745280" behindDoc="0" locked="0" layoutInCell="1" allowOverlap="1" wp14:anchorId="6F2F250D" wp14:editId="7EAD4401">
            <wp:simplePos x="0" y="0"/>
            <wp:positionH relativeFrom="column">
              <wp:posOffset>0</wp:posOffset>
            </wp:positionH>
            <wp:positionV relativeFrom="paragraph">
              <wp:posOffset>179705</wp:posOffset>
            </wp:positionV>
            <wp:extent cx="5122545" cy="2292350"/>
            <wp:effectExtent l="0" t="0" r="1905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8E3" w:rsidRDefault="00A468E3" w:rsidP="00A468E3">
      <w:pPr>
        <w:pStyle w:val="Nagwek1"/>
      </w:pPr>
      <w:r>
        <w:lastRenderedPageBreak/>
        <w:t>Import według kraju wysyłki – według krajów</w:t>
      </w:r>
    </w:p>
    <w:p w:rsidR="00A468E3" w:rsidRDefault="00A468E3" w:rsidP="00A468E3">
      <w:pPr>
        <w:rPr>
          <w:b/>
          <w:sz w:val="18"/>
          <w:szCs w:val="18"/>
          <w:shd w:val="clear" w:color="auto" w:fill="FFFFFF"/>
        </w:rPr>
      </w:pPr>
      <w:r>
        <w:t xml:space="preserve">Udział Niemiec w imporcie według </w:t>
      </w:r>
      <w:r w:rsidRPr="00345F7C">
        <w:t xml:space="preserve"> </w:t>
      </w:r>
      <w:r w:rsidRPr="00345F7C">
        <w:rPr>
          <w:rFonts w:cs="Arial"/>
        </w:rPr>
        <w:t xml:space="preserve">kraju </w:t>
      </w:r>
      <w:r>
        <w:rPr>
          <w:rFonts w:cs="Arial"/>
        </w:rPr>
        <w:t>wysyłki</w:t>
      </w:r>
      <w:r w:rsidRPr="00345F7C">
        <w:rPr>
          <w:rFonts w:cs="Arial"/>
        </w:rPr>
        <w:t xml:space="preserve"> </w:t>
      </w:r>
      <w:r>
        <w:rPr>
          <w:rFonts w:cs="Arial"/>
        </w:rPr>
        <w:t>w stosunk</w:t>
      </w:r>
      <w:r w:rsidR="009360D3">
        <w:rPr>
          <w:rFonts w:cs="Arial"/>
        </w:rPr>
        <w:t>u</w:t>
      </w:r>
      <w:r>
        <w:rPr>
          <w:rFonts w:cs="Arial"/>
        </w:rPr>
        <w:t xml:space="preserve"> do importu według kraju pochodzenia był większy o 4,9 p. proc., udział Holandii odpowiednio był większy o 2,2 p. proc., a Belgii o 1,1 p. proc.</w:t>
      </w:r>
      <w:r w:rsidRPr="00633014">
        <w:rPr>
          <w:b/>
          <w:noProof/>
          <w:spacing w:val="-2"/>
          <w:szCs w:val="19"/>
          <w:lang w:eastAsia="pl-PL"/>
        </w:rPr>
        <w:t xml:space="preserve"> </w:t>
      </w: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5816C3F0" wp14:editId="7C67A57A">
                <wp:simplePos x="0" y="0"/>
                <wp:positionH relativeFrom="column">
                  <wp:posOffset>5290820</wp:posOffset>
                </wp:positionH>
                <wp:positionV relativeFrom="paragraph">
                  <wp:posOffset>1652558</wp:posOffset>
                </wp:positionV>
                <wp:extent cx="1725295" cy="2023872"/>
                <wp:effectExtent l="0" t="0" r="0" b="0"/>
                <wp:wrapTight wrapText="bothSides">
                  <wp:wrapPolygon edited="0">
                    <wp:start x="715" y="0"/>
                    <wp:lineTo x="715" y="21349"/>
                    <wp:lineTo x="20749" y="21349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238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E3" w:rsidRDefault="00A468E3" w:rsidP="00A468E3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 xml:space="preserve">Import z Chin </w:t>
                            </w:r>
                            <w:r>
                              <w:t xml:space="preserve">według </w:t>
                            </w:r>
                            <w:r w:rsidRPr="00345F7C">
                              <w:t xml:space="preserve"> 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kraju </w:t>
                            </w:r>
                            <w:r>
                              <w:rPr>
                                <w:rFonts w:cs="Arial"/>
                              </w:rPr>
                              <w:t>wysyłki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w stosunk</w:t>
                            </w:r>
                            <w:r w:rsidR="009360D3">
                              <w:rPr>
                                <w:rFonts w:cs="Arial"/>
                              </w:rPr>
                              <w:t>u</w:t>
                            </w:r>
                            <w:r>
                              <w:rPr>
                                <w:rFonts w:cs="Arial"/>
                              </w:rPr>
                              <w:t xml:space="preserve"> do importu według kraju pochodzenia był mniejszy o 4,7 p. proc.</w:t>
                            </w: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Default="00A468E3" w:rsidP="00A468E3">
                            <w:pPr>
                              <w:pStyle w:val="tekstzboku"/>
                            </w:pPr>
                          </w:p>
                          <w:p w:rsidR="00A468E3" w:rsidRPr="00074DD8" w:rsidRDefault="00A468E3" w:rsidP="00A468E3">
                            <w:pPr>
                              <w:pStyle w:val="tekstzboku"/>
                            </w:pPr>
                          </w:p>
                          <w:p w:rsidR="00A468E3" w:rsidRPr="00D616D2" w:rsidRDefault="00A468E3" w:rsidP="00A468E3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6C3F0" id="_x0000_t202" coordsize="21600,21600" o:spt="202" path="m,l,21600r21600,l21600,xe">
                <v:stroke joinstyle="miter"/>
                <v:path gradientshapeok="t" o:connecttype="rect"/>
              </v:shapetype>
              <v:shape id="Pole tekstowe 32" o:spid="_x0000_s1031" type="#_x0000_t202" style="position:absolute;margin-left:416.6pt;margin-top:130.1pt;width:135.85pt;height:159.35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" filled="f" stroked="f">
                <v:textbox>
                  <w:txbxContent>
                    <w:p w:rsidR="00A468E3" w:rsidRDefault="00A468E3" w:rsidP="00A468E3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 xml:space="preserve">Import z Chin </w:t>
                      </w:r>
                      <w:r>
                        <w:t xml:space="preserve">według </w:t>
                      </w:r>
                      <w:r w:rsidRPr="00345F7C">
                        <w:t xml:space="preserve"> </w:t>
                      </w:r>
                      <w:r w:rsidRPr="00345F7C">
                        <w:rPr>
                          <w:rFonts w:cs="Arial"/>
                        </w:rPr>
                        <w:t xml:space="preserve">kraju </w:t>
                      </w:r>
                      <w:r>
                        <w:rPr>
                          <w:rFonts w:cs="Arial"/>
                        </w:rPr>
                        <w:t>wysyłki</w:t>
                      </w:r>
                      <w:r w:rsidRPr="00345F7C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w stosunk</w:t>
                      </w:r>
                      <w:r w:rsidR="009360D3">
                        <w:rPr>
                          <w:rFonts w:cs="Arial"/>
                        </w:rPr>
                        <w:t>u</w:t>
                      </w:r>
                      <w:r>
                        <w:rPr>
                          <w:rFonts w:cs="Arial"/>
                        </w:rPr>
                        <w:t xml:space="preserve"> do importu według kraju pochodzenia był mniejszy o 4,7 p. proc.</w:t>
                      </w: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Default="00A468E3" w:rsidP="00A468E3">
                      <w:pPr>
                        <w:pStyle w:val="tekstzboku"/>
                      </w:pPr>
                    </w:p>
                    <w:p w:rsidR="00A468E3" w:rsidRPr="00074DD8" w:rsidRDefault="00A468E3" w:rsidP="00A468E3">
                      <w:pPr>
                        <w:pStyle w:val="tekstzboku"/>
                      </w:pPr>
                    </w:p>
                    <w:p w:rsidR="00A468E3" w:rsidRPr="00D616D2" w:rsidRDefault="00A468E3" w:rsidP="00A468E3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93761" w:rsidRPr="00001C5B" w:rsidRDefault="00393761" w:rsidP="00074DD8">
      <w:pPr>
        <w:pStyle w:val="tytuinformacji"/>
        <w:rPr>
          <w:sz w:val="32"/>
        </w:rPr>
      </w:pPr>
    </w:p>
    <w:tbl>
      <w:tblPr>
        <w:tblpPr w:leftFromText="141" w:rightFromText="141" w:vertAnchor="page" w:horzAnchor="margin" w:tblpY="3780"/>
        <w:tblW w:w="485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51"/>
        <w:gridCol w:w="754"/>
        <w:gridCol w:w="754"/>
        <w:gridCol w:w="754"/>
        <w:gridCol w:w="655"/>
        <w:gridCol w:w="655"/>
        <w:gridCol w:w="656"/>
        <w:gridCol w:w="629"/>
        <w:gridCol w:w="630"/>
      </w:tblGrid>
      <w:tr w:rsidR="00A468E3" w:rsidRPr="00366025" w:rsidTr="001B0813">
        <w:trPr>
          <w:trHeight w:val="613"/>
        </w:trPr>
        <w:tc>
          <w:tcPr>
            <w:tcW w:w="2351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28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2017</w:t>
            </w:r>
          </w:p>
        </w:tc>
        <w:tc>
          <w:tcPr>
            <w:tcW w:w="629" w:type="dxa"/>
            <w:tcBorders>
              <w:top w:val="nil"/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2016</w:t>
            </w:r>
          </w:p>
        </w:tc>
        <w:tc>
          <w:tcPr>
            <w:tcW w:w="630" w:type="dxa"/>
            <w:tcBorders>
              <w:top w:val="nil"/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2017</w:t>
            </w:r>
          </w:p>
        </w:tc>
      </w:tr>
      <w:tr w:rsidR="00A468E3" w:rsidRPr="00366025" w:rsidTr="001B0813">
        <w:trPr>
          <w:trHeight w:val="613"/>
        </w:trPr>
        <w:tc>
          <w:tcPr>
            <w:tcW w:w="2351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A468E3" w:rsidRPr="005F3D74" w:rsidRDefault="00A468E3" w:rsidP="001B081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A468E3" w:rsidRPr="005F3D74" w:rsidRDefault="00A468E3" w:rsidP="001B081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A468E3" w:rsidRPr="005F3D74" w:rsidRDefault="00A468E3" w:rsidP="001B081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A468E3" w:rsidRPr="005F3D74" w:rsidRDefault="00A468E3" w:rsidP="001B081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6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2016 = 100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:rsidR="00A468E3" w:rsidRPr="005F3D74" w:rsidRDefault="00A468E3" w:rsidP="001B081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A468E3" w:rsidRPr="00366025" w:rsidTr="001B0813">
        <w:trPr>
          <w:trHeight w:val="774"/>
        </w:trPr>
        <w:tc>
          <w:tcPr>
            <w:tcW w:w="235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A468E3" w:rsidRPr="005F3D74" w:rsidRDefault="00A468E3" w:rsidP="001B081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A468E3" w:rsidRPr="005F3D74" w:rsidRDefault="00A468E3" w:rsidP="001B081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A468E3" w:rsidRPr="005F3D74" w:rsidRDefault="00A468E3" w:rsidP="001B081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A468E3" w:rsidRPr="005F3D74" w:rsidRDefault="00A468E3" w:rsidP="001B081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A468E3" w:rsidRPr="005F3D74" w:rsidRDefault="00A468E3" w:rsidP="001B081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A468E3" w:rsidRPr="005F3D74" w:rsidRDefault="00A468E3" w:rsidP="001B081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5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A468E3" w:rsidRPr="005F3D74" w:rsidRDefault="00A468E3" w:rsidP="001B081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59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:rsidR="00A468E3" w:rsidRPr="005F3D74" w:rsidRDefault="00A468E3" w:rsidP="001B081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468E3" w:rsidRPr="00366025" w:rsidTr="001B0813">
        <w:trPr>
          <w:trHeight w:val="394"/>
        </w:trPr>
        <w:tc>
          <w:tcPr>
            <w:tcW w:w="7838" w:type="dxa"/>
            <w:gridSpan w:val="9"/>
            <w:tcBorders>
              <w:top w:val="single" w:sz="12" w:space="0" w:color="001D77"/>
            </w:tcBorders>
            <w:vAlign w:val="center"/>
          </w:tcPr>
          <w:p w:rsidR="00A468E3" w:rsidRPr="00366025" w:rsidRDefault="00A468E3" w:rsidP="001B081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468E3" w:rsidRPr="00366025" w:rsidTr="001B0813">
        <w:trPr>
          <w:trHeight w:val="394"/>
        </w:trPr>
        <w:tc>
          <w:tcPr>
            <w:tcW w:w="2351" w:type="dxa"/>
            <w:vAlign w:val="center"/>
          </w:tcPr>
          <w:p w:rsidR="00A468E3" w:rsidRPr="0038490F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246,6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64,8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57,7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111,4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114,5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113,3</w:t>
            </w:r>
          </w:p>
        </w:tc>
        <w:tc>
          <w:tcPr>
            <w:tcW w:w="629" w:type="dxa"/>
            <w:vAlign w:val="bottom"/>
          </w:tcPr>
          <w:p w:rsidR="00A468E3" w:rsidRPr="0038490F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28,2</w:t>
            </w:r>
          </w:p>
        </w:tc>
        <w:tc>
          <w:tcPr>
            <w:tcW w:w="630" w:type="dxa"/>
            <w:vAlign w:val="center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28,0</w:t>
            </w:r>
          </w:p>
        </w:tc>
      </w:tr>
      <w:tr w:rsidR="00A468E3" w:rsidRPr="00366025" w:rsidTr="001B0813">
        <w:trPr>
          <w:trHeight w:val="394"/>
        </w:trPr>
        <w:tc>
          <w:tcPr>
            <w:tcW w:w="2351" w:type="dxa"/>
            <w:vAlign w:val="center"/>
          </w:tcPr>
          <w:p w:rsidR="00A468E3" w:rsidRPr="0038490F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62,3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16,3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14,6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110,3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113,7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112,3</w:t>
            </w:r>
          </w:p>
        </w:tc>
        <w:tc>
          <w:tcPr>
            <w:tcW w:w="629" w:type="dxa"/>
            <w:vAlign w:val="bottom"/>
          </w:tcPr>
          <w:p w:rsidR="00A468E3" w:rsidRPr="0038490F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630" w:type="dxa"/>
            <w:vAlign w:val="center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</w:tr>
      <w:tr w:rsidR="00A468E3" w:rsidRPr="00366025" w:rsidTr="001B0813">
        <w:trPr>
          <w:trHeight w:val="394"/>
        </w:trPr>
        <w:tc>
          <w:tcPr>
            <w:tcW w:w="2351" w:type="dxa"/>
            <w:vAlign w:val="center"/>
          </w:tcPr>
          <w:p w:rsidR="00A468E3" w:rsidRPr="0038490F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56,6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14,9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13,3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122,5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126,0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124,5</w:t>
            </w:r>
          </w:p>
        </w:tc>
        <w:tc>
          <w:tcPr>
            <w:tcW w:w="629" w:type="dxa"/>
            <w:vAlign w:val="bottom"/>
          </w:tcPr>
          <w:p w:rsidR="00A468E3" w:rsidRPr="0038490F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30" w:type="dxa"/>
            <w:vAlign w:val="center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</w:tr>
      <w:tr w:rsidR="00A468E3" w:rsidRPr="00366025" w:rsidTr="001B0813">
        <w:trPr>
          <w:trHeight w:val="394"/>
        </w:trPr>
        <w:tc>
          <w:tcPr>
            <w:tcW w:w="2351" w:type="dxa"/>
            <w:vAlign w:val="center"/>
          </w:tcPr>
          <w:p w:rsidR="00A468E3" w:rsidRPr="0038490F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52,4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13,8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12,3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111,1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114,3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113,1</w:t>
            </w:r>
          </w:p>
        </w:tc>
        <w:tc>
          <w:tcPr>
            <w:tcW w:w="629" w:type="dxa"/>
            <w:vAlign w:val="bottom"/>
          </w:tcPr>
          <w:p w:rsidR="00A468E3" w:rsidRPr="0038490F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30" w:type="dxa"/>
            <w:vAlign w:val="center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</w:tr>
      <w:tr w:rsidR="00A468E3" w:rsidRPr="00366025" w:rsidTr="001B0813">
        <w:trPr>
          <w:trHeight w:val="394"/>
        </w:trPr>
        <w:tc>
          <w:tcPr>
            <w:tcW w:w="2351" w:type="dxa"/>
            <w:vAlign w:val="center"/>
          </w:tcPr>
          <w:p w:rsidR="00A468E3" w:rsidRPr="0038490F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47,5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12,4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11,1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109,8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112,8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111,8</w:t>
            </w:r>
          </w:p>
        </w:tc>
        <w:tc>
          <w:tcPr>
            <w:tcW w:w="629" w:type="dxa"/>
            <w:vAlign w:val="bottom"/>
          </w:tcPr>
          <w:p w:rsidR="00A468E3" w:rsidRPr="0038490F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30" w:type="dxa"/>
            <w:vAlign w:val="center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</w:tr>
      <w:tr w:rsidR="00A468E3" w:rsidRPr="00366025" w:rsidTr="001B0813">
        <w:trPr>
          <w:trHeight w:val="394"/>
        </w:trPr>
        <w:tc>
          <w:tcPr>
            <w:tcW w:w="2351" w:type="dxa"/>
            <w:vAlign w:val="center"/>
          </w:tcPr>
          <w:p w:rsidR="00A468E3" w:rsidRPr="0038490F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6. Francja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36,5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9,6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8,5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108,8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111,7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110,7</w:t>
            </w:r>
          </w:p>
        </w:tc>
        <w:tc>
          <w:tcPr>
            <w:tcW w:w="629" w:type="dxa"/>
            <w:vAlign w:val="bottom"/>
          </w:tcPr>
          <w:p w:rsidR="00A468E3" w:rsidRPr="0038490F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630" w:type="dxa"/>
            <w:vAlign w:val="center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</w:tr>
      <w:tr w:rsidR="00A468E3" w:rsidRPr="00366025" w:rsidTr="001B0813">
        <w:trPr>
          <w:trHeight w:val="394"/>
        </w:trPr>
        <w:tc>
          <w:tcPr>
            <w:tcW w:w="2351" w:type="dxa"/>
            <w:vAlign w:val="center"/>
          </w:tcPr>
          <w:p w:rsidR="00A468E3" w:rsidRPr="0038490F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35,6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9,3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8,3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111,2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114,3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113,1</w:t>
            </w:r>
          </w:p>
        </w:tc>
        <w:tc>
          <w:tcPr>
            <w:tcW w:w="629" w:type="dxa"/>
            <w:vAlign w:val="bottom"/>
          </w:tcPr>
          <w:p w:rsidR="00A468E3" w:rsidRPr="0038490F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30" w:type="dxa"/>
            <w:vAlign w:val="center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A468E3" w:rsidRPr="00366025" w:rsidTr="001B0813">
        <w:trPr>
          <w:trHeight w:val="394"/>
        </w:trPr>
        <w:tc>
          <w:tcPr>
            <w:tcW w:w="2351" w:type="dxa"/>
            <w:vAlign w:val="center"/>
          </w:tcPr>
          <w:p w:rsidR="00A468E3" w:rsidRPr="0038490F" w:rsidRDefault="00A468E3" w:rsidP="001B0813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32,7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8,6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112,5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115,6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114,5</w:t>
            </w:r>
          </w:p>
        </w:tc>
        <w:tc>
          <w:tcPr>
            <w:tcW w:w="629" w:type="dxa"/>
            <w:vAlign w:val="bottom"/>
          </w:tcPr>
          <w:p w:rsidR="00A468E3" w:rsidRPr="0038490F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30" w:type="dxa"/>
            <w:vAlign w:val="center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A468E3" w:rsidRPr="00366025" w:rsidTr="001B0813">
        <w:trPr>
          <w:trHeight w:val="394"/>
        </w:trPr>
        <w:tc>
          <w:tcPr>
            <w:tcW w:w="2351" w:type="dxa"/>
            <w:vAlign w:val="center"/>
          </w:tcPr>
          <w:p w:rsidR="00A468E3" w:rsidRPr="0038490F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9. W. Brytania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24,2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107,6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110,8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109,5</w:t>
            </w:r>
          </w:p>
        </w:tc>
        <w:tc>
          <w:tcPr>
            <w:tcW w:w="629" w:type="dxa"/>
            <w:vAlign w:val="bottom"/>
          </w:tcPr>
          <w:p w:rsidR="00A468E3" w:rsidRPr="0038490F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30" w:type="dxa"/>
            <w:vAlign w:val="center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A468E3" w:rsidRPr="00366025" w:rsidTr="001B0813">
        <w:trPr>
          <w:trHeight w:val="394"/>
        </w:trPr>
        <w:tc>
          <w:tcPr>
            <w:tcW w:w="2351" w:type="dxa"/>
            <w:vAlign w:val="center"/>
          </w:tcPr>
          <w:p w:rsidR="00A468E3" w:rsidRPr="0038490F" w:rsidRDefault="00A468E3" w:rsidP="001B081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21,4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754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116,3</w:t>
            </w:r>
          </w:p>
        </w:tc>
        <w:tc>
          <w:tcPr>
            <w:tcW w:w="655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119,7</w:t>
            </w:r>
          </w:p>
        </w:tc>
        <w:tc>
          <w:tcPr>
            <w:tcW w:w="656" w:type="dxa"/>
            <w:vAlign w:val="bottom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118,4</w:t>
            </w:r>
          </w:p>
        </w:tc>
        <w:tc>
          <w:tcPr>
            <w:tcW w:w="629" w:type="dxa"/>
            <w:vAlign w:val="bottom"/>
          </w:tcPr>
          <w:p w:rsidR="00A468E3" w:rsidRPr="0038490F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30" w:type="dxa"/>
            <w:vAlign w:val="center"/>
          </w:tcPr>
          <w:p w:rsidR="00A468E3" w:rsidRDefault="00A468E3" w:rsidP="001B081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003437" w:rsidRPr="00A468E3" w:rsidRDefault="00A468E3" w:rsidP="00E76D26">
      <w:pPr>
        <w:pStyle w:val="Nagwek1"/>
        <w:spacing w:before="0"/>
        <w:rPr>
          <w:rFonts w:ascii="Fira Sans" w:hAnsi="Fira Sans"/>
          <w:b/>
          <w:color w:val="auto"/>
          <w:spacing w:val="-2"/>
          <w:szCs w:val="19"/>
        </w:rPr>
      </w:pPr>
      <w:r w:rsidRPr="00A468E3">
        <w:rPr>
          <w:rFonts w:ascii="Fira Sans" w:hAnsi="Fira Sans" w:cs="Arial"/>
          <w:b/>
          <w:color w:val="auto"/>
          <w:spacing w:val="-3"/>
          <w:szCs w:val="19"/>
        </w:rPr>
        <w:t xml:space="preserve">Tablica 4. </w:t>
      </w:r>
      <w:r w:rsidRPr="00A468E3">
        <w:rPr>
          <w:rFonts w:ascii="Fira Sans" w:hAnsi="Fira Sans"/>
          <w:b/>
          <w:color w:val="auto"/>
          <w:szCs w:val="19"/>
        </w:rPr>
        <w:t>Import według kraju wysyłki - według krajów</w:t>
      </w:r>
    </w:p>
    <w:p w:rsidR="00585385" w:rsidRPr="00C30406" w:rsidRDefault="00585385" w:rsidP="002D45CF">
      <w:pPr>
        <w:rPr>
          <w:rFonts w:cs="Arial"/>
          <w:b/>
          <w:spacing w:val="-3"/>
          <w:sz w:val="18"/>
          <w:szCs w:val="18"/>
        </w:rPr>
      </w:pPr>
    </w:p>
    <w:p w:rsidR="00490CCF" w:rsidRDefault="00490CCF" w:rsidP="00345F7C">
      <w:pPr>
        <w:pStyle w:val="Nagwek1"/>
      </w:pP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366025" w:rsidRPr="002D45CF" w:rsidRDefault="00366025" w:rsidP="00366025">
      <w:pPr>
        <w:rPr>
          <w:rFonts w:cs="Arial"/>
          <w:sz w:val="18"/>
          <w:szCs w:val="18"/>
        </w:rPr>
      </w:pPr>
    </w:p>
    <w:p w:rsidR="00CD2FE9" w:rsidRDefault="00CD2FE9" w:rsidP="00366025">
      <w:pPr>
        <w:rPr>
          <w:b/>
          <w:sz w:val="18"/>
          <w:szCs w:val="18"/>
        </w:rPr>
      </w:pPr>
    </w:p>
    <w:p w:rsidR="00207FAB" w:rsidRDefault="00207FAB" w:rsidP="00366025">
      <w:pPr>
        <w:rPr>
          <w:b/>
          <w:sz w:val="18"/>
          <w:szCs w:val="18"/>
        </w:rPr>
      </w:pPr>
    </w:p>
    <w:p w:rsidR="00490CCF" w:rsidRDefault="00490CCF" w:rsidP="0048231B">
      <w:pPr>
        <w:rPr>
          <w:shd w:val="clear" w:color="auto" w:fill="FFFFFF"/>
        </w:rPr>
      </w:pPr>
    </w:p>
    <w:p w:rsidR="00AE636C" w:rsidRDefault="00AE636C" w:rsidP="00366025">
      <w:pPr>
        <w:rPr>
          <w:b/>
          <w:sz w:val="18"/>
          <w:szCs w:val="18"/>
          <w:shd w:val="clear" w:color="auto" w:fill="FFFFFF"/>
        </w:rPr>
      </w:pPr>
    </w:p>
    <w:p w:rsidR="008935C5" w:rsidRDefault="009C17B6" w:rsidP="00366025">
      <w:pPr>
        <w:rPr>
          <w:b/>
          <w:noProof/>
          <w:spacing w:val="-2"/>
          <w:szCs w:val="19"/>
          <w:lang w:eastAsia="pl-PL"/>
        </w:rPr>
      </w:pPr>
      <w:r w:rsidRPr="00633014">
        <w:rPr>
          <w:b/>
          <w:noProof/>
          <w:spacing w:val="-2"/>
          <w:szCs w:val="19"/>
          <w:lang w:eastAsia="pl-PL"/>
        </w:rPr>
        <w:t xml:space="preserve"> </w:t>
      </w:r>
    </w:p>
    <w:p w:rsidR="00F3415A" w:rsidRPr="003D744D" w:rsidRDefault="00F3415A" w:rsidP="003D744D">
      <w:pPr>
        <w:rPr>
          <w:sz w:val="18"/>
          <w:szCs w:val="18"/>
          <w:lang w:eastAsia="pl-PL"/>
        </w:rPr>
        <w:sectPr w:rsidR="00F3415A" w:rsidRPr="003D744D" w:rsidSect="00673305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0470AA" w:rsidRPr="003F4EA4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="00B92654" w:rsidRPr="00D872C5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00AD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3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:rsidR="000470AA" w:rsidRPr="00690129" w:rsidRDefault="000470AA" w:rsidP="000470AA">
            <w:pPr>
              <w:rPr>
                <w:sz w:val="20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faks:</w:t>
            </w:r>
            <w:r w:rsidRPr="00690129">
              <w:rPr>
                <w:sz w:val="20"/>
                <w:lang w:val="en-US"/>
              </w:rPr>
              <w:t xml:space="preserve"> (+48 22) 608 38 86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4" w:history="1">
              <w:r w:rsidRPr="00690129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88D" w:rsidRDefault="0015688D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15688D" w:rsidRPr="00A00ADB" w:rsidRDefault="0015688D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15688D" w:rsidRPr="00A468E3" w:rsidRDefault="00564366" w:rsidP="00AB6D25">
                            <w:pPr>
                              <w:rPr>
                                <w:color w:val="001559" w:themeColor="accent5" w:themeShade="BF"/>
                                <w:szCs w:val="19"/>
                                <w:u w:val="single"/>
                              </w:rPr>
                            </w:pPr>
                            <w:hyperlink r:id="rId28" w:history="1">
                              <w:r w:rsidR="0015688D" w:rsidRPr="00A468E3">
                                <w:rPr>
                                  <w:rStyle w:val="Hipercze"/>
                                  <w:rFonts w:cstheme="minorBidi"/>
                                  <w:color w:val="001559" w:themeColor="accent5" w:themeShade="BF"/>
                                  <w:szCs w:val="19"/>
                                </w:rPr>
                                <w:t>Rocznik Statystyczny Handlu Zagranicznego 2017</w:t>
                              </w:r>
                            </w:hyperlink>
                          </w:p>
                          <w:p w:rsidR="0015688D" w:rsidRPr="00A468E3" w:rsidRDefault="00564366" w:rsidP="00E12DB3">
                            <w:pPr>
                              <w:rPr>
                                <w:rStyle w:val="Hipercze"/>
                                <w:rFonts w:cstheme="minorBidi"/>
                                <w:color w:val="001559" w:themeColor="accent5" w:themeShade="BF"/>
                              </w:rPr>
                            </w:pPr>
                            <w:hyperlink r:id="rId29" w:history="1">
                              <w:r w:rsidR="0015688D" w:rsidRPr="00A468E3">
                                <w:rPr>
                                  <w:rStyle w:val="Hipercze"/>
                                  <w:rFonts w:cstheme="minorBidi"/>
                                  <w:color w:val="001559" w:themeColor="accent5" w:themeShade="BF"/>
                                </w:rPr>
                                <w:t>Obroty towarowe handlu zagranicznego w 2016 r.</w:t>
                              </w:r>
                            </w:hyperlink>
                          </w:p>
                          <w:p w:rsidR="0015688D" w:rsidRPr="00A468E3" w:rsidRDefault="00564366" w:rsidP="00E12DB3">
                            <w:pPr>
                              <w:rPr>
                                <w:color w:val="001559" w:themeColor="accent5" w:themeShade="BF"/>
                                <w:szCs w:val="19"/>
                              </w:rPr>
                            </w:pPr>
                            <w:hyperlink r:id="rId30" w:history="1">
                              <w:r w:rsidR="0015688D" w:rsidRPr="00A468E3">
                                <w:rPr>
                                  <w:rStyle w:val="Hipercze"/>
                                  <w:color w:val="001559" w:themeColor="accent5" w:themeShade="BF"/>
                                  <w:szCs w:val="19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15688D" w:rsidRPr="00A00ADB" w:rsidRDefault="0015688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5688D" w:rsidRPr="00A00ADB" w:rsidRDefault="0015688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15688D" w:rsidRPr="00A468E3" w:rsidRDefault="0015688D" w:rsidP="0045590E">
                            <w:pPr>
                              <w:rPr>
                                <w:color w:val="001559" w:themeColor="accent5" w:themeShade="BF"/>
                                <w:szCs w:val="19"/>
                                <w:u w:val="single"/>
                              </w:rPr>
                            </w:pPr>
                            <w:r w:rsidRPr="00A468E3">
                              <w:fldChar w:fldCharType="begin"/>
                            </w:r>
                            <w:r w:rsidRPr="00A468E3">
                              <w:rPr>
                                <w:color w:val="001559" w:themeColor="accent5" w:themeShade="BF"/>
                              </w:rPr>
                              <w:instrText xml:space="preserve"> HYPERLINK "http://swaid.stat.gov.pl/SitePagesDBW/HandelZagraniczny.aspx" </w:instrText>
                            </w:r>
                            <w:r w:rsidRPr="00A468E3">
                              <w:fldChar w:fldCharType="separate"/>
                            </w:r>
                            <w:hyperlink r:id="rId31" w:history="1">
                              <w:r w:rsidRPr="00A468E3">
                                <w:rPr>
                                  <w:rStyle w:val="Hipercze"/>
                                  <w:rFonts w:cstheme="minorBidi"/>
                                  <w:color w:val="001559" w:themeColor="accent5" w:themeShade="BF"/>
                                  <w:szCs w:val="19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15688D" w:rsidRPr="00A468E3" w:rsidRDefault="0015688D" w:rsidP="0045590E">
                            <w:pPr>
                              <w:rPr>
                                <w:rStyle w:val="Hipercze"/>
                                <w:rFonts w:cs="Arial"/>
                                <w:color w:val="001559" w:themeColor="accent5" w:themeShade="BF"/>
                                <w:szCs w:val="19"/>
                                <w:shd w:val="clear" w:color="auto" w:fill="F0F0F0"/>
                              </w:rPr>
                            </w:pPr>
                            <w:r w:rsidRPr="00A468E3">
                              <w:rPr>
                                <w:rStyle w:val="Hipercze"/>
                                <w:rFonts w:cs="Arial"/>
                                <w:color w:val="001559" w:themeColor="accent5" w:themeShade="BF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32" w:history="1">
                              <w:r w:rsidRPr="00A468E3">
                                <w:rPr>
                                  <w:rStyle w:val="Hipercze"/>
                                  <w:rFonts w:cs="Arial"/>
                                  <w:color w:val="001559" w:themeColor="accent5" w:themeShade="BF"/>
                                  <w:szCs w:val="19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15688D" w:rsidRPr="00A00ADB" w:rsidRDefault="0015688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5688D" w:rsidRDefault="0015688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15688D" w:rsidRPr="00A468E3" w:rsidRDefault="00564366" w:rsidP="0045590E">
                            <w:pPr>
                              <w:rPr>
                                <w:color w:val="001559" w:themeColor="accent5" w:themeShade="BF"/>
                                <w:szCs w:val="19"/>
                                <w:u w:val="single"/>
                              </w:rPr>
                            </w:pPr>
                            <w:hyperlink r:id="rId33" w:history="1">
                              <w:r w:rsidR="0015688D" w:rsidRPr="00A468E3">
                                <w:rPr>
                                  <w:rStyle w:val="Hipercze"/>
                                  <w:rFonts w:cstheme="minorBidi"/>
                                  <w:color w:val="001559" w:themeColor="accent5" w:themeShade="BF"/>
                                  <w:szCs w:val="19"/>
                                </w:rPr>
                                <w:t>Eksport towarów</w:t>
                              </w:r>
                            </w:hyperlink>
                          </w:p>
                          <w:p w:rsidR="0015688D" w:rsidRPr="00A468E3" w:rsidRDefault="00564366" w:rsidP="0045590E">
                            <w:pPr>
                              <w:rPr>
                                <w:rStyle w:val="Hipercze"/>
                                <w:rFonts w:cs="Arial"/>
                                <w:color w:val="001559" w:themeColor="accent5" w:themeShade="BF"/>
                                <w:szCs w:val="19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15688D" w:rsidRPr="00A468E3">
                                <w:rPr>
                                  <w:rStyle w:val="Hipercze"/>
                                  <w:rFonts w:cs="Arial"/>
                                  <w:color w:val="001559" w:themeColor="accent5" w:themeShade="BF"/>
                                  <w:szCs w:val="19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15688D" w:rsidRPr="00A468E3" w:rsidRDefault="0015688D" w:rsidP="0045590E">
                            <w:pPr>
                              <w:rPr>
                                <w:rStyle w:val="Hipercze"/>
                                <w:rFonts w:cs="Arial"/>
                                <w:color w:val="001559" w:themeColor="accent5" w:themeShade="BF"/>
                                <w:szCs w:val="19"/>
                                <w:shd w:val="clear" w:color="auto" w:fill="F0F0F0"/>
                              </w:rPr>
                            </w:pPr>
                            <w:r w:rsidRPr="00A468E3">
                              <w:rPr>
                                <w:color w:val="001559" w:themeColor="accent5" w:themeShade="BF"/>
                                <w:szCs w:val="19"/>
                              </w:rPr>
                              <w:fldChar w:fldCharType="begin"/>
                            </w:r>
                            <w:r w:rsidRPr="00A468E3">
                              <w:rPr>
                                <w:color w:val="001559" w:themeColor="accent5" w:themeShade="BF"/>
                                <w:szCs w:val="19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A468E3">
                              <w:rPr>
                                <w:color w:val="001559" w:themeColor="accent5" w:themeShade="BF"/>
                                <w:szCs w:val="19"/>
                              </w:rPr>
                              <w:fldChar w:fldCharType="separate"/>
                            </w:r>
                            <w:r w:rsidRPr="00A468E3">
                              <w:rPr>
                                <w:rStyle w:val="Hipercze"/>
                                <w:rFonts w:cstheme="minorBidi"/>
                                <w:color w:val="001559" w:themeColor="accent5" w:themeShade="BF"/>
                                <w:szCs w:val="19"/>
                              </w:rPr>
                              <w:t>Saldo obrotów towarowych handlu zagranicznego</w:t>
                            </w:r>
                          </w:p>
                          <w:p w:rsidR="0015688D" w:rsidRPr="00020CD4" w:rsidRDefault="0015688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A468E3">
                              <w:rPr>
                                <w:color w:val="001559" w:themeColor="accent5" w:themeShade="BF"/>
                                <w:szCs w:val="19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15688D" w:rsidRPr="00020CD4" w:rsidRDefault="0015688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2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eDPg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" fillcolor="#f2f2f2 [3052]" strokecolor="white [3212]">
                <v:textbox>
                  <w:txbxContent>
                    <w:p w:rsidR="0015688D" w:rsidRDefault="0015688D" w:rsidP="00AB6D25">
                      <w:pPr>
                        <w:rPr>
                          <w:b/>
                        </w:rPr>
                      </w:pPr>
                    </w:p>
                    <w:p w:rsidR="0015688D" w:rsidRPr="00A00ADB" w:rsidRDefault="0015688D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15688D" w:rsidRPr="00A468E3" w:rsidRDefault="00B922F6" w:rsidP="00AB6D25">
                      <w:pPr>
                        <w:rPr>
                          <w:color w:val="001559" w:themeColor="accent5" w:themeShade="BF"/>
                          <w:szCs w:val="19"/>
                          <w:u w:val="single"/>
                        </w:rPr>
                      </w:pPr>
                      <w:hyperlink r:id="rId35" w:history="1">
                        <w:r w:rsidR="0015688D" w:rsidRPr="00A468E3">
                          <w:rPr>
                            <w:rStyle w:val="Hipercze"/>
                            <w:rFonts w:cstheme="minorBidi"/>
                            <w:color w:val="001559" w:themeColor="accent5" w:themeShade="BF"/>
                            <w:szCs w:val="19"/>
                          </w:rPr>
                          <w:t>Rocznik Statystyczny Handlu Zagranicznego 2017</w:t>
                        </w:r>
                      </w:hyperlink>
                    </w:p>
                    <w:p w:rsidR="0015688D" w:rsidRPr="00A468E3" w:rsidRDefault="00B922F6" w:rsidP="00E12DB3">
                      <w:pPr>
                        <w:rPr>
                          <w:rStyle w:val="Hipercze"/>
                          <w:rFonts w:cstheme="minorBidi"/>
                          <w:color w:val="001559" w:themeColor="accent5" w:themeShade="BF"/>
                        </w:rPr>
                      </w:pPr>
                      <w:hyperlink r:id="rId36" w:history="1">
                        <w:r w:rsidR="0015688D" w:rsidRPr="00A468E3">
                          <w:rPr>
                            <w:rStyle w:val="Hipercze"/>
                            <w:rFonts w:cstheme="minorBidi"/>
                            <w:color w:val="001559" w:themeColor="accent5" w:themeShade="BF"/>
                          </w:rPr>
                          <w:t>Obroty towarowe handlu zagranicznego w 2016 r.</w:t>
                        </w:r>
                      </w:hyperlink>
                    </w:p>
                    <w:p w:rsidR="0015688D" w:rsidRPr="00A468E3" w:rsidRDefault="00B922F6" w:rsidP="00E12DB3">
                      <w:pPr>
                        <w:rPr>
                          <w:color w:val="001559" w:themeColor="accent5" w:themeShade="BF"/>
                          <w:szCs w:val="19"/>
                        </w:rPr>
                      </w:pPr>
                      <w:hyperlink r:id="rId37" w:history="1">
                        <w:r w:rsidR="0015688D" w:rsidRPr="00A468E3">
                          <w:rPr>
                            <w:rStyle w:val="Hipercze"/>
                            <w:color w:val="001559" w:themeColor="accent5" w:themeShade="BF"/>
                            <w:szCs w:val="19"/>
                          </w:rPr>
                          <w:t>Handel Zagraniczny. Statystyka lustrzana i statystyka asymetrii</w:t>
                        </w:r>
                      </w:hyperlink>
                    </w:p>
                    <w:p w:rsidR="0015688D" w:rsidRPr="00A00ADB" w:rsidRDefault="0015688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15688D" w:rsidRPr="00A00ADB" w:rsidRDefault="0015688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15688D" w:rsidRPr="00A468E3" w:rsidRDefault="0015688D" w:rsidP="0045590E">
                      <w:pPr>
                        <w:rPr>
                          <w:color w:val="001559" w:themeColor="accent5" w:themeShade="BF"/>
                          <w:szCs w:val="19"/>
                          <w:u w:val="single"/>
                        </w:rPr>
                      </w:pPr>
                      <w:r w:rsidRPr="00A468E3">
                        <w:rPr>
                          <w:color w:val="001559" w:themeColor="accent5" w:themeShade="BF"/>
                        </w:rPr>
                        <w:fldChar w:fldCharType="begin"/>
                      </w:r>
                      <w:r w:rsidRPr="00A468E3">
                        <w:rPr>
                          <w:color w:val="001559" w:themeColor="accent5" w:themeShade="BF"/>
                        </w:rPr>
                        <w:instrText xml:space="preserve"> HYPERLINK "http://swaid.stat.gov.pl/SitePagesDBW/HandelZagraniczny.aspx" </w:instrText>
                      </w:r>
                      <w:r w:rsidRPr="00A468E3">
                        <w:rPr>
                          <w:color w:val="001559" w:themeColor="accent5" w:themeShade="BF"/>
                        </w:rPr>
                        <w:fldChar w:fldCharType="separate"/>
                      </w:r>
                      <w:hyperlink r:id="rId38" w:history="1">
                        <w:r w:rsidRPr="00A468E3">
                          <w:rPr>
                            <w:rStyle w:val="Hipercze"/>
                            <w:rFonts w:cstheme="minorBidi"/>
                            <w:color w:val="001559" w:themeColor="accent5" w:themeShade="BF"/>
                            <w:szCs w:val="19"/>
                          </w:rPr>
                          <w:t>Dziedzinowe Bazy Wiedzy Handel Zagraniczny</w:t>
                        </w:r>
                      </w:hyperlink>
                    </w:p>
                    <w:p w:rsidR="0015688D" w:rsidRPr="00A468E3" w:rsidRDefault="0015688D" w:rsidP="0045590E">
                      <w:pPr>
                        <w:rPr>
                          <w:rStyle w:val="Hipercze"/>
                          <w:rFonts w:cs="Arial"/>
                          <w:color w:val="001559" w:themeColor="accent5" w:themeShade="BF"/>
                          <w:szCs w:val="19"/>
                          <w:shd w:val="clear" w:color="auto" w:fill="F0F0F0"/>
                        </w:rPr>
                      </w:pPr>
                      <w:r w:rsidRPr="00A468E3">
                        <w:rPr>
                          <w:rStyle w:val="Hipercze"/>
                          <w:rFonts w:cs="Arial"/>
                          <w:color w:val="001559" w:themeColor="accent5" w:themeShade="BF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9" w:history="1">
                        <w:r w:rsidRPr="00A468E3">
                          <w:rPr>
                            <w:rStyle w:val="Hipercze"/>
                            <w:rFonts w:cs="Arial"/>
                            <w:color w:val="001559" w:themeColor="accent5" w:themeShade="BF"/>
                            <w:szCs w:val="19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15688D" w:rsidRPr="00A00ADB" w:rsidRDefault="0015688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15688D" w:rsidRDefault="0015688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15688D" w:rsidRPr="00A468E3" w:rsidRDefault="00B922F6" w:rsidP="0045590E">
                      <w:pPr>
                        <w:rPr>
                          <w:color w:val="001559" w:themeColor="accent5" w:themeShade="BF"/>
                          <w:szCs w:val="19"/>
                          <w:u w:val="single"/>
                        </w:rPr>
                      </w:pPr>
                      <w:hyperlink r:id="rId40" w:history="1">
                        <w:r w:rsidR="0015688D" w:rsidRPr="00A468E3">
                          <w:rPr>
                            <w:rStyle w:val="Hipercze"/>
                            <w:rFonts w:cstheme="minorBidi"/>
                            <w:color w:val="001559" w:themeColor="accent5" w:themeShade="BF"/>
                            <w:szCs w:val="19"/>
                          </w:rPr>
                          <w:t>Eksport towarów</w:t>
                        </w:r>
                      </w:hyperlink>
                    </w:p>
                    <w:p w:rsidR="0015688D" w:rsidRPr="00A468E3" w:rsidRDefault="00B922F6" w:rsidP="0045590E">
                      <w:pPr>
                        <w:rPr>
                          <w:rStyle w:val="Hipercze"/>
                          <w:rFonts w:cs="Arial"/>
                          <w:color w:val="001559" w:themeColor="accent5" w:themeShade="BF"/>
                          <w:szCs w:val="19"/>
                          <w:shd w:val="clear" w:color="auto" w:fill="F0F0F0"/>
                        </w:rPr>
                      </w:pPr>
                      <w:hyperlink r:id="rId41" w:history="1">
                        <w:r w:rsidR="0015688D" w:rsidRPr="00A468E3">
                          <w:rPr>
                            <w:rStyle w:val="Hipercze"/>
                            <w:rFonts w:cs="Arial"/>
                            <w:color w:val="001559" w:themeColor="accent5" w:themeShade="BF"/>
                            <w:szCs w:val="19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15688D" w:rsidRPr="00A468E3" w:rsidRDefault="0015688D" w:rsidP="0045590E">
                      <w:pPr>
                        <w:rPr>
                          <w:rStyle w:val="Hipercze"/>
                          <w:rFonts w:cs="Arial"/>
                          <w:color w:val="001559" w:themeColor="accent5" w:themeShade="BF"/>
                          <w:szCs w:val="19"/>
                          <w:shd w:val="clear" w:color="auto" w:fill="F0F0F0"/>
                        </w:rPr>
                      </w:pPr>
                      <w:r w:rsidRPr="00A468E3">
                        <w:rPr>
                          <w:color w:val="001559" w:themeColor="accent5" w:themeShade="BF"/>
                          <w:szCs w:val="19"/>
                        </w:rPr>
                        <w:fldChar w:fldCharType="begin"/>
                      </w:r>
                      <w:r w:rsidRPr="00A468E3">
                        <w:rPr>
                          <w:color w:val="001559" w:themeColor="accent5" w:themeShade="BF"/>
                          <w:szCs w:val="19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A468E3">
                        <w:rPr>
                          <w:color w:val="001559" w:themeColor="accent5" w:themeShade="BF"/>
                          <w:szCs w:val="19"/>
                        </w:rPr>
                        <w:fldChar w:fldCharType="separate"/>
                      </w:r>
                      <w:r w:rsidRPr="00A468E3">
                        <w:rPr>
                          <w:rStyle w:val="Hipercze"/>
                          <w:rFonts w:cstheme="minorBidi"/>
                          <w:color w:val="001559" w:themeColor="accent5" w:themeShade="BF"/>
                          <w:szCs w:val="19"/>
                        </w:rPr>
                        <w:t>Saldo obrotów towarowych handlu zagranicznego</w:t>
                      </w:r>
                    </w:p>
                    <w:p w:rsidR="0015688D" w:rsidRPr="00020CD4" w:rsidRDefault="0015688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A468E3">
                        <w:rPr>
                          <w:color w:val="001559" w:themeColor="accent5" w:themeShade="BF"/>
                          <w:szCs w:val="19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15688D" w:rsidRPr="00020CD4" w:rsidRDefault="0015688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4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366" w:rsidRDefault="00564366" w:rsidP="000662E2">
      <w:pPr>
        <w:spacing w:after="0" w:line="240" w:lineRule="auto"/>
      </w:pPr>
      <w:r>
        <w:separator/>
      </w:r>
    </w:p>
  </w:endnote>
  <w:endnote w:type="continuationSeparator" w:id="0">
    <w:p w:rsidR="00564366" w:rsidRDefault="0056436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700585"/>
      <w:docPartObj>
        <w:docPartGallery w:val="Page Numbers (Bottom of Page)"/>
        <w:docPartUnique/>
      </w:docPartObj>
    </w:sdtPr>
    <w:sdtEndPr/>
    <w:sdtContent>
      <w:p w:rsidR="0015688D" w:rsidRDefault="001568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ED9">
          <w:rPr>
            <w:noProof/>
          </w:rPr>
          <w:t>2</w:t>
        </w:r>
        <w:r>
          <w:fldChar w:fldCharType="end"/>
        </w:r>
      </w:p>
    </w:sdtContent>
  </w:sdt>
  <w:p w:rsidR="0015688D" w:rsidRDefault="001568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9979265"/>
      <w:docPartObj>
        <w:docPartGallery w:val="Page Numbers (Bottom of Page)"/>
        <w:docPartUnique/>
      </w:docPartObj>
    </w:sdtPr>
    <w:sdtEndPr/>
    <w:sdtContent>
      <w:p w:rsidR="0015688D" w:rsidRDefault="001568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ED9">
          <w:rPr>
            <w:noProof/>
          </w:rPr>
          <w:t>1</w:t>
        </w:r>
        <w:r>
          <w:fldChar w:fldCharType="end"/>
        </w:r>
      </w:p>
    </w:sdtContent>
  </w:sdt>
  <w:p w:rsidR="0015688D" w:rsidRDefault="001568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366" w:rsidRDefault="00564366" w:rsidP="000662E2">
      <w:pPr>
        <w:spacing w:after="0" w:line="240" w:lineRule="auto"/>
      </w:pPr>
      <w:r>
        <w:separator/>
      </w:r>
    </w:p>
  </w:footnote>
  <w:footnote w:type="continuationSeparator" w:id="0">
    <w:p w:rsidR="00564366" w:rsidRDefault="00564366" w:rsidP="000662E2">
      <w:pPr>
        <w:spacing w:after="0" w:line="240" w:lineRule="auto"/>
      </w:pPr>
      <w:r>
        <w:continuationSeparator/>
      </w:r>
    </w:p>
  </w:footnote>
  <w:footnote w:id="1">
    <w:p w:rsidR="00A468E3" w:rsidRDefault="00A468E3" w:rsidP="00A468E3">
      <w:pPr>
        <w:pStyle w:val="Tekstprzypisudolnego"/>
      </w:pPr>
      <w:r w:rsidRPr="00C30406">
        <w:rPr>
          <w:rStyle w:val="Odwoanieprzypisudolnego"/>
          <w:sz w:val="12"/>
          <w:szCs w:val="12"/>
        </w:rPr>
        <w:footnoteRef/>
      </w:r>
      <w:r>
        <w:t xml:space="preserve"> </w:t>
      </w:r>
      <w:r w:rsidRPr="00C30406">
        <w:rPr>
          <w:sz w:val="12"/>
          <w:szCs w:val="12"/>
        </w:rPr>
        <w:t xml:space="preserve">Import według </w:t>
      </w:r>
      <w:r w:rsidRPr="00C30406">
        <w:rPr>
          <w:rFonts w:cs="Arial"/>
          <w:sz w:val="12"/>
          <w:szCs w:val="12"/>
        </w:rPr>
        <w:t>kraju pochodzenia - kraj, w którym towar został wytworzony, obrobiony lub przerobiony i w tym stanie nadszedł do polskiego obszaru celnego.</w:t>
      </w:r>
    </w:p>
  </w:footnote>
  <w:footnote w:id="2">
    <w:p w:rsidR="00A468E3" w:rsidRDefault="00A468E3" w:rsidP="00A468E3">
      <w:pPr>
        <w:pStyle w:val="Tekstprzypisudolnego"/>
      </w:pPr>
      <w:r w:rsidRPr="009A5D6D">
        <w:rPr>
          <w:rStyle w:val="Odwoanieprzypisudolnego"/>
          <w:sz w:val="12"/>
          <w:szCs w:val="12"/>
        </w:rPr>
        <w:footnoteRef/>
      </w:r>
      <w:r>
        <w:t xml:space="preserve"> </w:t>
      </w:r>
      <w:r w:rsidRPr="000B3A5D">
        <w:rPr>
          <w:sz w:val="12"/>
          <w:szCs w:val="12"/>
        </w:rPr>
        <w:t xml:space="preserve">Import według </w:t>
      </w:r>
      <w:r w:rsidRPr="000B3A5D">
        <w:rPr>
          <w:rFonts w:cs="Arial"/>
          <w:sz w:val="12"/>
          <w:szCs w:val="12"/>
        </w:rPr>
        <w:t xml:space="preserve">kraju wysyłki - </w:t>
      </w:r>
      <w:r w:rsidRPr="000B3A5D">
        <w:rPr>
          <w:rFonts w:eastAsia="Calibri" w:cs="Arial"/>
          <w:sz w:val="12"/>
          <w:szCs w:val="12"/>
        </w:rPr>
        <w:t>kraj, z którego terytorium zostały wprowadzone towary na obszar Polski</w:t>
      </w:r>
      <w:r w:rsidRPr="000B3A5D">
        <w:rPr>
          <w:rFonts w:cs="Arial"/>
          <w:sz w:val="12"/>
          <w:szCs w:val="12"/>
        </w:rPr>
        <w:t xml:space="preserve"> bez względu  na ich pochodzenie</w:t>
      </w:r>
      <w:r w:rsidRPr="000B3A5D">
        <w:rPr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88D" w:rsidRDefault="001568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2F6CF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15688D" w:rsidRDefault="001568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88D" w:rsidRDefault="0015688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5688D" w:rsidRPr="003C6C8D" w:rsidRDefault="0015688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5688D" w:rsidRPr="003C6C8D" w:rsidRDefault="0015688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4BFB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3197FCE4" wp14:editId="2ECD959D">
          <wp:extent cx="2210137" cy="720000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688D" w:rsidRDefault="0015688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688D" w:rsidRPr="00C97596" w:rsidRDefault="00A468E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="0015688D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15688D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15688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15688D" w:rsidRPr="00C97596" w:rsidRDefault="00A468E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="0015688D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15688D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15688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88D" w:rsidRDefault="0015688D">
    <w:pPr>
      <w:pStyle w:val="Nagwek"/>
    </w:pPr>
  </w:p>
  <w:p w:rsidR="0015688D" w:rsidRDefault="001568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0D91"/>
    <w:rsid w:val="000152F5"/>
    <w:rsid w:val="00017EBA"/>
    <w:rsid w:val="00020CD4"/>
    <w:rsid w:val="00026F61"/>
    <w:rsid w:val="00036E65"/>
    <w:rsid w:val="000404EB"/>
    <w:rsid w:val="00042C5D"/>
    <w:rsid w:val="0004582E"/>
    <w:rsid w:val="000470AA"/>
    <w:rsid w:val="00057CA1"/>
    <w:rsid w:val="000662E2"/>
    <w:rsid w:val="00066883"/>
    <w:rsid w:val="00071154"/>
    <w:rsid w:val="00074DD8"/>
    <w:rsid w:val="00076A47"/>
    <w:rsid w:val="000806F7"/>
    <w:rsid w:val="00091E91"/>
    <w:rsid w:val="00093508"/>
    <w:rsid w:val="00094050"/>
    <w:rsid w:val="000A1EEF"/>
    <w:rsid w:val="000A4C89"/>
    <w:rsid w:val="000A7A9E"/>
    <w:rsid w:val="000B0727"/>
    <w:rsid w:val="000B3A5D"/>
    <w:rsid w:val="000B3CED"/>
    <w:rsid w:val="000B6C36"/>
    <w:rsid w:val="000B71D4"/>
    <w:rsid w:val="000C135D"/>
    <w:rsid w:val="000D1D43"/>
    <w:rsid w:val="000D225C"/>
    <w:rsid w:val="000D2A5C"/>
    <w:rsid w:val="000D52AA"/>
    <w:rsid w:val="000E0918"/>
    <w:rsid w:val="000E5D0E"/>
    <w:rsid w:val="000F0BB5"/>
    <w:rsid w:val="001011C3"/>
    <w:rsid w:val="00102DB5"/>
    <w:rsid w:val="001051ED"/>
    <w:rsid w:val="00110D87"/>
    <w:rsid w:val="00112855"/>
    <w:rsid w:val="001146CE"/>
    <w:rsid w:val="00114DB9"/>
    <w:rsid w:val="00116087"/>
    <w:rsid w:val="00130296"/>
    <w:rsid w:val="0013325B"/>
    <w:rsid w:val="001423B6"/>
    <w:rsid w:val="001440E1"/>
    <w:rsid w:val="001443E8"/>
    <w:rsid w:val="001448A7"/>
    <w:rsid w:val="00146621"/>
    <w:rsid w:val="001478E5"/>
    <w:rsid w:val="00150575"/>
    <w:rsid w:val="00152273"/>
    <w:rsid w:val="0015688D"/>
    <w:rsid w:val="00162325"/>
    <w:rsid w:val="0017078D"/>
    <w:rsid w:val="001731B2"/>
    <w:rsid w:val="00177026"/>
    <w:rsid w:val="00180BE8"/>
    <w:rsid w:val="00185BAA"/>
    <w:rsid w:val="00186D31"/>
    <w:rsid w:val="00194F63"/>
    <w:rsid w:val="001951DA"/>
    <w:rsid w:val="001B232A"/>
    <w:rsid w:val="001C3269"/>
    <w:rsid w:val="001C3584"/>
    <w:rsid w:val="001D111C"/>
    <w:rsid w:val="001D1DB4"/>
    <w:rsid w:val="001E6D81"/>
    <w:rsid w:val="001F10F6"/>
    <w:rsid w:val="001F1B03"/>
    <w:rsid w:val="00207FAB"/>
    <w:rsid w:val="00212F9D"/>
    <w:rsid w:val="00226D98"/>
    <w:rsid w:val="002313C5"/>
    <w:rsid w:val="00240783"/>
    <w:rsid w:val="002420CA"/>
    <w:rsid w:val="00246534"/>
    <w:rsid w:val="002574F9"/>
    <w:rsid w:val="0025788E"/>
    <w:rsid w:val="0026119D"/>
    <w:rsid w:val="0027462D"/>
    <w:rsid w:val="00276811"/>
    <w:rsid w:val="00277A82"/>
    <w:rsid w:val="00282699"/>
    <w:rsid w:val="0028458E"/>
    <w:rsid w:val="00291F7B"/>
    <w:rsid w:val="002926DF"/>
    <w:rsid w:val="00296697"/>
    <w:rsid w:val="002A2450"/>
    <w:rsid w:val="002B0472"/>
    <w:rsid w:val="002B6B12"/>
    <w:rsid w:val="002D45CF"/>
    <w:rsid w:val="002E14D1"/>
    <w:rsid w:val="002E6140"/>
    <w:rsid w:val="002E6985"/>
    <w:rsid w:val="002E71B6"/>
    <w:rsid w:val="002F2768"/>
    <w:rsid w:val="002F6500"/>
    <w:rsid w:val="002F77C8"/>
    <w:rsid w:val="00304F22"/>
    <w:rsid w:val="00306C7C"/>
    <w:rsid w:val="00320D7D"/>
    <w:rsid w:val="003216C9"/>
    <w:rsid w:val="00322EDD"/>
    <w:rsid w:val="00332320"/>
    <w:rsid w:val="0034509D"/>
    <w:rsid w:val="00345F7C"/>
    <w:rsid w:val="0034666A"/>
    <w:rsid w:val="00346AAD"/>
    <w:rsid w:val="00347D72"/>
    <w:rsid w:val="003538DC"/>
    <w:rsid w:val="00357611"/>
    <w:rsid w:val="00361DB6"/>
    <w:rsid w:val="00366025"/>
    <w:rsid w:val="00367237"/>
    <w:rsid w:val="0037077F"/>
    <w:rsid w:val="00371FC0"/>
    <w:rsid w:val="00373882"/>
    <w:rsid w:val="0038341F"/>
    <w:rsid w:val="003843DB"/>
    <w:rsid w:val="0038490F"/>
    <w:rsid w:val="00385BF0"/>
    <w:rsid w:val="00393761"/>
    <w:rsid w:val="00397D18"/>
    <w:rsid w:val="003A1B36"/>
    <w:rsid w:val="003B1454"/>
    <w:rsid w:val="003C0295"/>
    <w:rsid w:val="003C491B"/>
    <w:rsid w:val="003C59E0"/>
    <w:rsid w:val="003C6B82"/>
    <w:rsid w:val="003C6C8D"/>
    <w:rsid w:val="003C73DE"/>
    <w:rsid w:val="003D23E6"/>
    <w:rsid w:val="003D4F95"/>
    <w:rsid w:val="003D5F42"/>
    <w:rsid w:val="003D60A9"/>
    <w:rsid w:val="003D744D"/>
    <w:rsid w:val="003E0EA7"/>
    <w:rsid w:val="003E3ECE"/>
    <w:rsid w:val="003E727E"/>
    <w:rsid w:val="003F4C97"/>
    <w:rsid w:val="003F4EA4"/>
    <w:rsid w:val="003F7FE6"/>
    <w:rsid w:val="00400193"/>
    <w:rsid w:val="00403C1A"/>
    <w:rsid w:val="004045B9"/>
    <w:rsid w:val="00404EF4"/>
    <w:rsid w:val="00411C0A"/>
    <w:rsid w:val="00415EEB"/>
    <w:rsid w:val="004212E7"/>
    <w:rsid w:val="0042446D"/>
    <w:rsid w:val="0042458C"/>
    <w:rsid w:val="00424EA5"/>
    <w:rsid w:val="004258A4"/>
    <w:rsid w:val="00427BF8"/>
    <w:rsid w:val="00431C02"/>
    <w:rsid w:val="00434D16"/>
    <w:rsid w:val="00437395"/>
    <w:rsid w:val="004376C1"/>
    <w:rsid w:val="004437F4"/>
    <w:rsid w:val="00445047"/>
    <w:rsid w:val="0045590E"/>
    <w:rsid w:val="00463E39"/>
    <w:rsid w:val="004657FC"/>
    <w:rsid w:val="0046619C"/>
    <w:rsid w:val="00471416"/>
    <w:rsid w:val="004733F6"/>
    <w:rsid w:val="00474E69"/>
    <w:rsid w:val="00476D65"/>
    <w:rsid w:val="0048231B"/>
    <w:rsid w:val="00483835"/>
    <w:rsid w:val="0048721F"/>
    <w:rsid w:val="00490CCF"/>
    <w:rsid w:val="004921B7"/>
    <w:rsid w:val="004926AC"/>
    <w:rsid w:val="004931B7"/>
    <w:rsid w:val="0049621B"/>
    <w:rsid w:val="00497A8D"/>
    <w:rsid w:val="004A051B"/>
    <w:rsid w:val="004A29AD"/>
    <w:rsid w:val="004B2FBB"/>
    <w:rsid w:val="004B64A7"/>
    <w:rsid w:val="004C1895"/>
    <w:rsid w:val="004C6D40"/>
    <w:rsid w:val="004D100F"/>
    <w:rsid w:val="004E0FEC"/>
    <w:rsid w:val="004E32D8"/>
    <w:rsid w:val="004F0C3C"/>
    <w:rsid w:val="004F39A5"/>
    <w:rsid w:val="004F63FC"/>
    <w:rsid w:val="004F68CF"/>
    <w:rsid w:val="004F6A62"/>
    <w:rsid w:val="00505A92"/>
    <w:rsid w:val="0051165C"/>
    <w:rsid w:val="00512AAE"/>
    <w:rsid w:val="005203F1"/>
    <w:rsid w:val="00521BC3"/>
    <w:rsid w:val="00533632"/>
    <w:rsid w:val="005354A1"/>
    <w:rsid w:val="0053772A"/>
    <w:rsid w:val="0054251F"/>
    <w:rsid w:val="00550618"/>
    <w:rsid w:val="005520D8"/>
    <w:rsid w:val="005549A9"/>
    <w:rsid w:val="00555ED9"/>
    <w:rsid w:val="00556CF1"/>
    <w:rsid w:val="00564366"/>
    <w:rsid w:val="00567B0A"/>
    <w:rsid w:val="005762A7"/>
    <w:rsid w:val="00585385"/>
    <w:rsid w:val="00586936"/>
    <w:rsid w:val="005916D7"/>
    <w:rsid w:val="005A698C"/>
    <w:rsid w:val="005A729A"/>
    <w:rsid w:val="005C3C14"/>
    <w:rsid w:val="005C4C4F"/>
    <w:rsid w:val="005C5358"/>
    <w:rsid w:val="005E0799"/>
    <w:rsid w:val="005E0EBD"/>
    <w:rsid w:val="005E67F5"/>
    <w:rsid w:val="005E76AC"/>
    <w:rsid w:val="005F0F6A"/>
    <w:rsid w:val="005F30B8"/>
    <w:rsid w:val="005F39A7"/>
    <w:rsid w:val="005F3D74"/>
    <w:rsid w:val="005F5A80"/>
    <w:rsid w:val="006044FF"/>
    <w:rsid w:val="00606763"/>
    <w:rsid w:val="00607CC5"/>
    <w:rsid w:val="00633014"/>
    <w:rsid w:val="0063437B"/>
    <w:rsid w:val="006401A1"/>
    <w:rsid w:val="0065337E"/>
    <w:rsid w:val="006537F5"/>
    <w:rsid w:val="00654F9B"/>
    <w:rsid w:val="006646E5"/>
    <w:rsid w:val="00664C1E"/>
    <w:rsid w:val="00665A78"/>
    <w:rsid w:val="006673CA"/>
    <w:rsid w:val="00673305"/>
    <w:rsid w:val="00673C26"/>
    <w:rsid w:val="0067678F"/>
    <w:rsid w:val="006812AF"/>
    <w:rsid w:val="00682774"/>
    <w:rsid w:val="0068327D"/>
    <w:rsid w:val="00690129"/>
    <w:rsid w:val="00694AF0"/>
    <w:rsid w:val="00695495"/>
    <w:rsid w:val="006A215D"/>
    <w:rsid w:val="006A4F91"/>
    <w:rsid w:val="006B0E9E"/>
    <w:rsid w:val="006B53C4"/>
    <w:rsid w:val="006B5AE4"/>
    <w:rsid w:val="006C57ED"/>
    <w:rsid w:val="006D31C0"/>
    <w:rsid w:val="006D4054"/>
    <w:rsid w:val="006E02EC"/>
    <w:rsid w:val="006E4FFD"/>
    <w:rsid w:val="006F6C73"/>
    <w:rsid w:val="00701D51"/>
    <w:rsid w:val="00712DB0"/>
    <w:rsid w:val="007211B1"/>
    <w:rsid w:val="00722DDE"/>
    <w:rsid w:val="00744325"/>
    <w:rsid w:val="00746187"/>
    <w:rsid w:val="007476ED"/>
    <w:rsid w:val="0076254F"/>
    <w:rsid w:val="00773E91"/>
    <w:rsid w:val="00774E70"/>
    <w:rsid w:val="007801F5"/>
    <w:rsid w:val="007808EF"/>
    <w:rsid w:val="00783CA4"/>
    <w:rsid w:val="007842FB"/>
    <w:rsid w:val="00786124"/>
    <w:rsid w:val="007912C4"/>
    <w:rsid w:val="0079514B"/>
    <w:rsid w:val="00797CEA"/>
    <w:rsid w:val="007A2DC1"/>
    <w:rsid w:val="007A3CC4"/>
    <w:rsid w:val="007A4923"/>
    <w:rsid w:val="007C5AC9"/>
    <w:rsid w:val="007D3319"/>
    <w:rsid w:val="007D335D"/>
    <w:rsid w:val="007D3F3F"/>
    <w:rsid w:val="007D6BC4"/>
    <w:rsid w:val="007E11F4"/>
    <w:rsid w:val="007E3314"/>
    <w:rsid w:val="007E3777"/>
    <w:rsid w:val="007E4B03"/>
    <w:rsid w:val="007F324B"/>
    <w:rsid w:val="007F3FA5"/>
    <w:rsid w:val="007F6BA3"/>
    <w:rsid w:val="0080553C"/>
    <w:rsid w:val="00805B46"/>
    <w:rsid w:val="00824808"/>
    <w:rsid w:val="00825DC2"/>
    <w:rsid w:val="00825F5C"/>
    <w:rsid w:val="00832FBE"/>
    <w:rsid w:val="00834AD3"/>
    <w:rsid w:val="0084092E"/>
    <w:rsid w:val="00843795"/>
    <w:rsid w:val="00843B80"/>
    <w:rsid w:val="00847F0F"/>
    <w:rsid w:val="00852448"/>
    <w:rsid w:val="008529D8"/>
    <w:rsid w:val="008652AD"/>
    <w:rsid w:val="0087094B"/>
    <w:rsid w:val="0087116E"/>
    <w:rsid w:val="008720A0"/>
    <w:rsid w:val="00874A1E"/>
    <w:rsid w:val="0088258A"/>
    <w:rsid w:val="00886332"/>
    <w:rsid w:val="00887BD4"/>
    <w:rsid w:val="0089134A"/>
    <w:rsid w:val="008935C5"/>
    <w:rsid w:val="008A10A2"/>
    <w:rsid w:val="008A26D9"/>
    <w:rsid w:val="008A697A"/>
    <w:rsid w:val="008B4B4D"/>
    <w:rsid w:val="008C0C29"/>
    <w:rsid w:val="008C317D"/>
    <w:rsid w:val="008C3310"/>
    <w:rsid w:val="008F3638"/>
    <w:rsid w:val="008F6F31"/>
    <w:rsid w:val="008F74DF"/>
    <w:rsid w:val="0090586A"/>
    <w:rsid w:val="009127BA"/>
    <w:rsid w:val="00921F50"/>
    <w:rsid w:val="009227A6"/>
    <w:rsid w:val="00932408"/>
    <w:rsid w:val="00933EC1"/>
    <w:rsid w:val="009360D3"/>
    <w:rsid w:val="00946BAC"/>
    <w:rsid w:val="00951F4F"/>
    <w:rsid w:val="009530DB"/>
    <w:rsid w:val="00953676"/>
    <w:rsid w:val="00955FF5"/>
    <w:rsid w:val="009705EE"/>
    <w:rsid w:val="00977927"/>
    <w:rsid w:val="0098135C"/>
    <w:rsid w:val="0098156A"/>
    <w:rsid w:val="00982B24"/>
    <w:rsid w:val="00984585"/>
    <w:rsid w:val="00985D81"/>
    <w:rsid w:val="00987A98"/>
    <w:rsid w:val="00991BAC"/>
    <w:rsid w:val="00992926"/>
    <w:rsid w:val="0099454C"/>
    <w:rsid w:val="009A0F70"/>
    <w:rsid w:val="009A39CF"/>
    <w:rsid w:val="009A5C86"/>
    <w:rsid w:val="009A6EA0"/>
    <w:rsid w:val="009C1232"/>
    <w:rsid w:val="009C1335"/>
    <w:rsid w:val="009C17B6"/>
    <w:rsid w:val="009C1AB2"/>
    <w:rsid w:val="009C5A21"/>
    <w:rsid w:val="009C5D06"/>
    <w:rsid w:val="009C7251"/>
    <w:rsid w:val="009D0070"/>
    <w:rsid w:val="009D1900"/>
    <w:rsid w:val="009E2E91"/>
    <w:rsid w:val="009E31C1"/>
    <w:rsid w:val="009F21D8"/>
    <w:rsid w:val="009F50B3"/>
    <w:rsid w:val="009F59A3"/>
    <w:rsid w:val="009F6713"/>
    <w:rsid w:val="00A00ADB"/>
    <w:rsid w:val="00A139F5"/>
    <w:rsid w:val="00A165B0"/>
    <w:rsid w:val="00A34319"/>
    <w:rsid w:val="00A365F4"/>
    <w:rsid w:val="00A416B1"/>
    <w:rsid w:val="00A44ACB"/>
    <w:rsid w:val="00A468E3"/>
    <w:rsid w:val="00A477B8"/>
    <w:rsid w:val="00A47D80"/>
    <w:rsid w:val="00A53132"/>
    <w:rsid w:val="00A563F2"/>
    <w:rsid w:val="00A566E8"/>
    <w:rsid w:val="00A6544F"/>
    <w:rsid w:val="00A77F02"/>
    <w:rsid w:val="00A810F9"/>
    <w:rsid w:val="00A81F44"/>
    <w:rsid w:val="00A844E6"/>
    <w:rsid w:val="00A86962"/>
    <w:rsid w:val="00A86ECC"/>
    <w:rsid w:val="00A86EFC"/>
    <w:rsid w:val="00A86FCC"/>
    <w:rsid w:val="00A876AE"/>
    <w:rsid w:val="00A913B8"/>
    <w:rsid w:val="00A951BE"/>
    <w:rsid w:val="00AA1FF3"/>
    <w:rsid w:val="00AA5072"/>
    <w:rsid w:val="00AA710D"/>
    <w:rsid w:val="00AB6D25"/>
    <w:rsid w:val="00AB72B1"/>
    <w:rsid w:val="00AD34B4"/>
    <w:rsid w:val="00AE2D4B"/>
    <w:rsid w:val="00AE4325"/>
    <w:rsid w:val="00AE4F99"/>
    <w:rsid w:val="00AE636C"/>
    <w:rsid w:val="00AF6C4B"/>
    <w:rsid w:val="00B04285"/>
    <w:rsid w:val="00B1493C"/>
    <w:rsid w:val="00B14952"/>
    <w:rsid w:val="00B15BEB"/>
    <w:rsid w:val="00B25357"/>
    <w:rsid w:val="00B31E5A"/>
    <w:rsid w:val="00B33E37"/>
    <w:rsid w:val="00B50115"/>
    <w:rsid w:val="00B5279C"/>
    <w:rsid w:val="00B653AB"/>
    <w:rsid w:val="00B65F9E"/>
    <w:rsid w:val="00B66555"/>
    <w:rsid w:val="00B66B19"/>
    <w:rsid w:val="00B718F6"/>
    <w:rsid w:val="00B72ACF"/>
    <w:rsid w:val="00B76C0C"/>
    <w:rsid w:val="00B914E9"/>
    <w:rsid w:val="00B922F6"/>
    <w:rsid w:val="00B92654"/>
    <w:rsid w:val="00B956EE"/>
    <w:rsid w:val="00B957EC"/>
    <w:rsid w:val="00BA1D4F"/>
    <w:rsid w:val="00BA2BA1"/>
    <w:rsid w:val="00BB4F09"/>
    <w:rsid w:val="00BD2BC3"/>
    <w:rsid w:val="00BD4E33"/>
    <w:rsid w:val="00BD67C2"/>
    <w:rsid w:val="00BE060A"/>
    <w:rsid w:val="00BE588F"/>
    <w:rsid w:val="00C02127"/>
    <w:rsid w:val="00C030DE"/>
    <w:rsid w:val="00C0682D"/>
    <w:rsid w:val="00C22105"/>
    <w:rsid w:val="00C244B6"/>
    <w:rsid w:val="00C30406"/>
    <w:rsid w:val="00C3702F"/>
    <w:rsid w:val="00C425A6"/>
    <w:rsid w:val="00C436BE"/>
    <w:rsid w:val="00C43CFC"/>
    <w:rsid w:val="00C5627C"/>
    <w:rsid w:val="00C64A37"/>
    <w:rsid w:val="00C7158E"/>
    <w:rsid w:val="00C7250B"/>
    <w:rsid w:val="00C733C3"/>
    <w:rsid w:val="00C7346B"/>
    <w:rsid w:val="00C7776D"/>
    <w:rsid w:val="00C77C0E"/>
    <w:rsid w:val="00C77C4A"/>
    <w:rsid w:val="00C85BB8"/>
    <w:rsid w:val="00C91687"/>
    <w:rsid w:val="00C924A8"/>
    <w:rsid w:val="00C945FE"/>
    <w:rsid w:val="00C96FAA"/>
    <w:rsid w:val="00C97A04"/>
    <w:rsid w:val="00CA107B"/>
    <w:rsid w:val="00CA484D"/>
    <w:rsid w:val="00CB5036"/>
    <w:rsid w:val="00CC018D"/>
    <w:rsid w:val="00CC303A"/>
    <w:rsid w:val="00CC739E"/>
    <w:rsid w:val="00CD2FE9"/>
    <w:rsid w:val="00CD58B7"/>
    <w:rsid w:val="00CE36AB"/>
    <w:rsid w:val="00CF4099"/>
    <w:rsid w:val="00D00796"/>
    <w:rsid w:val="00D0610C"/>
    <w:rsid w:val="00D115A8"/>
    <w:rsid w:val="00D12F60"/>
    <w:rsid w:val="00D261A2"/>
    <w:rsid w:val="00D34D98"/>
    <w:rsid w:val="00D37998"/>
    <w:rsid w:val="00D47F89"/>
    <w:rsid w:val="00D53D5E"/>
    <w:rsid w:val="00D616D2"/>
    <w:rsid w:val="00D626BB"/>
    <w:rsid w:val="00D63B5F"/>
    <w:rsid w:val="00D67CD3"/>
    <w:rsid w:val="00D70EF7"/>
    <w:rsid w:val="00D8397C"/>
    <w:rsid w:val="00D845BF"/>
    <w:rsid w:val="00D94EED"/>
    <w:rsid w:val="00D96026"/>
    <w:rsid w:val="00DA4CE5"/>
    <w:rsid w:val="00DA7C1C"/>
    <w:rsid w:val="00DB147A"/>
    <w:rsid w:val="00DB1B7A"/>
    <w:rsid w:val="00DB20ED"/>
    <w:rsid w:val="00DB562E"/>
    <w:rsid w:val="00DC6708"/>
    <w:rsid w:val="00DE267C"/>
    <w:rsid w:val="00DE2D12"/>
    <w:rsid w:val="00E01436"/>
    <w:rsid w:val="00E045BD"/>
    <w:rsid w:val="00E103C6"/>
    <w:rsid w:val="00E12DB3"/>
    <w:rsid w:val="00E17B77"/>
    <w:rsid w:val="00E23337"/>
    <w:rsid w:val="00E259EA"/>
    <w:rsid w:val="00E31C5A"/>
    <w:rsid w:val="00E32061"/>
    <w:rsid w:val="00E33A76"/>
    <w:rsid w:val="00E42FF9"/>
    <w:rsid w:val="00E441B4"/>
    <w:rsid w:val="00E44BC0"/>
    <w:rsid w:val="00E4714C"/>
    <w:rsid w:val="00E51AEB"/>
    <w:rsid w:val="00E522A7"/>
    <w:rsid w:val="00E53C35"/>
    <w:rsid w:val="00E54452"/>
    <w:rsid w:val="00E637B8"/>
    <w:rsid w:val="00E664C5"/>
    <w:rsid w:val="00E671A2"/>
    <w:rsid w:val="00E723F3"/>
    <w:rsid w:val="00E76D26"/>
    <w:rsid w:val="00E86D11"/>
    <w:rsid w:val="00E93AC6"/>
    <w:rsid w:val="00EA7416"/>
    <w:rsid w:val="00EB1390"/>
    <w:rsid w:val="00EB2C71"/>
    <w:rsid w:val="00EB4340"/>
    <w:rsid w:val="00EB556D"/>
    <w:rsid w:val="00EB5A7D"/>
    <w:rsid w:val="00EC6793"/>
    <w:rsid w:val="00ED55C0"/>
    <w:rsid w:val="00ED682B"/>
    <w:rsid w:val="00EE41D5"/>
    <w:rsid w:val="00F02C7E"/>
    <w:rsid w:val="00F037A4"/>
    <w:rsid w:val="00F067F4"/>
    <w:rsid w:val="00F136D9"/>
    <w:rsid w:val="00F152E6"/>
    <w:rsid w:val="00F274D0"/>
    <w:rsid w:val="00F27C8F"/>
    <w:rsid w:val="00F32749"/>
    <w:rsid w:val="00F3415A"/>
    <w:rsid w:val="00F35F16"/>
    <w:rsid w:val="00F37172"/>
    <w:rsid w:val="00F42440"/>
    <w:rsid w:val="00F4477E"/>
    <w:rsid w:val="00F657FD"/>
    <w:rsid w:val="00F67D8F"/>
    <w:rsid w:val="00F70DA2"/>
    <w:rsid w:val="00F71B2B"/>
    <w:rsid w:val="00F802BE"/>
    <w:rsid w:val="00F80745"/>
    <w:rsid w:val="00F86024"/>
    <w:rsid w:val="00F8611A"/>
    <w:rsid w:val="00FA5128"/>
    <w:rsid w:val="00FB42D4"/>
    <w:rsid w:val="00FB50BD"/>
    <w:rsid w:val="00FB5906"/>
    <w:rsid w:val="00FB762F"/>
    <w:rsid w:val="00FC0B7D"/>
    <w:rsid w:val="00FC2AED"/>
    <w:rsid w:val="00FD2E48"/>
    <w:rsid w:val="00FD5EA7"/>
    <w:rsid w:val="00FF1498"/>
    <w:rsid w:val="00FF1AF9"/>
    <w:rsid w:val="00FF29C2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6.png"/><Relationship Id="rId39" Type="http://schemas.openxmlformats.org/officeDocument/2006/relationships/hyperlink" Target="http://stat.gov.pl/banki-i-bazy-danych/handel-zagraniczny/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metainformacje/slownik-pojec/pojecia-stosowane-w-statystyce-publicznej/119,pojecie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hyperlink" Target="http://stat.gov.pl/obszary-tematyczne/ceny-handel/handel/obroty-towarowe-handlu-zagranicznego-w-2016-r-,4,14.html" TargetMode="External"/><Relationship Id="rId41" Type="http://schemas.openxmlformats.org/officeDocument/2006/relationships/hyperlink" Target="http://stat.gov.pl/metainformacje/slownik-pojec/pojecia-stosowane-w-statystyce-publicznej/11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banki-i-bazy-danych/handel-zagraniczny/" TargetMode="External"/><Relationship Id="rId37" Type="http://schemas.openxmlformats.org/officeDocument/2006/relationships/hyperlink" Target="https://stat.gov.pl/obszary-tematyczne/ceny-handel/handel/handel-zagraniczny-statystyka-lustrzana-i-statystyka-asymetrii,17,1.html" TargetMode="External"/><Relationship Id="rId40" Type="http://schemas.openxmlformats.org/officeDocument/2006/relationships/hyperlink" Target="http://stat.gov.pl/metainformacje/slownik-pojec/pojecia-stosowane-w-statystyce-publicznej/746,pojecie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://stat.gov.pl/obszary-tematyczne/roczniki-statystyczne/roczniki-statystyczne/rocznik-statystyczny-handlu-zagranicznego-2017,9,11.html" TargetMode="External"/><Relationship Id="rId36" Type="http://schemas.openxmlformats.org/officeDocument/2006/relationships/hyperlink" Target="http://stat.gov.pl/obszary-tematyczne/ceny-handel/handel/obroty-towarowe-handlu-zagranicznego-w-2016-r-,4,14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waid.stat.gov.pl/SitePagesDBW/HandelZagraniczny.aspx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a.matejak@stat.gov.p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s://stat.gov.pl/obszary-tematyczne/ceny-handel/handel/handel-zagraniczny-statystyka-lustrzana-i-statystyka-asymetrii,17,1.html" TargetMode="External"/><Relationship Id="rId35" Type="http://schemas.openxmlformats.org/officeDocument/2006/relationships/hyperlink" Target="http://stat.gov.pl/obszary-tematyczne/roczniki-statystyczne/roczniki-statystyczne/rocznik-statystyczny-handlu-zagranicznego-2017,9,11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image" Target="media/image5.png"/><Relationship Id="rId33" Type="http://schemas.openxmlformats.org/officeDocument/2006/relationships/hyperlink" Target="http://stat.gov.pl/metainformacje/slownik-pojec/pojecia-stosowane-w-statystyce-publicznej/746,pojecie.html" TargetMode="External"/><Relationship Id="rId38" Type="http://schemas.openxmlformats.org/officeDocument/2006/relationships/hyperlink" Target="http://swaid.stat.gov.pl/SitePagesDBW/HandelZagraniczny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Ci&#261;gutki\2017\XII\C-17_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Ci&#261;gutki\2017\XII\C-17_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awistowskaB\AppData\Local\Microsoft\Windows\INetCache\Content.Outlook\9UKA5IS6\C-17_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Arkusz1!$A$7</c:f>
              <c:strCache>
                <c:ptCount val="1"/>
                <c:pt idx="0">
                  <c:v>Eksport  </c:v>
                </c:pt>
              </c:strCache>
            </c:strRef>
          </c:tx>
          <c:spPr>
            <a:solidFill>
              <a:srgbClr val="000099">
                <a:shade val="30000"/>
                <a:satMod val="115000"/>
              </a:srgbClr>
            </a:solidFill>
            <a:ln>
              <a:noFill/>
            </a:ln>
            <a:effectLst/>
          </c:spPr>
          <c:invertIfNegative val="0"/>
          <c:cat>
            <c:strRef>
              <c:f>Arkusz1!$B$5:$D$6</c:f>
              <c:strCache>
                <c:ptCount val="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</c:strCache>
            </c:strRef>
          </c:cat>
          <c:val>
            <c:numRef>
              <c:f>Arkusz1!$B$7:$D$7</c:f>
              <c:numCache>
                <c:formatCode>0.0</c:formatCode>
                <c:ptCount val="3"/>
                <c:pt idx="0">
                  <c:v>81.2</c:v>
                </c:pt>
                <c:pt idx="1">
                  <c:v>80.2</c:v>
                </c:pt>
                <c:pt idx="2">
                  <c:v>66.78</c:v>
                </c:pt>
              </c:numCache>
            </c:numRef>
          </c:val>
        </c:ser>
        <c:ser>
          <c:idx val="1"/>
          <c:order val="1"/>
          <c:tx>
            <c:strRef>
              <c:f>Arkusz1!$A$8</c:f>
              <c:strCache>
                <c:ptCount val="1"/>
                <c:pt idx="0">
                  <c:v>Import   </c:v>
                </c:pt>
              </c:strCache>
            </c:strRef>
          </c:tx>
          <c:spPr>
            <a:solidFill>
              <a:srgbClr val="3395D4"/>
            </a:solidFill>
            <a:ln>
              <a:noFill/>
            </a:ln>
            <a:effectLst/>
          </c:spPr>
          <c:invertIfNegative val="0"/>
          <c:cat>
            <c:strRef>
              <c:f>Arkusz1!$B$5:$D$6</c:f>
              <c:strCache>
                <c:ptCount val="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</c:strCache>
            </c:strRef>
          </c:cat>
          <c:val>
            <c:numRef>
              <c:f>Arkusz1!$B$8:$D$8</c:f>
              <c:numCache>
                <c:formatCode>0.0</c:formatCode>
                <c:ptCount val="3"/>
                <c:pt idx="0">
                  <c:v>79.599999999999994</c:v>
                </c:pt>
                <c:pt idx="1">
                  <c:v>79.900000000000006</c:v>
                </c:pt>
                <c:pt idx="2">
                  <c:v>72.2</c:v>
                </c:pt>
              </c:numCache>
            </c:numRef>
          </c:val>
        </c:ser>
        <c:ser>
          <c:idx val="2"/>
          <c:order val="2"/>
          <c:tx>
            <c:strRef>
              <c:f>Arkusz1!$A$9</c:f>
              <c:strCache>
                <c:ptCount val="1"/>
                <c:pt idx="0">
                  <c:v>Saldo      </c:v>
                </c:pt>
              </c:strCache>
            </c:strRef>
          </c:tx>
          <c:spPr>
            <a:solidFill>
              <a:srgbClr val="69BE28"/>
            </a:solidFill>
            <a:ln w="28575" cap="rnd">
              <a:noFill/>
              <a:prstDash val="sysDash"/>
              <a:round/>
            </a:ln>
            <a:effectLst/>
          </c:spPr>
          <c:invertIfNegative val="0"/>
          <c:cat>
            <c:strRef>
              <c:f>Arkusz1!$B$5:$D$6</c:f>
              <c:strCache>
                <c:ptCount val="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</c:strCache>
            </c:strRef>
          </c:cat>
          <c:val>
            <c:numRef>
              <c:f>Arkusz1!$B$9:$D$9</c:f>
              <c:numCache>
                <c:formatCode>0.0</c:formatCode>
                <c:ptCount val="3"/>
                <c:pt idx="0">
                  <c:v>1.7000000000000028</c:v>
                </c:pt>
                <c:pt idx="1">
                  <c:v>-0.60000000000000853</c:v>
                </c:pt>
                <c:pt idx="2">
                  <c:v>-5.9000000000000057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9153456"/>
        <c:axId val="1349152912"/>
      </c:barChart>
      <c:catAx>
        <c:axId val="134915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49152912"/>
        <c:crosses val="autoZero"/>
        <c:auto val="1"/>
        <c:lblAlgn val="ctr"/>
        <c:lblOffset val="100"/>
        <c:noMultiLvlLbl val="0"/>
      </c:catAx>
      <c:valAx>
        <c:axId val="1349152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4915345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Arkusz2!$A$3:$B$3</c:f>
              <c:strCache>
                <c:ptCount val="2"/>
                <c:pt idx="0">
                  <c:v>Eksport</c:v>
                </c:pt>
                <c:pt idx="1">
                  <c:v>2016</c:v>
                </c:pt>
              </c:strCache>
            </c:strRef>
          </c:tx>
          <c:spPr>
            <a:solidFill>
              <a:srgbClr val="3395D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3395D4"/>
              </a:solidFill>
              <a:ln>
                <a:noFill/>
              </a:ln>
              <a:effectLst>
                <a:outerShdw blurRad="63500" sx="102000" sy="102000" algn="ctr" rotWithShape="0">
                  <a:schemeClr val="accent1">
                    <a:lumMod val="40000"/>
                    <a:lumOff val="60000"/>
                    <a:alpha val="40000"/>
                  </a:schemeClr>
                </a:outerShdw>
              </a:effectLst>
            </c:spPr>
          </c:dPt>
          <c:cat>
            <c:strRef>
              <c:f>Arkusz2!$C$1:$N$2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       I-III</c:v>
                </c:pt>
                <c:pt idx="3">
                  <c:v>       I-IV</c:v>
                </c:pt>
                <c:pt idx="4">
                  <c:v>        I-V</c:v>
                </c:pt>
                <c:pt idx="5">
                  <c:v>       I-VI</c:v>
                </c:pt>
                <c:pt idx="6">
                  <c:v>       I-VII</c:v>
                </c:pt>
                <c:pt idx="7">
                  <c:v>       I-VIII</c:v>
                </c:pt>
                <c:pt idx="8">
                  <c:v>       I-IX</c:v>
                </c:pt>
                <c:pt idx="9">
                  <c:v>        I-X</c:v>
                </c:pt>
                <c:pt idx="10">
                  <c:v>       I-XI</c:v>
                </c:pt>
                <c:pt idx="11">
                  <c:v>      I-XII</c:v>
                </c:pt>
              </c:strCache>
            </c:strRef>
          </c:cat>
          <c:val>
            <c:numRef>
              <c:f>Arkusz2!$C$3:$N$3</c:f>
              <c:numCache>
                <c:formatCode>0.0_)</c:formatCode>
                <c:ptCount val="12"/>
                <c:pt idx="0">
                  <c:v>101.64103692544666</c:v>
                </c:pt>
                <c:pt idx="1">
                  <c:v>105.71380770304309</c:v>
                </c:pt>
                <c:pt idx="2">
                  <c:v>104.86266714658315</c:v>
                </c:pt>
                <c:pt idx="3">
                  <c:v>106.39805151599624</c:v>
                </c:pt>
                <c:pt idx="4">
                  <c:v>107.1153378883722</c:v>
                </c:pt>
                <c:pt idx="5">
                  <c:v>107.60933588074641</c:v>
                </c:pt>
                <c:pt idx="6">
                  <c:v>106.72503842882415</c:v>
                </c:pt>
                <c:pt idx="7">
                  <c:v>107.22617201765696</c:v>
                </c:pt>
                <c:pt idx="8">
                  <c:v>106.88246004304729</c:v>
                </c:pt>
                <c:pt idx="9">
                  <c:v>106.21226176454788</c:v>
                </c:pt>
                <c:pt idx="10">
                  <c:v>106.61360614705448</c:v>
                </c:pt>
                <c:pt idx="11">
                  <c:v>107.01112014104814</c:v>
                </c:pt>
              </c:numCache>
            </c:numRef>
          </c:val>
        </c:ser>
        <c:ser>
          <c:idx val="1"/>
          <c:order val="1"/>
          <c:tx>
            <c:strRef>
              <c:f>Arkusz2!$A$4:$B$4</c:f>
              <c:strCache>
                <c:ptCount val="2"/>
                <c:pt idx="0">
                  <c:v>Eksport</c:v>
                </c:pt>
                <c:pt idx="1">
                  <c:v>2017</c:v>
                </c:pt>
              </c:strCache>
            </c:strRef>
          </c:tx>
          <c:spPr>
            <a:solidFill>
              <a:srgbClr val="001D77"/>
            </a:solidFill>
            <a:ln w="15875">
              <a:noFill/>
            </a:ln>
            <a:effectLst/>
          </c:spPr>
          <c:invertIfNegative val="0"/>
          <c:cat>
            <c:strRef>
              <c:f>Arkusz2!$C$1:$N$2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       I-III</c:v>
                </c:pt>
                <c:pt idx="3">
                  <c:v>       I-IV</c:v>
                </c:pt>
                <c:pt idx="4">
                  <c:v>        I-V</c:v>
                </c:pt>
                <c:pt idx="5">
                  <c:v>       I-VI</c:v>
                </c:pt>
                <c:pt idx="6">
                  <c:v>       I-VII</c:v>
                </c:pt>
                <c:pt idx="7">
                  <c:v>       I-VIII</c:v>
                </c:pt>
                <c:pt idx="8">
                  <c:v>       I-IX</c:v>
                </c:pt>
                <c:pt idx="9">
                  <c:v>        I-X</c:v>
                </c:pt>
                <c:pt idx="10">
                  <c:v>       I-XI</c:v>
                </c:pt>
                <c:pt idx="11">
                  <c:v>      I-XII</c:v>
                </c:pt>
              </c:strCache>
            </c:strRef>
          </c:cat>
          <c:val>
            <c:numRef>
              <c:f>Arkusz2!$C$4:$N$4</c:f>
              <c:numCache>
                <c:formatCode>#\ ##0.0</c:formatCode>
                <c:ptCount val="12"/>
                <c:pt idx="0">
                  <c:v>116.53127498001598</c:v>
                </c:pt>
                <c:pt idx="1">
                  <c:v>111.20759653734049</c:v>
                </c:pt>
                <c:pt idx="2">
                  <c:v>114.28157648030172</c:v>
                </c:pt>
                <c:pt idx="3">
                  <c:v>111.35010177799775</c:v>
                </c:pt>
                <c:pt idx="4">
                  <c:v>111.27565917941918</c:v>
                </c:pt>
                <c:pt idx="5">
                  <c:v>110.22921165083727</c:v>
                </c:pt>
                <c:pt idx="6">
                  <c:v>110.03395239622809</c:v>
                </c:pt>
                <c:pt idx="7">
                  <c:v>110.32689000755465</c:v>
                </c:pt>
                <c:pt idx="8">
                  <c:v>110.49735284674063</c:v>
                </c:pt>
                <c:pt idx="9">
                  <c:v>111.07906924078581</c:v>
                </c:pt>
                <c:pt idx="10">
                  <c:v>110.81911315177841</c:v>
                </c:pt>
                <c:pt idx="11">
                  <c:v>109.84989255459203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49154000"/>
        <c:axId val="1349155088"/>
      </c:barChart>
      <c:catAx>
        <c:axId val="1349154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49155088"/>
        <c:crosses val="autoZero"/>
        <c:auto val="1"/>
        <c:lblAlgn val="ctr"/>
        <c:lblOffset val="100"/>
        <c:noMultiLvlLbl val="0"/>
      </c:catAx>
      <c:valAx>
        <c:axId val="1349155088"/>
        <c:scaling>
          <c:orientation val="minMax"/>
          <c:max val="12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4915400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Arkusz2!$A$8:$B$8</c:f>
              <c:strCache>
                <c:ptCount val="2"/>
                <c:pt idx="0">
                  <c:v>Import</c:v>
                </c:pt>
                <c:pt idx="1">
                  <c:v>2016</c:v>
                </c:pt>
              </c:strCache>
            </c:strRef>
          </c:tx>
          <c:spPr>
            <a:solidFill>
              <a:srgbClr val="001D77"/>
            </a:solidFill>
            <a:ln w="9525" cap="flat" cmpd="sng" algn="ctr">
              <a:noFill/>
              <a:round/>
            </a:ln>
            <a:effectLst/>
          </c:spPr>
          <c:invertIfNegative val="0"/>
          <c:cat>
            <c:strRef>
              <c:f>Arkusz2!$C$6:$N$7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       I-III</c:v>
                </c:pt>
                <c:pt idx="3">
                  <c:v>       I-IV</c:v>
                </c:pt>
                <c:pt idx="4">
                  <c:v>        I-V</c:v>
                </c:pt>
                <c:pt idx="5">
                  <c:v>       I-VI</c:v>
                </c:pt>
                <c:pt idx="6">
                  <c:v>       I-VII</c:v>
                </c:pt>
                <c:pt idx="7">
                  <c:v>       I-VIII</c:v>
                </c:pt>
                <c:pt idx="8">
                  <c:v>       I-IX</c:v>
                </c:pt>
                <c:pt idx="9">
                  <c:v>        I-X</c:v>
                </c:pt>
                <c:pt idx="10">
                  <c:v>       I-XI</c:v>
                </c:pt>
                <c:pt idx="11">
                  <c:v>      I-XII</c:v>
                </c:pt>
              </c:strCache>
            </c:strRef>
          </c:cat>
          <c:val>
            <c:numRef>
              <c:f>Arkusz2!$C$8:$N$8</c:f>
              <c:numCache>
                <c:formatCode>#\ ##0.0</c:formatCode>
                <c:ptCount val="12"/>
                <c:pt idx="0">
                  <c:v>101.72590950854625</c:v>
                </c:pt>
                <c:pt idx="1">
                  <c:v>106.82129003110119</c:v>
                </c:pt>
                <c:pt idx="2">
                  <c:v>105.73697790904528</c:v>
                </c:pt>
                <c:pt idx="3">
                  <c:v>106.02173224143969</c:v>
                </c:pt>
                <c:pt idx="4">
                  <c:v>106.92438924365023</c:v>
                </c:pt>
                <c:pt idx="5">
                  <c:v>106.76957199476441</c:v>
                </c:pt>
                <c:pt idx="6">
                  <c:v>105.32506625581301</c:v>
                </c:pt>
                <c:pt idx="7">
                  <c:v>106.05794067246855</c:v>
                </c:pt>
                <c:pt idx="8">
                  <c:v>105.8636342040151</c:v>
                </c:pt>
                <c:pt idx="9">
                  <c:v>105.45601086259602</c:v>
                </c:pt>
                <c:pt idx="10">
                  <c:v>105.66518611449693</c:v>
                </c:pt>
                <c:pt idx="11">
                  <c:v>106.14014027226082</c:v>
                </c:pt>
              </c:numCache>
            </c:numRef>
          </c:val>
        </c:ser>
        <c:ser>
          <c:idx val="1"/>
          <c:order val="1"/>
          <c:tx>
            <c:strRef>
              <c:f>Arkusz2!$A$9:$B$9</c:f>
              <c:strCache>
                <c:ptCount val="2"/>
                <c:pt idx="0">
                  <c:v>Import</c:v>
                </c:pt>
                <c:pt idx="1">
                  <c:v>2017</c:v>
                </c:pt>
              </c:strCache>
            </c:strRef>
          </c:tx>
          <c:spPr>
            <a:solidFill>
              <a:srgbClr val="3395D4"/>
            </a:solidFill>
            <a:ln w="9525" cap="flat" cmpd="sng" algn="ctr">
              <a:noFill/>
              <a:round/>
            </a:ln>
            <a:effectLst/>
          </c:spPr>
          <c:invertIfNegative val="0"/>
          <c:cat>
            <c:strRef>
              <c:f>Arkusz2!$C$6:$N$7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       I-III</c:v>
                </c:pt>
                <c:pt idx="3">
                  <c:v>       I-IV</c:v>
                </c:pt>
                <c:pt idx="4">
                  <c:v>        I-V</c:v>
                </c:pt>
                <c:pt idx="5">
                  <c:v>       I-VI</c:v>
                </c:pt>
                <c:pt idx="6">
                  <c:v>       I-VII</c:v>
                </c:pt>
                <c:pt idx="7">
                  <c:v>       I-VIII</c:v>
                </c:pt>
                <c:pt idx="8">
                  <c:v>       I-IX</c:v>
                </c:pt>
                <c:pt idx="9">
                  <c:v>        I-X</c:v>
                </c:pt>
                <c:pt idx="10">
                  <c:v>       I-XI</c:v>
                </c:pt>
                <c:pt idx="11">
                  <c:v>      I-XII</c:v>
                </c:pt>
              </c:strCache>
            </c:strRef>
          </c:cat>
          <c:val>
            <c:numRef>
              <c:f>Arkusz2!$C$9:$N$9</c:f>
              <c:numCache>
                <c:formatCode>#\ ##0.0</c:formatCode>
                <c:ptCount val="12"/>
                <c:pt idx="0">
                  <c:v>117.29170509057123</c:v>
                </c:pt>
                <c:pt idx="1">
                  <c:v>113.41817280452098</c:v>
                </c:pt>
                <c:pt idx="2">
                  <c:v>115.69179197922035</c:v>
                </c:pt>
                <c:pt idx="3">
                  <c:v>112.53121684132368</c:v>
                </c:pt>
                <c:pt idx="4">
                  <c:v>113.22730829581</c:v>
                </c:pt>
                <c:pt idx="5">
                  <c:v>112.80054840917649</c:v>
                </c:pt>
                <c:pt idx="6">
                  <c:v>112.62397850490584</c:v>
                </c:pt>
                <c:pt idx="7">
                  <c:v>112.14533033472361</c:v>
                </c:pt>
                <c:pt idx="8">
                  <c:v>111.92673916293154</c:v>
                </c:pt>
                <c:pt idx="9">
                  <c:v>112.30756580266821</c:v>
                </c:pt>
                <c:pt idx="10">
                  <c:v>112.26699747488678</c:v>
                </c:pt>
                <c:pt idx="11">
                  <c:v>111.90233424004295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9148560"/>
        <c:axId val="1349150736"/>
      </c:barChart>
      <c:catAx>
        <c:axId val="1349148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49150736"/>
        <c:crosses val="autoZero"/>
        <c:auto val="1"/>
        <c:lblAlgn val="ctr"/>
        <c:lblOffset val="100"/>
        <c:noMultiLvlLbl val="0"/>
      </c:catAx>
      <c:valAx>
        <c:axId val="1349150736"/>
        <c:scaling>
          <c:orientation val="minMax"/>
          <c:max val="12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4914856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Arkusz3!$A$6</c:f>
              <c:strCache>
                <c:ptCount val="1"/>
                <c:pt idx="0">
                  <c:v>2016 </c:v>
                </c:pt>
              </c:strCache>
            </c:strRef>
          </c:tx>
          <c:spPr>
            <a:ln w="28575" cap="rnd">
              <a:solidFill>
                <a:srgbClr val="3395D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3395D4"/>
              </a:solidFill>
              <a:ln w="9525">
                <a:solidFill>
                  <a:srgbClr val="3395D4"/>
                </a:solidFill>
              </a:ln>
              <a:effectLst/>
            </c:spPr>
          </c:marker>
          <c:cat>
            <c:strRef>
              <c:f>Arkusz3!$B$5:$M$5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Arkusz3!$B$6:$M$6</c:f>
              <c:numCache>
                <c:formatCode>0.0</c:formatCode>
                <c:ptCount val="12"/>
                <c:pt idx="0">
                  <c:v>-2.5790614440000006</c:v>
                </c:pt>
                <c:pt idx="1">
                  <c:v>-4.0506867889999896</c:v>
                </c:pt>
                <c:pt idx="2">
                  <c:v>-5.5612463229999598</c:v>
                </c:pt>
                <c:pt idx="3">
                  <c:v>-6.9099032879998807</c:v>
                </c:pt>
                <c:pt idx="4">
                  <c:v>-8.91500463699977</c:v>
                </c:pt>
                <c:pt idx="5">
                  <c:v>-10.819043498999699</c:v>
                </c:pt>
                <c:pt idx="6">
                  <c:v>-12.370641049999898</c:v>
                </c:pt>
                <c:pt idx="7">
                  <c:v>-14.4531386069999</c:v>
                </c:pt>
                <c:pt idx="8">
                  <c:v>-16.292431499999996</c:v>
                </c:pt>
                <c:pt idx="9">
                  <c:v>-18.430733661999799</c:v>
                </c:pt>
                <c:pt idx="10">
                  <c:v>-20.755441667999499</c:v>
                </c:pt>
                <c:pt idx="11">
                  <c:v>-22.643283817999102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Arkusz3!$A$7</c:f>
              <c:strCache>
                <c:ptCount val="1"/>
                <c:pt idx="0">
                  <c:v>2017 </c:v>
                </c:pt>
              </c:strCache>
            </c:strRef>
          </c:tx>
          <c:spPr>
            <a:ln w="28575" cap="flat">
              <a:solidFill>
                <a:srgbClr val="001D77"/>
              </a:solidFill>
              <a:bevel/>
            </a:ln>
            <a:effectLst/>
          </c:spPr>
          <c:marker>
            <c:symbol val="circle"/>
            <c:size val="5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Arkusz3!$B$5:$M$5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Arkusz3!$B$7:$M$7</c:f>
              <c:numCache>
                <c:formatCode>0.0</c:formatCode>
                <c:ptCount val="12"/>
                <c:pt idx="0">
                  <c:v>-3.1773045979999903</c:v>
                </c:pt>
                <c:pt idx="1">
                  <c:v>-6.1770274149999906</c:v>
                </c:pt>
                <c:pt idx="2">
                  <c:v>-8.4770375909999398</c:v>
                </c:pt>
                <c:pt idx="3">
                  <c:v>-10.996701119999878</c:v>
                </c:pt>
                <c:pt idx="4">
                  <c:v>-13.229480292000099</c:v>
                </c:pt>
                <c:pt idx="5">
                  <c:v>-15.100199259000199</c:v>
                </c:pt>
                <c:pt idx="6">
                  <c:v>-16.9905603250001</c:v>
                </c:pt>
                <c:pt idx="7">
                  <c:v>-18.740847883999802</c:v>
                </c:pt>
                <c:pt idx="8">
                  <c:v>-20.978943812999802</c:v>
                </c:pt>
                <c:pt idx="9">
                  <c:v>-23.061136288999602</c:v>
                </c:pt>
                <c:pt idx="10">
                  <c:v>-25.8890132129996</c:v>
                </c:pt>
                <c:pt idx="11">
                  <c:v>-29.581806937999499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9149104"/>
        <c:axId val="1349151280"/>
      </c:lineChart>
      <c:catAx>
        <c:axId val="1349149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 Light" panose="020B0403050000020004" pitchFamily="34" charset="0"/>
                <a:cs typeface="Calibri"/>
              </a:defRPr>
            </a:pPr>
            <a:endParaRPr lang="pl-PL"/>
          </a:p>
        </c:txPr>
        <c:crossAx val="1349151280"/>
        <c:crosses val="autoZero"/>
        <c:auto val="1"/>
        <c:lblAlgn val="ctr"/>
        <c:lblOffset val="100"/>
        <c:noMultiLvlLbl val="0"/>
      </c:catAx>
      <c:valAx>
        <c:axId val="1349151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 Light" panose="020B0403050000020004" pitchFamily="34" charset="0"/>
                <a:cs typeface="Calibri"/>
              </a:defRPr>
            </a:pPr>
            <a:endParaRPr lang="pl-PL"/>
          </a:p>
        </c:txPr>
        <c:crossAx val="134914910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 Light" panose="020B0403050000020004" pitchFamily="34" charset="0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228709557456299E-2"/>
          <c:y val="0.11422034157087707"/>
          <c:w val="0.89510350811949924"/>
          <c:h val="0.63803476781468793"/>
        </c:manualLayout>
      </c:layout>
      <c:lineChart>
        <c:grouping val="standard"/>
        <c:varyColors val="0"/>
        <c:ser>
          <c:idx val="0"/>
          <c:order val="0"/>
          <c:tx>
            <c:strRef>
              <c:f>Arkusz4!$B$1</c:f>
              <c:strCache>
                <c:ptCount val="1"/>
                <c:pt idx="0">
                  <c:v>Import wg kraju pochodzenia</c:v>
                </c:pt>
              </c:strCache>
            </c:strRef>
          </c:tx>
          <c:spPr>
            <a:ln w="28575" cap="rnd">
              <a:solidFill>
                <a:srgbClr val="3395D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3395D4"/>
              </a:solidFill>
              <a:ln w="9525">
                <a:solidFill>
                  <a:srgbClr val="3395D4"/>
                </a:solidFill>
              </a:ln>
              <a:effectLst/>
            </c:spPr>
          </c:marker>
          <c:cat>
            <c:strRef>
              <c:f>Arkusz4!$A$2:$A$4</c:f>
              <c:strCache>
                <c:ptCount val="3"/>
                <c:pt idx="0">
                  <c:v>Kraje rozwinięte </c:v>
                </c:pt>
                <c:pt idx="1">
                  <c:v>Kraje rozwijające się </c:v>
                </c:pt>
                <c:pt idx="2">
                  <c:v>Kraje Europy Środ. – Wsch. </c:v>
                </c:pt>
              </c:strCache>
            </c:strRef>
          </c:cat>
          <c:val>
            <c:numRef>
              <c:f>Arkusz4!$B$2:$B$4</c:f>
              <c:numCache>
                <c:formatCode>0.0</c:formatCode>
                <c:ptCount val="3"/>
                <c:pt idx="0">
                  <c:v>67.5</c:v>
                </c:pt>
                <c:pt idx="1">
                  <c:v>24.6</c:v>
                </c:pt>
                <c:pt idx="2">
                  <c:v>7.9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Arkusz4!$C$1</c:f>
              <c:strCache>
                <c:ptCount val="1"/>
                <c:pt idx="0">
                  <c:v>Import wg kraju wysyłki</c:v>
                </c:pt>
              </c:strCache>
            </c:strRef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/>
              </a:solidFill>
              <a:ln w="9525">
                <a:solidFill>
                  <a:srgbClr val="002060"/>
                </a:solidFill>
              </a:ln>
              <a:effectLst/>
            </c:spPr>
          </c:marker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  <c:spPr>
              <a:ln w="28575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Arkusz4!$A$2:$A$4</c:f>
              <c:strCache>
                <c:ptCount val="3"/>
                <c:pt idx="0">
                  <c:v>Kraje rozwinięte </c:v>
                </c:pt>
                <c:pt idx="1">
                  <c:v>Kraje rozwijające się </c:v>
                </c:pt>
                <c:pt idx="2">
                  <c:v>Kraje Europy Środ. – Wsch. </c:v>
                </c:pt>
              </c:strCache>
            </c:strRef>
          </c:cat>
          <c:val>
            <c:numRef>
              <c:f>Arkusz4!$C$2:$C$4</c:f>
              <c:numCache>
                <c:formatCode>0.0</c:formatCode>
                <c:ptCount val="3"/>
                <c:pt idx="0">
                  <c:v>76.099999999999994</c:v>
                </c:pt>
                <c:pt idx="1">
                  <c:v>15.8</c:v>
                </c:pt>
                <c:pt idx="2">
                  <c:v>8.1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9155632"/>
        <c:axId val="1340155712"/>
      </c:lineChart>
      <c:catAx>
        <c:axId val="134915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 Light" panose="020B0403050000020004" pitchFamily="34" charset="0"/>
                <a:cs typeface="Calibri"/>
              </a:defRPr>
            </a:pPr>
            <a:endParaRPr lang="pl-PL"/>
          </a:p>
        </c:txPr>
        <c:crossAx val="1340155712"/>
        <c:crosses val="autoZero"/>
        <c:auto val="1"/>
        <c:lblAlgn val="ctr"/>
        <c:lblOffset val="100"/>
        <c:noMultiLvlLbl val="0"/>
      </c:catAx>
      <c:valAx>
        <c:axId val="1340155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 Light" panose="020B0403050000020004" pitchFamily="34" charset="0"/>
                <a:cs typeface="Calibri"/>
              </a:defRPr>
            </a:pPr>
            <a:endParaRPr lang="pl-PL"/>
          </a:p>
        </c:txPr>
        <c:crossAx val="134915563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ysClr val="windowText" lastClr="000000"/>
              </a:solidFill>
              <a:latin typeface="Fira Sans" panose="020B0503050000020004" pitchFamily="34" charset="0"/>
              <a:ea typeface="Fira Sans Light" panose="020B0403050000020004" pitchFamily="34" charset="0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32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71B8A7-DBEA-45F0-9F1D-A387F50B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Obroty towarowe handlu zagranicznego ogółem i według krajów w 2017</vt:lpstr>
    </vt:vector>
  </TitlesOfParts>
  <Company/>
  <LinksUpToDate>false</LinksUpToDate>
  <CharactersWithSpaces>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2017</dc:title>
  <dc:subject/>
  <dc:creator>Zawistowska Beata</dc:creator>
  <cp:keywords/>
  <dc:description/>
  <cp:lastModifiedBy>Koszela Alicja</cp:lastModifiedBy>
  <cp:revision>3</cp:revision>
  <cp:lastPrinted>2018-07-04T11:06:00Z</cp:lastPrinted>
  <dcterms:created xsi:type="dcterms:W3CDTF">2018-08-02T11:55:00Z</dcterms:created>
  <dcterms:modified xsi:type="dcterms:W3CDTF">2018-08-02T11:55:00Z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