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BF0C5F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Obrót nieruchomościami</w:t>
      </w:r>
      <w:r w:rsidRPr="00BF0C5F">
        <w:rPr>
          <w:shd w:val="clear" w:color="auto" w:fill="FFFFFF"/>
        </w:rPr>
        <w:t xml:space="preserve"> w </w:t>
      </w:r>
      <w:r w:rsidR="00B870B3">
        <w:rPr>
          <w:shd w:val="clear" w:color="auto" w:fill="FFFFFF"/>
        </w:rPr>
        <w:t>2017</w:t>
      </w:r>
      <w:r w:rsidRPr="00BF0C5F">
        <w:rPr>
          <w:shd w:val="clear" w:color="auto" w:fill="FFFFFF"/>
        </w:rPr>
        <w:t xml:space="preserve"> r.</w:t>
      </w:r>
    </w:p>
    <w:p w:rsidR="00393761" w:rsidRPr="00001C5B" w:rsidRDefault="003F6910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264795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162" w:rsidRPr="00074DD8" w:rsidRDefault="00437162" w:rsidP="00437162">
                            <w:pPr>
                              <w:pStyle w:val="tekstzboku"/>
                            </w:pPr>
                            <w:r w:rsidRPr="00437162">
                              <w:t xml:space="preserve">Największy wzrost liczby </w:t>
                            </w:r>
                            <w:r w:rsidR="00907E1E">
                              <w:br/>
                            </w:r>
                            <w:r w:rsidRPr="00437162">
                              <w:t xml:space="preserve">aktów notarialnych odnotowano </w:t>
                            </w:r>
                            <w:r>
                              <w:t>w przypadku</w:t>
                            </w:r>
                            <w:r w:rsidRPr="00437162">
                              <w:t xml:space="preserve"> sprzedaży działek zabudowanych </w:t>
                            </w:r>
                            <w:r w:rsidR="00907E1E">
                              <w:br/>
                            </w:r>
                            <w:r w:rsidRPr="00437162">
                              <w:t xml:space="preserve">budynkiem mieszkalnym </w:t>
                            </w:r>
                            <w:r w:rsidR="00907E1E">
                              <w:br/>
                            </w:r>
                            <w:r w:rsidRPr="00437162">
                              <w:t>(o 7,5%)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0.3pt;margin-top:20.85pt;width:135.85pt;height:102.4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" filled="f" stroked="f">
                <v:textbox>
                  <w:txbxContent>
                    <w:p w:rsidR="00437162" w:rsidRPr="00074DD8" w:rsidRDefault="00437162" w:rsidP="00437162">
                      <w:pPr>
                        <w:pStyle w:val="tekstzboku"/>
                      </w:pPr>
                      <w:r w:rsidRPr="00437162">
                        <w:t xml:space="preserve">Największy wzrost liczby </w:t>
                      </w:r>
                      <w:r w:rsidR="00907E1E">
                        <w:br/>
                      </w:r>
                      <w:r w:rsidRPr="00437162">
                        <w:t xml:space="preserve">aktów notarialnych odnotowano </w:t>
                      </w:r>
                      <w:r>
                        <w:t>w przypadku</w:t>
                      </w:r>
                      <w:r w:rsidRPr="00437162">
                        <w:t xml:space="preserve"> sprzedaży działek zabudowanych </w:t>
                      </w:r>
                      <w:r w:rsidR="00907E1E">
                        <w:br/>
                      </w:r>
                      <w:r w:rsidRPr="00437162">
                        <w:t xml:space="preserve">budynkiem mieszkalnym </w:t>
                      </w:r>
                      <w:r w:rsidR="00907E1E">
                        <w:br/>
                      </w:r>
                      <w:r w:rsidRPr="00437162">
                        <w:t>(o 7,5%)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D0769" w:rsidRDefault="003F6910" w:rsidP="00437162">
      <w:pPr>
        <w:pStyle w:val="LID"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62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B0E8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068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101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068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933EC1" w:rsidRPr="00074DD8" w:rsidRDefault="007068CE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liczby aktów notarialnych dot. sprzedaży </w:t>
                            </w:r>
                            <w:r w:rsidR="001A297A">
                              <w:br/>
                            </w:r>
                            <w:r>
                              <w:t>nieruchomości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91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    <v:textbox>
                  <w:txbxContent>
                    <w:p w:rsidR="00933EC1" w:rsidRPr="00B66B19" w:rsidRDefault="007B0E8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068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101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068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="00933EC1" w:rsidRPr="00074DD8" w:rsidRDefault="007068CE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liczby aktów notarialnych dot. sprzedaży </w:t>
                      </w:r>
                      <w:r w:rsidR="001A297A">
                        <w:br/>
                      </w:r>
                      <w:r>
                        <w:t>nieruchomości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68CE" w:rsidRPr="007068CE">
        <w:t xml:space="preserve"> W 2017 roku podpisano 488, 1 tys. aktów notarialnych dotyczących sprzedaży nieruchomości, o 1,2% więcej niż rok wczesniej.</w:t>
      </w:r>
      <w:r w:rsidR="00437162">
        <w:t xml:space="preserve"> </w:t>
      </w:r>
      <w:r w:rsidR="007068CE" w:rsidRPr="007068CE">
        <w:rPr>
          <w:shd w:val="clear" w:color="auto" w:fill="FFFFFF"/>
        </w:rPr>
        <w:t>W porównaniu z 2016 rokiem największy wzrost liczby akt</w:t>
      </w:r>
      <w:r w:rsidR="007068CE">
        <w:rPr>
          <w:shd w:val="clear" w:color="auto" w:fill="FFFFFF"/>
        </w:rPr>
        <w:t>ów notarialnych wystąpił w przy</w:t>
      </w:r>
      <w:r w:rsidR="007068CE" w:rsidRPr="007068CE">
        <w:rPr>
          <w:shd w:val="clear" w:color="auto" w:fill="FFFFFF"/>
        </w:rPr>
        <w:t>padku sprzedaży działek zabudowanych budynkiem mieszkalnym (o 7,5%), sprzedaży lok</w:t>
      </w:r>
      <w:r w:rsidR="007068CE">
        <w:rPr>
          <w:shd w:val="clear" w:color="auto" w:fill="FFFFFF"/>
        </w:rPr>
        <w:t>a</w:t>
      </w:r>
      <w:r w:rsidR="007068CE" w:rsidRPr="007068CE">
        <w:rPr>
          <w:shd w:val="clear" w:color="auto" w:fill="FFFFFF"/>
        </w:rPr>
        <w:t>li (o 7,4%), sprzedaży działek niezabudowanych (o 4,9%) oraz sprzedaży spółdzielczego własnościowego prawa do lokalu (o 4,3%). Największy spadek odnotowano natomiast w przypadku aktów notarialnych dotyczących sprzedaży nieruchomości rolnych (o 17,6</w:t>
      </w:r>
      <w:r w:rsidR="00E728B9">
        <w:rPr>
          <w:shd w:val="clear" w:color="auto" w:fill="FFFFFF"/>
        </w:rPr>
        <w:t>%) oraz nieruchomości innych (o </w:t>
      </w:r>
      <w:r w:rsidR="007068CE" w:rsidRPr="007068CE">
        <w:rPr>
          <w:shd w:val="clear" w:color="auto" w:fill="FFFFFF"/>
        </w:rPr>
        <w:t>16,8%).</w:t>
      </w:r>
    </w:p>
    <w:p w:rsidR="00437162" w:rsidRPr="008D0769" w:rsidRDefault="00437162" w:rsidP="00437162">
      <w:pPr>
        <w:pStyle w:val="LID"/>
      </w:pPr>
    </w:p>
    <w:p w:rsidR="00CC7C9C" w:rsidRDefault="00CC7C9C" w:rsidP="00CC7C9C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403C1A">
        <w:rPr>
          <w:b/>
          <w:color w:val="auto"/>
        </w:rPr>
        <w:t xml:space="preserve"> </w:t>
      </w:r>
      <w:r w:rsidR="007068CE" w:rsidRPr="007068CE">
        <w:rPr>
          <w:rFonts w:ascii="Fira Sans" w:hAnsi="Fira Sans"/>
          <w:b/>
          <w:color w:val="auto"/>
          <w:sz w:val="18"/>
          <w:szCs w:val="18"/>
        </w:rPr>
        <w:t>Tablica 1. Akty notarialne dot. sprzedaży nieruchomości zawarte w 2017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="007068CE" w:rsidRPr="00907E1E" w:rsidTr="0028505D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WYSZCZEGÓLNIENIE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907E1E">
              <w:rPr>
                <w:color w:val="000000" w:themeColor="text1"/>
                <w:sz w:val="16"/>
                <w:szCs w:val="18"/>
              </w:rPr>
              <w:t>2017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907E1E">
              <w:rPr>
                <w:color w:val="000000" w:themeColor="text1"/>
                <w:sz w:val="16"/>
                <w:szCs w:val="18"/>
              </w:rPr>
              <w:t>2016 = 100</w:t>
            </w:r>
          </w:p>
        </w:tc>
      </w:tr>
      <w:tr w:rsidR="007068CE" w:rsidRPr="00907E1E" w:rsidTr="0028505D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OGÓŁEM</w:t>
            </w:r>
          </w:p>
        </w:tc>
        <w:tc>
          <w:tcPr>
            <w:tcW w:w="799" w:type="pct"/>
            <w:tcBorders>
              <w:top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right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cs="Arial"/>
                <w:b/>
                <w:color w:val="000000" w:themeColor="text1"/>
                <w:sz w:val="16"/>
                <w:szCs w:val="18"/>
              </w:rPr>
              <w:t>488 106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7068CE" w:rsidRPr="00907E1E" w:rsidRDefault="007068CE" w:rsidP="007068CE">
            <w:pPr>
              <w:jc w:val="right"/>
              <w:rPr>
                <w:b/>
                <w:sz w:val="16"/>
                <w:szCs w:val="18"/>
              </w:rPr>
            </w:pPr>
            <w:r w:rsidRPr="00907E1E">
              <w:rPr>
                <w:b/>
                <w:sz w:val="16"/>
                <w:szCs w:val="18"/>
              </w:rPr>
              <w:t>101,2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lokali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191 369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107,4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niezabudowanych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94 564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104,9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rolnych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57 492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82,4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mieszkalnym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47 904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107,5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spółdzielczego własnościowego prawa do lokalu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47 219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104,3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innych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22 611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83,2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o innym przeznaczeniu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15 407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100,9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prawa użytkowania wieczystego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6 887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103,8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na rzecz Skarbu Państwa lub JST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4 248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91,9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82084A" w:rsidP="0082084A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Oddanie przez Skarb Państwa lub jedno</w:t>
            </w:r>
            <w:r w:rsidR="00E728B9">
              <w:rPr>
                <w:sz w:val="16"/>
                <w:szCs w:val="18"/>
              </w:rPr>
              <w:t>stki samorządu terytorialnego w </w:t>
            </w:r>
            <w:r w:rsidRPr="00907E1E">
              <w:rPr>
                <w:sz w:val="16"/>
                <w:szCs w:val="18"/>
              </w:rPr>
              <w:t>użytkowanie wieczyste wraz ze sprzedażą budynku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405</w:t>
            </w:r>
          </w:p>
        </w:tc>
        <w:tc>
          <w:tcPr>
            <w:tcW w:w="798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98,8</w:t>
            </w:r>
          </w:p>
        </w:tc>
      </w:tr>
    </w:tbl>
    <w:p w:rsidR="007068CE" w:rsidRPr="00907E1E" w:rsidRDefault="007068CE" w:rsidP="000B670C">
      <w:pPr>
        <w:pStyle w:val="Akapitzlist"/>
        <w:spacing w:line="260" w:lineRule="exact"/>
        <w:ind w:left="0"/>
        <w:rPr>
          <w:i/>
          <w:sz w:val="16"/>
          <w:shd w:val="clear" w:color="auto" w:fill="FFFFFF"/>
        </w:rPr>
      </w:pPr>
      <w:r w:rsidRPr="00907E1E">
        <w:rPr>
          <w:i/>
          <w:sz w:val="16"/>
          <w:shd w:val="clear" w:color="auto" w:fill="FFFFFF"/>
        </w:rPr>
        <w:t>Źródło: dane Ministerstwa Sprawiedliwości</w:t>
      </w:r>
    </w:p>
    <w:p w:rsidR="00EF3DC7" w:rsidRDefault="00EF3DC7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746E58" w:rsidRDefault="007068CE" w:rsidP="00746E58">
      <w:pPr>
        <w:pStyle w:val="LID"/>
      </w:pPr>
      <w:r w:rsidRPr="00D9798A">
        <w:rPr>
          <w:b w:val="0"/>
        </w:rPr>
        <w:lastRenderedPageBreak/>
        <w:t>Według danych pozyskanych z Rejestru Cen i Wartości Nieruchomości</w:t>
      </w:r>
      <w:r>
        <w:rPr>
          <w:b w:val="0"/>
        </w:rPr>
        <w:t xml:space="preserve"> (RCiWN)</w:t>
      </w:r>
      <w:r w:rsidR="002940EF">
        <w:rPr>
          <w:b w:val="0"/>
        </w:rPr>
        <w:t xml:space="preserve">, w 2017 roku </w:t>
      </w:r>
      <w:r w:rsidR="00144766">
        <w:rPr>
          <w:b w:val="0"/>
        </w:rPr>
        <w:t>zawarto prawie 423</w:t>
      </w:r>
      <w:r w:rsidRPr="00D9798A">
        <w:rPr>
          <w:b w:val="0"/>
        </w:rPr>
        <w:t xml:space="preserve"> tys. transakcji kupna</w:t>
      </w:r>
      <w:r w:rsidR="00144766">
        <w:rPr>
          <w:b w:val="0"/>
        </w:rPr>
        <w:t>/sprzedaży nieuchomości tj. o 4,3</w:t>
      </w:r>
      <w:r w:rsidRPr="00D9798A">
        <w:rPr>
          <w:b w:val="0"/>
        </w:rPr>
        <w:t xml:space="preserve">% więcej niż przed rokiem. </w:t>
      </w:r>
      <w:r>
        <w:rPr>
          <w:b w:val="0"/>
        </w:rPr>
        <w:t>Wartość tran</w:t>
      </w:r>
      <w:r w:rsidR="00144766">
        <w:rPr>
          <w:b w:val="0"/>
        </w:rPr>
        <w:t>sakcji był</w:t>
      </w:r>
      <w:r w:rsidR="005E2468">
        <w:rPr>
          <w:b w:val="0"/>
        </w:rPr>
        <w:t>a</w:t>
      </w:r>
      <w:r w:rsidR="00144766">
        <w:rPr>
          <w:b w:val="0"/>
        </w:rPr>
        <w:t xml:space="preserve"> niższa o 6,4% i wyniosła ponad 102 </w:t>
      </w:r>
      <w:r>
        <w:rPr>
          <w:b w:val="0"/>
        </w:rPr>
        <w:t>mld zł.</w:t>
      </w:r>
      <w:r w:rsidR="00746E58">
        <w:rPr>
          <w:b w:val="0"/>
        </w:rPr>
        <w:t xml:space="preserve"> </w:t>
      </w:r>
    </w:p>
    <w:p w:rsidR="00907E1E" w:rsidRDefault="00907E1E" w:rsidP="007068CE">
      <w:pPr>
        <w:pStyle w:val="LID"/>
        <w:rPr>
          <w:sz w:val="18"/>
          <w:szCs w:val="18"/>
        </w:rPr>
      </w:pPr>
    </w:p>
    <w:p w:rsidR="000359A8" w:rsidRDefault="000359A8" w:rsidP="007068CE">
      <w:pPr>
        <w:pStyle w:val="LID"/>
        <w:rPr>
          <w:b w:val="0"/>
        </w:rPr>
      </w:pPr>
      <w:r w:rsidRPr="0050294D">
        <w:rPr>
          <w:sz w:val="18"/>
          <w:szCs w:val="18"/>
        </w:rPr>
        <w:t>Tablica 2. Wielkość obrotu nieruchomoś</w:t>
      </w:r>
      <w:r w:rsidR="00EB780E">
        <w:rPr>
          <w:sz w:val="18"/>
          <w:szCs w:val="18"/>
        </w:rPr>
        <w:t xml:space="preserve">ciami (wg stanu RCiWN w dniu 25 </w:t>
      </w:r>
      <w:r w:rsidRPr="0050294D">
        <w:rPr>
          <w:sz w:val="18"/>
          <w:szCs w:val="18"/>
        </w:rPr>
        <w:t>kwietnia 2018)</w:t>
      </w:r>
    </w:p>
    <w:p w:rsidR="007068CE" w:rsidRPr="00746E58" w:rsidRDefault="007068CE" w:rsidP="007068CE">
      <w:pPr>
        <w:pStyle w:val="LID"/>
        <w:rPr>
          <w:b w:val="0"/>
          <w:sz w:val="18"/>
          <w:szCs w:val="18"/>
        </w:rPr>
      </w:pP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7068CE" w:rsidRPr="00263373" w:rsidTr="00907E1E">
        <w:trPr>
          <w:trHeight w:val="57"/>
        </w:trPr>
        <w:tc>
          <w:tcPr>
            <w:tcW w:w="2552" w:type="dxa"/>
            <w:vMerge w:val="restart"/>
            <w:vAlign w:val="center"/>
          </w:tcPr>
          <w:p w:rsidR="007068CE" w:rsidRPr="00263373" w:rsidRDefault="007068CE" w:rsidP="007068C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Liczba transakcji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7068CE" w:rsidRPr="00263373" w:rsidRDefault="007068CE" w:rsidP="008A6DE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Wartość transakcji</w:t>
            </w:r>
            <w:r w:rsidR="008A6DE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8A6DEF" w:rsidRPr="008A6DEF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Merge/>
            <w:vAlign w:val="center"/>
          </w:tcPr>
          <w:p w:rsidR="007068CE" w:rsidRPr="00263373" w:rsidRDefault="007068CE" w:rsidP="007068C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2016=100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7068CE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 szt.</w:t>
            </w:r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7068CE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w mln zł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7068CE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OGÓŁEM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40563</w:t>
            </w:r>
            <w:r w:rsidR="00144766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422950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850" w:type="dxa"/>
            <w:tcBorders>
              <w:top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109166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102234</w:t>
            </w:r>
          </w:p>
        </w:tc>
        <w:tc>
          <w:tcPr>
            <w:tcW w:w="1002" w:type="dxa"/>
            <w:tcBorders>
              <w:top w:val="single" w:sz="12" w:space="0" w:color="212492"/>
            </w:tcBorders>
            <w:vAlign w:val="center"/>
          </w:tcPr>
          <w:p w:rsidR="007068CE" w:rsidRPr="00144766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144766">
              <w:rPr>
                <w:b/>
                <w:sz w:val="16"/>
                <w:szCs w:val="18"/>
                <w:shd w:val="clear" w:color="auto" w:fill="FFFFFF"/>
              </w:rPr>
              <w:t>93,6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7068CE" w:rsidP="00907E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Nieruchomości lokalowe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192345</w:t>
            </w:r>
          </w:p>
        </w:tc>
        <w:tc>
          <w:tcPr>
            <w:tcW w:w="851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204396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106,3</w:t>
            </w:r>
          </w:p>
        </w:tc>
        <w:tc>
          <w:tcPr>
            <w:tcW w:w="850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45478</w:t>
            </w:r>
          </w:p>
        </w:tc>
        <w:tc>
          <w:tcPr>
            <w:tcW w:w="851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50124</w:t>
            </w:r>
          </w:p>
        </w:tc>
        <w:tc>
          <w:tcPr>
            <w:tcW w:w="100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110,2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7068CE" w:rsidP="008A6DE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Nieruchomości zabudowane</w:t>
            </w:r>
            <w:r w:rsidR="008A6DE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8A6DEF" w:rsidRPr="008A6DEF">
              <w:rPr>
                <w:sz w:val="16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</w:t>
            </w:r>
            <w:r w:rsidR="0082084A">
              <w:rPr>
                <w:sz w:val="16"/>
                <w:szCs w:val="18"/>
                <w:shd w:val="clear" w:color="auto" w:fill="FFFFFF"/>
              </w:rPr>
              <w:t>8273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71314</w:t>
            </w:r>
          </w:p>
        </w:tc>
        <w:tc>
          <w:tcPr>
            <w:tcW w:w="992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850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</w:t>
            </w:r>
            <w:r w:rsidR="0082084A">
              <w:rPr>
                <w:sz w:val="16"/>
                <w:szCs w:val="18"/>
                <w:shd w:val="clear" w:color="auto" w:fill="FFFFFF"/>
              </w:rPr>
              <w:t>1032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30010</w:t>
            </w:r>
          </w:p>
        </w:tc>
        <w:tc>
          <w:tcPr>
            <w:tcW w:w="1002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73,1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7068CE" w:rsidP="00907E1E">
            <w:pPr>
              <w:spacing w:after="0" w:line="240" w:lineRule="auto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Nieruchomości niezabudowane</w:t>
            </w:r>
          </w:p>
        </w:tc>
        <w:tc>
          <w:tcPr>
            <w:tcW w:w="992" w:type="dxa"/>
            <w:vAlign w:val="center"/>
          </w:tcPr>
          <w:p w:rsidR="007068CE" w:rsidRDefault="007068CE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145013</w:t>
            </w:r>
          </w:p>
        </w:tc>
        <w:tc>
          <w:tcPr>
            <w:tcW w:w="851" w:type="dxa"/>
            <w:vAlign w:val="center"/>
          </w:tcPr>
          <w:p w:rsidR="007068CE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147240</w:t>
            </w:r>
          </w:p>
        </w:tc>
        <w:tc>
          <w:tcPr>
            <w:tcW w:w="992" w:type="dxa"/>
            <w:vAlign w:val="center"/>
          </w:tcPr>
          <w:p w:rsidR="007068CE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850" w:type="dxa"/>
            <w:vAlign w:val="center"/>
          </w:tcPr>
          <w:p w:rsidR="007068CE" w:rsidRDefault="007068CE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22656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22100</w:t>
            </w:r>
          </w:p>
        </w:tc>
        <w:tc>
          <w:tcPr>
            <w:tcW w:w="1002" w:type="dxa"/>
            <w:vAlign w:val="center"/>
          </w:tcPr>
          <w:p w:rsidR="007068CE" w:rsidRPr="00263373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</w:tr>
    </w:tbl>
    <w:p w:rsidR="008A6DEF" w:rsidRDefault="008A6DEF" w:rsidP="0059548E">
      <w:pPr>
        <w:rPr>
          <w:sz w:val="16"/>
          <w:szCs w:val="16"/>
        </w:rPr>
      </w:pPr>
      <w:r w:rsidRPr="008A6DEF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Pr="006B0714">
        <w:rPr>
          <w:sz w:val="16"/>
          <w:szCs w:val="16"/>
        </w:rPr>
        <w:t>Ze względu na zaokrąglenia</w:t>
      </w:r>
      <w:r>
        <w:rPr>
          <w:sz w:val="16"/>
          <w:szCs w:val="16"/>
        </w:rPr>
        <w:t>,</w:t>
      </w:r>
      <w:r w:rsidRPr="006B0714">
        <w:rPr>
          <w:sz w:val="16"/>
          <w:szCs w:val="16"/>
        </w:rPr>
        <w:t xml:space="preserve"> sumy składników mogą się nieznacznie różnić od podanych wielkości „ogółem”</w:t>
      </w:r>
      <w:r>
        <w:rPr>
          <w:sz w:val="16"/>
          <w:szCs w:val="16"/>
        </w:rPr>
        <w:t>.</w:t>
      </w:r>
    </w:p>
    <w:p w:rsidR="008A6DEF" w:rsidRDefault="008A6DEF" w:rsidP="008A6DEF">
      <w:pPr>
        <w:pStyle w:val="Tekstprzypisudolnego"/>
        <w:rPr>
          <w:sz w:val="16"/>
          <w:szCs w:val="18"/>
        </w:rPr>
      </w:pPr>
      <w:r w:rsidRPr="008A6DEF">
        <w:rPr>
          <w:sz w:val="16"/>
          <w:szCs w:val="18"/>
          <w:vertAlign w:val="superscript"/>
        </w:rPr>
        <w:t>2</w:t>
      </w:r>
      <w:r>
        <w:rPr>
          <w:sz w:val="16"/>
          <w:szCs w:val="18"/>
        </w:rPr>
        <w:t xml:space="preserve"> </w:t>
      </w:r>
      <w:r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>
        <w:rPr>
          <w:sz w:val="16"/>
          <w:szCs w:val="18"/>
        </w:rPr>
        <w:t>.</w:t>
      </w:r>
    </w:p>
    <w:p w:rsidR="008A6DEF" w:rsidRPr="008A6DEF" w:rsidRDefault="003F6910" w:rsidP="008A6DEF">
      <w:pPr>
        <w:pStyle w:val="Tekstprzypisudolnego"/>
      </w:pPr>
      <w:r>
        <w:rPr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>
                <wp:simplePos x="0" y="0"/>
                <wp:positionH relativeFrom="column">
                  <wp:posOffset>5235575</wp:posOffset>
                </wp:positionH>
                <wp:positionV relativeFrom="paragraph">
                  <wp:posOffset>155575</wp:posOffset>
                </wp:positionV>
                <wp:extent cx="1725295" cy="911225"/>
                <wp:effectExtent l="0" t="0" r="0" b="3175"/>
                <wp:wrapTight wrapText="bothSides">
                  <wp:wrapPolygon edited="0">
                    <wp:start x="715" y="0"/>
                    <wp:lineTo x="715" y="21224"/>
                    <wp:lineTo x="20749" y="2122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1A9" w:rsidRPr="00074DD8" w:rsidRDefault="0096551C" w:rsidP="003601A9">
                            <w:pPr>
                              <w:pStyle w:val="tekstzboku"/>
                            </w:pPr>
                            <w:r>
                              <w:t>W 2017 roku największa część</w:t>
                            </w:r>
                            <w:r w:rsidR="003601A9">
                              <w:t xml:space="preserve"> transakcji kupna/sprzedaży nieru</w:t>
                            </w:r>
                            <w:r w:rsidR="00BB2630">
                              <w:t>cho</w:t>
                            </w:r>
                            <w:r>
                              <w:t>mości dotyczyła</w:t>
                            </w:r>
                            <w:r w:rsidR="00BB2630">
                              <w:t xml:space="preserve"> </w:t>
                            </w:r>
                            <w:r>
                              <w:t xml:space="preserve">sprzedaży </w:t>
                            </w:r>
                            <w:r w:rsidR="00BB2630">
                              <w:t>nieruchomości lokalowych</w:t>
                            </w:r>
                            <w:r w:rsidR="003B56C8">
                              <w:t xml:space="preserve"> (48,3</w:t>
                            </w:r>
                            <w:r w:rsidR="00E56DF4">
                              <w:t>%)</w:t>
                            </w:r>
                            <w:r w:rsidR="003601A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25pt;margin-top:12.25pt;width:135.85pt;height:71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" filled="f" stroked="f">
                <v:textbox>
                  <w:txbxContent>
                    <w:p w:rsidR="003601A9" w:rsidRPr="00074DD8" w:rsidRDefault="0096551C" w:rsidP="003601A9">
                      <w:pPr>
                        <w:pStyle w:val="tekstzboku"/>
                      </w:pPr>
                      <w:r>
                        <w:t>W 2017 roku największa część</w:t>
                      </w:r>
                      <w:r w:rsidR="003601A9">
                        <w:t xml:space="preserve"> transakcji kupna/sprzedaży nieru</w:t>
                      </w:r>
                      <w:r w:rsidR="00BB2630">
                        <w:t>cho</w:t>
                      </w:r>
                      <w:r>
                        <w:t>mości dotyczyła</w:t>
                      </w:r>
                      <w:r w:rsidR="00BB2630">
                        <w:t xml:space="preserve"> </w:t>
                      </w:r>
                      <w:r>
                        <w:t xml:space="preserve">sprzedaży </w:t>
                      </w:r>
                      <w:r w:rsidR="00BB2630">
                        <w:t>nieruchomości lokalowych</w:t>
                      </w:r>
                      <w:r w:rsidR="003B56C8">
                        <w:t xml:space="preserve"> (48,3</w:t>
                      </w:r>
                      <w:r w:rsidR="00E56DF4">
                        <w:t>%)</w:t>
                      </w:r>
                      <w:r w:rsidR="003601A9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7E69" w:rsidRPr="006B0714" w:rsidRDefault="004F5944" w:rsidP="0059548E">
      <w:pPr>
        <w:rPr>
          <w:szCs w:val="19"/>
        </w:rPr>
      </w:pPr>
      <w:r>
        <w:rPr>
          <w:szCs w:val="19"/>
        </w:rPr>
        <w:t>Największy</w:t>
      </w:r>
      <w:r w:rsidR="0061700A">
        <w:rPr>
          <w:szCs w:val="19"/>
        </w:rPr>
        <w:t xml:space="preserve"> udział nieruchomości lokalowych </w:t>
      </w:r>
      <w:r w:rsidR="0096551C">
        <w:rPr>
          <w:szCs w:val="19"/>
        </w:rPr>
        <w:t xml:space="preserve">w ogólnej liczbie transakcji kupna/sprzedaży </w:t>
      </w:r>
      <w:r w:rsidR="0061700A">
        <w:rPr>
          <w:szCs w:val="19"/>
        </w:rPr>
        <w:t>nieruchomo</w:t>
      </w:r>
      <w:r w:rsidR="0096551C">
        <w:rPr>
          <w:szCs w:val="19"/>
        </w:rPr>
        <w:t>ści</w:t>
      </w:r>
      <w:r w:rsidR="00E728B9">
        <w:rPr>
          <w:szCs w:val="19"/>
        </w:rPr>
        <w:t xml:space="preserve"> odnotowano w </w:t>
      </w:r>
      <w:r w:rsidR="00577E69" w:rsidRPr="00577E69">
        <w:rPr>
          <w:szCs w:val="19"/>
        </w:rPr>
        <w:t xml:space="preserve">województwie </w:t>
      </w:r>
      <w:r w:rsidR="00F70A90">
        <w:rPr>
          <w:szCs w:val="19"/>
        </w:rPr>
        <w:t xml:space="preserve">dolnośląskim, pomorskim, mazowieckiem </w:t>
      </w:r>
      <w:r w:rsidR="0096551C">
        <w:rPr>
          <w:szCs w:val="19"/>
        </w:rPr>
        <w:br/>
      </w:r>
      <w:r w:rsidR="00F70A90">
        <w:rPr>
          <w:szCs w:val="19"/>
        </w:rPr>
        <w:t>i zachodniopomorskim.</w:t>
      </w:r>
      <w:r w:rsidR="0061700A">
        <w:rPr>
          <w:szCs w:val="19"/>
        </w:rPr>
        <w:t xml:space="preserve"> </w:t>
      </w:r>
      <w:r w:rsidR="00577E69" w:rsidRPr="00577E69">
        <w:rPr>
          <w:szCs w:val="19"/>
        </w:rPr>
        <w:t>Największy udział nieru</w:t>
      </w:r>
      <w:r w:rsidR="0061700A">
        <w:rPr>
          <w:szCs w:val="19"/>
        </w:rPr>
        <w:t xml:space="preserve">chomości </w:t>
      </w:r>
      <w:r w:rsidR="00FF0034">
        <w:rPr>
          <w:szCs w:val="19"/>
        </w:rPr>
        <w:t>niezabudowanych</w:t>
      </w:r>
      <w:r w:rsidR="00E56DF4">
        <w:rPr>
          <w:szCs w:val="19"/>
        </w:rPr>
        <w:t xml:space="preserve"> odnotowano </w:t>
      </w:r>
      <w:r w:rsidR="0096551C">
        <w:rPr>
          <w:szCs w:val="19"/>
        </w:rPr>
        <w:br/>
      </w:r>
      <w:r w:rsidR="0061700A" w:rsidRPr="00577E69">
        <w:rPr>
          <w:szCs w:val="19"/>
        </w:rPr>
        <w:t xml:space="preserve">w województwie </w:t>
      </w:r>
      <w:r w:rsidR="00E56DF4">
        <w:rPr>
          <w:szCs w:val="19"/>
        </w:rPr>
        <w:t>podkarpac</w:t>
      </w:r>
      <w:r w:rsidR="00F70A90">
        <w:rPr>
          <w:szCs w:val="19"/>
        </w:rPr>
        <w:t>kim, świętokrzyskim i lubelskim.</w:t>
      </w:r>
    </w:p>
    <w:p w:rsidR="00F70A90" w:rsidRDefault="00F70A90" w:rsidP="00BB5809">
      <w:pPr>
        <w:rPr>
          <w:b/>
          <w:sz w:val="18"/>
          <w:szCs w:val="18"/>
        </w:rPr>
      </w:pPr>
    </w:p>
    <w:p w:rsidR="00907E1E" w:rsidRDefault="00F70A90" w:rsidP="00BB5809">
      <w:pPr>
        <w:rPr>
          <w:noProof/>
          <w:shd w:val="clear" w:color="auto" w:fill="FFFFFF"/>
          <w:lang w:eastAsia="pl-PL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387985</wp:posOffset>
            </wp:positionV>
            <wp:extent cx="4912995" cy="3070225"/>
            <wp:effectExtent l="0" t="0" r="0" b="0"/>
            <wp:wrapSquare wrapText="bothSides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46E58">
        <w:rPr>
          <w:b/>
          <w:sz w:val="18"/>
          <w:szCs w:val="18"/>
        </w:rPr>
        <w:t>Wykres 1</w:t>
      </w:r>
      <w:r w:rsidR="00996EC5" w:rsidRPr="00403C1A">
        <w:rPr>
          <w:b/>
          <w:sz w:val="18"/>
          <w:szCs w:val="18"/>
        </w:rPr>
        <w:t>.</w:t>
      </w:r>
      <w:r w:rsidR="00996EC5" w:rsidRPr="00403C1A">
        <w:rPr>
          <w:b/>
          <w:sz w:val="18"/>
          <w:szCs w:val="18"/>
          <w:shd w:val="clear" w:color="auto" w:fill="FFFFFF"/>
        </w:rPr>
        <w:t xml:space="preserve"> </w:t>
      </w:r>
      <w:r w:rsidR="00996EC5">
        <w:rPr>
          <w:b/>
          <w:sz w:val="18"/>
          <w:szCs w:val="18"/>
          <w:shd w:val="clear" w:color="auto" w:fill="FFFFFF"/>
        </w:rPr>
        <w:t xml:space="preserve">Struktura </w:t>
      </w:r>
      <w:r w:rsidR="00EE456A">
        <w:rPr>
          <w:b/>
          <w:sz w:val="18"/>
          <w:szCs w:val="18"/>
          <w:shd w:val="clear" w:color="auto" w:fill="FFFFFF"/>
        </w:rPr>
        <w:t>ilości</w:t>
      </w:r>
      <w:r w:rsidR="00996EC5">
        <w:rPr>
          <w:b/>
          <w:sz w:val="18"/>
          <w:szCs w:val="18"/>
          <w:shd w:val="clear" w:color="auto" w:fill="FFFFFF"/>
        </w:rPr>
        <w:t xml:space="preserve"> transakcji </w:t>
      </w:r>
      <w:r w:rsidR="00EE456A">
        <w:rPr>
          <w:b/>
          <w:sz w:val="18"/>
          <w:szCs w:val="18"/>
          <w:shd w:val="clear" w:color="auto" w:fill="FFFFFF"/>
        </w:rPr>
        <w:t>kupna/sprzedaży nieruchomości wg rodzaju w województwach w 2017</w:t>
      </w:r>
      <w:r w:rsidR="00996EC5">
        <w:rPr>
          <w:b/>
          <w:sz w:val="18"/>
          <w:szCs w:val="18"/>
          <w:shd w:val="clear" w:color="auto" w:fill="FFFFFF"/>
        </w:rPr>
        <w:t xml:space="preserve"> roku</w:t>
      </w:r>
    </w:p>
    <w:p w:rsidR="000855DA" w:rsidRDefault="000855DA" w:rsidP="00BB5809">
      <w:pPr>
        <w:rPr>
          <w:b/>
          <w:spacing w:val="-2"/>
          <w:sz w:val="18"/>
          <w:shd w:val="clear" w:color="auto" w:fill="FFFFFF"/>
        </w:rPr>
      </w:pPr>
    </w:p>
    <w:bookmarkStart w:id="0" w:name="_GoBack"/>
    <w:bookmarkEnd w:id="0"/>
    <w:p w:rsidR="009866EF" w:rsidRDefault="003F6910" w:rsidP="00BB5809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1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-62865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7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1E" w:rsidRPr="00074DD8" w:rsidRDefault="00907E1E" w:rsidP="00907E1E">
                            <w:pPr>
                              <w:pStyle w:val="tekstzboku"/>
                            </w:pPr>
                            <w:r w:rsidRPr="00907E1E">
                              <w:t xml:space="preserve">Ceny lokali mieszkalnych </w:t>
                            </w:r>
                            <w:r>
                              <w:br/>
                            </w:r>
                            <w:r w:rsidR="00BA474D">
                              <w:t>w 2017 roku</w:t>
                            </w:r>
                            <w:r w:rsidRPr="00907E1E">
                              <w:t xml:space="preserve"> w stosunku do </w:t>
                            </w:r>
                            <w:r>
                              <w:br/>
                            </w:r>
                            <w:r w:rsidRPr="00907E1E">
                              <w:t xml:space="preserve">poprzedniego roku wzrosły </w:t>
                            </w:r>
                            <w:r>
                              <w:br/>
                            </w:r>
                            <w:r w:rsidRPr="00907E1E">
                              <w:t>o 3,8% (w tym na rynku pierwotnym – o 3,2% i na rynku wtórnym – o 4,5%).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415.9pt;margin-top:-4.95pt;width:135.85pt;height:102.4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wHEwIAAP8D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" filled="f" stroked="f">
                <v:textbox>
                  <w:txbxContent>
                    <w:p w:rsidR="00907E1E" w:rsidRPr="00074DD8" w:rsidRDefault="00907E1E" w:rsidP="00907E1E">
                      <w:pPr>
                        <w:pStyle w:val="tekstzboku"/>
                      </w:pPr>
                      <w:r w:rsidRPr="00907E1E">
                        <w:t xml:space="preserve">Ceny lokali mieszkalnych </w:t>
                      </w:r>
                      <w:r>
                        <w:br/>
                      </w:r>
                      <w:r w:rsidR="00BA474D">
                        <w:t>w 2017 roku</w:t>
                      </w:r>
                      <w:r w:rsidRPr="00907E1E">
                        <w:t xml:space="preserve"> w stosunku do </w:t>
                      </w:r>
                      <w:r>
                        <w:br/>
                      </w:r>
                      <w:r w:rsidRPr="00907E1E">
                        <w:t xml:space="preserve">poprzedniego roku wzrosły </w:t>
                      </w:r>
                      <w:r>
                        <w:br/>
                      </w:r>
                      <w:r w:rsidRPr="00907E1E">
                        <w:t>o 3,8% (w tym na rynku pierwotnym – o 3,2% i na rynku wtórnym – o 4,5%).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6E58">
        <w:rPr>
          <w:b/>
          <w:spacing w:val="-2"/>
          <w:sz w:val="18"/>
          <w:shd w:val="clear" w:color="auto" w:fill="FFFFFF"/>
        </w:rPr>
        <w:t>Tablica 3</w:t>
      </w:r>
      <w:r w:rsidR="00437A70" w:rsidRPr="00BA3562">
        <w:rPr>
          <w:b/>
          <w:spacing w:val="-2"/>
          <w:sz w:val="18"/>
          <w:shd w:val="clear" w:color="auto" w:fill="FFFFFF"/>
        </w:rPr>
        <w:t xml:space="preserve">. </w:t>
      </w:r>
      <w:r w:rsidR="00437A70">
        <w:rPr>
          <w:b/>
          <w:spacing w:val="-2"/>
          <w:sz w:val="18"/>
          <w:shd w:val="clear" w:color="auto" w:fill="FFFFFF"/>
        </w:rPr>
        <w:t>Wskaźniki cen lokali mieszkalnych w 2017</w:t>
      </w:r>
    </w:p>
    <w:tbl>
      <w:tblPr>
        <w:tblStyle w:val="Siatkatabelijasna11"/>
        <w:tblW w:w="7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97"/>
        <w:gridCol w:w="1908"/>
        <w:gridCol w:w="1909"/>
        <w:gridCol w:w="1909"/>
      </w:tblGrid>
      <w:tr w:rsidR="00437A70" w:rsidRPr="00BA474D" w:rsidTr="00437A70">
        <w:trPr>
          <w:trHeight w:val="57"/>
          <w:jc w:val="center"/>
        </w:trPr>
        <w:tc>
          <w:tcPr>
            <w:tcW w:w="2197" w:type="dxa"/>
            <w:vMerge w:val="restart"/>
            <w:vAlign w:val="center"/>
          </w:tcPr>
          <w:p w:rsidR="00437A70" w:rsidRPr="00437A70" w:rsidRDefault="00437A70" w:rsidP="00437A7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726" w:type="dxa"/>
            <w:gridSpan w:val="3"/>
            <w:vAlign w:val="center"/>
          </w:tcPr>
          <w:p w:rsidR="00437A70" w:rsidRPr="00437A70" w:rsidRDefault="00437A70" w:rsidP="00437A70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2017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Merge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08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rok poprzedni=100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2010=100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437A70" w:rsidP="00437A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 w:rsidRPr="00437A70"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OGÓŁEM</w:t>
            </w:r>
          </w:p>
        </w:tc>
        <w:tc>
          <w:tcPr>
            <w:tcW w:w="1908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105,8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437A70" w:rsidP="00437A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908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437A70" w:rsidP="00437A7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908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909" w:type="dxa"/>
            <w:vAlign w:val="center"/>
          </w:tcPr>
          <w:p w:rsidR="00437A70" w:rsidRPr="00437A70" w:rsidRDefault="00437A70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7A70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</w:tr>
    </w:tbl>
    <w:p w:rsidR="00437A70" w:rsidRDefault="00E01393" w:rsidP="00E76D26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5124450" cy="27813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940EF">
        <w:rPr>
          <w:b/>
          <w:sz w:val="18"/>
        </w:rPr>
        <w:t>Wykres 2</w:t>
      </w:r>
      <w:r w:rsidR="002940EF" w:rsidRPr="00853416">
        <w:rPr>
          <w:b/>
          <w:sz w:val="18"/>
        </w:rPr>
        <w:t xml:space="preserve">. Ceny lokali mieszkalnych (zmiana w % w stosunku do </w:t>
      </w:r>
      <w:r w:rsidR="002940EF">
        <w:rPr>
          <w:b/>
          <w:sz w:val="18"/>
        </w:rPr>
        <w:t>roku</w:t>
      </w:r>
      <w:r w:rsidR="002940EF" w:rsidRPr="00853416">
        <w:rPr>
          <w:b/>
          <w:sz w:val="18"/>
        </w:rPr>
        <w:t xml:space="preserve"> poprzedniego)</w:t>
      </w:r>
    </w:p>
    <w:p w:rsidR="00907E1E" w:rsidRDefault="00907E1E" w:rsidP="00E76D26">
      <w:pPr>
        <w:rPr>
          <w:b/>
          <w:sz w:val="18"/>
        </w:rPr>
      </w:pPr>
    </w:p>
    <w:p w:rsidR="00437A70" w:rsidRDefault="00907E1E" w:rsidP="00E76D26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posOffset>-1441</wp:posOffset>
            </wp:positionH>
            <wp:positionV relativeFrom="paragraph">
              <wp:posOffset>358775</wp:posOffset>
            </wp:positionV>
            <wp:extent cx="5124450" cy="278130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2940EF">
        <w:rPr>
          <w:b/>
          <w:sz w:val="18"/>
        </w:rPr>
        <w:t>Wykres 3</w:t>
      </w:r>
      <w:r w:rsidR="002940EF" w:rsidRPr="00853416">
        <w:rPr>
          <w:b/>
          <w:sz w:val="18"/>
        </w:rPr>
        <w:t>. Ceny lokali mieszkalnych (zmiana w % w stosunku do 201</w:t>
      </w:r>
      <w:r w:rsidR="002940EF">
        <w:rPr>
          <w:b/>
          <w:sz w:val="18"/>
        </w:rPr>
        <w:t>0</w:t>
      </w:r>
      <w:r w:rsidR="002940EF" w:rsidRPr="00853416">
        <w:rPr>
          <w:b/>
          <w:sz w:val="18"/>
        </w:rPr>
        <w:t xml:space="preserve"> r.)</w:t>
      </w:r>
    </w:p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8"/>
        <w:gridCol w:w="3829"/>
      </w:tblGrid>
      <w:tr w:rsidR="00CA7351" w:rsidRPr="000855DA" w:rsidTr="00C677E0">
        <w:trPr>
          <w:trHeight w:val="1912"/>
        </w:trPr>
        <w:tc>
          <w:tcPr>
            <w:tcW w:w="4379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CA735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Renata </w:t>
            </w: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Rechnio</w:t>
            </w:r>
            <w:proofErr w:type="spellEnd"/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608 3802</w:t>
            </w:r>
          </w:p>
          <w:p w:rsidR="00CA7351" w:rsidRPr="00072575" w:rsidRDefault="00CA7351" w:rsidP="00CA735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 R.Rechnio@s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tat.gov.pl</w:t>
            </w:r>
          </w:p>
        </w:tc>
        <w:tc>
          <w:tcPr>
            <w:tcW w:w="3942" w:type="dxa"/>
          </w:tcPr>
          <w:p w:rsidR="00CA7351" w:rsidRPr="008F3638" w:rsidRDefault="00CA7351" w:rsidP="00CA735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907E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</w:p>
        </w:tc>
      </w:tr>
    </w:tbl>
    <w:p w:rsidR="00CA7351" w:rsidRPr="00EE456A" w:rsidRDefault="00CA7351" w:rsidP="00CA7351">
      <w:pPr>
        <w:rPr>
          <w:sz w:val="20"/>
          <w:lang w:val="en-US"/>
        </w:rPr>
      </w:pPr>
    </w:p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Tr="00C677E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CA735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C91687" w:rsidRDefault="00CA7351" w:rsidP="00CA7351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CA7351" w:rsidRPr="00EE456A" w:rsidRDefault="00CA7351" w:rsidP="00CA7351">
            <w:pPr>
              <w:rPr>
                <w:sz w:val="20"/>
                <w:lang w:val="en-US"/>
              </w:rPr>
            </w:pPr>
            <w:proofErr w:type="spellStart"/>
            <w:r w:rsidRPr="00EE456A">
              <w:rPr>
                <w:b/>
                <w:sz w:val="20"/>
                <w:lang w:val="en-US"/>
              </w:rPr>
              <w:t>faks</w:t>
            </w:r>
            <w:proofErr w:type="spellEnd"/>
            <w:r w:rsidRPr="00EE456A">
              <w:rPr>
                <w:b/>
                <w:sz w:val="20"/>
                <w:lang w:val="en-US"/>
              </w:rPr>
              <w:t>:</w:t>
            </w:r>
            <w:r w:rsidRPr="00EE456A">
              <w:rPr>
                <w:sz w:val="20"/>
                <w:lang w:val="en-US"/>
              </w:rPr>
              <w:t xml:space="preserve"> 22 608 38 86 </w:t>
            </w:r>
          </w:p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907E1E">
              <w:rPr>
                <w:sz w:val="20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C677E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C677E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3F6910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A7351" w:rsidRPr="00EE456A" w:rsidRDefault="00CA7351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A7351" w:rsidRPr="00EE456A" w:rsidRDefault="00224D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A7351" w:rsidRPr="00EE456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:rsidR="00CA7351" w:rsidRDefault="00224DEC" w:rsidP="00CA7351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A7351" w:rsidRPr="00DE190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 w sprawie ceny 1 m</w:t>
                              </w:r>
                              <w:r w:rsidR="00CA7351" w:rsidRPr="00DE190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vertAlign w:val="superscript"/>
                                </w:rPr>
                                <w:t>2</w:t>
                              </w:r>
                              <w:r w:rsidR="00CA7351" w:rsidRPr="00DE190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powierzchni użytkowej budynku mieszkalnego</w:t>
                              </w:r>
                            </w:hyperlink>
                          </w:p>
                          <w:p w:rsidR="00CA7351" w:rsidRPr="00EE456A" w:rsidRDefault="00CA7351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A7351" w:rsidRPr="002940EF" w:rsidRDefault="00CA7351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A7351" w:rsidRPr="002940EF" w:rsidRDefault="00CA7351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A7351" w:rsidRDefault="00CA7351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A7351" w:rsidRPr="00673C26" w:rsidRDefault="00224D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A7351" w:rsidRPr="00DE190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:rsidR="00CA7351" w:rsidRPr="00EE456A" w:rsidRDefault="00224D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A7351" w:rsidRPr="00EE456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:rsidR="00AB6D25" w:rsidRPr="00B86DF8" w:rsidRDefault="00224DEC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proofErr w:type="spellStart"/>
                              <w:r w:rsidR="00CA7351" w:rsidRPr="00DE190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Lokal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BnPwIAAHM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jqMB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CA7351" w:rsidRPr="00EE456A" w:rsidRDefault="00CA7351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:rsidR="00CA7351" w:rsidRPr="00EE456A" w:rsidRDefault="00D27F83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CA7351" w:rsidRPr="00EE456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:rsidR="00CA7351" w:rsidRDefault="00D27F83" w:rsidP="00CA7351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29" w:history="1">
                        <w:r w:rsidR="00CA7351" w:rsidRPr="00DE190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Komunikat w sprawie ceny 1 m</w:t>
                        </w:r>
                        <w:r w:rsidR="00CA7351" w:rsidRPr="00DE190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vertAlign w:val="superscript"/>
                          </w:rPr>
                          <w:t>2</w:t>
                        </w:r>
                        <w:r w:rsidR="00CA7351" w:rsidRPr="00DE190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 xml:space="preserve"> powierzchni użytkowej budynku mieszkalnego</w:t>
                        </w:r>
                      </w:hyperlink>
                    </w:p>
                    <w:p w:rsidR="00CA7351" w:rsidRPr="00EE456A" w:rsidRDefault="00CA7351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A7351" w:rsidRPr="002940EF" w:rsidRDefault="00CA7351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A7351" w:rsidRPr="002940EF" w:rsidRDefault="00CA7351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A7351" w:rsidRDefault="00CA7351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A7351" w:rsidRPr="00673C26" w:rsidRDefault="00D27F83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CA7351" w:rsidRPr="00DE190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:rsidR="00CA7351" w:rsidRPr="00EE456A" w:rsidRDefault="00D27F83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CA7351" w:rsidRPr="00EE456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:rsidR="00AB6D25" w:rsidRPr="00B86DF8" w:rsidRDefault="00D27F83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CA7351" w:rsidRPr="00DE190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Lokal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EC" w:rsidRDefault="00224DEC" w:rsidP="000662E2">
      <w:pPr>
        <w:spacing w:after="0" w:line="240" w:lineRule="auto"/>
      </w:pPr>
      <w:r>
        <w:separator/>
      </w:r>
    </w:p>
  </w:endnote>
  <w:endnote w:type="continuationSeparator" w:id="0">
    <w:p w:rsidR="00224DEC" w:rsidRDefault="00224D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1A3839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0855D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1A3839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0855D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1A3839" w:rsidP="003B18B6">
        <w:pPr>
          <w:pStyle w:val="Stopka"/>
          <w:jc w:val="center"/>
        </w:pPr>
        <w:r>
          <w:fldChar w:fldCharType="begin"/>
        </w:r>
        <w:r w:rsidR="003B18B6">
          <w:instrText>PAGE   \* MERGEFORMAT</w:instrText>
        </w:r>
        <w:r>
          <w:fldChar w:fldCharType="separate"/>
        </w:r>
        <w:r w:rsidR="000855D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EC" w:rsidRDefault="00224DEC" w:rsidP="000662E2">
      <w:pPr>
        <w:spacing w:after="0" w:line="240" w:lineRule="auto"/>
      </w:pPr>
      <w:r>
        <w:separator/>
      </w:r>
    </w:p>
  </w:footnote>
  <w:footnote w:type="continuationSeparator" w:id="0">
    <w:p w:rsidR="00224DEC" w:rsidRDefault="00224DE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F69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1363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3F6910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2075180" cy="723265"/>
          <wp:effectExtent l="0" t="0" r="0" b="0"/>
          <wp:wrapSquare wrapText="bothSides"/>
          <wp:docPr id="6" name="Obraz 6" descr="Logo jubileuszowe wersja dla GUS odmiana podstawowa wariant kolorow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jubileuszowe wersja dla GUS odmiana podstawowa wariant kolorow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98CB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907E1E" w:rsidRDefault="00907E1E">
    <w:pPr>
      <w:pStyle w:val="Nagwek"/>
      <w:rPr>
        <w:noProof/>
        <w:lang w:eastAsia="pl-PL"/>
      </w:rPr>
    </w:pPr>
  </w:p>
  <w:p w:rsidR="00907E1E" w:rsidRDefault="00907E1E">
    <w:pPr>
      <w:pStyle w:val="Nagwek"/>
      <w:rPr>
        <w:noProof/>
        <w:lang w:eastAsia="pl-PL"/>
      </w:rPr>
    </w:pPr>
  </w:p>
  <w:p w:rsidR="00F32749" w:rsidRDefault="003F691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82084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25.07.2018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82084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25.07.2018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55DA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F7D"/>
    <w:rsid w:val="000E0918"/>
    <w:rsid w:val="000F4033"/>
    <w:rsid w:val="000F6D5A"/>
    <w:rsid w:val="001011C3"/>
    <w:rsid w:val="001034CE"/>
    <w:rsid w:val="00110D87"/>
    <w:rsid w:val="00114DB9"/>
    <w:rsid w:val="00116087"/>
    <w:rsid w:val="00116B3F"/>
    <w:rsid w:val="00126565"/>
    <w:rsid w:val="00130296"/>
    <w:rsid w:val="001423B6"/>
    <w:rsid w:val="00144766"/>
    <w:rsid w:val="001448A7"/>
    <w:rsid w:val="00146621"/>
    <w:rsid w:val="00162325"/>
    <w:rsid w:val="00171C8A"/>
    <w:rsid w:val="001951DA"/>
    <w:rsid w:val="001A297A"/>
    <w:rsid w:val="001A3839"/>
    <w:rsid w:val="001B12D0"/>
    <w:rsid w:val="001C3269"/>
    <w:rsid w:val="001D1DB4"/>
    <w:rsid w:val="001E1388"/>
    <w:rsid w:val="001F043B"/>
    <w:rsid w:val="00213227"/>
    <w:rsid w:val="00224DEC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453B"/>
    <w:rsid w:val="002B0472"/>
    <w:rsid w:val="002B3B27"/>
    <w:rsid w:val="002B6B12"/>
    <w:rsid w:val="002D5D8C"/>
    <w:rsid w:val="002E46B7"/>
    <w:rsid w:val="002E6140"/>
    <w:rsid w:val="002E6985"/>
    <w:rsid w:val="002E71B6"/>
    <w:rsid w:val="002F77C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601A9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B56C8"/>
    <w:rsid w:val="003C59E0"/>
    <w:rsid w:val="003C6C8D"/>
    <w:rsid w:val="003D4F95"/>
    <w:rsid w:val="003D5F42"/>
    <w:rsid w:val="003D60A9"/>
    <w:rsid w:val="003D6185"/>
    <w:rsid w:val="003F4C97"/>
    <w:rsid w:val="003F6910"/>
    <w:rsid w:val="003F7FE6"/>
    <w:rsid w:val="00400193"/>
    <w:rsid w:val="00403C1A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9621B"/>
    <w:rsid w:val="004A3D09"/>
    <w:rsid w:val="004C03B9"/>
    <w:rsid w:val="004C1895"/>
    <w:rsid w:val="004C6D40"/>
    <w:rsid w:val="004D4E8A"/>
    <w:rsid w:val="004E0A1B"/>
    <w:rsid w:val="004F0C3C"/>
    <w:rsid w:val="004F407F"/>
    <w:rsid w:val="004F5944"/>
    <w:rsid w:val="004F63FC"/>
    <w:rsid w:val="00505A92"/>
    <w:rsid w:val="005203F1"/>
    <w:rsid w:val="00521BC3"/>
    <w:rsid w:val="00525655"/>
    <w:rsid w:val="00531FB4"/>
    <w:rsid w:val="005326DA"/>
    <w:rsid w:val="00533632"/>
    <w:rsid w:val="00541E6E"/>
    <w:rsid w:val="0054251F"/>
    <w:rsid w:val="00544C28"/>
    <w:rsid w:val="005520D8"/>
    <w:rsid w:val="00556CF1"/>
    <w:rsid w:val="005762A7"/>
    <w:rsid w:val="00577E69"/>
    <w:rsid w:val="005916D7"/>
    <w:rsid w:val="0059548E"/>
    <w:rsid w:val="005A4B04"/>
    <w:rsid w:val="005A698C"/>
    <w:rsid w:val="005B370F"/>
    <w:rsid w:val="005B4788"/>
    <w:rsid w:val="005E0799"/>
    <w:rsid w:val="005E2468"/>
    <w:rsid w:val="005F5A80"/>
    <w:rsid w:val="005F65FB"/>
    <w:rsid w:val="006044FF"/>
    <w:rsid w:val="00607CC5"/>
    <w:rsid w:val="0061700A"/>
    <w:rsid w:val="00633014"/>
    <w:rsid w:val="0063437B"/>
    <w:rsid w:val="00652F27"/>
    <w:rsid w:val="00663083"/>
    <w:rsid w:val="006655BC"/>
    <w:rsid w:val="006673CA"/>
    <w:rsid w:val="00672450"/>
    <w:rsid w:val="00673C26"/>
    <w:rsid w:val="006812AF"/>
    <w:rsid w:val="0068327D"/>
    <w:rsid w:val="00694AF0"/>
    <w:rsid w:val="006A2E32"/>
    <w:rsid w:val="006A4686"/>
    <w:rsid w:val="006B0714"/>
    <w:rsid w:val="006B0E9E"/>
    <w:rsid w:val="006B20B0"/>
    <w:rsid w:val="006B5AE4"/>
    <w:rsid w:val="006C24D2"/>
    <w:rsid w:val="006D1507"/>
    <w:rsid w:val="006D4054"/>
    <w:rsid w:val="006E01B6"/>
    <w:rsid w:val="006E02EC"/>
    <w:rsid w:val="006F57E5"/>
    <w:rsid w:val="0070110C"/>
    <w:rsid w:val="007068CE"/>
    <w:rsid w:val="00713D6B"/>
    <w:rsid w:val="007211B1"/>
    <w:rsid w:val="007343FA"/>
    <w:rsid w:val="00746187"/>
    <w:rsid w:val="00746E58"/>
    <w:rsid w:val="0076254F"/>
    <w:rsid w:val="00773983"/>
    <w:rsid w:val="007801F5"/>
    <w:rsid w:val="00783CA4"/>
    <w:rsid w:val="007842FB"/>
    <w:rsid w:val="00786124"/>
    <w:rsid w:val="0079514B"/>
    <w:rsid w:val="007A2DC1"/>
    <w:rsid w:val="007B0DC0"/>
    <w:rsid w:val="007B0E88"/>
    <w:rsid w:val="007C36C0"/>
    <w:rsid w:val="007D3319"/>
    <w:rsid w:val="007D335D"/>
    <w:rsid w:val="007E3314"/>
    <w:rsid w:val="007E4B03"/>
    <w:rsid w:val="007F324B"/>
    <w:rsid w:val="0080553C"/>
    <w:rsid w:val="00805B46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8088D"/>
    <w:rsid w:val="0088258A"/>
    <w:rsid w:val="0088490C"/>
    <w:rsid w:val="00886332"/>
    <w:rsid w:val="008A080B"/>
    <w:rsid w:val="008A26D9"/>
    <w:rsid w:val="008A6DEF"/>
    <w:rsid w:val="008B6C72"/>
    <w:rsid w:val="008C0C29"/>
    <w:rsid w:val="008C3AD3"/>
    <w:rsid w:val="008D0769"/>
    <w:rsid w:val="008F3638"/>
    <w:rsid w:val="008F4441"/>
    <w:rsid w:val="008F6F31"/>
    <w:rsid w:val="008F74DF"/>
    <w:rsid w:val="0090392A"/>
    <w:rsid w:val="00907E1E"/>
    <w:rsid w:val="009127BA"/>
    <w:rsid w:val="00921153"/>
    <w:rsid w:val="009227A6"/>
    <w:rsid w:val="00923C49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A6EA0"/>
    <w:rsid w:val="009C1335"/>
    <w:rsid w:val="009C1AB2"/>
    <w:rsid w:val="009C7251"/>
    <w:rsid w:val="009D7EA7"/>
    <w:rsid w:val="009E09D9"/>
    <w:rsid w:val="009E2E91"/>
    <w:rsid w:val="00A1305E"/>
    <w:rsid w:val="00A139F5"/>
    <w:rsid w:val="00A32458"/>
    <w:rsid w:val="00A365F4"/>
    <w:rsid w:val="00A36A68"/>
    <w:rsid w:val="00A42229"/>
    <w:rsid w:val="00A42BEF"/>
    <w:rsid w:val="00A47D80"/>
    <w:rsid w:val="00A53132"/>
    <w:rsid w:val="00A563F2"/>
    <w:rsid w:val="00A566E8"/>
    <w:rsid w:val="00A665AD"/>
    <w:rsid w:val="00A810F9"/>
    <w:rsid w:val="00A86ECC"/>
    <w:rsid w:val="00A86FCC"/>
    <w:rsid w:val="00AA710D"/>
    <w:rsid w:val="00AB6D25"/>
    <w:rsid w:val="00AD13BB"/>
    <w:rsid w:val="00AD25B8"/>
    <w:rsid w:val="00AD3EDF"/>
    <w:rsid w:val="00AD70D1"/>
    <w:rsid w:val="00AE2D4B"/>
    <w:rsid w:val="00AE3070"/>
    <w:rsid w:val="00AE4F99"/>
    <w:rsid w:val="00B0437F"/>
    <w:rsid w:val="00B05AE7"/>
    <w:rsid w:val="00B0739B"/>
    <w:rsid w:val="00B11B69"/>
    <w:rsid w:val="00B14952"/>
    <w:rsid w:val="00B31E5A"/>
    <w:rsid w:val="00B653AB"/>
    <w:rsid w:val="00B65F9E"/>
    <w:rsid w:val="00B66B19"/>
    <w:rsid w:val="00B76A98"/>
    <w:rsid w:val="00B7755D"/>
    <w:rsid w:val="00B86DF8"/>
    <w:rsid w:val="00B870B3"/>
    <w:rsid w:val="00B914E9"/>
    <w:rsid w:val="00B94D3E"/>
    <w:rsid w:val="00B956EE"/>
    <w:rsid w:val="00BA00F2"/>
    <w:rsid w:val="00BA2BA1"/>
    <w:rsid w:val="00BA3562"/>
    <w:rsid w:val="00BA474D"/>
    <w:rsid w:val="00BB2630"/>
    <w:rsid w:val="00BB4F09"/>
    <w:rsid w:val="00BB5809"/>
    <w:rsid w:val="00BD4E33"/>
    <w:rsid w:val="00BF0C5F"/>
    <w:rsid w:val="00BF5920"/>
    <w:rsid w:val="00C030DE"/>
    <w:rsid w:val="00C1695A"/>
    <w:rsid w:val="00C22105"/>
    <w:rsid w:val="00C244B6"/>
    <w:rsid w:val="00C3032C"/>
    <w:rsid w:val="00C356C0"/>
    <w:rsid w:val="00C366D2"/>
    <w:rsid w:val="00C3702F"/>
    <w:rsid w:val="00C4500A"/>
    <w:rsid w:val="00C45AAB"/>
    <w:rsid w:val="00C47F04"/>
    <w:rsid w:val="00C64A37"/>
    <w:rsid w:val="00C7158E"/>
    <w:rsid w:val="00C7250B"/>
    <w:rsid w:val="00C72FC4"/>
    <w:rsid w:val="00C7346B"/>
    <w:rsid w:val="00C77C0E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0FC5"/>
    <w:rsid w:val="00CC20A6"/>
    <w:rsid w:val="00CC739E"/>
    <w:rsid w:val="00CC7C9C"/>
    <w:rsid w:val="00CD1D82"/>
    <w:rsid w:val="00CD5410"/>
    <w:rsid w:val="00CD58B7"/>
    <w:rsid w:val="00CF4099"/>
    <w:rsid w:val="00D00796"/>
    <w:rsid w:val="00D261A2"/>
    <w:rsid w:val="00D27F83"/>
    <w:rsid w:val="00D30B17"/>
    <w:rsid w:val="00D434D0"/>
    <w:rsid w:val="00D616D2"/>
    <w:rsid w:val="00D63B5F"/>
    <w:rsid w:val="00D70EF7"/>
    <w:rsid w:val="00D74B00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6708"/>
    <w:rsid w:val="00DE0F55"/>
    <w:rsid w:val="00DE5CD1"/>
    <w:rsid w:val="00E01393"/>
    <w:rsid w:val="00E01436"/>
    <w:rsid w:val="00E025F8"/>
    <w:rsid w:val="00E045BD"/>
    <w:rsid w:val="00E17B77"/>
    <w:rsid w:val="00E23337"/>
    <w:rsid w:val="00E259EA"/>
    <w:rsid w:val="00E32061"/>
    <w:rsid w:val="00E33AFB"/>
    <w:rsid w:val="00E42FF9"/>
    <w:rsid w:val="00E4714C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66C0"/>
    <w:rsid w:val="00E970BA"/>
    <w:rsid w:val="00EA6148"/>
    <w:rsid w:val="00EB1390"/>
    <w:rsid w:val="00EB2C71"/>
    <w:rsid w:val="00EB4340"/>
    <w:rsid w:val="00EB556D"/>
    <w:rsid w:val="00EB5A7D"/>
    <w:rsid w:val="00EB780E"/>
    <w:rsid w:val="00ED55C0"/>
    <w:rsid w:val="00ED682B"/>
    <w:rsid w:val="00EE41D5"/>
    <w:rsid w:val="00EE456A"/>
    <w:rsid w:val="00EF3DC7"/>
    <w:rsid w:val="00F037A4"/>
    <w:rsid w:val="00F111EF"/>
    <w:rsid w:val="00F11DE6"/>
    <w:rsid w:val="00F27C8F"/>
    <w:rsid w:val="00F31DFD"/>
    <w:rsid w:val="00F32749"/>
    <w:rsid w:val="00F37172"/>
    <w:rsid w:val="00F4477E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582BC4-BCA6-4707-B106-7E2E13C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30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metainformacje/slownik-pojec/pojecia-stosowane-w-statystyce-publicznej/966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sygnalne/komunikaty-i-obwieszczenia/lista-komunikatow-i-obwieszczen/komunikat-w-sprawie-ceny-1-m2-powierzchni-uzytkowej-budynku-mieszkalnego-za-i-kwartal-2018-roku,265,18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lista-komunikatow-i-obwieszczen/komunikat-w-sprawie-ceny-1-m2-powierzchni-uzytkowej-budynku-mieszkalnego-za-i-kwartal-2018-roku,265,18.html" TargetMode="External"/><Relationship Id="rId32" Type="http://schemas.openxmlformats.org/officeDocument/2006/relationships/hyperlink" Target="http://stat.gov.pl/metainformacje/slownik-pojec/pojecia-stosowane-w-statystyce-publicznej/1984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http://stat.gov.pl/sygnalne/komunikaty-i-obwieszczenia/lista-komunikatow-i-obwieszczen/obwieszczenie-w-sprawie-wskaznikow-zmian-cen-dla-lokali-mieszkalnych-w-pierwszym-kwartale-2018-r-z-podzialem-na-wojewodztwa,296,12.html" TargetMode="External"/><Relationship Id="rId28" Type="http://schemas.openxmlformats.org/officeDocument/2006/relationships/hyperlink" Target="http://stat.gov.pl/sygnalne/komunikaty-i-obwieszczenia/lista-komunikatow-i-obwieszczen/obwieszczenie-w-sprawie-wskaznikow-zmian-cen-dla-lokali-mieszkalnych-w-pierwszym-kwartale-2018-r-z-podzialem-na-wojewodztwa,296,12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3015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hyperlink" Target="http://stat.gov.pl/metainformacje/slownik-pojec/pojecia-stosowane-w-statystyce-publicznej/966,pojecie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farae\Desktop\Ela_GUS\Obrot_Nieruchomosciami\Informacje_sygnalne\2017\Kopia%20wykresy%20do%20informacji%20sygnalnej_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6\Marcin\Wydz.RynkuNieruchomosci\infosygn\final\Kopia%20wykresy%20do%20informacji%20sygnalnej_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6\Marcin\Wydz.RynkuNieruchomosci\infosygn\final\Kopia%20wykresy%20do%20informacji%20sygnalnej_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woj!$B$2</c:f>
              <c:strCache>
                <c:ptCount val="1"/>
                <c:pt idx="0">
                  <c:v>nieruchomości lokalowe</c:v>
                </c:pt>
              </c:strCache>
            </c:strRef>
          </c:tx>
          <c:spPr>
            <a:solidFill>
              <a:srgbClr val="007AC9"/>
            </a:solidFill>
          </c:spPr>
          <c:invertIfNegative val="0"/>
          <c:cat>
            <c:strRef>
              <c:f>woj!$A$3:$A$19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woj!$B$3:$B$19</c:f>
              <c:numCache>
                <c:formatCode>0.00%</c:formatCode>
                <c:ptCount val="17"/>
                <c:pt idx="0">
                  <c:v>0.48326279702092489</c:v>
                </c:pt>
                <c:pt idx="1">
                  <c:v>0.61690828833269862</c:v>
                </c:pt>
                <c:pt idx="2">
                  <c:v>0.46915615906886532</c:v>
                </c:pt>
                <c:pt idx="3">
                  <c:v>0.30602782071097417</c:v>
                </c:pt>
                <c:pt idx="4">
                  <c:v>0.48267968869220251</c:v>
                </c:pt>
                <c:pt idx="5">
                  <c:v>0.41863796171708878</c:v>
                </c:pt>
                <c:pt idx="6">
                  <c:v>0.44099901374949252</c:v>
                </c:pt>
                <c:pt idx="7">
                  <c:v>0.57489878542510164</c:v>
                </c:pt>
                <c:pt idx="8">
                  <c:v>0.40669175226278859</c:v>
                </c:pt>
                <c:pt idx="9">
                  <c:v>0.22683667997378279</c:v>
                </c:pt>
                <c:pt idx="10">
                  <c:v>0.40223797090637819</c:v>
                </c:pt>
                <c:pt idx="11">
                  <c:v>0.60631421942326813</c:v>
                </c:pt>
                <c:pt idx="12">
                  <c:v>0.45170022796352577</c:v>
                </c:pt>
                <c:pt idx="13">
                  <c:v>0.25414914804160166</c:v>
                </c:pt>
                <c:pt idx="14">
                  <c:v>0.49489715810959334</c:v>
                </c:pt>
                <c:pt idx="15">
                  <c:v>0.45774668081323661</c:v>
                </c:pt>
                <c:pt idx="16">
                  <c:v>0.53272021443756445</c:v>
                </c:pt>
              </c:numCache>
            </c:numRef>
          </c:val>
        </c:ser>
        <c:ser>
          <c:idx val="2"/>
          <c:order val="1"/>
          <c:tx>
            <c:strRef>
              <c:f>woj!$C$2</c:f>
              <c:strCache>
                <c:ptCount val="1"/>
                <c:pt idx="0">
                  <c:v>nieruchomości zabudowane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strRef>
              <c:f>woj!$A$3:$A$19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woj!$C$3:$C$19</c:f>
              <c:numCache>
                <c:formatCode>0.00%</c:formatCode>
                <c:ptCount val="17"/>
                <c:pt idx="0">
                  <c:v>0.1686109469204399</c:v>
                </c:pt>
                <c:pt idx="1">
                  <c:v>0.14806515942548593</c:v>
                </c:pt>
                <c:pt idx="2">
                  <c:v>0.18574199806013614</c:v>
                </c:pt>
                <c:pt idx="3">
                  <c:v>0.16664324855978654</c:v>
                </c:pt>
                <c:pt idx="4">
                  <c:v>0.18754768808179501</c:v>
                </c:pt>
                <c:pt idx="5">
                  <c:v>0.19553800078128417</c:v>
                </c:pt>
                <c:pt idx="6">
                  <c:v>0.14494981725358239</c:v>
                </c:pt>
                <c:pt idx="7">
                  <c:v>0.14045713921387359</c:v>
                </c:pt>
                <c:pt idx="8">
                  <c:v>0.19292179395911727</c:v>
                </c:pt>
                <c:pt idx="9">
                  <c:v>0.16278376929035338</c:v>
                </c:pt>
                <c:pt idx="10">
                  <c:v>0.18948153674002274</c:v>
                </c:pt>
                <c:pt idx="11">
                  <c:v>0.12832836150701579</c:v>
                </c:pt>
                <c:pt idx="12">
                  <c:v>0.24475208966565348</c:v>
                </c:pt>
                <c:pt idx="13">
                  <c:v>0.20070812126576676</c:v>
                </c:pt>
                <c:pt idx="14">
                  <c:v>0.17103679279845091</c:v>
                </c:pt>
                <c:pt idx="15">
                  <c:v>0.16350758466435358</c:v>
                </c:pt>
                <c:pt idx="16">
                  <c:v>0.16822257140216298</c:v>
                </c:pt>
              </c:numCache>
            </c:numRef>
          </c:val>
        </c:ser>
        <c:ser>
          <c:idx val="3"/>
          <c:order val="2"/>
          <c:tx>
            <c:strRef>
              <c:f>woj!$D$2</c:f>
              <c:strCache>
                <c:ptCount val="1"/>
                <c:pt idx="0">
                  <c:v>nieruchomości niezabudowane</c:v>
                </c:pt>
              </c:strCache>
            </c:strRef>
          </c:tx>
          <c:spPr>
            <a:solidFill>
              <a:srgbClr val="522398"/>
            </a:solidFill>
          </c:spPr>
          <c:invertIfNegative val="0"/>
          <c:cat>
            <c:strRef>
              <c:f>woj!$A$3:$A$19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woj!$D$3:$D$19</c:f>
              <c:numCache>
                <c:formatCode>0.00%</c:formatCode>
                <c:ptCount val="17"/>
                <c:pt idx="0">
                  <c:v>0.34812625605863601</c:v>
                </c:pt>
                <c:pt idx="1">
                  <c:v>0.23502655224181587</c:v>
                </c:pt>
                <c:pt idx="2">
                  <c:v>0.34510184287099921</c:v>
                </c:pt>
                <c:pt idx="3">
                  <c:v>0.52732893072923959</c:v>
                </c:pt>
                <c:pt idx="4">
                  <c:v>0.32977262322600398</c:v>
                </c:pt>
                <c:pt idx="5">
                  <c:v>0.38582403750162825</c:v>
                </c:pt>
                <c:pt idx="6">
                  <c:v>0.41405116899692535</c:v>
                </c:pt>
                <c:pt idx="7">
                  <c:v>0.28464407536102532</c:v>
                </c:pt>
                <c:pt idx="8">
                  <c:v>0.40038645377809462</c:v>
                </c:pt>
                <c:pt idx="9">
                  <c:v>0.6103795507358637</c:v>
                </c:pt>
                <c:pt idx="10">
                  <c:v>0.40828049235359942</c:v>
                </c:pt>
                <c:pt idx="11">
                  <c:v>0.26535741906971638</c:v>
                </c:pt>
                <c:pt idx="12">
                  <c:v>0.30354768237082125</c:v>
                </c:pt>
                <c:pt idx="13">
                  <c:v>0.54514273069263108</c:v>
                </c:pt>
                <c:pt idx="14">
                  <c:v>0.33406604909195636</c:v>
                </c:pt>
                <c:pt idx="15">
                  <c:v>0.37874573452240989</c:v>
                </c:pt>
                <c:pt idx="16">
                  <c:v>0.29905721416027381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876064560"/>
        <c:axId val="-876073264"/>
      </c:barChart>
      <c:catAx>
        <c:axId val="-87606456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876073264"/>
        <c:crosses val="autoZero"/>
        <c:auto val="1"/>
        <c:lblAlgn val="ctr"/>
        <c:lblOffset val="100"/>
        <c:noMultiLvlLbl val="0"/>
      </c:catAx>
      <c:valAx>
        <c:axId val="-876073264"/>
        <c:scaling>
          <c:orientation val="minMax"/>
        </c:scaling>
        <c:delete val="0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8760645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Arkusz1!$B$7:$H$7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Arkusz1!$B$8:$H$8</c:f>
              <c:numCache>
                <c:formatCode>General</c:formatCode>
                <c:ptCount val="7"/>
                <c:pt idx="0">
                  <c:v>9.9999999999994718E-2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1.7999999999999916</c:v>
                </c:pt>
                <c:pt idx="6">
                  <c:v>3.7999999999999972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numRef>
              <c:f>Arkusz1!$B$7:$H$7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Arkusz1!$B$9:$H$9</c:f>
              <c:numCache>
                <c:formatCode>General</c:formatCode>
                <c:ptCount val="7"/>
                <c:pt idx="0">
                  <c:v>1.0999999999999897</c:v>
                </c:pt>
                <c:pt idx="1">
                  <c:v>-0.5</c:v>
                </c:pt>
                <c:pt idx="2">
                  <c:v>-4.9000000000000083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1.0999999999999897</c:v>
                </c:pt>
                <c:pt idx="6">
                  <c:v>3.2000000000000042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85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numRef>
              <c:f>Arkusz1!$B$7:$H$7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Arkusz1!$B$10:$H$10</c:f>
              <c:numCache>
                <c:formatCode>General</c:formatCode>
                <c:ptCount val="7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-3.7000000000000042</c:v>
                </c:pt>
                <c:pt idx="3">
                  <c:v>1.2999999999999916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76060752"/>
        <c:axId val="-876071632"/>
      </c:lineChart>
      <c:catAx>
        <c:axId val="-87606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6071632"/>
        <c:crosses val="autoZero"/>
        <c:auto val="0"/>
        <c:lblAlgn val="ctr"/>
        <c:lblOffset val="100"/>
        <c:noMultiLvlLbl val="0"/>
      </c:catAx>
      <c:valAx>
        <c:axId val="-876071632"/>
        <c:scaling>
          <c:orientation val="minMax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606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Arkusz1!$A$42</c:f>
              <c:strCache>
                <c:ptCount val="1"/>
                <c:pt idx="0">
                  <c:v>Ogółem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Arkusz1!$B$41:$I$41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Arkusz1!$B$42:$I$42</c:f>
              <c:numCache>
                <c:formatCode>General</c:formatCode>
                <c:ptCount val="8"/>
                <c:pt idx="0">
                  <c:v>0</c:v>
                </c:pt>
                <c:pt idx="1">
                  <c:v>9.9999999999994718E-2</c:v>
                </c:pt>
                <c:pt idx="2">
                  <c:v>-3.4000000000000057</c:v>
                </c:pt>
                <c:pt idx="3">
                  <c:v>-7.5999999999999943</c:v>
                </c:pt>
                <c:pt idx="4">
                  <c:v>-6.7000000000000028</c:v>
                </c:pt>
                <c:pt idx="5">
                  <c:v>-5.2999999999999972</c:v>
                </c:pt>
                <c:pt idx="6">
                  <c:v>-3.5999999999999943</c:v>
                </c:pt>
                <c:pt idx="7">
                  <c:v>9.9999999999994718E-2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Arkusz1!$A$43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numRef>
              <c:f>Arkusz1!$B$41:$I$41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Arkusz1!$B$43:$I$43</c:f>
              <c:numCache>
                <c:formatCode>General</c:formatCode>
                <c:ptCount val="8"/>
                <c:pt idx="0">
                  <c:v>0</c:v>
                </c:pt>
                <c:pt idx="1">
                  <c:v>1.0999999999999897</c:v>
                </c:pt>
                <c:pt idx="2">
                  <c:v>0.59999999999999432</c:v>
                </c:pt>
                <c:pt idx="3">
                  <c:v>-4.2999999999999972</c:v>
                </c:pt>
                <c:pt idx="4">
                  <c:v>-3.7999999999999972</c:v>
                </c:pt>
                <c:pt idx="5">
                  <c:v>-1.2999999999999916</c:v>
                </c:pt>
                <c:pt idx="6">
                  <c:v>-0.20000000000000284</c:v>
                </c:pt>
                <c:pt idx="7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Arkusz1!$A$44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85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numRef>
              <c:f>Arkusz1!$B$41:$I$41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Arkusz1!$B$44:$I$44</c:f>
              <c:numCache>
                <c:formatCode>General</c:formatCode>
                <c:ptCount val="8"/>
                <c:pt idx="0">
                  <c:v>0</c:v>
                </c:pt>
                <c:pt idx="1">
                  <c:v>-0.40000000000000568</c:v>
                </c:pt>
                <c:pt idx="2">
                  <c:v>-5.5</c:v>
                </c:pt>
                <c:pt idx="3">
                  <c:v>-9</c:v>
                </c:pt>
                <c:pt idx="4">
                  <c:v>-7.7999999999999972</c:v>
                </c:pt>
                <c:pt idx="5">
                  <c:v>-7.2000000000000028</c:v>
                </c:pt>
                <c:pt idx="6">
                  <c:v>-4.7999999999999972</c:v>
                </c:pt>
                <c:pt idx="7">
                  <c:v>-0.5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76067280"/>
        <c:axId val="-876068912"/>
      </c:lineChart>
      <c:catAx>
        <c:axId val="-87606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6068912"/>
        <c:crosses val="autoZero"/>
        <c:auto val="0"/>
        <c:lblAlgn val="ctr"/>
        <c:lblOffset val="100"/>
        <c:noMultiLvlLbl val="0"/>
      </c:catAx>
      <c:valAx>
        <c:axId val="-876068912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606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98458-20D2-403C-BAD9-0A44F87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Obrót nieruchomościami w 2017 r.</vt:lpstr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Obrót nieruchomościami w 2017 r.</dc:title>
  <dc:creator>Zawistowska Beata</dc:creator>
  <cp:lastModifiedBy>Koszela Alicja</cp:lastModifiedBy>
  <cp:revision>3</cp:revision>
  <cp:lastPrinted>2018-07-16T08:44:00Z</cp:lastPrinted>
  <dcterms:created xsi:type="dcterms:W3CDTF">2018-07-24T13:47:00Z</dcterms:created>
  <dcterms:modified xsi:type="dcterms:W3CDTF">2018-07-24T13:47:00Z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