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F14CB3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944880</wp:posOffset>
                </wp:positionV>
                <wp:extent cx="1725295" cy="1125220"/>
                <wp:effectExtent l="0" t="0" r="0" b="0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dów 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do </w:t>
                            </w:r>
                            <w:r w:rsid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półrocza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FF74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6,5</w:t>
                            </w:r>
                            <w:r w:rsidR="003A3B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4pt;margin-top:74.4pt;width:135.8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dów 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do </w:t>
                      </w:r>
                      <w:r w:rsid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półrocza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FF74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6,5</w:t>
                      </w:r>
                      <w:r w:rsidR="003A3B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C6CBF">
        <w:t>Wyniki finansowe przedsiębiorst</w:t>
      </w:r>
      <w:r w:rsidR="00ED25BF">
        <w:t xml:space="preserve">w niefinansowych </w:t>
      </w:r>
      <w:r w:rsidR="00ED25BF">
        <w:br/>
        <w:t>w</w:t>
      </w:r>
      <w:r w:rsidR="008C6CBF">
        <w:t xml:space="preserve"> </w:t>
      </w:r>
      <w:r w:rsidR="001D5A8A">
        <w:t>okresie styczeń-czerwiec</w:t>
      </w:r>
      <w:r w:rsidR="003728D9">
        <w:t xml:space="preserve"> </w:t>
      </w:r>
      <w:r w:rsidR="008C6CBF">
        <w:t>201</w:t>
      </w:r>
      <w:r w:rsidR="003728D9">
        <w:t>8</w:t>
      </w:r>
      <w:r w:rsidR="00A741DF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F14CB3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FF74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6,5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>Dynamika przychodów</w:t>
                            </w:r>
                            <w:r w:rsidR="00A220D1">
                              <w:t xml:space="preserve"> z </w:t>
                            </w:r>
                            <w:r w:rsidR="002E3799">
                              <w:br/>
                            </w:r>
                            <w:r w:rsidR="00A220D1">
                              <w:t>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FF74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6,5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>Dynamika przychodów</w:t>
                      </w:r>
                      <w:r w:rsidR="00A220D1">
                        <w:t xml:space="preserve"> z </w:t>
                      </w:r>
                      <w:r w:rsidR="002E3799">
                        <w:br/>
                      </w:r>
                      <w:r w:rsidR="00A220D1">
                        <w:t>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A0" w:rsidRPr="002A2B09">
        <w:rPr>
          <w:shd w:val="clear" w:color="auto" w:fill="FFFFFF"/>
        </w:rPr>
        <w:t xml:space="preserve">W </w:t>
      </w:r>
      <w:r w:rsidR="00F401BE">
        <w:rPr>
          <w:shd w:val="clear" w:color="auto" w:fill="FFFFFF"/>
        </w:rPr>
        <w:t>I półroczu</w:t>
      </w:r>
      <w:r w:rsidR="001807FB">
        <w:rPr>
          <w:shd w:val="clear" w:color="auto" w:fill="FFFFFF"/>
        </w:rPr>
        <w:t xml:space="preserve"> </w:t>
      </w:r>
      <w:r w:rsidR="00CF7929" w:rsidRPr="002A2B09">
        <w:rPr>
          <w:shd w:val="clear" w:color="auto" w:fill="FFFFFF"/>
        </w:rPr>
        <w:t>201</w:t>
      </w:r>
      <w:r w:rsidR="001807FB">
        <w:rPr>
          <w:shd w:val="clear" w:color="auto" w:fill="FFFFFF"/>
        </w:rPr>
        <w:t>8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nych przedsiębiorstw były słabsze</w:t>
      </w:r>
      <w:r w:rsidR="00EE30A0" w:rsidRPr="002A2B09">
        <w:rPr>
          <w:shd w:val="clear" w:color="auto" w:fill="FFFFFF"/>
        </w:rPr>
        <w:t xml:space="preserve"> od uzyskanych rok wcześniej. </w:t>
      </w:r>
      <w:r w:rsidR="00AD2E7D">
        <w:rPr>
          <w:shd w:val="clear" w:color="auto" w:fill="FFFFFF"/>
        </w:rPr>
        <w:t>Pogorszyły</w:t>
      </w:r>
      <w:r w:rsidR="005922DC">
        <w:rPr>
          <w:shd w:val="clear" w:color="auto" w:fill="FFFFFF"/>
        </w:rPr>
        <w:t xml:space="preserve"> się </w:t>
      </w:r>
      <w:r w:rsidR="00AD2E7D">
        <w:rPr>
          <w:shd w:val="clear" w:color="auto" w:fill="FFFFFF"/>
        </w:rPr>
        <w:t xml:space="preserve">również </w:t>
      </w:r>
      <w:r w:rsidR="005922DC">
        <w:rPr>
          <w:shd w:val="clear" w:color="auto" w:fill="FFFFFF"/>
        </w:rPr>
        <w:t>podstawowe wskaźniki ekonomiczno-finansowe</w:t>
      </w:r>
      <w:r w:rsidR="005922DC" w:rsidRPr="00C377F8">
        <w:rPr>
          <w:shd w:val="clear" w:color="auto" w:fill="FFFFFF"/>
        </w:rPr>
        <w:t xml:space="preserve">. </w:t>
      </w:r>
      <w:r w:rsidR="00EE30A0" w:rsidRPr="000741C2">
        <w:rPr>
          <w:shd w:val="clear" w:color="auto" w:fill="FFFFFF"/>
        </w:rPr>
        <w:t xml:space="preserve">Nakłady inwestycyjne były </w:t>
      </w:r>
      <w:r w:rsidR="001C0B72" w:rsidRPr="000741C2">
        <w:rPr>
          <w:shd w:val="clear" w:color="auto" w:fill="FFFFFF"/>
        </w:rPr>
        <w:t>wyższe</w:t>
      </w:r>
      <w:r w:rsidR="005922DC" w:rsidRPr="000741C2">
        <w:rPr>
          <w:shd w:val="clear" w:color="auto" w:fill="FFFFFF"/>
        </w:rPr>
        <w:t xml:space="preserve"> o </w:t>
      </w:r>
      <w:r w:rsidR="000741C2" w:rsidRPr="000741C2">
        <w:rPr>
          <w:shd w:val="clear" w:color="auto" w:fill="FFFFFF"/>
        </w:rPr>
        <w:t>10,3</w:t>
      </w:r>
      <w:r w:rsidR="005922DC" w:rsidRPr="000741C2">
        <w:rPr>
          <w:shd w:val="clear" w:color="auto" w:fill="FFFFFF"/>
        </w:rPr>
        <w:t>%</w:t>
      </w:r>
      <w:r w:rsidR="00EE30A0" w:rsidRPr="000741C2">
        <w:rPr>
          <w:shd w:val="clear" w:color="auto" w:fill="FFFFFF"/>
        </w:rPr>
        <w:t xml:space="preserve"> od notowanych w </w:t>
      </w:r>
      <w:r w:rsidR="000741C2" w:rsidRPr="000741C2">
        <w:rPr>
          <w:shd w:val="clear" w:color="auto" w:fill="FFFFFF"/>
        </w:rPr>
        <w:t>I półroczu</w:t>
      </w:r>
      <w:r w:rsidR="001807FB" w:rsidRPr="000741C2">
        <w:rPr>
          <w:shd w:val="clear" w:color="auto" w:fill="FFFFFF"/>
        </w:rPr>
        <w:t xml:space="preserve"> </w:t>
      </w:r>
      <w:r w:rsidR="00EE30A0" w:rsidRPr="000741C2">
        <w:rPr>
          <w:shd w:val="clear" w:color="auto" w:fill="FFFFFF"/>
        </w:rPr>
        <w:t>201</w:t>
      </w:r>
      <w:r w:rsidR="001807FB" w:rsidRPr="000741C2">
        <w:rPr>
          <w:shd w:val="clear" w:color="auto" w:fill="FFFFFF"/>
        </w:rPr>
        <w:t>7</w:t>
      </w:r>
      <w:r w:rsidR="00EE30A0" w:rsidRPr="000741C2">
        <w:rPr>
          <w:shd w:val="clear" w:color="auto" w:fill="FFFFFF"/>
        </w:rPr>
        <w:t xml:space="preserve"> rok</w:t>
      </w:r>
      <w:r w:rsidR="001C0B72" w:rsidRPr="000741C2">
        <w:rPr>
          <w:shd w:val="clear" w:color="auto" w:fill="FFFFFF"/>
        </w:rPr>
        <w:t xml:space="preserve">u (kiedy miał miejsce spadek o </w:t>
      </w:r>
      <w:r w:rsidR="000741C2" w:rsidRPr="000741C2">
        <w:rPr>
          <w:shd w:val="clear" w:color="auto" w:fill="FFFFFF"/>
        </w:rPr>
        <w:t>1,1</w:t>
      </w:r>
      <w:r w:rsidR="00EE30A0" w:rsidRPr="000741C2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220EDD" w:rsidRDefault="00220EDD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="00C07D3A">
        <w:rPr>
          <w:b w:val="0"/>
        </w:rPr>
        <w:t>w</w:t>
      </w:r>
      <w:r w:rsidR="006A66C6">
        <w:rPr>
          <w:b w:val="0"/>
        </w:rPr>
        <w:t xml:space="preserve"> </w:t>
      </w:r>
      <w:r w:rsidR="00356EB9">
        <w:rPr>
          <w:b w:val="0"/>
        </w:rPr>
        <w:t xml:space="preserve">I półroczu </w:t>
      </w:r>
      <w:r w:rsidR="00402700">
        <w:rPr>
          <w:b w:val="0"/>
        </w:rPr>
        <w:t>br.</w:t>
      </w:r>
      <w:r w:rsidR="00C07D3A"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E97F02">
        <w:rPr>
          <w:b w:val="0"/>
        </w:rPr>
        <w:t>6,5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6A66C6">
        <w:rPr>
          <w:b w:val="0"/>
        </w:rPr>
        <w:t>7,2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1807FB">
        <w:rPr>
          <w:b w:val="0"/>
        </w:rPr>
        <w:t xml:space="preserve">Pogorszył 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6A66C6">
        <w:rPr>
          <w:b w:val="0"/>
        </w:rPr>
        <w:t>94,3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6A66C6">
        <w:rPr>
          <w:b w:val="0"/>
        </w:rPr>
        <w:t>94,9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9309FA">
        <w:rPr>
          <w:b w:val="0"/>
        </w:rPr>
        <w:t>wrosły w skali roku o</w:t>
      </w:r>
      <w:r>
        <w:rPr>
          <w:b w:val="0"/>
        </w:rPr>
        <w:t xml:space="preserve"> </w:t>
      </w:r>
      <w:r w:rsidR="006A66C6">
        <w:rPr>
          <w:b w:val="0"/>
        </w:rPr>
        <w:t>7,0</w:t>
      </w:r>
      <w:r w:rsidRPr="00B93908">
        <w:rPr>
          <w:b w:val="0"/>
        </w:rPr>
        <w:t>%,</w:t>
      </w:r>
      <w:r>
        <w:rPr>
          <w:b w:val="0"/>
        </w:rPr>
        <w:t xml:space="preserve"> a koszty tej działalności – </w:t>
      </w:r>
      <w:r w:rsidR="006A66C6">
        <w:rPr>
          <w:b w:val="0"/>
        </w:rPr>
        <w:t>6,9</w:t>
      </w:r>
      <w:r w:rsidRPr="00B93908">
        <w:rPr>
          <w:b w:val="0"/>
        </w:rPr>
        <w:t>%.</w:t>
      </w:r>
    </w:p>
    <w:p w:rsidR="0081208E" w:rsidRDefault="00F14CB3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C377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finansowy netto był ni</w:t>
                            </w:r>
                            <w:r w:rsidR="00564A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ższy o 6,7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rokiem.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8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C377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finansowy netto był ni</w:t>
                      </w:r>
                      <w:r w:rsidR="00564A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ższy o 6,7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rokiem.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302049">
        <w:rPr>
          <w:b w:val="0"/>
        </w:rPr>
        <w:t>70,6</w:t>
      </w:r>
      <w:r w:rsidR="0081208E">
        <w:rPr>
          <w:b w:val="0"/>
        </w:rPr>
        <w:t xml:space="preserve"> mld zł i był </w:t>
      </w:r>
      <w:r w:rsidR="00302049">
        <w:rPr>
          <w:b w:val="0"/>
        </w:rPr>
        <w:t>wy</w:t>
      </w:r>
      <w:r w:rsidR="0081208E">
        <w:rPr>
          <w:b w:val="0"/>
        </w:rPr>
        <w:t>ższy o </w:t>
      </w:r>
      <w:r w:rsidR="00302049">
        <w:rPr>
          <w:b w:val="0"/>
        </w:rPr>
        <w:t>9</w:t>
      </w:r>
      <w:r w:rsidR="00775378">
        <w:rPr>
          <w:b w:val="0"/>
        </w:rPr>
        <w:t>,7</w:t>
      </w:r>
      <w:r w:rsidR="001C0B72">
        <w:rPr>
          <w:b w:val="0"/>
        </w:rPr>
        <w:t xml:space="preserve">% niż w </w:t>
      </w:r>
      <w:r w:rsidR="00302049">
        <w:rPr>
          <w:b w:val="0"/>
        </w:rPr>
        <w:t>analogicznym okresie roku ubiegłego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302049">
        <w:rPr>
          <w:b w:val="0"/>
        </w:rPr>
        <w:t>5,3 mld zł i był ni</w:t>
      </w:r>
      <w:r w:rsidR="0081208E">
        <w:rPr>
          <w:b w:val="0"/>
        </w:rPr>
        <w:t xml:space="preserve">ższy o </w:t>
      </w:r>
      <w:r w:rsidR="00302049">
        <w:rPr>
          <w:b w:val="0"/>
        </w:rPr>
        <w:t>0,7</w:t>
      </w:r>
      <w:r w:rsidR="0081208E" w:rsidRPr="00DD07B8">
        <w:rPr>
          <w:b w:val="0"/>
        </w:rPr>
        <w:t xml:space="preserve"> mld zł niż przed rokiem. Zanotowano </w:t>
      </w:r>
      <w:r w:rsidR="001807FB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302049">
        <w:rPr>
          <w:b w:val="0"/>
        </w:rPr>
        <w:t>minus 0,7</w:t>
      </w:r>
      <w:r w:rsidR="00AD2E7D">
        <w:rPr>
          <w:b w:val="0"/>
        </w:rPr>
        <w:t xml:space="preserve"> mld zł wobec</w:t>
      </w:r>
      <w:r w:rsidR="00302049">
        <w:rPr>
          <w:b w:val="0"/>
        </w:rPr>
        <w:t xml:space="preserve"> 8</w:t>
      </w:r>
      <w:r w:rsidR="005E41E4">
        <w:rPr>
          <w:b w:val="0"/>
        </w:rPr>
        <w:t>,</w:t>
      </w:r>
      <w:r w:rsidR="00E005C1">
        <w:rPr>
          <w:b w:val="0"/>
        </w:rPr>
        <w:t>4</w:t>
      </w:r>
      <w:r w:rsidR="005E41E4">
        <w:rPr>
          <w:b w:val="0"/>
        </w:rPr>
        <w:t xml:space="preserve"> mld zł w </w:t>
      </w:r>
      <w:r w:rsidR="00571A75">
        <w:rPr>
          <w:b w:val="0"/>
        </w:rPr>
        <w:t xml:space="preserve">I półroczu </w:t>
      </w:r>
      <w:r w:rsidR="00E005C1">
        <w:rPr>
          <w:b w:val="0"/>
        </w:rPr>
        <w:t>2017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963029">
        <w:rPr>
          <w:b w:val="0"/>
        </w:rPr>
        <w:t>75,2</w:t>
      </w:r>
      <w:r>
        <w:rPr>
          <w:b w:val="0"/>
        </w:rPr>
        <w:t xml:space="preserve"> mld zł wobec </w:t>
      </w:r>
      <w:r w:rsidR="00963029">
        <w:rPr>
          <w:b w:val="0"/>
        </w:rPr>
        <w:t>78,8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AF6ECF">
        <w:rPr>
          <w:b w:val="0"/>
        </w:rPr>
        <w:t>12,7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AF6ECF">
        <w:rPr>
          <w:b w:val="0"/>
        </w:rPr>
        <w:t>11,8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AF6ECF">
        <w:rPr>
          <w:b w:val="0"/>
        </w:rPr>
        <w:t>62,4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AF6ECF">
        <w:rPr>
          <w:b w:val="0"/>
        </w:rPr>
        <w:t>6,7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31200B">
        <w:rPr>
          <w:b w:val="0"/>
        </w:rPr>
        <w:t>76,4</w:t>
      </w:r>
      <w:r>
        <w:rPr>
          <w:b w:val="0"/>
        </w:rPr>
        <w:t xml:space="preserve"> mld zł i był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1E0287">
        <w:rPr>
          <w:b w:val="0"/>
        </w:rPr>
        <w:t>2,3</w:t>
      </w:r>
      <w:r w:rsidRPr="00DD07B8">
        <w:rPr>
          <w:b w:val="0"/>
        </w:rPr>
        <w:t>% od uzyskanego</w:t>
      </w:r>
      <w:r w:rsidR="001E0287">
        <w:rPr>
          <w:b w:val="0"/>
        </w:rPr>
        <w:t xml:space="preserve"> w okresie I-VI</w:t>
      </w:r>
      <w:r w:rsidR="00E005C1">
        <w:rPr>
          <w:b w:val="0"/>
        </w:rPr>
        <w:t xml:space="preserve"> 2017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1E0287">
        <w:rPr>
          <w:b w:val="0"/>
        </w:rPr>
        <w:t>14,0</w:t>
      </w:r>
      <w:r w:rsidRPr="00DD07B8">
        <w:rPr>
          <w:b w:val="0"/>
        </w:rPr>
        <w:t xml:space="preserve"> mld zł i z</w:t>
      </w:r>
      <w:r w:rsidR="00E005C1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1E0287">
        <w:rPr>
          <w:b w:val="0"/>
        </w:rPr>
        <w:t>23,8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6361E6">
        <w:rPr>
          <w:b w:val="0"/>
        </w:rPr>
        <w:t>7</w:t>
      </w:r>
      <w:r w:rsidR="00797F16">
        <w:rPr>
          <w:b w:val="0"/>
        </w:rPr>
        <w:t>4,4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6361E6">
        <w:rPr>
          <w:b w:val="0"/>
        </w:rPr>
        <w:t>7</w:t>
      </w:r>
      <w:r w:rsidR="00797F16">
        <w:rPr>
          <w:b w:val="0"/>
        </w:rPr>
        <w:t>3,4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797F16">
        <w:rPr>
          <w:b w:val="0"/>
        </w:rPr>
        <w:t>81,7</w:t>
      </w:r>
      <w:r w:rsidRPr="006361E6">
        <w:rPr>
          <w:b w:val="0"/>
        </w:rPr>
        <w:t>% przychodów z całokształtu działalności badanych przedsiębior</w:t>
      </w:r>
      <w:r w:rsidR="00797F16">
        <w:rPr>
          <w:b w:val="0"/>
        </w:rPr>
        <w:t>stw (wobec 82,8</w:t>
      </w:r>
      <w:r w:rsidRPr="006361E6">
        <w:rPr>
          <w:b w:val="0"/>
        </w:rPr>
        <w:t>% przed rokiem). W przetwórstwie przemys</w:t>
      </w:r>
      <w:r w:rsidR="00A501AC">
        <w:rPr>
          <w:b w:val="0"/>
        </w:rPr>
        <w:t>łowym zysk netto odnotowało 78,5% jednostek (przed rokiem 78,1</w:t>
      </w:r>
      <w:r w:rsidRPr="006361E6">
        <w:rPr>
          <w:b w:val="0"/>
        </w:rPr>
        <w:t>%), a udział uzyskanych przez nie przychodów w przychodach wszystkich p</w:t>
      </w:r>
      <w:r w:rsidR="00A501AC">
        <w:rPr>
          <w:b w:val="0"/>
        </w:rPr>
        <w:t>odmiotów tej sekcji wyniósł 87,3% (wobec odpowiednio 86,9</w:t>
      </w:r>
      <w:r w:rsidRPr="006361E6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8C4D65">
        <w:rPr>
          <w:sz w:val="18"/>
          <w:szCs w:val="18"/>
        </w:rPr>
        <w:t xml:space="preserve"> w </w:t>
      </w:r>
      <w:r w:rsidR="00D7454D">
        <w:rPr>
          <w:sz w:val="18"/>
          <w:szCs w:val="18"/>
        </w:rPr>
        <w:t xml:space="preserve">I półroczu </w:t>
      </w:r>
      <w:r w:rsidR="008C4D65">
        <w:rPr>
          <w:sz w:val="18"/>
          <w:szCs w:val="18"/>
        </w:rPr>
        <w:t>w latach 2000-2018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6350</wp:posOffset>
            </wp:positionV>
            <wp:extent cx="5114925" cy="301180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5A2B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A2B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-V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A2B57">
              <w:rPr>
                <w:rFonts w:eastAsia="Times New Roman" w:cs="Calibri"/>
                <w:sz w:val="16"/>
                <w:szCs w:val="16"/>
                <w:lang w:eastAsia="pl-PL"/>
              </w:rPr>
              <w:t>-V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 201</w:t>
            </w:r>
            <w:r w:rsidR="00977C19" w:rsidRPr="00A01A76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A2B57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1 376 772,8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1 466 606,8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1 328 446,8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1 421 701,1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1 298 019,9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1 391 442,6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1 264 119,9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1 351 103,8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64 326,9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70 597,3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E271DA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6 003,7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5 265,2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8 422,3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110925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78 752,9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75 164,2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66 952,1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62 434,8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78 231,0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76 399,2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11 278,9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13 964,4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A2B5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A2B57" w:rsidRDefault="005A2B57" w:rsidP="005A2B5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B57" w:rsidRPr="00957F9B" w:rsidRDefault="005A2B57" w:rsidP="005A2B5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583934" w:rsidRDefault="00F14CB3" w:rsidP="0058393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5326380</wp:posOffset>
                </wp:positionH>
                <wp:positionV relativeFrom="paragraph">
                  <wp:posOffset>541020</wp:posOffset>
                </wp:positionV>
                <wp:extent cx="1531620" cy="1219200"/>
                <wp:effectExtent l="0" t="0" r="0" b="0"/>
                <wp:wrapSquare wrapText="bothSides"/>
                <wp:docPr id="1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7413C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poprawę wskaźnika rentowności obrotu netto odnotowano </w:t>
                            </w:r>
                            <w:r w:rsidR="00796DD3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C52B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administrowaniu i działalności wspierającej</w:t>
                            </w:r>
                            <w:r w:rsidR="00AB588D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C52B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0,5</w:t>
                            </w:r>
                            <w:r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p.proc.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).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9" type="#_x0000_t202" style="position:absolute;margin-left:419.4pt;margin-top:42.6pt;width:120.6pt;height:9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" filled="f" stroked="f">
                <v:textbox>
                  <w:txbxContent>
                    <w:p w:rsidR="007413CF" w:rsidRPr="00BF2F65" w:rsidRDefault="007413C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poprawę wskaźnika rentowności obrotu netto odnotowano </w:t>
                      </w:r>
                      <w:r w:rsidR="00796DD3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C52B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administrowaniu i działalności wspierającej</w:t>
                      </w:r>
                      <w:r w:rsidR="00AB588D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C52B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0,5</w:t>
                      </w:r>
                      <w:r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p.proc.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).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0821D5">
        <w:rPr>
          <w:b w:val="0"/>
        </w:rPr>
        <w:t>94,9</w:t>
      </w:r>
      <w:r w:rsidR="005A2748">
        <w:rPr>
          <w:b w:val="0"/>
        </w:rPr>
        <w:t xml:space="preserve">% (wobec </w:t>
      </w:r>
      <w:r w:rsidR="000821D5">
        <w:rPr>
          <w:b w:val="0"/>
        </w:rPr>
        <w:t>94,3</w:t>
      </w:r>
      <w:r w:rsidR="00583934" w:rsidRPr="00583934">
        <w:rPr>
          <w:b w:val="0"/>
        </w:rPr>
        <w:t>% przed ro</w:t>
      </w:r>
      <w:r w:rsidR="00CD0BA0">
        <w:rPr>
          <w:b w:val="0"/>
        </w:rPr>
        <w:t>kiem), a wskaźnik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0821D5">
        <w:rPr>
          <w:b w:val="0"/>
        </w:rPr>
        <w:t>zwiększył się z 4,8</w:t>
      </w:r>
      <w:r w:rsidR="005A2748">
        <w:rPr>
          <w:b w:val="0"/>
        </w:rPr>
        <w:t xml:space="preserve">% do </w:t>
      </w:r>
      <w:r w:rsidR="000821D5">
        <w:rPr>
          <w:b w:val="0"/>
        </w:rPr>
        <w:t>5,0</w:t>
      </w:r>
      <w:r w:rsidR="005A2748">
        <w:rPr>
          <w:b w:val="0"/>
        </w:rPr>
        <w:t>%</w:t>
      </w:r>
      <w:r w:rsidR="00583934" w:rsidRPr="00583934">
        <w:rPr>
          <w:b w:val="0"/>
        </w:rPr>
        <w:t>. Z</w:t>
      </w:r>
      <w:r w:rsidR="00A01A76">
        <w:rPr>
          <w:b w:val="0"/>
        </w:rPr>
        <w:t>mniej</w:t>
      </w:r>
      <w:r w:rsidR="00583934" w:rsidRPr="00583934">
        <w:rPr>
          <w:b w:val="0"/>
        </w:rPr>
        <w:t>szył się wskaźnik</w:t>
      </w:r>
      <w:r w:rsidR="005A2748">
        <w:rPr>
          <w:b w:val="0"/>
        </w:rPr>
        <w:t xml:space="preserve"> rentowności obrotu brutto z 5,</w:t>
      </w:r>
      <w:r w:rsidR="000821D5">
        <w:rPr>
          <w:b w:val="0"/>
        </w:rPr>
        <w:t>7</w:t>
      </w:r>
      <w:r w:rsidR="005A2748">
        <w:rPr>
          <w:b w:val="0"/>
        </w:rPr>
        <w:t xml:space="preserve">% do </w:t>
      </w:r>
      <w:r w:rsidR="000821D5">
        <w:rPr>
          <w:b w:val="0"/>
        </w:rPr>
        <w:t>5,1</w:t>
      </w:r>
      <w:r w:rsidR="005A2748">
        <w:rPr>
          <w:b w:val="0"/>
        </w:rPr>
        <w:t>% oraz</w:t>
      </w:r>
      <w:r w:rsidR="00583934" w:rsidRPr="00583934">
        <w:rPr>
          <w:b w:val="0"/>
        </w:rPr>
        <w:t xml:space="preserve"> wskaźnik rentowności obrotu netto </w:t>
      </w:r>
      <w:r w:rsidR="005A2748">
        <w:rPr>
          <w:b w:val="0"/>
        </w:rPr>
        <w:t>z 4,</w:t>
      </w:r>
      <w:r w:rsidR="000821D5">
        <w:rPr>
          <w:b w:val="0"/>
        </w:rPr>
        <w:t>9</w:t>
      </w:r>
      <w:r w:rsidR="005A2748">
        <w:rPr>
          <w:b w:val="0"/>
        </w:rPr>
        <w:t xml:space="preserve">% do </w:t>
      </w:r>
      <w:r w:rsidR="000821D5">
        <w:rPr>
          <w:b w:val="0"/>
        </w:rPr>
        <w:t>4,3</w:t>
      </w:r>
      <w:r w:rsidR="00583934" w:rsidRPr="00583934">
        <w:rPr>
          <w:b w:val="0"/>
        </w:rPr>
        <w:t>%.</w:t>
      </w:r>
    </w:p>
    <w:p w:rsidR="00387F2E" w:rsidRDefault="00583934" w:rsidP="00583934">
      <w:pPr>
        <w:pStyle w:val="LID"/>
        <w:rPr>
          <w:b w:val="0"/>
        </w:rPr>
      </w:pPr>
      <w:r w:rsidRPr="00AB588D">
        <w:rPr>
          <w:b w:val="0"/>
        </w:rPr>
        <w:t xml:space="preserve">Poprawę wskaźnika rentowności </w:t>
      </w:r>
      <w:r w:rsidRPr="00387F2E">
        <w:rPr>
          <w:b w:val="0"/>
        </w:rPr>
        <w:t>o</w:t>
      </w:r>
      <w:r w:rsidR="009659C6" w:rsidRPr="00387F2E">
        <w:rPr>
          <w:b w:val="0"/>
        </w:rPr>
        <w:t>brotu netto</w:t>
      </w:r>
      <w:r w:rsidR="00387F2E" w:rsidRPr="00387F2E">
        <w:rPr>
          <w:b w:val="0"/>
        </w:rPr>
        <w:t xml:space="preserve"> odnotowano m.in.</w:t>
      </w:r>
      <w:r w:rsidR="00B21571" w:rsidRPr="00387F2E">
        <w:rPr>
          <w:b w:val="0"/>
        </w:rPr>
        <w:t xml:space="preserve"> w ad</w:t>
      </w:r>
      <w:r w:rsidR="00E545DA" w:rsidRPr="00387F2E">
        <w:rPr>
          <w:b w:val="0"/>
        </w:rPr>
        <w:t>m</w:t>
      </w:r>
      <w:r w:rsidR="00B21571" w:rsidRPr="00387F2E">
        <w:rPr>
          <w:b w:val="0"/>
        </w:rPr>
        <w:t>inistrowaniu i</w:t>
      </w:r>
      <w:r w:rsidR="00351836" w:rsidRPr="00387F2E">
        <w:rPr>
          <w:b w:val="0"/>
        </w:rPr>
        <w:t xml:space="preserve"> działalności wspierającej (z </w:t>
      </w:r>
      <w:r w:rsidR="00B21571" w:rsidRPr="00387F2E">
        <w:rPr>
          <w:b w:val="0"/>
        </w:rPr>
        <w:t>3</w:t>
      </w:r>
      <w:r w:rsidR="00351836" w:rsidRPr="00387F2E">
        <w:rPr>
          <w:b w:val="0"/>
        </w:rPr>
        <w:t>,0% do 3,5</w:t>
      </w:r>
      <w:r w:rsidR="00B21571" w:rsidRPr="00387F2E">
        <w:rPr>
          <w:b w:val="0"/>
        </w:rPr>
        <w:t>%)</w:t>
      </w:r>
      <w:r w:rsidR="00387F2E" w:rsidRPr="00387F2E">
        <w:rPr>
          <w:b w:val="0"/>
        </w:rPr>
        <w:t xml:space="preserve"> oraz w</w:t>
      </w:r>
      <w:r w:rsidR="00387F2E" w:rsidRPr="00387F2E">
        <w:rPr>
          <w:b w:val="0"/>
          <w:spacing w:val="-3"/>
        </w:rPr>
        <w:t xml:space="preserve"> g</w:t>
      </w:r>
      <w:r w:rsidR="00387F2E" w:rsidRPr="00387F2E">
        <w:rPr>
          <w:b w:val="0"/>
        </w:rPr>
        <w:t>órnictwie i</w:t>
      </w:r>
      <w:r w:rsidR="00387F2E" w:rsidRPr="00387F2E">
        <w:rPr>
          <w:b w:val="0"/>
          <w:spacing w:val="-3"/>
        </w:rPr>
        <w:t xml:space="preserve"> wydobywaniu </w:t>
      </w:r>
      <w:r w:rsidR="00387F2E" w:rsidRPr="00387F2E">
        <w:rPr>
          <w:b w:val="0"/>
        </w:rPr>
        <w:t>(z 9,2% do 9,3%</w:t>
      </w:r>
      <w:r w:rsidR="00387F2E">
        <w:rPr>
          <w:b w:val="0"/>
        </w:rPr>
        <w:t>)</w:t>
      </w:r>
      <w:r w:rsidR="00B21571" w:rsidRPr="00387F2E">
        <w:rPr>
          <w:b w:val="0"/>
        </w:rPr>
        <w:t xml:space="preserve">. </w:t>
      </w:r>
      <w:r w:rsidR="005B66B3" w:rsidRPr="00387F2E">
        <w:rPr>
          <w:b w:val="0"/>
        </w:rPr>
        <w:t>Najbardziej znaczące</w:t>
      </w:r>
      <w:r w:rsidRPr="00387F2E">
        <w:rPr>
          <w:b w:val="0"/>
        </w:rPr>
        <w:t xml:space="preserve"> osłabienie wskaźnika rentowności obrotu netto </w:t>
      </w:r>
      <w:r w:rsidR="00482BEF" w:rsidRPr="00387F2E">
        <w:rPr>
          <w:b w:val="0"/>
        </w:rPr>
        <w:t>odnotowano w</w:t>
      </w:r>
      <w:r w:rsidR="00387F2E">
        <w:rPr>
          <w:b w:val="0"/>
        </w:rPr>
        <w:t xml:space="preserve"> </w:t>
      </w:r>
      <w:r w:rsidR="00387F2E" w:rsidRPr="00387F2E">
        <w:rPr>
          <w:b w:val="0"/>
        </w:rPr>
        <w:t>wytwarzaniu i zaopatrywaniu w energię elektryczną, gaz, parę wodną i gorącą wodę (z 13,8% do 9,4%), obsłudze rynku nieruchomości (z 9,5% do 6,0%), zakwaterowaniu i usługach gastronomicznych (z 6,9% do 3,8%), działalności profesjonalnej, naukowej i technicznej (z 8,0% do 5,0%), pozostałej działalności usługowej (z 8,2% do 5,5%)</w:t>
      </w:r>
      <w:r w:rsidR="00387F2E">
        <w:rPr>
          <w:b w:val="0"/>
        </w:rPr>
        <w:t>.</w:t>
      </w:r>
    </w:p>
    <w:p w:rsidR="00583934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6D1962">
        <w:rPr>
          <w:b w:val="0"/>
        </w:rPr>
        <w:t>6,1</w:t>
      </w:r>
      <w:r w:rsidR="002717B9">
        <w:rPr>
          <w:b w:val="0"/>
        </w:rPr>
        <w:t>% (wobec 3</w:t>
      </w:r>
      <w:r w:rsidR="006D1962">
        <w:rPr>
          <w:b w:val="0"/>
        </w:rPr>
        <w:t>5</w:t>
      </w:r>
      <w:r w:rsidR="002717B9">
        <w:rPr>
          <w:b w:val="0"/>
        </w:rPr>
        <w:t>,</w:t>
      </w:r>
      <w:r w:rsidR="006D1962">
        <w:rPr>
          <w:b w:val="0"/>
        </w:rPr>
        <w:t>3</w:t>
      </w:r>
      <w:r w:rsidRPr="00583934">
        <w:rPr>
          <w:b w:val="0"/>
        </w:rPr>
        <w:t>% przed rokiem), a pły</w:t>
      </w:r>
      <w:r w:rsidR="002717B9">
        <w:rPr>
          <w:b w:val="0"/>
        </w:rPr>
        <w:t>nności finansowej II stopnia 10</w:t>
      </w:r>
      <w:r w:rsidR="00A01A76">
        <w:rPr>
          <w:b w:val="0"/>
        </w:rPr>
        <w:t>0</w:t>
      </w:r>
      <w:r w:rsidR="006D1962">
        <w:rPr>
          <w:b w:val="0"/>
        </w:rPr>
        <w:t>,6</w:t>
      </w:r>
      <w:r w:rsidR="002717B9">
        <w:rPr>
          <w:b w:val="0"/>
        </w:rPr>
        <w:t>% (wobec 10</w:t>
      </w:r>
      <w:r w:rsidR="006D1962">
        <w:rPr>
          <w:b w:val="0"/>
        </w:rPr>
        <w:t>1,0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60736B">
        <w:rPr>
          <w:b w:val="0"/>
        </w:rPr>
        <w:t>topnia powyżej 20% uzyskało 48,1% przedsiębiorstw (wobec 48,4</w:t>
      </w:r>
      <w:r w:rsidRPr="006A4389">
        <w:rPr>
          <w:b w:val="0"/>
        </w:rPr>
        <w:t>% przed rokiem). Wskaźnik płynności II stopnia w przedziale</w:t>
      </w:r>
      <w:r w:rsidR="0060736B">
        <w:rPr>
          <w:b w:val="0"/>
        </w:rPr>
        <w:t xml:space="preserve"> od 100% do 130% odnotowało 12,8</w:t>
      </w:r>
      <w:r w:rsidRPr="006A4389">
        <w:rPr>
          <w:b w:val="0"/>
        </w:rPr>
        <w:t>% badanych przedsiębiorstw (wob</w:t>
      </w:r>
      <w:r w:rsidR="0060736B">
        <w:rPr>
          <w:b w:val="0"/>
        </w:rPr>
        <w:t>ec 11,9</w:t>
      </w:r>
      <w:r w:rsidRPr="006A4389">
        <w:rPr>
          <w:b w:val="0"/>
        </w:rPr>
        <w:t>% przed rokiem).</w:t>
      </w:r>
    </w:p>
    <w:p w:rsidR="000278B4" w:rsidRDefault="000278B4" w:rsidP="00583934">
      <w:pPr>
        <w:pStyle w:val="LID"/>
        <w:rPr>
          <w:b w:val="0"/>
        </w:rPr>
      </w:pPr>
    </w:p>
    <w:p w:rsidR="00387F2E" w:rsidRDefault="00387F2E" w:rsidP="00583934">
      <w:pPr>
        <w:pStyle w:val="LID"/>
        <w:rPr>
          <w:b w:val="0"/>
        </w:rPr>
      </w:pPr>
    </w:p>
    <w:p w:rsidR="00225FB2" w:rsidRPr="005E4242" w:rsidRDefault="00975210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114925" cy="3456940"/>
            <wp:effectExtent l="0" t="0" r="0" b="0"/>
            <wp:wrapTight wrapText="bothSides">
              <wp:wrapPolygon edited="0">
                <wp:start x="0" y="0"/>
                <wp:lineTo x="0" y="21425"/>
                <wp:lineTo x="21560" y="21425"/>
                <wp:lineTo x="21560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B1A">
        <w:rPr>
          <w:sz w:val="18"/>
          <w:szCs w:val="18"/>
        </w:rPr>
        <w:t>Wykres 2. Wskaźnik rentowności obrotu netto</w:t>
      </w:r>
    </w:p>
    <w:p w:rsidR="00675356" w:rsidRDefault="00675356" w:rsidP="00685123">
      <w:pPr>
        <w:pStyle w:val="LID"/>
        <w:contextualSpacing/>
      </w:pPr>
    </w:p>
    <w:p w:rsidR="00917AE0" w:rsidRDefault="00917AE0" w:rsidP="003F01DA">
      <w:pPr>
        <w:pStyle w:val="LID"/>
        <w:contextualSpacing/>
        <w:rPr>
          <w:b w:val="0"/>
        </w:rPr>
      </w:pPr>
      <w:r w:rsidRPr="009E5FA3">
        <w:rPr>
          <w:b w:val="0"/>
        </w:rPr>
        <w:t>W strukturze rodzajowej koszt</w:t>
      </w:r>
      <w:r w:rsidR="00800039">
        <w:rPr>
          <w:b w:val="0"/>
        </w:rPr>
        <w:t>ów ogółem zwiększył się udział</w:t>
      </w:r>
      <w:r w:rsidR="00A26CDF">
        <w:rPr>
          <w:b w:val="0"/>
        </w:rPr>
        <w:t xml:space="preserve"> </w:t>
      </w:r>
      <w:r w:rsidR="00800039">
        <w:rPr>
          <w:b w:val="0"/>
        </w:rPr>
        <w:t>wynagrodzeń</w:t>
      </w:r>
      <w:r w:rsidRPr="009E5FA3">
        <w:rPr>
          <w:b w:val="0"/>
        </w:rPr>
        <w:t xml:space="preserve"> </w:t>
      </w:r>
      <w:r w:rsidR="00A26CDF">
        <w:rPr>
          <w:b w:val="0"/>
        </w:rPr>
        <w:t>(o 0,4</w:t>
      </w:r>
      <w:r w:rsidRPr="009E5FA3">
        <w:rPr>
          <w:b w:val="0"/>
        </w:rPr>
        <w:t xml:space="preserve"> p.proc.)</w:t>
      </w:r>
      <w:r w:rsidR="00E7769B">
        <w:rPr>
          <w:b w:val="0"/>
        </w:rPr>
        <w:t xml:space="preserve"> oraz zużycia materiałów (o 0,2 </w:t>
      </w:r>
      <w:r w:rsidR="00E7769B" w:rsidRPr="009E5FA3">
        <w:rPr>
          <w:b w:val="0"/>
        </w:rPr>
        <w:t>p.proc.)</w:t>
      </w:r>
      <w:r w:rsidRPr="009E5FA3">
        <w:rPr>
          <w:b w:val="0"/>
        </w:rPr>
        <w:t>. Zmniejszył się udział</w:t>
      </w:r>
      <w:r w:rsidR="009253ED">
        <w:rPr>
          <w:b w:val="0"/>
        </w:rPr>
        <w:t xml:space="preserve"> usług obcych</w:t>
      </w:r>
      <w:r w:rsidR="004F0DEC" w:rsidRPr="009E5FA3">
        <w:rPr>
          <w:b w:val="0"/>
        </w:rPr>
        <w:t xml:space="preserve"> </w:t>
      </w:r>
      <w:r w:rsidR="009253ED">
        <w:rPr>
          <w:b w:val="0"/>
        </w:rPr>
        <w:t xml:space="preserve">i </w:t>
      </w:r>
      <w:r w:rsidR="004F0DEC" w:rsidRPr="009E5FA3">
        <w:rPr>
          <w:b w:val="0"/>
        </w:rPr>
        <w:t>amortyzacji (</w:t>
      </w:r>
      <w:r w:rsidR="009253ED">
        <w:rPr>
          <w:b w:val="0"/>
        </w:rPr>
        <w:t>p</w:t>
      </w:r>
      <w:r w:rsidR="00E271DA">
        <w:rPr>
          <w:b w:val="0"/>
        </w:rPr>
        <w:t xml:space="preserve">o </w:t>
      </w:r>
      <w:r w:rsidR="00E65CCC">
        <w:rPr>
          <w:b w:val="0"/>
        </w:rPr>
        <w:t xml:space="preserve">0,2 p.proc.), podatków i opłat </w:t>
      </w:r>
      <w:r w:rsidR="00E7769B">
        <w:rPr>
          <w:b w:val="0"/>
        </w:rPr>
        <w:t xml:space="preserve">oraz pozostałych kosztów rodzajowych </w:t>
      </w:r>
      <w:r w:rsidR="00E271DA">
        <w:rPr>
          <w:b w:val="0"/>
        </w:rPr>
        <w:t>(po</w:t>
      </w:r>
      <w:r w:rsidR="00E65CCC">
        <w:rPr>
          <w:b w:val="0"/>
        </w:rPr>
        <w:t xml:space="preserve"> 0,1 p.proc.). </w:t>
      </w:r>
      <w:r w:rsidRPr="009E5FA3">
        <w:rPr>
          <w:b w:val="0"/>
        </w:rPr>
        <w:t xml:space="preserve">Udział </w:t>
      </w:r>
      <w:r w:rsidR="0094034A">
        <w:rPr>
          <w:b w:val="0"/>
        </w:rPr>
        <w:t>zużycia energ</w:t>
      </w:r>
      <w:r w:rsidR="00426175">
        <w:rPr>
          <w:b w:val="0"/>
        </w:rPr>
        <w:t>i</w:t>
      </w:r>
      <w:r w:rsidR="0094034A">
        <w:rPr>
          <w:b w:val="0"/>
        </w:rPr>
        <w:t xml:space="preserve">i oraz </w:t>
      </w:r>
      <w:r w:rsidR="00E7769B">
        <w:rPr>
          <w:b w:val="0"/>
        </w:rPr>
        <w:t xml:space="preserve">ubezpieczeń społecznych i innych świadczeń </w:t>
      </w:r>
      <w:r w:rsidRPr="009E5FA3">
        <w:rPr>
          <w:b w:val="0"/>
        </w:rPr>
        <w:t>pozostał na niezmienionym poziomie.</w:t>
      </w:r>
    </w:p>
    <w:p w:rsidR="00E13B89" w:rsidRPr="00917AE0" w:rsidRDefault="00E13B89" w:rsidP="003F01DA">
      <w:pPr>
        <w:pStyle w:val="LID"/>
        <w:contextualSpacing/>
        <w:rPr>
          <w:b w:val="0"/>
        </w:rPr>
      </w:pP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7C434F">
        <w:rPr>
          <w:sz w:val="18"/>
          <w:szCs w:val="18"/>
        </w:rPr>
        <w:t xml:space="preserve"> I półroczu</w:t>
      </w:r>
      <w:r w:rsidR="0018741F">
        <w:rPr>
          <w:sz w:val="18"/>
          <w:szCs w:val="18"/>
        </w:rPr>
        <w:t xml:space="preserve"> 2018</w:t>
      </w:r>
      <w:r>
        <w:rPr>
          <w:sz w:val="18"/>
          <w:szCs w:val="18"/>
        </w:rPr>
        <w:t xml:space="preserve"> roku</w:t>
      </w:r>
    </w:p>
    <w:p w:rsidR="00675356" w:rsidRDefault="007201FC" w:rsidP="00685123">
      <w:pPr>
        <w:pStyle w:val="LID"/>
        <w:contextualSpacing/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121275" cy="3304540"/>
            <wp:effectExtent l="0" t="0" r="0" b="0"/>
            <wp:wrapTight wrapText="bothSides">
              <wp:wrapPolygon edited="0">
                <wp:start x="0" y="0"/>
                <wp:lineTo x="0" y="21417"/>
                <wp:lineTo x="21533" y="21417"/>
                <wp:lineTo x="2153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EC42DC" w:rsidRPr="00EC42DC" w:rsidRDefault="00F14CB3" w:rsidP="00EC42DC">
      <w:pPr>
        <w:pStyle w:val="LID"/>
        <w:rPr>
          <w:b w:val="0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699260" cy="8077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10,3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1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półrocza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2017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B96718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9.4pt;margin-top:91pt;width:133.8pt;height:63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wfDwIAAP4D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10,3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1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półrocza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2017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B96718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AD2F46">
        <w:rPr>
          <w:b w:val="0"/>
        </w:rPr>
        <w:t>iębiorstw objętych badaniem 49,9</w:t>
      </w:r>
      <w:r w:rsidR="00EC42DC" w:rsidRPr="00E2185D">
        <w:rPr>
          <w:b w:val="0"/>
        </w:rPr>
        <w:t xml:space="preserve">% wykazało w </w:t>
      </w:r>
      <w:r w:rsidR="00AD2F46">
        <w:rPr>
          <w:b w:val="0"/>
        </w:rPr>
        <w:t>I półroczu</w:t>
      </w:r>
      <w:r w:rsidR="00E2185D">
        <w:rPr>
          <w:b w:val="0"/>
        </w:rPr>
        <w:t xml:space="preserve"> 2018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D67C59">
        <w:rPr>
          <w:b w:val="0"/>
        </w:rPr>
        <w:t>5</w:t>
      </w:r>
      <w:r w:rsidR="00AD2F46">
        <w:rPr>
          <w:b w:val="0"/>
        </w:rPr>
        <w:t>1,0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D67C59">
        <w:rPr>
          <w:b w:val="0"/>
        </w:rPr>
        <w:t xml:space="preserve"> był o 4,6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D67C59">
        <w:rPr>
          <w:b w:val="0"/>
        </w:rPr>
        <w:t xml:space="preserve"> podmiotów zmniejszył się z 25,8</w:t>
      </w:r>
      <w:r w:rsidR="00AD2F46">
        <w:rPr>
          <w:b w:val="0"/>
        </w:rPr>
        <w:t>% do 25,2</w:t>
      </w:r>
      <w:r w:rsidR="00EC42DC" w:rsidRPr="00E2185D">
        <w:rPr>
          <w:b w:val="0"/>
        </w:rPr>
        <w:t>%. Spośród jednostek ekspor</w:t>
      </w:r>
      <w:r w:rsidR="00824F31" w:rsidRPr="00E2185D">
        <w:rPr>
          <w:b w:val="0"/>
        </w:rPr>
        <w:t>tując</w:t>
      </w:r>
      <w:r w:rsidR="004C7A45">
        <w:rPr>
          <w:b w:val="0"/>
        </w:rPr>
        <w:t>ych, zysk netto wykazało 78,0% przedsiębiorstw wobec 77,4</w:t>
      </w:r>
      <w:r w:rsidR="00EC42DC" w:rsidRPr="00E2185D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1F3A2A" w:rsidRPr="0018119F" w:rsidRDefault="001F3A2A" w:rsidP="00402700">
      <w:pPr>
        <w:pStyle w:val="Tekstpodstawowywcity"/>
        <w:shd w:val="clear" w:color="auto" w:fill="FFFFFF"/>
        <w:spacing w:line="240" w:lineRule="exact"/>
        <w:ind w:firstLine="0"/>
        <w:jc w:val="left"/>
        <w:rPr>
          <w:rFonts w:ascii="Fira Sans" w:hAnsi="Fira Sans"/>
          <w:color w:val="auto"/>
          <w:sz w:val="19"/>
          <w:szCs w:val="19"/>
        </w:rPr>
      </w:pPr>
      <w:r w:rsidRPr="0018119F">
        <w:rPr>
          <w:rFonts w:ascii="Fira Sans" w:hAnsi="Fira Sans"/>
          <w:color w:val="auto"/>
          <w:sz w:val="19"/>
          <w:szCs w:val="19"/>
        </w:rPr>
        <w:t xml:space="preserve">W I półroczu br. </w:t>
      </w:r>
      <w:r w:rsidRPr="0018119F">
        <w:rPr>
          <w:rFonts w:ascii="Fira Sans" w:hAnsi="Fira Sans"/>
          <w:b/>
          <w:color w:val="auto"/>
          <w:sz w:val="19"/>
          <w:szCs w:val="19"/>
        </w:rPr>
        <w:t>nakłady ogółem</w:t>
      </w:r>
      <w:r w:rsidRPr="0018119F">
        <w:rPr>
          <w:rFonts w:ascii="Fira Sans" w:hAnsi="Fira Sans"/>
          <w:color w:val="auto"/>
          <w:sz w:val="19"/>
          <w:szCs w:val="19"/>
        </w:rPr>
        <w:t xml:space="preserve"> badanych przedsiębiorstw wyniosły 54,4 mld zł i były (w cenach stałych) o 10,3% wyższe niż przed rokiem (kiedy notowano spadek o 1,1%), w pierwszym kwartale br. wzrost wyniósł 6,6%. </w:t>
      </w:r>
      <w:r w:rsidRPr="0018119F">
        <w:rPr>
          <w:rFonts w:ascii="Fira Sans" w:hAnsi="Fira Sans"/>
          <w:sz w:val="19"/>
          <w:szCs w:val="19"/>
        </w:rPr>
        <w:t>Wyższe niż przed rokiem były zarówno nakłady</w:t>
      </w:r>
      <w:r w:rsidRPr="0018119F">
        <w:rPr>
          <w:rFonts w:ascii="Fira Sans" w:hAnsi="Fira Sans"/>
          <w:color w:val="auto"/>
          <w:sz w:val="19"/>
          <w:szCs w:val="19"/>
        </w:rPr>
        <w:t xml:space="preserve"> na budynki i budowle (wzrost o 15,2%)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18119F">
        <w:rPr>
          <w:rFonts w:ascii="Fira Sans" w:hAnsi="Fira Sans"/>
          <w:color w:val="auto"/>
          <w:sz w:val="19"/>
          <w:szCs w:val="19"/>
        </w:rPr>
        <w:t xml:space="preserve">jak i na </w:t>
      </w:r>
      <w:r w:rsidRPr="0018119F">
        <w:rPr>
          <w:rFonts w:ascii="Fira Sans" w:hAnsi="Fira Sans"/>
          <w:sz w:val="19"/>
          <w:szCs w:val="19"/>
        </w:rPr>
        <w:t>maszyny, urządzenia techniczne i narzędzia (wzrost o 10,6%) oraz na środki transportu (wzrost o 0</w:t>
      </w:r>
      <w:r w:rsidRPr="0018119F">
        <w:rPr>
          <w:rFonts w:ascii="Fira Sans" w:hAnsi="Fira Sans"/>
          <w:color w:val="auto"/>
          <w:sz w:val="19"/>
          <w:szCs w:val="19"/>
        </w:rPr>
        <w:t xml:space="preserve">,9%). Udział zakupów w nakładach ogółem zmniejszył się do 65,2% z 67,3% przed rokiem. </w:t>
      </w:r>
    </w:p>
    <w:p w:rsidR="00222776" w:rsidRDefault="001F3A2A" w:rsidP="001F3A2A">
      <w:pPr>
        <w:pStyle w:val="LID"/>
        <w:contextualSpacing/>
        <w:rPr>
          <w:b w:val="0"/>
        </w:rPr>
      </w:pPr>
      <w:r w:rsidRPr="001F3A2A">
        <w:rPr>
          <w:b w:val="0"/>
        </w:rPr>
        <w:t xml:space="preserve">Wzrost nakładów (w cenach bieżących) notowano m.in. w transporcie i gospodarce magazynowej (o 58,9% wobec wzrostu </w:t>
      </w:r>
      <w:r w:rsidR="00D67C59">
        <w:rPr>
          <w:b w:val="0"/>
        </w:rPr>
        <w:t xml:space="preserve">przed rokiem </w:t>
      </w:r>
      <w:r w:rsidRPr="001F3A2A">
        <w:rPr>
          <w:b w:val="0"/>
        </w:rPr>
        <w:t>o 3,6%), w dostawie wody; gospodarowaniu ściekami i odpadami; rekultywacji (o 33,7 % wobec spadku o 3,4%), w górnictwie i wydobywaniu (o 31,2% wobec spadku o 24,9% przed rokiem), w handlu; naprawie pojazdów samochodowych (o 27,8% wobec wzrostu o 9,7%), informacji i komunikacji (o 17,4% wobec wzrostu o 11,0% przed rokiem), w obsłudze rynku nieruchomości (o 15,6% wobec wzrostu o 10,7%), w przetwórstwie przemysłowym (o 5,5% wobec wzrostu o 5,8%). Natomiast spadek nakładów wystąpił m.in., wytwarzaniu i zaopatrywaniu w energię elektryczną, gaz, parę wodną i gorącą wodę (o 12,9% wobec spadku o 17,6%), administrowaniu i działalności wspierającej (o 1,7% wobec wzrostu przed rokiem o 1,9%).</w:t>
      </w:r>
    </w:p>
    <w:p w:rsidR="003D21DA" w:rsidRPr="001F3A2A" w:rsidRDefault="003D21DA" w:rsidP="001F3A2A">
      <w:pPr>
        <w:pStyle w:val="LID"/>
        <w:contextualSpacing/>
        <w:rPr>
          <w:b w:val="0"/>
        </w:rPr>
      </w:pPr>
    </w:p>
    <w:p w:rsidR="002B3CF8" w:rsidRDefault="009B5154" w:rsidP="002B3CF8">
      <w:pPr>
        <w:pStyle w:val="LID"/>
        <w:contextualSpacing/>
        <w:rPr>
          <w:sz w:val="18"/>
          <w:szCs w:val="18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444500</wp:posOffset>
            </wp:positionV>
            <wp:extent cx="5114925" cy="3316605"/>
            <wp:effectExtent l="0" t="0" r="0" b="0"/>
            <wp:wrapTight wrapText="bothSides">
              <wp:wrapPolygon edited="0">
                <wp:start x="0" y="0"/>
                <wp:lineTo x="0" y="21464"/>
                <wp:lineTo x="21560" y="21464"/>
                <wp:lineTo x="2156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3CF8"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 w:rsidR="002B3CF8"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DE44E5">
        <w:rPr>
          <w:b w:val="0"/>
        </w:rPr>
        <w:t xml:space="preserve"> 17 </w:t>
      </w:r>
      <w:r w:rsidR="00986DEC">
        <w:rPr>
          <w:b w:val="0"/>
        </w:rPr>
        <w:t>2</w:t>
      </w:r>
      <w:r w:rsidR="00DE44E5">
        <w:rPr>
          <w:b w:val="0"/>
        </w:rPr>
        <w:t>95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9309FA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="001C7304" w:rsidRPr="0040469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2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14CB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9C1786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9C1786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9C1786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9C1786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9C1786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9C1786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9C1786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9C1786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9C1786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9C178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9C1786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MooIIU+AgAAcwQAAA4A&#10;AAAAAAAAAAAAAAAALgIAAGRycy9lMm9Eb2MueG1sUEsBAi0AFAAGAAgAAAAhAFWakzTfAAAACQEA&#10;AA8AAAAAAAAAAAAAAAAAmAQAAGRycy9kb3ducmV2LnhtbFBLBQYAAAAABAAEAPMAAACkBQAAAAA=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9C1786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9C1786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9C1786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9C1786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9C1786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9C1786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9C1786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9C1786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9C1786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9C178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9C1786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0"/>
      <w:footerReference w:type="default" r:id="rId6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786" w:rsidRDefault="009C1786" w:rsidP="000662E2">
      <w:pPr>
        <w:spacing w:after="0" w:line="240" w:lineRule="auto"/>
      </w:pPr>
      <w:r>
        <w:separator/>
      </w:r>
    </w:p>
  </w:endnote>
  <w:endnote w:type="continuationSeparator" w:id="0">
    <w:p w:rsidR="009C1786" w:rsidRDefault="009C17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14C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C17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14CB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786" w:rsidRDefault="009C1786" w:rsidP="000662E2">
      <w:pPr>
        <w:spacing w:after="0" w:line="240" w:lineRule="auto"/>
      </w:pPr>
      <w:r>
        <w:separator/>
      </w:r>
    </w:p>
  </w:footnote>
  <w:footnote w:type="continuationSeparator" w:id="0">
    <w:p w:rsidR="009C1786" w:rsidRDefault="009C17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F14CB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CA4B5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F14C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E0F34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695E78" w:rsidRPr="00B70D87">
      <w:rPr>
        <w:noProof/>
        <w:lang w:eastAsia="pl-PL"/>
      </w:rPr>
      <w:drawing>
        <wp:inline distT="0" distB="0" distL="0" distR="0" wp14:anchorId="47F6BD34" wp14:editId="5FC54D94">
          <wp:extent cx="2286000" cy="742950"/>
          <wp:effectExtent l="0" t="0" r="0" b="0"/>
          <wp:docPr id="1" name="Obraz 1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F14C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D9653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22.08</w:t>
                          </w:r>
                          <w:r w:rsidR="00ED25B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D9653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22.08</w:t>
                    </w:r>
                    <w:r w:rsidR="00ED25B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8pt;height:125.3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5pt;height:125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CEF"/>
    <w:rsid w:val="0000709F"/>
    <w:rsid w:val="000108B8"/>
    <w:rsid w:val="00013ABE"/>
    <w:rsid w:val="000146F1"/>
    <w:rsid w:val="000152F5"/>
    <w:rsid w:val="00023A86"/>
    <w:rsid w:val="000278B4"/>
    <w:rsid w:val="000310E4"/>
    <w:rsid w:val="0003316A"/>
    <w:rsid w:val="0004582E"/>
    <w:rsid w:val="000470AA"/>
    <w:rsid w:val="00057CA1"/>
    <w:rsid w:val="00065AE3"/>
    <w:rsid w:val="000662E2"/>
    <w:rsid w:val="00066883"/>
    <w:rsid w:val="0007092A"/>
    <w:rsid w:val="0007322E"/>
    <w:rsid w:val="000741C2"/>
    <w:rsid w:val="00074DD8"/>
    <w:rsid w:val="000802BD"/>
    <w:rsid w:val="000806F7"/>
    <w:rsid w:val="000821D5"/>
    <w:rsid w:val="000930E0"/>
    <w:rsid w:val="00097840"/>
    <w:rsid w:val="000A5CB8"/>
    <w:rsid w:val="000B0727"/>
    <w:rsid w:val="000C135D"/>
    <w:rsid w:val="000C68DA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F3664"/>
    <w:rsid w:val="000F3A38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30296"/>
    <w:rsid w:val="001346B5"/>
    <w:rsid w:val="00136D6A"/>
    <w:rsid w:val="001423B6"/>
    <w:rsid w:val="001448A7"/>
    <w:rsid w:val="001448E9"/>
    <w:rsid w:val="00146621"/>
    <w:rsid w:val="00162325"/>
    <w:rsid w:val="00167B95"/>
    <w:rsid w:val="00173F3C"/>
    <w:rsid w:val="001807FB"/>
    <w:rsid w:val="00181965"/>
    <w:rsid w:val="0018741F"/>
    <w:rsid w:val="001951DA"/>
    <w:rsid w:val="001B3B8F"/>
    <w:rsid w:val="001B3D79"/>
    <w:rsid w:val="001C0B72"/>
    <w:rsid w:val="001C1398"/>
    <w:rsid w:val="001C3269"/>
    <w:rsid w:val="001C7304"/>
    <w:rsid w:val="001D1DB4"/>
    <w:rsid w:val="001D5A8A"/>
    <w:rsid w:val="001E0287"/>
    <w:rsid w:val="001E55E4"/>
    <w:rsid w:val="001F3A2A"/>
    <w:rsid w:val="00200453"/>
    <w:rsid w:val="002025D7"/>
    <w:rsid w:val="00220EDD"/>
    <w:rsid w:val="00222776"/>
    <w:rsid w:val="00222D8E"/>
    <w:rsid w:val="00225FB2"/>
    <w:rsid w:val="0024084C"/>
    <w:rsid w:val="002574F9"/>
    <w:rsid w:val="00261CD0"/>
    <w:rsid w:val="00262426"/>
    <w:rsid w:val="00262B61"/>
    <w:rsid w:val="0026500E"/>
    <w:rsid w:val="00266BFB"/>
    <w:rsid w:val="002717B9"/>
    <w:rsid w:val="00271D9F"/>
    <w:rsid w:val="00276811"/>
    <w:rsid w:val="00282699"/>
    <w:rsid w:val="00282ADF"/>
    <w:rsid w:val="002926DF"/>
    <w:rsid w:val="00295BCF"/>
    <w:rsid w:val="00296697"/>
    <w:rsid w:val="002A22E9"/>
    <w:rsid w:val="002A2B09"/>
    <w:rsid w:val="002A2D0D"/>
    <w:rsid w:val="002A30E2"/>
    <w:rsid w:val="002B0472"/>
    <w:rsid w:val="002B3CF8"/>
    <w:rsid w:val="002B6B12"/>
    <w:rsid w:val="002B6CDC"/>
    <w:rsid w:val="002C350F"/>
    <w:rsid w:val="002E1777"/>
    <w:rsid w:val="002E2C2D"/>
    <w:rsid w:val="002E3799"/>
    <w:rsid w:val="002E4199"/>
    <w:rsid w:val="002E6140"/>
    <w:rsid w:val="002E6985"/>
    <w:rsid w:val="002E71B6"/>
    <w:rsid w:val="002F0B65"/>
    <w:rsid w:val="002F716B"/>
    <w:rsid w:val="002F77C8"/>
    <w:rsid w:val="00302049"/>
    <w:rsid w:val="00304F22"/>
    <w:rsid w:val="00306C7C"/>
    <w:rsid w:val="00310D38"/>
    <w:rsid w:val="0031200B"/>
    <w:rsid w:val="00320012"/>
    <w:rsid w:val="00322EDD"/>
    <w:rsid w:val="00332320"/>
    <w:rsid w:val="00340588"/>
    <w:rsid w:val="003414CD"/>
    <w:rsid w:val="00347D72"/>
    <w:rsid w:val="00351836"/>
    <w:rsid w:val="003529CC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83825"/>
    <w:rsid w:val="00383CD2"/>
    <w:rsid w:val="003843DB"/>
    <w:rsid w:val="003850D4"/>
    <w:rsid w:val="00387F2E"/>
    <w:rsid w:val="00393761"/>
    <w:rsid w:val="00397D18"/>
    <w:rsid w:val="003A1B36"/>
    <w:rsid w:val="003A3BF1"/>
    <w:rsid w:val="003B1454"/>
    <w:rsid w:val="003B18B6"/>
    <w:rsid w:val="003B5837"/>
    <w:rsid w:val="003C2B76"/>
    <w:rsid w:val="003C4454"/>
    <w:rsid w:val="003C59E0"/>
    <w:rsid w:val="003C62FC"/>
    <w:rsid w:val="003C6C8D"/>
    <w:rsid w:val="003D00F9"/>
    <w:rsid w:val="003D21DA"/>
    <w:rsid w:val="003D4F95"/>
    <w:rsid w:val="003D5F42"/>
    <w:rsid w:val="003D60A9"/>
    <w:rsid w:val="003E1091"/>
    <w:rsid w:val="003E14CE"/>
    <w:rsid w:val="003E28E7"/>
    <w:rsid w:val="003F01DA"/>
    <w:rsid w:val="003F42D2"/>
    <w:rsid w:val="003F4C97"/>
    <w:rsid w:val="003F6D22"/>
    <w:rsid w:val="003F7FE6"/>
    <w:rsid w:val="00400193"/>
    <w:rsid w:val="00400DE9"/>
    <w:rsid w:val="00401628"/>
    <w:rsid w:val="004019A9"/>
    <w:rsid w:val="00402700"/>
    <w:rsid w:val="00407DAB"/>
    <w:rsid w:val="004212E7"/>
    <w:rsid w:val="00421E79"/>
    <w:rsid w:val="0042446D"/>
    <w:rsid w:val="00426175"/>
    <w:rsid w:val="00427BF8"/>
    <w:rsid w:val="00431C02"/>
    <w:rsid w:val="00437395"/>
    <w:rsid w:val="00445047"/>
    <w:rsid w:val="004550AD"/>
    <w:rsid w:val="00463E39"/>
    <w:rsid w:val="004657FC"/>
    <w:rsid w:val="00467126"/>
    <w:rsid w:val="00472C7A"/>
    <w:rsid w:val="004733F6"/>
    <w:rsid w:val="00474E69"/>
    <w:rsid w:val="00477B36"/>
    <w:rsid w:val="00482BEF"/>
    <w:rsid w:val="00486A49"/>
    <w:rsid w:val="0049621B"/>
    <w:rsid w:val="004A134B"/>
    <w:rsid w:val="004A61E0"/>
    <w:rsid w:val="004B2DC4"/>
    <w:rsid w:val="004C1895"/>
    <w:rsid w:val="004C62D7"/>
    <w:rsid w:val="004C6C14"/>
    <w:rsid w:val="004C6D40"/>
    <w:rsid w:val="004C7A45"/>
    <w:rsid w:val="004D2801"/>
    <w:rsid w:val="004D59EF"/>
    <w:rsid w:val="004F0C3C"/>
    <w:rsid w:val="004F0DEC"/>
    <w:rsid w:val="004F1447"/>
    <w:rsid w:val="004F1848"/>
    <w:rsid w:val="004F2739"/>
    <w:rsid w:val="004F63FC"/>
    <w:rsid w:val="004F6ABA"/>
    <w:rsid w:val="004F7993"/>
    <w:rsid w:val="00505A92"/>
    <w:rsid w:val="00512E3D"/>
    <w:rsid w:val="0051623E"/>
    <w:rsid w:val="005203F1"/>
    <w:rsid w:val="00521BC3"/>
    <w:rsid w:val="00523DBD"/>
    <w:rsid w:val="00526B1A"/>
    <w:rsid w:val="00533632"/>
    <w:rsid w:val="0053546F"/>
    <w:rsid w:val="00536EB9"/>
    <w:rsid w:val="00541E6E"/>
    <w:rsid w:val="0054251F"/>
    <w:rsid w:val="00545CA4"/>
    <w:rsid w:val="0054726F"/>
    <w:rsid w:val="005520D8"/>
    <w:rsid w:val="00555B80"/>
    <w:rsid w:val="00556CF1"/>
    <w:rsid w:val="00557272"/>
    <w:rsid w:val="00564AA3"/>
    <w:rsid w:val="00564CC9"/>
    <w:rsid w:val="00571A75"/>
    <w:rsid w:val="005762A7"/>
    <w:rsid w:val="005768EA"/>
    <w:rsid w:val="00580D33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98C"/>
    <w:rsid w:val="005B66B3"/>
    <w:rsid w:val="005B70BD"/>
    <w:rsid w:val="005C6676"/>
    <w:rsid w:val="005D4131"/>
    <w:rsid w:val="005D5ED9"/>
    <w:rsid w:val="005E0799"/>
    <w:rsid w:val="005E41E4"/>
    <w:rsid w:val="005E4242"/>
    <w:rsid w:val="005E4C55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2217D"/>
    <w:rsid w:val="00624EE8"/>
    <w:rsid w:val="00633014"/>
    <w:rsid w:val="0063437B"/>
    <w:rsid w:val="006361E6"/>
    <w:rsid w:val="006505C7"/>
    <w:rsid w:val="006507BF"/>
    <w:rsid w:val="00657E7C"/>
    <w:rsid w:val="00662FDA"/>
    <w:rsid w:val="006673CA"/>
    <w:rsid w:val="00670263"/>
    <w:rsid w:val="00671D35"/>
    <w:rsid w:val="00673C26"/>
    <w:rsid w:val="00675356"/>
    <w:rsid w:val="006812AF"/>
    <w:rsid w:val="0068327D"/>
    <w:rsid w:val="00685123"/>
    <w:rsid w:val="00693CA2"/>
    <w:rsid w:val="00694AF0"/>
    <w:rsid w:val="00694CF9"/>
    <w:rsid w:val="00695BD3"/>
    <w:rsid w:val="00695E78"/>
    <w:rsid w:val="006A02B6"/>
    <w:rsid w:val="006A097D"/>
    <w:rsid w:val="006A4389"/>
    <w:rsid w:val="006A4686"/>
    <w:rsid w:val="006A66C6"/>
    <w:rsid w:val="006B0E9E"/>
    <w:rsid w:val="006B1315"/>
    <w:rsid w:val="006B5AE4"/>
    <w:rsid w:val="006B74C7"/>
    <w:rsid w:val="006C1817"/>
    <w:rsid w:val="006C7819"/>
    <w:rsid w:val="006C7D04"/>
    <w:rsid w:val="006D06EC"/>
    <w:rsid w:val="006D1507"/>
    <w:rsid w:val="006D1962"/>
    <w:rsid w:val="006D33FB"/>
    <w:rsid w:val="006D3644"/>
    <w:rsid w:val="006D4054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201FC"/>
    <w:rsid w:val="007211B1"/>
    <w:rsid w:val="00731F4B"/>
    <w:rsid w:val="007413CF"/>
    <w:rsid w:val="00746187"/>
    <w:rsid w:val="00747D1A"/>
    <w:rsid w:val="00756001"/>
    <w:rsid w:val="00757BE2"/>
    <w:rsid w:val="0076254F"/>
    <w:rsid w:val="007632CA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DC1"/>
    <w:rsid w:val="007A67A8"/>
    <w:rsid w:val="007C434F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7B63"/>
    <w:rsid w:val="0081208E"/>
    <w:rsid w:val="0081504C"/>
    <w:rsid w:val="00824F31"/>
    <w:rsid w:val="00825DC2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710E7"/>
    <w:rsid w:val="00873F5B"/>
    <w:rsid w:val="00876070"/>
    <w:rsid w:val="0088258A"/>
    <w:rsid w:val="00883763"/>
    <w:rsid w:val="00886332"/>
    <w:rsid w:val="008A26D9"/>
    <w:rsid w:val="008A3CB6"/>
    <w:rsid w:val="008A66C1"/>
    <w:rsid w:val="008B3BD2"/>
    <w:rsid w:val="008C0C29"/>
    <w:rsid w:val="008C2412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7AE0"/>
    <w:rsid w:val="009227A6"/>
    <w:rsid w:val="00924048"/>
    <w:rsid w:val="009253ED"/>
    <w:rsid w:val="00930904"/>
    <w:rsid w:val="009309FA"/>
    <w:rsid w:val="00933EC1"/>
    <w:rsid w:val="0094034A"/>
    <w:rsid w:val="00940A48"/>
    <w:rsid w:val="009427F1"/>
    <w:rsid w:val="009530DB"/>
    <w:rsid w:val="00953676"/>
    <w:rsid w:val="00957F9B"/>
    <w:rsid w:val="00960878"/>
    <w:rsid w:val="00961D86"/>
    <w:rsid w:val="00961F5D"/>
    <w:rsid w:val="00963029"/>
    <w:rsid w:val="00963A67"/>
    <w:rsid w:val="009659C6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A6EA0"/>
    <w:rsid w:val="009B5154"/>
    <w:rsid w:val="009B6C15"/>
    <w:rsid w:val="009C1335"/>
    <w:rsid w:val="009C1786"/>
    <w:rsid w:val="009C1AB2"/>
    <w:rsid w:val="009C25D2"/>
    <w:rsid w:val="009C7251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9F5"/>
    <w:rsid w:val="00A162B5"/>
    <w:rsid w:val="00A17DFA"/>
    <w:rsid w:val="00A220D1"/>
    <w:rsid w:val="00A26CDF"/>
    <w:rsid w:val="00A26D9C"/>
    <w:rsid w:val="00A3336F"/>
    <w:rsid w:val="00A34C24"/>
    <w:rsid w:val="00A365F4"/>
    <w:rsid w:val="00A410EF"/>
    <w:rsid w:val="00A41E44"/>
    <w:rsid w:val="00A47D80"/>
    <w:rsid w:val="00A501AC"/>
    <w:rsid w:val="00A53132"/>
    <w:rsid w:val="00A563F2"/>
    <w:rsid w:val="00A566E8"/>
    <w:rsid w:val="00A5777E"/>
    <w:rsid w:val="00A740D9"/>
    <w:rsid w:val="00A741DF"/>
    <w:rsid w:val="00A75D8A"/>
    <w:rsid w:val="00A810F9"/>
    <w:rsid w:val="00A82952"/>
    <w:rsid w:val="00A860EB"/>
    <w:rsid w:val="00A86ECC"/>
    <w:rsid w:val="00A86FCC"/>
    <w:rsid w:val="00A9265A"/>
    <w:rsid w:val="00A9313D"/>
    <w:rsid w:val="00A963DF"/>
    <w:rsid w:val="00A97F97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E2D4B"/>
    <w:rsid w:val="00AE4F99"/>
    <w:rsid w:val="00AF6ECF"/>
    <w:rsid w:val="00B10068"/>
    <w:rsid w:val="00B11B69"/>
    <w:rsid w:val="00B14952"/>
    <w:rsid w:val="00B14E82"/>
    <w:rsid w:val="00B15988"/>
    <w:rsid w:val="00B21571"/>
    <w:rsid w:val="00B219C8"/>
    <w:rsid w:val="00B27A13"/>
    <w:rsid w:val="00B3022C"/>
    <w:rsid w:val="00B31E5A"/>
    <w:rsid w:val="00B33130"/>
    <w:rsid w:val="00B3665D"/>
    <w:rsid w:val="00B5074C"/>
    <w:rsid w:val="00B510C9"/>
    <w:rsid w:val="00B56065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56EE"/>
    <w:rsid w:val="00B96718"/>
    <w:rsid w:val="00B97FE7"/>
    <w:rsid w:val="00BA226E"/>
    <w:rsid w:val="00BA2BA1"/>
    <w:rsid w:val="00BA3562"/>
    <w:rsid w:val="00BA73B1"/>
    <w:rsid w:val="00BB4F09"/>
    <w:rsid w:val="00BC6F65"/>
    <w:rsid w:val="00BD4840"/>
    <w:rsid w:val="00BD4E33"/>
    <w:rsid w:val="00BD502F"/>
    <w:rsid w:val="00BE47D0"/>
    <w:rsid w:val="00BF063A"/>
    <w:rsid w:val="00BF25ED"/>
    <w:rsid w:val="00BF61C3"/>
    <w:rsid w:val="00C00E70"/>
    <w:rsid w:val="00C010D4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377F8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5084"/>
    <w:rsid w:val="00C76D68"/>
    <w:rsid w:val="00C77C0E"/>
    <w:rsid w:val="00C91687"/>
    <w:rsid w:val="00C924A8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6A45"/>
    <w:rsid w:val="00CB72CE"/>
    <w:rsid w:val="00CC0A14"/>
    <w:rsid w:val="00CC50A9"/>
    <w:rsid w:val="00CC739E"/>
    <w:rsid w:val="00CD0BA0"/>
    <w:rsid w:val="00CD58B7"/>
    <w:rsid w:val="00CD5B1F"/>
    <w:rsid w:val="00CE3B58"/>
    <w:rsid w:val="00CF4099"/>
    <w:rsid w:val="00CF6933"/>
    <w:rsid w:val="00CF7929"/>
    <w:rsid w:val="00D00796"/>
    <w:rsid w:val="00D133DB"/>
    <w:rsid w:val="00D144EA"/>
    <w:rsid w:val="00D17940"/>
    <w:rsid w:val="00D20DC8"/>
    <w:rsid w:val="00D24198"/>
    <w:rsid w:val="00D25E39"/>
    <w:rsid w:val="00D261A2"/>
    <w:rsid w:val="00D348CA"/>
    <w:rsid w:val="00D560F7"/>
    <w:rsid w:val="00D56B4C"/>
    <w:rsid w:val="00D616D2"/>
    <w:rsid w:val="00D63B5F"/>
    <w:rsid w:val="00D67C59"/>
    <w:rsid w:val="00D70EF7"/>
    <w:rsid w:val="00D7454D"/>
    <w:rsid w:val="00D77818"/>
    <w:rsid w:val="00D8397C"/>
    <w:rsid w:val="00D94EED"/>
    <w:rsid w:val="00D96026"/>
    <w:rsid w:val="00D96537"/>
    <w:rsid w:val="00D9777E"/>
    <w:rsid w:val="00DA4FC6"/>
    <w:rsid w:val="00DA7C1C"/>
    <w:rsid w:val="00DB147A"/>
    <w:rsid w:val="00DB1B7A"/>
    <w:rsid w:val="00DB6597"/>
    <w:rsid w:val="00DC6708"/>
    <w:rsid w:val="00DD04DA"/>
    <w:rsid w:val="00DD07B8"/>
    <w:rsid w:val="00DE1C6E"/>
    <w:rsid w:val="00DE44E5"/>
    <w:rsid w:val="00DE7FD1"/>
    <w:rsid w:val="00DF73D3"/>
    <w:rsid w:val="00E005C1"/>
    <w:rsid w:val="00E01436"/>
    <w:rsid w:val="00E045BD"/>
    <w:rsid w:val="00E0623E"/>
    <w:rsid w:val="00E07B93"/>
    <w:rsid w:val="00E11A04"/>
    <w:rsid w:val="00E13B89"/>
    <w:rsid w:val="00E17B77"/>
    <w:rsid w:val="00E21356"/>
    <w:rsid w:val="00E2185D"/>
    <w:rsid w:val="00E23337"/>
    <w:rsid w:val="00E259EA"/>
    <w:rsid w:val="00E271DA"/>
    <w:rsid w:val="00E32061"/>
    <w:rsid w:val="00E33F83"/>
    <w:rsid w:val="00E42FF9"/>
    <w:rsid w:val="00E46664"/>
    <w:rsid w:val="00E4714C"/>
    <w:rsid w:val="00E50930"/>
    <w:rsid w:val="00E50E83"/>
    <w:rsid w:val="00E51AEB"/>
    <w:rsid w:val="00E522A7"/>
    <w:rsid w:val="00E54452"/>
    <w:rsid w:val="00E544E3"/>
    <w:rsid w:val="00E545DA"/>
    <w:rsid w:val="00E65CCC"/>
    <w:rsid w:val="00E664C5"/>
    <w:rsid w:val="00E671A2"/>
    <w:rsid w:val="00E76D26"/>
    <w:rsid w:val="00E7769B"/>
    <w:rsid w:val="00E96F1C"/>
    <w:rsid w:val="00E97F02"/>
    <w:rsid w:val="00EB1390"/>
    <w:rsid w:val="00EB2C71"/>
    <w:rsid w:val="00EB4340"/>
    <w:rsid w:val="00EB556D"/>
    <w:rsid w:val="00EB5A7D"/>
    <w:rsid w:val="00EB5AD4"/>
    <w:rsid w:val="00EC19F2"/>
    <w:rsid w:val="00EC42DC"/>
    <w:rsid w:val="00ED1842"/>
    <w:rsid w:val="00ED25BF"/>
    <w:rsid w:val="00ED53D1"/>
    <w:rsid w:val="00ED55C0"/>
    <w:rsid w:val="00ED682B"/>
    <w:rsid w:val="00EE0402"/>
    <w:rsid w:val="00EE30A0"/>
    <w:rsid w:val="00EE41D5"/>
    <w:rsid w:val="00EF0F26"/>
    <w:rsid w:val="00F015FD"/>
    <w:rsid w:val="00F037A4"/>
    <w:rsid w:val="00F06A47"/>
    <w:rsid w:val="00F14CB3"/>
    <w:rsid w:val="00F14EB9"/>
    <w:rsid w:val="00F2392C"/>
    <w:rsid w:val="00F2700A"/>
    <w:rsid w:val="00F27C8F"/>
    <w:rsid w:val="00F32749"/>
    <w:rsid w:val="00F33D34"/>
    <w:rsid w:val="00F37172"/>
    <w:rsid w:val="00F37332"/>
    <w:rsid w:val="00F401BE"/>
    <w:rsid w:val="00F4477E"/>
    <w:rsid w:val="00F5749F"/>
    <w:rsid w:val="00F61D4D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6086"/>
    <w:rsid w:val="00FA5128"/>
    <w:rsid w:val="00FA6850"/>
    <w:rsid w:val="00FB09EE"/>
    <w:rsid w:val="00FB10B6"/>
    <w:rsid w:val="00FB42D4"/>
    <w:rsid w:val="00FB5906"/>
    <w:rsid w:val="00FB762F"/>
    <w:rsid w:val="00FC2AED"/>
    <w:rsid w:val="00FC32F1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://stat.gov.pl/metainformacje/slownik-pojec/pojecia-stosowane-w-statystyce-publicznej/395,pojecie.html" TargetMode="External"/><Relationship Id="rId55" Type="http://schemas.openxmlformats.org/officeDocument/2006/relationships/hyperlink" Target="http://stat.gov.pl/metainformacje/slownik-pojec/pojecia-stosowane-w-statystyce-publicznej/587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hyperlink" Target="http://stat.gov.pl/sygnalne/informacje-sygnalne/" TargetMode="External"/><Relationship Id="rId53" Type="http://schemas.openxmlformats.org/officeDocument/2006/relationships/hyperlink" Target="http://stat.gov.pl/metainformacje/slownik-pojec/pojecia-stosowane-w-statystyce-publicznej/615,pojecie.html" TargetMode="External"/><Relationship Id="rId58" Type="http://schemas.openxmlformats.org/officeDocument/2006/relationships/hyperlink" Target="http://stat.gov.pl/metainformacje/slownik-pojec/pojecia-stosowane-w-statystyce-publicznej/58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48" Type="http://schemas.openxmlformats.org/officeDocument/2006/relationships/hyperlink" Target="http://swaid.stat.gov.pl/SitePagesDBW/PrzedsiebiorstwaNiefinansowe.aspx" TargetMode="External"/><Relationship Id="rId56" Type="http://schemas.openxmlformats.org/officeDocument/2006/relationships/hyperlink" Target="http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59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hyperlink" Target="mailto:k.pasiak@stat.gov.pl" TargetMode="External"/><Relationship Id="rId41" Type="http://schemas.openxmlformats.org/officeDocument/2006/relationships/hyperlink" Target="http://stat.gov.pl/metainformacje/slownik-pojec/pojecia-stosowane-w-statystyce-publicznej/585,pojecie.html" TargetMode="External"/><Relationship Id="rId54" Type="http://schemas.openxmlformats.org/officeDocument/2006/relationships/hyperlink" Target="http://stat.gov.pl/metainformacje/slownik-pojec/pojecia-stosowane-w-statystyce-publicznej/58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49" Type="http://schemas.openxmlformats.org/officeDocument/2006/relationships/hyperlink" Target="http://bdm.stat.gov.pl/" TargetMode="External"/><Relationship Id="rId57" Type="http://schemas.openxmlformats.org/officeDocument/2006/relationships/hyperlink" Target="http://stat.gov.pl/metainformacje/slownik-pojec/pojecia-stosowane-w-statystyce-publicznej/58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waid.stat.gov.pl/SitePagesDBW/PrzedsiebiorstwaNiefinansowe.aspx" TargetMode="External"/><Relationship Id="rId44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C9C89A-D918-4EA8-9617-753D721E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1159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2018-03-16T09:59:00Z</cp:lastPrinted>
  <dcterms:created xsi:type="dcterms:W3CDTF">2018-08-22T07:38:00Z</dcterms:created>
  <dcterms:modified xsi:type="dcterms:W3CDTF">2018-08-22T07:38:00Z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