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>eń</w:t>
      </w:r>
      <w:r w:rsidR="007E11F4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- </w:t>
      </w:r>
      <w:r w:rsidR="005D2960">
        <w:rPr>
          <w:rFonts w:ascii="Fira Sans Extra Condensed SemiB" w:hAnsi="Fira Sans Extra Condensed SemiB" w:cs="Arial"/>
          <w:color w:val="auto"/>
          <w:sz w:val="40"/>
          <w:szCs w:val="40"/>
        </w:rPr>
        <w:t>lipiec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201</w:t>
      </w:r>
      <w:r w:rsidR="00D53D5E">
        <w:rPr>
          <w:rFonts w:ascii="Fira Sans Extra Condensed SemiB" w:hAnsi="Fira Sans Extra Condensed SemiB" w:cs="Arial"/>
          <w:color w:val="auto"/>
          <w:sz w:val="40"/>
          <w:szCs w:val="40"/>
        </w:rPr>
        <w:t>8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251460</wp:posOffset>
                </wp:positionV>
                <wp:extent cx="1725295" cy="1115695"/>
                <wp:effectExtent l="0" t="0" r="0" b="0"/>
                <wp:wrapTight wrapText="bothSides">
                  <wp:wrapPolygon edited="0">
                    <wp:start x="715" y="0"/>
                    <wp:lineTo x="715" y="21022"/>
                    <wp:lineTo x="20749" y="2102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Pr="009A5C86" w:rsidRDefault="00F52F15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Po </w:t>
                            </w:r>
                            <w:r w:rsidR="00505977">
                              <w:rPr>
                                <w:rFonts w:cs="Arial"/>
                                <w:sz w:val="19"/>
                                <w:szCs w:val="19"/>
                              </w:rPr>
                              <w:t>siedmiu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miesiącach notujemy wzrost eksportu wobec analogicznego okresu ub.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8pt;width:135.85pt;height:87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" filled="f" stroked="f">
                <v:textbox>
                  <w:txbxContent>
                    <w:p w:rsidR="00F52F15" w:rsidRPr="009A5C86" w:rsidRDefault="00F52F15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Po </w:t>
                      </w:r>
                      <w:r w:rsidR="00505977">
                        <w:rPr>
                          <w:rFonts w:cs="Arial"/>
                          <w:sz w:val="19"/>
                          <w:szCs w:val="19"/>
                        </w:rPr>
                        <w:t>siedmiu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miesiącach notujemy wzrost eksportu wobec analogicznego okresu ub.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Pr="00B66B19" w:rsidRDefault="00F52F1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1451F5B" wp14:editId="03D0E764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104,7</w:t>
                            </w:r>
                          </w:p>
                          <w:p w:rsidR="00F52F15" w:rsidRPr="00690129" w:rsidRDefault="00F52F1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eksportu w złotych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F52F15" w:rsidRPr="00B66B19" w:rsidRDefault="00F52F1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1451F5B" wp14:editId="03D0E764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104,7</w:t>
                      </w:r>
                    </w:p>
                    <w:p w:rsidR="00F52F15" w:rsidRPr="00690129" w:rsidRDefault="00F52F1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eksportu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291F7B">
        <w:rPr>
          <w:rFonts w:cs="Arial"/>
        </w:rPr>
        <w:t>w stycz</w:t>
      </w:r>
      <w:r w:rsidR="00502AA2">
        <w:rPr>
          <w:rFonts w:cs="Arial"/>
        </w:rPr>
        <w:t>niu</w:t>
      </w:r>
      <w:r w:rsidR="00291F7B">
        <w:rPr>
          <w:rFonts w:cs="Arial"/>
        </w:rPr>
        <w:t xml:space="preserve"> </w:t>
      </w:r>
      <w:r w:rsidR="005D2960">
        <w:rPr>
          <w:rFonts w:cs="Arial"/>
        </w:rPr>
        <w:t>–</w:t>
      </w:r>
      <w:r w:rsidR="00291F7B">
        <w:rPr>
          <w:rFonts w:cs="Arial"/>
        </w:rPr>
        <w:t xml:space="preserve"> </w:t>
      </w:r>
      <w:r w:rsidR="005D2960">
        <w:rPr>
          <w:rFonts w:cs="Arial"/>
        </w:rPr>
        <w:t>lip</w:t>
      </w:r>
      <w:r w:rsidR="00502AA2">
        <w:rPr>
          <w:rFonts w:cs="Arial"/>
        </w:rPr>
        <w:t>cu</w:t>
      </w:r>
      <w:r w:rsidR="005D2960">
        <w:rPr>
          <w:rFonts w:cs="Arial"/>
        </w:rPr>
        <w:t xml:space="preserve"> </w:t>
      </w:r>
      <w:r w:rsidR="00291F7B">
        <w:rPr>
          <w:rFonts w:cs="Arial"/>
        </w:rPr>
        <w:t>br.</w:t>
      </w:r>
      <w:r w:rsidR="00502AA2">
        <w:rPr>
          <w:rFonts w:cs="Arial"/>
        </w:rPr>
        <w:t xml:space="preserve">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2B3760">
        <w:rPr>
          <w:rFonts w:cs="Arial"/>
          <w:bCs/>
          <w:color w:val="000000"/>
        </w:rPr>
        <w:t>530,3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430F6A">
        <w:rPr>
          <w:rFonts w:cs="Arial"/>
          <w:bCs/>
          <w:color w:val="000000"/>
        </w:rPr>
        <w:t>537,4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430F6A">
        <w:rPr>
          <w:rFonts w:cs="Arial"/>
          <w:bCs/>
          <w:color w:val="000000"/>
        </w:rPr>
        <w:t xml:space="preserve">7,1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>
        <w:rPr>
          <w:rFonts w:cs="Arial"/>
          <w:spacing w:val="-3"/>
        </w:rPr>
        <w:t xml:space="preserve">w </w:t>
      </w:r>
      <w:r w:rsidR="003E0EA7">
        <w:rPr>
          <w:rFonts w:cs="Arial"/>
          <w:spacing w:val="-3"/>
        </w:rPr>
        <w:t xml:space="preserve">analogicznym okresie roku ubiegłego było dodatnie i </w:t>
      </w:r>
      <w:r w:rsidR="00690129" w:rsidRPr="00690129">
        <w:rPr>
          <w:rFonts w:cs="Arial"/>
          <w:spacing w:val="-3"/>
        </w:rPr>
        <w:t xml:space="preserve">wyniosło </w:t>
      </w:r>
      <w:r w:rsidR="00430F6A">
        <w:rPr>
          <w:rFonts w:cs="Arial"/>
          <w:spacing w:val="-3"/>
        </w:rPr>
        <w:t>3,4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291F7B" w:rsidRPr="009A5C86">
        <w:rPr>
          <w:rFonts w:cs="Arial"/>
        </w:rPr>
        <w:t xml:space="preserve">W porównaniu </w:t>
      </w:r>
      <w:r w:rsidR="00291F7B">
        <w:t>z analogicznym okresem ubiegłego</w:t>
      </w:r>
      <w:r w:rsidR="00291F7B" w:rsidRPr="009A5C86">
        <w:rPr>
          <w:rFonts w:cs="Arial"/>
          <w:spacing w:val="-3"/>
        </w:rPr>
        <w:t xml:space="preserve"> rok</w:t>
      </w:r>
      <w:r w:rsidR="00291F7B">
        <w:rPr>
          <w:rFonts w:cs="Arial"/>
          <w:spacing w:val="-3"/>
        </w:rPr>
        <w:t xml:space="preserve">u </w:t>
      </w:r>
      <w:r w:rsidR="00291F7B" w:rsidRPr="009A5C86">
        <w:rPr>
          <w:rFonts w:cs="Arial"/>
        </w:rPr>
        <w:t xml:space="preserve">eksport </w:t>
      </w:r>
      <w:r w:rsidR="00291F7B">
        <w:rPr>
          <w:rFonts w:cs="Arial"/>
        </w:rPr>
        <w:t>wzrósł</w:t>
      </w:r>
      <w:r w:rsidR="00291F7B" w:rsidRPr="009A5C86">
        <w:rPr>
          <w:rFonts w:cs="Arial"/>
        </w:rPr>
        <w:t xml:space="preserve"> </w:t>
      </w:r>
      <w:r w:rsidR="00291F7B" w:rsidRPr="00F70DA2">
        <w:t>o</w:t>
      </w:r>
      <w:r w:rsidR="00291F7B">
        <w:t> </w:t>
      </w:r>
      <w:r w:rsidR="00430F6A">
        <w:t>4,7</w:t>
      </w:r>
      <w:r w:rsidR="00291F7B" w:rsidRPr="009A5C86">
        <w:rPr>
          <w:rFonts w:cs="Arial"/>
        </w:rPr>
        <w:t>%, a import o </w:t>
      </w:r>
      <w:r w:rsidR="00430F6A">
        <w:rPr>
          <w:rFonts w:cs="Arial"/>
        </w:rPr>
        <w:t>6,9</w:t>
      </w:r>
      <w:r w:rsidR="00291F7B">
        <w:rPr>
          <w:rFonts w:cs="Arial"/>
        </w:rPr>
        <w:t>%.</w:t>
      </w:r>
    </w:p>
    <w:p w:rsidR="00003437" w:rsidRPr="00690129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5234305</wp:posOffset>
                </wp:positionH>
                <wp:positionV relativeFrom="paragraph">
                  <wp:posOffset>155575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Pr="00E86D11" w:rsidRDefault="00F52F15" w:rsidP="00074DD8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F52F15" w:rsidRPr="00093508" w:rsidRDefault="00F52F1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25pt;width:135.85pt;height:8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" filled="f" stroked="f">
                <v:textbox>
                  <w:txbxContent>
                    <w:p w:rsidR="00F52F15" w:rsidRPr="00E86D11" w:rsidRDefault="00F52F15" w:rsidP="00074DD8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  <w:p w:rsidR="00F52F15" w:rsidRPr="00093508" w:rsidRDefault="00F52F1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71064C">
        <w:rPr>
          <w:rFonts w:cs="Arial"/>
          <w:bCs/>
          <w:color w:val="000000"/>
          <w:szCs w:val="19"/>
        </w:rPr>
        <w:t>151,6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71064C">
        <w:rPr>
          <w:rFonts w:cs="Arial"/>
          <w:spacing w:val="-3"/>
          <w:szCs w:val="19"/>
        </w:rPr>
        <w:t>153,6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(w</w:t>
      </w:r>
      <w:r w:rsidR="003E0EA7">
        <w:rPr>
          <w:rFonts w:cs="Arial"/>
          <w:spacing w:val="-3"/>
          <w:szCs w:val="19"/>
        </w:rPr>
        <w:t xml:space="preserve">zrost </w:t>
      </w:r>
      <w:r w:rsidRPr="0084092E">
        <w:rPr>
          <w:rFonts w:cs="Arial"/>
          <w:spacing w:val="-3"/>
          <w:szCs w:val="19"/>
        </w:rPr>
        <w:t xml:space="preserve">odpowiednio o </w:t>
      </w:r>
      <w:r w:rsidR="0071064C">
        <w:rPr>
          <w:rFonts w:cs="Arial"/>
          <w:spacing w:val="-3"/>
          <w:szCs w:val="19"/>
        </w:rPr>
        <w:t>19,2</w:t>
      </w:r>
      <w:r w:rsidR="00682774">
        <w:rPr>
          <w:rFonts w:cs="Arial"/>
          <w:spacing w:val="-3"/>
          <w:szCs w:val="19"/>
        </w:rPr>
        <w:t xml:space="preserve">% i o </w:t>
      </w:r>
      <w:r w:rsidR="0071064C">
        <w:rPr>
          <w:rFonts w:cs="Arial"/>
          <w:spacing w:val="-3"/>
          <w:szCs w:val="19"/>
        </w:rPr>
        <w:t>21,5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71064C">
        <w:rPr>
          <w:rFonts w:cs="Arial"/>
          <w:bCs/>
          <w:color w:val="000000"/>
          <w:szCs w:val="19"/>
        </w:rPr>
        <w:t>2,0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 xml:space="preserve"> USD (w analogicznym okresie </w:t>
      </w:r>
      <w:r w:rsidRPr="00A6544F">
        <w:rPr>
          <w:rFonts w:cs="Arial"/>
          <w:spacing w:val="-3"/>
          <w:szCs w:val="19"/>
        </w:rPr>
        <w:t>201</w:t>
      </w:r>
      <w:r w:rsidR="003E0EA7" w:rsidRPr="00A6544F">
        <w:rPr>
          <w:rFonts w:cs="Arial"/>
          <w:spacing w:val="-3"/>
          <w:szCs w:val="19"/>
        </w:rPr>
        <w:t>7</w:t>
      </w:r>
      <w:r w:rsidRPr="00A6544F">
        <w:rPr>
          <w:rFonts w:cs="Arial"/>
          <w:spacing w:val="-3"/>
          <w:szCs w:val="19"/>
        </w:rPr>
        <w:t xml:space="preserve"> roku </w:t>
      </w:r>
      <w:r w:rsidR="00A6544F">
        <w:rPr>
          <w:rFonts w:cs="Arial"/>
          <w:spacing w:val="-3"/>
          <w:szCs w:val="19"/>
        </w:rPr>
        <w:t xml:space="preserve">dodatnie saldo wyniosło </w:t>
      </w:r>
      <w:r w:rsidR="0071064C">
        <w:rPr>
          <w:rFonts w:cs="Arial"/>
          <w:spacing w:val="-3"/>
          <w:szCs w:val="19"/>
        </w:rPr>
        <w:t>0,8</w:t>
      </w:r>
      <w:r w:rsidR="00F70DA2" w:rsidRPr="00A6544F">
        <w:rPr>
          <w:rFonts w:cs="Arial"/>
          <w:spacing w:val="-3"/>
          <w:szCs w:val="19"/>
        </w:rPr>
        <w:t xml:space="preserve"> mld</w:t>
      </w:r>
      <w:r w:rsidRPr="00A6544F">
        <w:rPr>
          <w:rFonts w:cs="Arial"/>
          <w:spacing w:val="-3"/>
          <w:szCs w:val="19"/>
        </w:rPr>
        <w:t xml:space="preserve"> USD).</w:t>
      </w:r>
      <w:r w:rsidR="0084092E" w:rsidRPr="0084092E">
        <w:rPr>
          <w:rFonts w:cs="Arial"/>
          <w:spacing w:val="-3"/>
          <w:szCs w:val="19"/>
        </w:rPr>
        <w:t xml:space="preserve"> 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71064C">
        <w:rPr>
          <w:rFonts w:cs="Arial"/>
          <w:bCs/>
          <w:color w:val="000000"/>
          <w:szCs w:val="19"/>
        </w:rPr>
        <w:t>125,7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71064C">
        <w:rPr>
          <w:rFonts w:cs="Arial"/>
          <w:bCs/>
          <w:color w:val="000000"/>
          <w:szCs w:val="19"/>
        </w:rPr>
        <w:t>127,3</w:t>
      </w:r>
      <w:r w:rsidR="00874A1E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</w:t>
      </w:r>
      <w:r w:rsidR="00682774">
        <w:rPr>
          <w:rFonts w:cs="Arial"/>
          <w:szCs w:val="19"/>
        </w:rPr>
        <w:t>(wzrost w eksporcie o </w:t>
      </w:r>
      <w:r w:rsidR="0071064C">
        <w:rPr>
          <w:rFonts w:cs="Arial"/>
          <w:szCs w:val="19"/>
        </w:rPr>
        <w:t>6,5</w:t>
      </w:r>
      <w:r w:rsidRPr="00277A82">
        <w:rPr>
          <w:rFonts w:cs="Arial"/>
          <w:szCs w:val="19"/>
        </w:rPr>
        <w:t xml:space="preserve">%, a w imporcie o </w:t>
      </w:r>
      <w:r w:rsidR="0071064C">
        <w:rPr>
          <w:rFonts w:cs="Arial"/>
          <w:szCs w:val="19"/>
        </w:rPr>
        <w:t>8,7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wyniosło </w:t>
      </w:r>
      <w:r w:rsidR="0071064C">
        <w:rPr>
          <w:rFonts w:cs="Arial"/>
          <w:bCs/>
          <w:color w:val="000000"/>
          <w:szCs w:val="19"/>
        </w:rPr>
        <w:t>1,6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wobec </w:t>
      </w:r>
      <w:r w:rsidR="00682774">
        <w:rPr>
          <w:rFonts w:cs="Arial"/>
          <w:szCs w:val="19"/>
        </w:rPr>
        <w:t xml:space="preserve">dodatniego </w:t>
      </w:r>
      <w:r w:rsidR="0071064C">
        <w:rPr>
          <w:rFonts w:cs="Arial"/>
          <w:szCs w:val="19"/>
        </w:rPr>
        <w:t>0,7</w:t>
      </w:r>
      <w:r w:rsidRPr="00277A82">
        <w:rPr>
          <w:rFonts w:cs="Arial"/>
          <w:szCs w:val="19"/>
        </w:rPr>
        <w:t xml:space="preserve"> ml</w:t>
      </w:r>
      <w:r w:rsidR="00A844E6">
        <w:rPr>
          <w:rFonts w:cs="Arial"/>
          <w:szCs w:val="19"/>
        </w:rPr>
        <w:t>d</w:t>
      </w:r>
      <w:r w:rsidR="00682774">
        <w:rPr>
          <w:rFonts w:cs="Arial"/>
          <w:szCs w:val="19"/>
        </w:rPr>
        <w:t xml:space="preserve"> EUR w </w:t>
      </w:r>
      <w:r w:rsidR="00207FAB">
        <w:rPr>
          <w:rFonts w:cs="Arial"/>
          <w:szCs w:val="19"/>
        </w:rPr>
        <w:t>analogicznym okresie ubiegłego</w:t>
      </w:r>
      <w:r w:rsidRPr="00277A82">
        <w:rPr>
          <w:rFonts w:cs="Arial"/>
          <w:szCs w:val="19"/>
        </w:rPr>
        <w:t xml:space="preserve"> roku.</w:t>
      </w:r>
    </w:p>
    <w:p w:rsidR="00116087" w:rsidRPr="00017EBA" w:rsidRDefault="00FB5906" w:rsidP="00074DD8">
      <w:pPr>
        <w:pStyle w:val="tytuwykresu"/>
      </w:pPr>
      <w:r w:rsidRPr="00A477B8">
        <w:t xml:space="preserve">Wykres </w:t>
      </w:r>
      <w:r w:rsidR="00074DD8" w:rsidRPr="00A477B8">
        <w:t>1</w:t>
      </w:r>
      <w:r w:rsidR="00585385" w:rsidRPr="00A477B8">
        <w:t>.</w:t>
      </w:r>
      <w:r w:rsidR="00074DD8" w:rsidRPr="00A477B8">
        <w:rPr>
          <w:shd w:val="clear" w:color="auto" w:fill="FFFFFF"/>
        </w:rPr>
        <w:t xml:space="preserve"> </w:t>
      </w:r>
      <w:r w:rsidR="00017EBA" w:rsidRPr="00A477B8">
        <w:rPr>
          <w:shd w:val="clear" w:color="auto" w:fill="FFFFFF"/>
        </w:rPr>
        <w:t xml:space="preserve">Obroty za </w:t>
      </w:r>
      <w:r w:rsidR="00585385" w:rsidRPr="00A477B8">
        <w:rPr>
          <w:shd w:val="clear" w:color="auto" w:fill="FFFFFF"/>
        </w:rPr>
        <w:t>trzy ostatnie miesiące w ml</w:t>
      </w:r>
      <w:r w:rsidR="009D1900" w:rsidRPr="00A477B8">
        <w:rPr>
          <w:shd w:val="clear" w:color="auto" w:fill="FFFFFF"/>
        </w:rPr>
        <w:t>d</w:t>
      </w:r>
      <w:r w:rsidR="00585385" w:rsidRPr="00A477B8">
        <w:rPr>
          <w:shd w:val="clear" w:color="auto" w:fill="FFFFFF"/>
        </w:rPr>
        <w:t xml:space="preserve"> zł</w:t>
      </w:r>
    </w:p>
    <w:p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03A3E43">
            <wp:extent cx="4842519" cy="1925391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Default="00F52F15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</w:t>
                            </w:r>
                            <w:r>
                              <w:t>, od lat,</w:t>
                            </w:r>
                            <w:r w:rsidRPr="008720A0">
                              <w:t xml:space="preserve">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Default="00F52F15" w:rsidP="00F802BE">
                            <w:pPr>
                              <w:pStyle w:val="tekstzboku"/>
                            </w:pPr>
                          </w:p>
                          <w:p w:rsidR="00F52F15" w:rsidRPr="00074DD8" w:rsidRDefault="00F52F15" w:rsidP="00F802BE">
                            <w:pPr>
                              <w:pStyle w:val="tekstzboku"/>
                            </w:pPr>
                          </w:p>
                          <w:p w:rsidR="00F52F15" w:rsidRPr="00D616D2" w:rsidRDefault="00F52F1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F52F15" w:rsidRDefault="00F52F15" w:rsidP="00F802BE">
                      <w:pPr>
                        <w:pStyle w:val="tekstzboku"/>
                      </w:pPr>
                      <w:r w:rsidRPr="008720A0">
                        <w:t>Na wysoki udział krajów rozwiniętych w obrotach towarowych</w:t>
                      </w:r>
                      <w:r>
                        <w:t>, od lat,</w:t>
                      </w:r>
                      <w:r w:rsidRPr="008720A0">
                        <w:t xml:space="preserve">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Default="00F52F15" w:rsidP="00F802BE">
                      <w:pPr>
                        <w:pStyle w:val="tekstzboku"/>
                      </w:pPr>
                    </w:p>
                    <w:p w:rsidR="00F52F15" w:rsidRPr="00074DD8" w:rsidRDefault="00F52F15" w:rsidP="00F802BE">
                      <w:pPr>
                        <w:pStyle w:val="tekstzboku"/>
                      </w:pPr>
                    </w:p>
                    <w:p w:rsidR="00F52F15" w:rsidRPr="00D616D2" w:rsidRDefault="00F52F1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8</w:t>
      </w:r>
      <w:r w:rsidR="00832FBE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>,</w:t>
      </w:r>
      <w:r w:rsidR="00A123C7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832FBE">
        <w:rPr>
          <w:rFonts w:cs="Arial"/>
          <w:spacing w:val="-3"/>
        </w:rPr>
        <w:t>8</w:t>
      </w:r>
      <w:r w:rsidR="00E637B8">
        <w:rPr>
          <w:rFonts w:cs="Arial"/>
          <w:spacing w:val="-3"/>
        </w:rPr>
        <w:t>0</w:t>
      </w:r>
      <w:r w:rsidR="00832FBE">
        <w:rPr>
          <w:rFonts w:cs="Arial"/>
          <w:spacing w:val="-3"/>
        </w:rPr>
        <w:t>,</w:t>
      </w:r>
      <w:r w:rsidR="00196A35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E637B8">
        <w:rPr>
          <w:rFonts w:cs="Arial"/>
          <w:spacing w:val="-3"/>
        </w:rPr>
        <w:t>66,</w:t>
      </w:r>
      <w:r w:rsidR="00196A35">
        <w:rPr>
          <w:rFonts w:cs="Arial"/>
          <w:spacing w:val="-3"/>
        </w:rPr>
        <w:t>7</w:t>
      </w:r>
      <w:r w:rsidR="007D6BC4">
        <w:rPr>
          <w:rFonts w:cs="Arial"/>
          <w:spacing w:val="-3"/>
        </w:rPr>
        <w:t xml:space="preserve">% (w tym </w:t>
      </w:r>
      <w:r w:rsidR="007D6BC4" w:rsidRPr="00797CEA">
        <w:rPr>
          <w:rFonts w:cs="Arial"/>
          <w:spacing w:val="-3"/>
        </w:rPr>
        <w:t xml:space="preserve">UE </w:t>
      </w:r>
      <w:r w:rsidR="00112855" w:rsidRPr="00797CEA">
        <w:rPr>
          <w:rFonts w:cs="Arial"/>
          <w:spacing w:val="-3"/>
        </w:rPr>
        <w:t>59,</w:t>
      </w:r>
      <w:r w:rsidR="00196A35">
        <w:rPr>
          <w:rFonts w:cs="Arial"/>
          <w:spacing w:val="-3"/>
        </w:rPr>
        <w:t>4</w:t>
      </w:r>
      <w:r w:rsidRPr="00797CEA">
        <w:rPr>
          <w:rFonts w:cs="Arial"/>
          <w:spacing w:val="-3"/>
        </w:rPr>
        <w:t xml:space="preserve">%), wobec odpowiednio </w:t>
      </w:r>
      <w:r w:rsidR="00196A35">
        <w:rPr>
          <w:rFonts w:cs="Arial"/>
          <w:spacing w:val="-3"/>
        </w:rPr>
        <w:t>86,8</w:t>
      </w:r>
      <w:r w:rsidRPr="003C6B82">
        <w:rPr>
          <w:rFonts w:cs="Arial"/>
          <w:spacing w:val="-3"/>
        </w:rPr>
        <w:t xml:space="preserve">% (w tym UE </w:t>
      </w:r>
      <w:r w:rsidR="00832FBE">
        <w:rPr>
          <w:rFonts w:cs="Arial"/>
          <w:spacing w:val="-3"/>
        </w:rPr>
        <w:t>8</w:t>
      </w:r>
      <w:r w:rsidR="00E637B8">
        <w:rPr>
          <w:rFonts w:cs="Arial"/>
          <w:spacing w:val="-3"/>
        </w:rPr>
        <w:t>0</w:t>
      </w:r>
      <w:r w:rsidR="00832FBE">
        <w:rPr>
          <w:rFonts w:cs="Arial"/>
          <w:spacing w:val="-3"/>
        </w:rPr>
        <w:t>,</w:t>
      </w:r>
      <w:r w:rsidR="00196A35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E637B8">
        <w:rPr>
          <w:rFonts w:cs="Arial"/>
          <w:spacing w:val="-3"/>
        </w:rPr>
        <w:t>67,</w:t>
      </w:r>
      <w:r w:rsidR="00944977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 (w tym UE </w:t>
      </w:r>
      <w:r w:rsidR="00E637B8">
        <w:rPr>
          <w:rFonts w:cs="Arial"/>
          <w:spacing w:val="-3"/>
        </w:rPr>
        <w:t>60,</w:t>
      </w:r>
      <w:r w:rsidR="00944977">
        <w:rPr>
          <w:rFonts w:cs="Arial"/>
          <w:spacing w:val="-3"/>
        </w:rPr>
        <w:t>5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944977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E103C6">
        <w:rPr>
          <w:rFonts w:cs="Arial"/>
          <w:spacing w:val="-3"/>
        </w:rPr>
        <w:t>8,</w:t>
      </w:r>
      <w:r w:rsidR="00944977">
        <w:rPr>
          <w:rFonts w:cs="Arial"/>
          <w:spacing w:val="-3"/>
        </w:rPr>
        <w:t>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1C3584">
        <w:rPr>
          <w:rFonts w:cs="Arial"/>
          <w:spacing w:val="-3"/>
        </w:rPr>
        <w:t>5,</w:t>
      </w:r>
      <w:r w:rsidR="00944977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% i </w:t>
      </w:r>
      <w:r w:rsidR="00944977">
        <w:rPr>
          <w:rFonts w:cs="Arial"/>
          <w:spacing w:val="-3"/>
        </w:rPr>
        <w:t>7,8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 xml:space="preserve">w styczniu </w:t>
      </w:r>
      <w:r w:rsidR="001C3584">
        <w:rPr>
          <w:rFonts w:cs="Arial"/>
          <w:spacing w:val="-3"/>
        </w:rPr>
        <w:t xml:space="preserve">– </w:t>
      </w:r>
      <w:r w:rsidR="00944977">
        <w:rPr>
          <w:rFonts w:cs="Arial"/>
          <w:spacing w:val="-3"/>
        </w:rPr>
        <w:t>lipcu</w:t>
      </w:r>
      <w:r w:rsidR="001C3584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2017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944977">
        <w:rPr>
          <w:rFonts w:cs="Arial"/>
          <w:color w:val="000000"/>
        </w:rPr>
        <w:t>92,4</w:t>
      </w:r>
      <w:r w:rsidR="001C3584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944977">
        <w:rPr>
          <w:rFonts w:cs="Arial"/>
          <w:color w:val="000000"/>
        </w:rPr>
        <w:t>26,4</w:t>
      </w:r>
      <w:r w:rsidR="001C3584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944977">
        <w:rPr>
          <w:rFonts w:cs="Arial"/>
          <w:spacing w:val="-3"/>
        </w:rPr>
        <w:t>21,9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944977">
        <w:rPr>
          <w:rFonts w:cs="Arial"/>
          <w:spacing w:val="-3"/>
        </w:rPr>
        <w:t>17,5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944977">
        <w:rPr>
          <w:rFonts w:cs="Arial"/>
          <w:spacing w:val="-3"/>
        </w:rPr>
        <w:t>5,0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944977">
        <w:rPr>
          <w:rFonts w:cs="Arial"/>
          <w:color w:val="000000"/>
        </w:rPr>
        <w:t>4,1</w:t>
      </w:r>
      <w:r w:rsidR="001C3584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944977">
        <w:rPr>
          <w:rFonts w:cs="Arial"/>
          <w:color w:val="000000"/>
        </w:rPr>
        <w:t>102,8</w:t>
      </w:r>
      <w:r w:rsidR="00D12F60">
        <w:t> </w:t>
      </w:r>
      <w:r w:rsidRPr="00D12F60">
        <w:t>ml</w:t>
      </w:r>
      <w:r w:rsidR="00F70DA2" w:rsidRPr="00D12F60">
        <w:t>d</w:t>
      </w:r>
      <w:r w:rsidR="00D12F60">
        <w:rPr>
          <w:rFonts w:cs="Arial"/>
          <w:spacing w:val="-3"/>
        </w:rPr>
        <w:t> </w:t>
      </w:r>
      <w:r w:rsidRPr="008720A0">
        <w:rPr>
          <w:rFonts w:cs="Arial"/>
          <w:spacing w:val="-3"/>
        </w:rPr>
        <w:t>zł (</w:t>
      </w:r>
      <w:r w:rsidR="00944977">
        <w:rPr>
          <w:rFonts w:cs="Arial"/>
          <w:spacing w:val="-3"/>
        </w:rPr>
        <w:t>29,4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944977">
        <w:rPr>
          <w:rFonts w:cs="Arial"/>
          <w:color w:val="000000"/>
        </w:rPr>
        <w:t xml:space="preserve">24,3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944977">
        <w:rPr>
          <w:rFonts w:cs="Arial"/>
          <w:color w:val="000000"/>
        </w:rPr>
        <w:t>106,3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944977">
        <w:rPr>
          <w:rFonts w:cs="Arial"/>
          <w:spacing w:val="-3"/>
        </w:rPr>
        <w:t>30,4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944977">
        <w:rPr>
          <w:rFonts w:cs="Arial"/>
          <w:color w:val="000000"/>
        </w:rPr>
        <w:t>25,2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843B8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7E11F4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430F6A">
              <w:rPr>
                <w:rFonts w:cs="Arial"/>
                <w:sz w:val="16"/>
                <w:szCs w:val="16"/>
              </w:rPr>
              <w:t>II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FF29C2" w:rsidRPr="00E33A76" w:rsidTr="00B2535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DE2D1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430F6A">
              <w:rPr>
                <w:rFonts w:cs="Arial"/>
                <w:sz w:val="16"/>
                <w:szCs w:val="16"/>
              </w:rPr>
              <w:t>II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7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DE2D1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430F6A">
              <w:rPr>
                <w:rFonts w:cs="Arial"/>
                <w:sz w:val="16"/>
                <w:szCs w:val="16"/>
              </w:rPr>
              <w:t>II</w:t>
            </w:r>
            <w:r w:rsidRPr="00673305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:rsidTr="00B2535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FF29C2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</w:t>
            </w:r>
            <w:r w:rsidR="004B64A7" w:rsidRPr="00673305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30F6A" w:rsidRPr="00E33A76" w:rsidTr="00B2535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30F6A" w:rsidRPr="00E33A76" w:rsidRDefault="00430F6A" w:rsidP="00430F6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151,6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430F6A" w:rsidRPr="00E33A76" w:rsidRDefault="00430F6A" w:rsidP="00430F6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430F6A" w:rsidRPr="00E33A76" w:rsidRDefault="00430F6A" w:rsidP="00430F6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30F6A" w:rsidRPr="00E33A76" w:rsidTr="00B25357">
        <w:trPr>
          <w:trHeight w:val="352"/>
        </w:trPr>
        <w:tc>
          <w:tcPr>
            <w:tcW w:w="2552" w:type="dxa"/>
            <w:vAlign w:val="center"/>
          </w:tcPr>
          <w:p w:rsidR="00430F6A" w:rsidRPr="00E33A76" w:rsidRDefault="00430F6A" w:rsidP="00430F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461,4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6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5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4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</w:tr>
      <w:tr w:rsidR="00430F6A" w:rsidRPr="00E33A76" w:rsidTr="00B25357">
        <w:trPr>
          <w:trHeight w:val="342"/>
        </w:trPr>
        <w:tc>
          <w:tcPr>
            <w:tcW w:w="2552" w:type="dxa"/>
            <w:vAlign w:val="center"/>
          </w:tcPr>
          <w:p w:rsidR="00430F6A" w:rsidRPr="00E33A76" w:rsidRDefault="00430F6A" w:rsidP="00430F6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425,4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6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5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64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80,2</w:t>
            </w:r>
          </w:p>
        </w:tc>
      </w:tr>
      <w:tr w:rsidR="00430F6A" w:rsidRPr="00E33A76" w:rsidTr="00B25357">
        <w:trPr>
          <w:trHeight w:val="270"/>
        </w:trPr>
        <w:tc>
          <w:tcPr>
            <w:tcW w:w="2552" w:type="dxa"/>
            <w:vAlign w:val="center"/>
          </w:tcPr>
          <w:p w:rsidR="00430F6A" w:rsidRPr="00E33A76" w:rsidRDefault="00430F6A" w:rsidP="00430F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306,8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6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5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4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430F6A" w:rsidRPr="00E33A76" w:rsidTr="00B25357">
        <w:trPr>
          <w:trHeight w:val="342"/>
        </w:trPr>
        <w:tc>
          <w:tcPr>
            <w:tcW w:w="2552" w:type="dxa"/>
            <w:vAlign w:val="center"/>
          </w:tcPr>
          <w:p w:rsidR="00430F6A" w:rsidRPr="00E33A76" w:rsidRDefault="00430F6A" w:rsidP="00430F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6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</w:tr>
      <w:tr w:rsidR="00430F6A" w:rsidRPr="00E33A76" w:rsidTr="00B25357">
        <w:trPr>
          <w:trHeight w:val="308"/>
        </w:trPr>
        <w:tc>
          <w:tcPr>
            <w:tcW w:w="2552" w:type="dxa"/>
            <w:vAlign w:val="center"/>
          </w:tcPr>
          <w:p w:rsidR="00430F6A" w:rsidRPr="00E33A76" w:rsidRDefault="00430F6A" w:rsidP="00430F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6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56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vAlign w:val="bottom"/>
          </w:tcPr>
          <w:p w:rsidR="00430F6A" w:rsidRDefault="00430F6A" w:rsidP="00430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</w:tr>
      <w:tr w:rsidR="009E4C59" w:rsidRPr="00E33A76" w:rsidTr="00B25357">
        <w:trPr>
          <w:trHeight w:val="342"/>
        </w:trPr>
        <w:tc>
          <w:tcPr>
            <w:tcW w:w="2552" w:type="dxa"/>
            <w:vAlign w:val="center"/>
          </w:tcPr>
          <w:p w:rsidR="009E4C59" w:rsidRPr="00A00ADB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537,4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153,6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6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5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E4C59" w:rsidRPr="00E33A76" w:rsidTr="00B25357">
        <w:trPr>
          <w:trHeight w:val="35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358,6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6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5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64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66,7</w:t>
            </w:r>
          </w:p>
        </w:tc>
      </w:tr>
      <w:tr w:rsidR="009E4C59" w:rsidRPr="00E33A76" w:rsidTr="00B25357">
        <w:trPr>
          <w:trHeight w:val="34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319,1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6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5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64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9E4C59" w:rsidRPr="00E33A76" w:rsidTr="00B25357">
        <w:trPr>
          <w:trHeight w:val="35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256,4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6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56" w:type="dxa"/>
            <w:vAlign w:val="bottom"/>
          </w:tcPr>
          <w:p w:rsidR="009E4C59" w:rsidRDefault="009E4C59" w:rsidP="009020A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</w:t>
            </w:r>
            <w:r w:rsidR="009020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47,7</w:t>
            </w:r>
          </w:p>
        </w:tc>
      </w:tr>
      <w:tr w:rsidR="009E4C59" w:rsidRPr="00E33A76" w:rsidTr="00B25357">
        <w:trPr>
          <w:trHeight w:val="34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6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5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64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9E4C59" w:rsidRPr="00E33A76" w:rsidTr="00B25357">
        <w:trPr>
          <w:trHeight w:val="355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66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56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</w:tr>
      <w:tr w:rsidR="009E4C59" w:rsidRPr="00E33A76" w:rsidTr="00B25357">
        <w:trPr>
          <w:trHeight w:val="34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-1,6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9E4C59" w:rsidRPr="00E33A76" w:rsidTr="00B25357">
        <w:trPr>
          <w:trHeight w:val="35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9E4C59" w:rsidRPr="00E33A76" w:rsidTr="00B25357">
        <w:trPr>
          <w:trHeight w:val="34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9E4C59" w:rsidRPr="00E33A76" w:rsidTr="00B25357">
        <w:trPr>
          <w:trHeight w:val="35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9E4C59" w:rsidRPr="00E33A76" w:rsidTr="00B25357">
        <w:trPr>
          <w:trHeight w:val="342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-92,4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-21,9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9E4C59" w:rsidRPr="00E33A76" w:rsidTr="00B25357">
        <w:trPr>
          <w:trHeight w:val="258"/>
        </w:trPr>
        <w:tc>
          <w:tcPr>
            <w:tcW w:w="2552" w:type="dxa"/>
            <w:vAlign w:val="center"/>
          </w:tcPr>
          <w:p w:rsidR="009E4C59" w:rsidRPr="00E33A76" w:rsidRDefault="009E4C59" w:rsidP="009E4C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-17,5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-5,0</w:t>
            </w:r>
          </w:p>
        </w:tc>
        <w:tc>
          <w:tcPr>
            <w:tcW w:w="717" w:type="dxa"/>
            <w:vAlign w:val="bottom"/>
          </w:tcPr>
          <w:p w:rsidR="009E4C59" w:rsidRDefault="009E4C59" w:rsidP="009E4C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17" w:type="dxa"/>
            <w:vAlign w:val="center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9E4C59" w:rsidRPr="00E33A76" w:rsidRDefault="009E4C59" w:rsidP="009E4C5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F136D9" w:rsidRPr="00F136D9" w:rsidRDefault="00F136D9" w:rsidP="00F136D9">
      <w:pPr>
        <w:rPr>
          <w:lang w:eastAsia="pl-PL"/>
        </w:rPr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5250815</wp:posOffset>
                </wp:positionH>
                <wp:positionV relativeFrom="paragraph">
                  <wp:posOffset>128270</wp:posOffset>
                </wp:positionV>
                <wp:extent cx="1680210" cy="1257935"/>
                <wp:effectExtent l="0" t="0" r="0" b="0"/>
                <wp:wrapTight wrapText="bothSides">
                  <wp:wrapPolygon edited="0">
                    <wp:start x="735" y="0"/>
                    <wp:lineTo x="735" y="21262"/>
                    <wp:lineTo x="20816" y="21262"/>
                    <wp:lineTo x="20816" y="0"/>
                    <wp:lineTo x="73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25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Default="00F52F15" w:rsidP="00345F7C">
                            <w:pPr>
                              <w:pStyle w:val="tekstzboku"/>
                            </w:pPr>
                            <w:r>
                              <w:t>Wśród naszych głównych partnerów handlowych odnotowaliśmy w eksporcie spadek obrotów do W. Brytanii i Włoch</w:t>
                            </w: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Default="00F52F15" w:rsidP="00345F7C">
                            <w:pPr>
                              <w:pStyle w:val="tekstzboku"/>
                            </w:pPr>
                          </w:p>
                          <w:p w:rsidR="00F52F15" w:rsidRPr="00074DD8" w:rsidRDefault="00F52F15" w:rsidP="00345F7C">
                            <w:pPr>
                              <w:pStyle w:val="tekstzboku"/>
                            </w:pPr>
                          </w:p>
                          <w:p w:rsidR="00F52F15" w:rsidRPr="00D616D2" w:rsidRDefault="00F52F1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45pt;margin-top:10.1pt;width:132.3pt;height:99.0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AlEgIAAP8D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" filled="f" stroked="f">
                <v:textbox>
                  <w:txbxContent>
                    <w:p w:rsidR="00F52F15" w:rsidRDefault="00F52F15" w:rsidP="00345F7C">
                      <w:pPr>
                        <w:pStyle w:val="tekstzboku"/>
                      </w:pPr>
                      <w:r>
                        <w:t>Wśród naszych głównych partnerów handlowych odnotowaliśmy w eksporcie spadek obrotów do W. Brytanii i Włoch</w:t>
                      </w: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Default="00F52F15" w:rsidP="00345F7C">
                      <w:pPr>
                        <w:pStyle w:val="tekstzboku"/>
                      </w:pPr>
                    </w:p>
                    <w:p w:rsidR="00F52F15" w:rsidRPr="00074DD8" w:rsidRDefault="00F52F15" w:rsidP="00345F7C">
                      <w:pPr>
                        <w:pStyle w:val="tekstzboku"/>
                      </w:pPr>
                    </w:p>
                    <w:p w:rsidR="00F52F15" w:rsidRPr="00D616D2" w:rsidRDefault="00F52F1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89134A">
        <w:rPr>
          <w:rFonts w:cs="Arial"/>
        </w:rPr>
        <w:t xml:space="preserve">okresie styczeń – </w:t>
      </w:r>
      <w:r w:rsidR="00502AA2">
        <w:rPr>
          <w:rFonts w:cs="Arial"/>
        </w:rPr>
        <w:t>lip</w:t>
      </w:r>
      <w:r w:rsidR="002B2177">
        <w:rPr>
          <w:rFonts w:cs="Arial"/>
        </w:rPr>
        <w:t>ie</w:t>
      </w:r>
      <w:r w:rsidR="00502AA2">
        <w:rPr>
          <w:rFonts w:cs="Arial"/>
        </w:rPr>
        <w:t>c</w:t>
      </w:r>
      <w:r w:rsidR="0089134A">
        <w:rPr>
          <w:rFonts w:cs="Arial"/>
        </w:rPr>
        <w:t xml:space="preserve"> </w:t>
      </w:r>
      <w:r w:rsidR="00490CCF" w:rsidRPr="00951F4F">
        <w:rPr>
          <w:rFonts w:cs="Arial"/>
          <w:szCs w:val="19"/>
        </w:rPr>
        <w:t>b</w:t>
      </w:r>
      <w:r w:rsidRPr="00951F4F">
        <w:rPr>
          <w:rFonts w:cs="Arial"/>
          <w:szCs w:val="19"/>
        </w:rPr>
        <w:t xml:space="preserve">r. wśród głównych partnerów handlowych Polski </w:t>
      </w:r>
      <w:r w:rsidR="00D67CD3" w:rsidRPr="00951F4F">
        <w:rPr>
          <w:rFonts w:cs="Arial"/>
          <w:szCs w:val="19"/>
        </w:rPr>
        <w:t>o</w:t>
      </w:r>
      <w:r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6E4FFD">
        <w:rPr>
          <w:rFonts w:cs="Arial"/>
          <w:szCs w:val="19"/>
        </w:rPr>
        <w:t xml:space="preserve">Rosji, </w:t>
      </w:r>
      <w:r w:rsidR="00824808">
        <w:rPr>
          <w:rFonts w:cs="Arial"/>
          <w:szCs w:val="19"/>
        </w:rPr>
        <w:t xml:space="preserve">Stanów Zjednoczonych, </w:t>
      </w:r>
      <w:r w:rsidR="00F42522">
        <w:rPr>
          <w:rFonts w:cs="Arial"/>
          <w:szCs w:val="19"/>
        </w:rPr>
        <w:t>Niemiec</w:t>
      </w:r>
      <w:r w:rsidR="00F42522" w:rsidRPr="00951F4F">
        <w:rPr>
          <w:rFonts w:cs="Arial"/>
          <w:szCs w:val="19"/>
        </w:rPr>
        <w:t>,</w:t>
      </w:r>
      <w:r w:rsidR="00F42522">
        <w:rPr>
          <w:rFonts w:cs="Arial"/>
          <w:szCs w:val="19"/>
        </w:rPr>
        <w:t xml:space="preserve"> Francji, Holandii, </w:t>
      </w:r>
      <w:r w:rsidR="00951F4F" w:rsidRPr="00951F4F">
        <w:rPr>
          <w:rFonts w:cs="Arial"/>
          <w:szCs w:val="19"/>
        </w:rPr>
        <w:t>Szwecji</w:t>
      </w:r>
      <w:r w:rsidR="0089134A">
        <w:rPr>
          <w:rFonts w:cs="Arial"/>
          <w:szCs w:val="19"/>
        </w:rPr>
        <w:t xml:space="preserve">, </w:t>
      </w:r>
      <w:r w:rsidR="00F42522">
        <w:rPr>
          <w:rFonts w:cs="Arial"/>
          <w:szCs w:val="19"/>
        </w:rPr>
        <w:t xml:space="preserve">Hiszpanii oraz </w:t>
      </w:r>
      <w:r w:rsidR="00824808">
        <w:rPr>
          <w:rFonts w:cs="Arial"/>
          <w:szCs w:val="19"/>
        </w:rPr>
        <w:t>Czech</w:t>
      </w:r>
      <w:r w:rsidR="0089134A">
        <w:rPr>
          <w:rFonts w:cs="Arial"/>
          <w:szCs w:val="19"/>
        </w:rPr>
        <w:t>,</w:t>
      </w:r>
      <w:r w:rsidR="00951F4F" w:rsidRPr="00951F4F">
        <w:rPr>
          <w:rFonts w:cs="Arial"/>
          <w:szCs w:val="19"/>
        </w:rPr>
        <w:t xml:space="preserve"> a importu – </w:t>
      </w:r>
      <w:r w:rsidR="00F42522" w:rsidRPr="00951F4F">
        <w:rPr>
          <w:rFonts w:cs="Arial"/>
          <w:szCs w:val="19"/>
        </w:rPr>
        <w:t>z Rosji</w:t>
      </w:r>
      <w:r w:rsidR="00F42522">
        <w:rPr>
          <w:rFonts w:cs="Arial"/>
          <w:szCs w:val="19"/>
        </w:rPr>
        <w:t>,</w:t>
      </w:r>
      <w:r w:rsidR="00F42522" w:rsidRPr="00951F4F">
        <w:rPr>
          <w:rFonts w:cs="Arial"/>
          <w:szCs w:val="19"/>
        </w:rPr>
        <w:t xml:space="preserve"> </w:t>
      </w:r>
      <w:r w:rsidR="00F136D9" w:rsidRPr="00951F4F">
        <w:rPr>
          <w:rFonts w:cs="Arial"/>
          <w:szCs w:val="19"/>
        </w:rPr>
        <w:t>ze Stanów Zjednoczonych</w:t>
      </w:r>
      <w:r w:rsidR="00F136D9">
        <w:rPr>
          <w:rFonts w:cs="Arial"/>
          <w:szCs w:val="19"/>
        </w:rPr>
        <w:t xml:space="preserve">, </w:t>
      </w:r>
      <w:r w:rsidR="00F42522">
        <w:rPr>
          <w:rFonts w:cs="Arial"/>
          <w:szCs w:val="19"/>
        </w:rPr>
        <w:t>z</w:t>
      </w:r>
      <w:r w:rsidR="00951F4F" w:rsidRPr="00951F4F">
        <w:rPr>
          <w:rFonts w:cs="Arial"/>
          <w:szCs w:val="19"/>
        </w:rPr>
        <w:t xml:space="preserve"> </w:t>
      </w:r>
      <w:r w:rsidR="00D37998">
        <w:rPr>
          <w:rFonts w:cs="Arial"/>
          <w:szCs w:val="19"/>
        </w:rPr>
        <w:t xml:space="preserve">Hiszpanii, </w:t>
      </w:r>
      <w:r w:rsidR="00824808">
        <w:rPr>
          <w:rFonts w:cs="Arial"/>
          <w:szCs w:val="19"/>
        </w:rPr>
        <w:t xml:space="preserve">Niemiec, </w:t>
      </w:r>
      <w:r w:rsidR="00F42522" w:rsidRPr="00722DDE">
        <w:t>Holandii</w:t>
      </w:r>
      <w:r w:rsidR="00F42522">
        <w:t>, Belgii, Chin,</w:t>
      </w:r>
      <w:r w:rsidR="00F42522">
        <w:rPr>
          <w:rFonts w:cs="Arial"/>
          <w:szCs w:val="19"/>
        </w:rPr>
        <w:t xml:space="preserve"> </w:t>
      </w:r>
      <w:r w:rsidR="00F136D9">
        <w:rPr>
          <w:rFonts w:cs="Arial"/>
          <w:szCs w:val="19"/>
        </w:rPr>
        <w:t xml:space="preserve">Francji, </w:t>
      </w:r>
      <w:r w:rsidR="00824808">
        <w:t>Czech o</w:t>
      </w:r>
      <w:r w:rsidR="004E0FEC">
        <w:t>raz</w:t>
      </w:r>
      <w:r w:rsidR="00F42522">
        <w:t xml:space="preserve"> Włoch</w:t>
      </w:r>
      <w:r w:rsidRPr="00951F4F">
        <w:rPr>
          <w:rFonts w:cs="Arial"/>
          <w:szCs w:val="19"/>
        </w:rPr>
        <w:t>.</w:t>
      </w:r>
    </w:p>
    <w:p w:rsidR="00345F7C" w:rsidRPr="00483835" w:rsidRDefault="00483835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 w:rsidR="00B76C0C">
        <w:rPr>
          <w:rFonts w:cs="Arial"/>
        </w:rPr>
        <w:t>w</w:t>
      </w:r>
      <w:r w:rsidRPr="00483835">
        <w:rPr>
          <w:rFonts w:cs="Arial"/>
        </w:rPr>
        <w:t xml:space="preserve"> ekspor</w:t>
      </w:r>
      <w:r w:rsidR="00B76C0C">
        <w:rPr>
          <w:rFonts w:cs="Arial"/>
        </w:rPr>
        <w:t xml:space="preserve">cie </w:t>
      </w:r>
      <w:r>
        <w:rPr>
          <w:rFonts w:cs="Arial"/>
        </w:rPr>
        <w:t>6</w:t>
      </w:r>
      <w:r w:rsidR="00F136D9">
        <w:rPr>
          <w:rFonts w:cs="Arial"/>
        </w:rPr>
        <w:t>6</w:t>
      </w:r>
      <w:r w:rsidR="00722DDE">
        <w:rPr>
          <w:rFonts w:cs="Arial"/>
        </w:rPr>
        <w:t>,</w:t>
      </w:r>
      <w:r w:rsidR="00EC2269">
        <w:rPr>
          <w:rFonts w:cs="Arial"/>
        </w:rPr>
        <w:t>4</w:t>
      </w:r>
      <w:r w:rsidR="00B76C0C">
        <w:rPr>
          <w:rFonts w:cs="Arial"/>
        </w:rPr>
        <w:t>%</w:t>
      </w:r>
      <w:r w:rsidR="00177026">
        <w:rPr>
          <w:rFonts w:cs="Arial"/>
        </w:rPr>
        <w:t>, wobec 66,</w:t>
      </w:r>
      <w:r w:rsidR="00EC2269">
        <w:rPr>
          <w:rFonts w:cs="Arial"/>
        </w:rPr>
        <w:t>5</w:t>
      </w:r>
      <w:r w:rsidR="00177026">
        <w:rPr>
          <w:rFonts w:cs="Arial"/>
        </w:rPr>
        <w:t>% w  </w:t>
      </w:r>
      <w:r w:rsidR="00177026" w:rsidRPr="00483835">
        <w:rPr>
          <w:rFonts w:cs="Arial"/>
        </w:rPr>
        <w:t>analogicznym okresie ub. r.</w:t>
      </w:r>
      <w:r w:rsidRPr="00483835">
        <w:rPr>
          <w:rFonts w:cs="Arial"/>
        </w:rPr>
        <w:t xml:space="preserve">, a </w:t>
      </w:r>
      <w:r w:rsidR="00B76C0C">
        <w:rPr>
          <w:rFonts w:cs="Arial"/>
        </w:rPr>
        <w:t xml:space="preserve">w </w:t>
      </w:r>
      <w:r w:rsidRPr="00483835">
        <w:rPr>
          <w:rFonts w:cs="Arial"/>
        </w:rPr>
        <w:t>impor</w:t>
      </w:r>
      <w:r w:rsidR="00B76C0C">
        <w:rPr>
          <w:rFonts w:cs="Arial"/>
        </w:rPr>
        <w:t>cie</w:t>
      </w:r>
      <w:r w:rsidRPr="00483835">
        <w:rPr>
          <w:rFonts w:cs="Arial"/>
        </w:rPr>
        <w:t xml:space="preserve"> ogółem – </w:t>
      </w:r>
      <w:r w:rsidR="00EC2269">
        <w:rPr>
          <w:rFonts w:cs="Arial"/>
        </w:rPr>
        <w:t>65</w:t>
      </w:r>
      <w:r>
        <w:rPr>
          <w:rFonts w:cs="Arial"/>
        </w:rPr>
        <w:t>,</w:t>
      </w:r>
      <w:r w:rsidR="00EC2269">
        <w:rPr>
          <w:rFonts w:cs="Arial"/>
        </w:rPr>
        <w:t>4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177026">
        <w:rPr>
          <w:rFonts w:cs="Arial"/>
        </w:rPr>
        <w:t>5,</w:t>
      </w:r>
      <w:r w:rsidR="009020AD">
        <w:rPr>
          <w:rFonts w:cs="Arial"/>
        </w:rPr>
        <w:t>6</w:t>
      </w:r>
      <w:r w:rsidRPr="00483835">
        <w:rPr>
          <w:rFonts w:cs="Arial"/>
        </w:rPr>
        <w:t>% w styczniu</w:t>
      </w:r>
      <w:r w:rsidR="00722DDE">
        <w:rPr>
          <w:rFonts w:cs="Arial"/>
        </w:rPr>
        <w:t xml:space="preserve"> – </w:t>
      </w:r>
      <w:r w:rsidR="00EC2269">
        <w:rPr>
          <w:rFonts w:cs="Arial"/>
        </w:rPr>
        <w:t>lipcu</w:t>
      </w:r>
      <w:r w:rsidR="00F136D9"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7</w:t>
      </w:r>
      <w:r w:rsidRPr="00483835">
        <w:rPr>
          <w:rFonts w:cs="Arial"/>
        </w:rPr>
        <w:t xml:space="preserve"> r.).</w:t>
      </w:r>
    </w:p>
    <w:p w:rsidR="00A00ADB" w:rsidRPr="00483835" w:rsidRDefault="00F136D9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>w porównaniu z analogicznym okresem ub. r.</w:t>
      </w:r>
      <w:r w:rsidR="00EC2269">
        <w:rPr>
          <w:rFonts w:cs="Arial"/>
          <w:szCs w:val="19"/>
        </w:rPr>
        <w:t xml:space="preserve">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 w:rsidR="00EC2269">
        <w:rPr>
          <w:rFonts w:cs="Arial"/>
          <w:szCs w:val="19"/>
        </w:rPr>
        <w:t>8</w:t>
      </w:r>
      <w:r w:rsidRPr="00483835">
        <w:rPr>
          <w:rFonts w:cs="Arial"/>
          <w:szCs w:val="19"/>
        </w:rPr>
        <w:t> p. proc. i wyniósł 2</w:t>
      </w:r>
      <w:r w:rsidR="00177026">
        <w:rPr>
          <w:rFonts w:cs="Arial"/>
          <w:szCs w:val="19"/>
        </w:rPr>
        <w:t>8</w:t>
      </w:r>
      <w:r w:rsidR="00EC2269">
        <w:rPr>
          <w:rFonts w:cs="Arial"/>
          <w:szCs w:val="19"/>
        </w:rPr>
        <w:t>,0</w:t>
      </w:r>
      <w:r w:rsidRPr="00483835">
        <w:rPr>
          <w:rFonts w:cs="Arial"/>
          <w:szCs w:val="19"/>
        </w:rPr>
        <w:t>%,</w:t>
      </w:r>
      <w:r w:rsidR="00C77C4A" w:rsidRPr="00483835">
        <w:rPr>
          <w:rFonts w:cs="Arial"/>
          <w:szCs w:val="19"/>
        </w:rPr>
        <w:t xml:space="preserve"> a w imporcie </w:t>
      </w:r>
      <w:r w:rsidR="00722DDE">
        <w:rPr>
          <w:rFonts w:cs="Arial"/>
          <w:szCs w:val="19"/>
        </w:rPr>
        <w:t xml:space="preserve">obniżył się </w:t>
      </w:r>
      <w:r w:rsidR="00C77C4A" w:rsidRPr="00483835">
        <w:rPr>
          <w:rFonts w:cs="Arial"/>
          <w:szCs w:val="19"/>
        </w:rPr>
        <w:t>o 0,</w:t>
      </w:r>
      <w:r w:rsidR="00EC2269">
        <w:rPr>
          <w:rFonts w:cs="Arial"/>
          <w:szCs w:val="19"/>
        </w:rPr>
        <w:t>2</w:t>
      </w:r>
      <w:r w:rsidR="00C77C4A" w:rsidRPr="00483835">
        <w:rPr>
          <w:rFonts w:cs="Arial"/>
          <w:szCs w:val="19"/>
        </w:rPr>
        <w:t xml:space="preserve"> p. proc i stanowił 2</w:t>
      </w:r>
      <w:r w:rsidR="00722DDE">
        <w:rPr>
          <w:rFonts w:cs="Arial"/>
          <w:szCs w:val="19"/>
        </w:rPr>
        <w:t>2,</w:t>
      </w:r>
      <w:r w:rsidR="00EC2269">
        <w:rPr>
          <w:rFonts w:cs="Arial"/>
          <w:szCs w:val="19"/>
        </w:rPr>
        <w:t>8</w:t>
      </w:r>
      <w:r w:rsidR="00C77C4A" w:rsidRPr="00483835">
        <w:rPr>
          <w:rFonts w:cs="Arial"/>
          <w:szCs w:val="19"/>
        </w:rPr>
        <w:t xml:space="preserve">%. Dodatnie saldo wyniosło </w:t>
      </w:r>
      <w:r w:rsidR="00EC2269">
        <w:rPr>
          <w:rFonts w:cs="Arial"/>
          <w:szCs w:val="19"/>
        </w:rPr>
        <w:t>25,8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EC2269">
        <w:rPr>
          <w:rFonts w:cs="Arial"/>
          <w:szCs w:val="19"/>
        </w:rPr>
        <w:t>7,4</w:t>
      </w:r>
      <w:r w:rsidR="00F70DA2" w:rsidRPr="00483835">
        <w:rPr>
          <w:rFonts w:cs="Arial"/>
          <w:szCs w:val="19"/>
        </w:rPr>
        <w:t xml:space="preserve"> mld</w:t>
      </w:r>
      <w:r w:rsidR="00C77C4A" w:rsidRPr="00483835">
        <w:rPr>
          <w:rFonts w:cs="Arial"/>
          <w:szCs w:val="19"/>
        </w:rPr>
        <w:t xml:space="preserve"> USD</w:t>
      </w:r>
      <w:r w:rsidR="00C77C4A" w:rsidRPr="00797CEA">
        <w:rPr>
          <w:rFonts w:cs="Arial"/>
          <w:szCs w:val="19"/>
        </w:rPr>
        <w:t xml:space="preserve">, </w:t>
      </w:r>
      <w:r w:rsidR="00EC2269">
        <w:rPr>
          <w:rFonts w:cs="Arial"/>
          <w:szCs w:val="19"/>
        </w:rPr>
        <w:t>6,1</w:t>
      </w:r>
      <w:r w:rsidR="00AF6C4B" w:rsidRPr="00797CEA">
        <w:rPr>
          <w:rFonts w:cs="Arial"/>
          <w:szCs w:val="19"/>
        </w:rPr>
        <w:t xml:space="preserve"> </w:t>
      </w:r>
      <w:r w:rsidR="00C77C4A" w:rsidRPr="00797CEA">
        <w:rPr>
          <w:rFonts w:cs="Arial"/>
          <w:szCs w:val="19"/>
        </w:rPr>
        <w:t>ml</w:t>
      </w:r>
      <w:r w:rsidR="00F70DA2" w:rsidRPr="00797CEA">
        <w:rPr>
          <w:rFonts w:cs="Arial"/>
          <w:szCs w:val="19"/>
        </w:rPr>
        <w:t>d</w:t>
      </w:r>
      <w:r w:rsidR="00C77C4A" w:rsidRPr="00797CEA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 xml:space="preserve">EUR) wobec </w:t>
      </w:r>
      <w:r w:rsidR="00EC2269">
        <w:rPr>
          <w:rFonts w:cs="Arial"/>
          <w:szCs w:val="19"/>
        </w:rPr>
        <w:t>22,1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EC2269">
        <w:rPr>
          <w:rFonts w:cs="Arial"/>
          <w:szCs w:val="19"/>
        </w:rPr>
        <w:t>5,</w:t>
      </w:r>
      <w:r w:rsidR="009020AD">
        <w:rPr>
          <w:rFonts w:cs="Arial"/>
          <w:szCs w:val="19"/>
        </w:rPr>
        <w:t>6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USD, </w:t>
      </w:r>
      <w:r w:rsidR="009020AD">
        <w:rPr>
          <w:rFonts w:cs="Arial"/>
          <w:szCs w:val="19"/>
        </w:rPr>
        <w:t>5,2</w:t>
      </w:r>
      <w:r w:rsidR="00F70DA2" w:rsidRPr="00483835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5276812</wp:posOffset>
                </wp:positionH>
                <wp:positionV relativeFrom="paragraph">
                  <wp:posOffset>4030831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Pr="00FF1498" w:rsidRDefault="00F52F15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 imporcie wzrósł w porównaniu z analogicznym okresem 201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r.    </w:t>
                            </w:r>
                            <w:r w:rsidRPr="004E32D8">
                              <w:t>o</w:t>
                            </w:r>
                            <w:r>
                              <w:t xml:space="preserve"> </w:t>
                            </w:r>
                            <w:r w:rsidRPr="004E32D8">
                              <w:t>0</w:t>
                            </w:r>
                            <w:r w:rsidR="00505977">
                              <w:rPr>
                                <w:rFonts w:cs="Arial"/>
                              </w:rPr>
                              <w:t>,9</w:t>
                            </w:r>
                            <w:r>
                              <w:rPr>
                                <w:rFonts w:cs="Arial"/>
                              </w:rPr>
                              <w:t xml:space="preserve"> p. proc. i stanowi</w:t>
                            </w:r>
                            <w:r w:rsidR="00505977">
                              <w:rPr>
                                <w:rFonts w:cs="Arial"/>
                              </w:rPr>
                              <w:t>ł 7,2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Default="00F52F15" w:rsidP="00A00ADB">
                            <w:pPr>
                              <w:pStyle w:val="tekstzboku"/>
                            </w:pPr>
                          </w:p>
                          <w:p w:rsidR="00F52F15" w:rsidRPr="00074DD8" w:rsidRDefault="00F52F15" w:rsidP="00A00ADB">
                            <w:pPr>
                              <w:pStyle w:val="tekstzboku"/>
                            </w:pPr>
                          </w:p>
                          <w:p w:rsidR="00F52F15" w:rsidRPr="00D616D2" w:rsidRDefault="00F52F1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5pt;margin-top:317.4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IEgIAAAAE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" filled="f" stroked="f">
                <v:textbox>
                  <w:txbxContent>
                    <w:p w:rsidR="00F52F15" w:rsidRPr="00FF1498" w:rsidRDefault="00F52F15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 imporcie wzrósł w porównaniu z analogicznym okresem 201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Pr="00FF1498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r.    </w:t>
                      </w:r>
                      <w:r w:rsidRPr="004E32D8">
                        <w:t>o</w:t>
                      </w:r>
                      <w:r>
                        <w:t xml:space="preserve"> </w:t>
                      </w:r>
                      <w:r w:rsidRPr="004E32D8">
                        <w:t>0</w:t>
                      </w:r>
                      <w:r w:rsidR="00505977">
                        <w:rPr>
                          <w:rFonts w:cs="Arial"/>
                        </w:rPr>
                        <w:t>,9</w:t>
                      </w:r>
                      <w:r>
                        <w:rPr>
                          <w:rFonts w:cs="Arial"/>
                        </w:rPr>
                        <w:t xml:space="preserve"> p. proc. i stanowi</w:t>
                      </w:r>
                      <w:r w:rsidR="00505977">
                        <w:rPr>
                          <w:rFonts w:cs="Arial"/>
                        </w:rPr>
                        <w:t>ł 7,2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Default="00F52F15" w:rsidP="00A00ADB">
                      <w:pPr>
                        <w:pStyle w:val="tekstzboku"/>
                      </w:pPr>
                    </w:p>
                    <w:p w:rsidR="00F52F15" w:rsidRPr="00074DD8" w:rsidRDefault="00F52F15" w:rsidP="00A00ADB">
                      <w:pPr>
                        <w:pStyle w:val="tekstzboku"/>
                      </w:pPr>
                    </w:p>
                    <w:p w:rsidR="00F52F15" w:rsidRPr="00D616D2" w:rsidRDefault="00F52F1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D83BBC">
              <w:rPr>
                <w:rFonts w:cs="Arial"/>
                <w:sz w:val="16"/>
                <w:szCs w:val="16"/>
              </w:rPr>
              <w:t>II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FF29C2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D83BBC">
              <w:rPr>
                <w:rFonts w:cs="Arial"/>
                <w:sz w:val="16"/>
                <w:szCs w:val="16"/>
              </w:rPr>
              <w:t>II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D83BBC">
              <w:rPr>
                <w:rFonts w:cs="Arial"/>
                <w:sz w:val="16"/>
                <w:szCs w:val="16"/>
              </w:rPr>
              <w:t>II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FF29C2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148,6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42,5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35,2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122,9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Czechy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33,4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32,0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30,5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119,6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25,1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23,8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119,5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15,9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122,5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122,9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Szwecja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118,7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105,9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1650CE" w:rsidRPr="00366025" w:rsidTr="001650CE">
        <w:tc>
          <w:tcPr>
            <w:tcW w:w="2407" w:type="dxa"/>
            <w:vAlign w:val="bottom"/>
          </w:tcPr>
          <w:p w:rsidR="001650CE" w:rsidRPr="00366025" w:rsidRDefault="001650CE" w:rsidP="001650C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Hiszpania 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118,6</w:t>
            </w:r>
          </w:p>
        </w:tc>
        <w:tc>
          <w:tcPr>
            <w:tcW w:w="670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1650CE" w:rsidRDefault="001650CE" w:rsidP="001650C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35,1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29,1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120,8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108,0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23,0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59,0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16,9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38,5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138,3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123,7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114,3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20,5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20,3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118,9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18,5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13,7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741199" w:rsidRPr="00366025" w:rsidTr="00D115A8">
        <w:tc>
          <w:tcPr>
            <w:tcW w:w="2407" w:type="dxa"/>
            <w:vAlign w:val="bottom"/>
          </w:tcPr>
          <w:p w:rsidR="00741199" w:rsidRPr="00366025" w:rsidRDefault="00741199" w:rsidP="0074119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1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126,4</w:t>
            </w:r>
          </w:p>
        </w:tc>
        <w:tc>
          <w:tcPr>
            <w:tcW w:w="670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44" w:type="dxa"/>
            <w:vAlign w:val="bottom"/>
          </w:tcPr>
          <w:p w:rsidR="00741199" w:rsidRDefault="00741199" w:rsidP="009020A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020A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741199" w:rsidRDefault="00741199" w:rsidP="0074119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9B7A42" w:rsidRDefault="009B7A42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 w:rsidRPr="00D23875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D23875">
        <w:rPr>
          <w:rFonts w:cs="Arial"/>
          <w:szCs w:val="19"/>
        </w:rPr>
        <w:t>–</w:t>
      </w:r>
      <w:r w:rsidRPr="00D23875">
        <w:rPr>
          <w:rFonts w:cs="Arial"/>
          <w:spacing w:val="-3"/>
          <w:szCs w:val="19"/>
        </w:rPr>
        <w:t xml:space="preserve"> </w:t>
      </w:r>
      <w:r w:rsidR="00D23875" w:rsidRPr="00D23875">
        <w:rPr>
          <w:rFonts w:cs="Arial"/>
          <w:color w:val="000000"/>
          <w:szCs w:val="19"/>
        </w:rPr>
        <w:t>402,3</w:t>
      </w:r>
      <w:r w:rsidRPr="00D23875">
        <w:rPr>
          <w:rFonts w:cs="Arial"/>
          <w:spacing w:val="-3"/>
          <w:szCs w:val="19"/>
        </w:rPr>
        <w:t xml:space="preserve"> mld</w:t>
      </w:r>
      <w:r w:rsidR="004921B7" w:rsidRPr="00D23875">
        <w:rPr>
          <w:rFonts w:cs="Arial"/>
          <w:spacing w:val="-3"/>
          <w:szCs w:val="19"/>
        </w:rPr>
        <w:t xml:space="preserve"> zł</w:t>
      </w:r>
      <w:r w:rsidRPr="00D23875">
        <w:rPr>
          <w:rFonts w:cs="Arial"/>
          <w:spacing w:val="-3"/>
          <w:szCs w:val="19"/>
        </w:rPr>
        <w:t xml:space="preserve">, w tym z UE – </w:t>
      </w:r>
      <w:r w:rsidR="00D23875" w:rsidRPr="00D23875">
        <w:rPr>
          <w:rFonts w:cs="Arial"/>
          <w:color w:val="000000"/>
          <w:szCs w:val="19"/>
        </w:rPr>
        <w:t>376,3</w:t>
      </w:r>
      <w:r w:rsidR="004921B7" w:rsidRPr="00D23875">
        <w:rPr>
          <w:rFonts w:cs="Arial"/>
          <w:spacing w:val="-3"/>
          <w:szCs w:val="19"/>
        </w:rPr>
        <w:t xml:space="preserve"> </w:t>
      </w:r>
      <w:r w:rsidRPr="00D23875">
        <w:rPr>
          <w:rFonts w:cs="Arial"/>
          <w:spacing w:val="-3"/>
          <w:szCs w:val="19"/>
        </w:rPr>
        <w:t>mld</w:t>
      </w:r>
      <w:r w:rsidR="004921B7" w:rsidRPr="00D23875">
        <w:rPr>
          <w:rFonts w:cs="Arial"/>
          <w:spacing w:val="-3"/>
          <w:szCs w:val="19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8801A6">
        <w:rPr>
          <w:rFonts w:cs="Arial"/>
          <w:spacing w:val="-3"/>
        </w:rPr>
        <w:t>385,0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8801A6">
        <w:rPr>
          <w:rFonts w:cs="Arial"/>
          <w:spacing w:val="-3"/>
        </w:rPr>
        <w:t>360,7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471416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606763">
              <w:rPr>
                <w:rFonts w:cs="Arial"/>
                <w:sz w:val="16"/>
                <w:szCs w:val="16"/>
              </w:rPr>
              <w:t>V</w:t>
            </w:r>
            <w:r w:rsidR="00973FEB">
              <w:rPr>
                <w:rFonts w:cs="Arial"/>
                <w:sz w:val="16"/>
                <w:szCs w:val="16"/>
              </w:rPr>
              <w:t>II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606763">
              <w:rPr>
                <w:rFonts w:cs="Arial"/>
                <w:sz w:val="16"/>
                <w:szCs w:val="16"/>
              </w:rPr>
              <w:t>V</w:t>
            </w:r>
            <w:r w:rsidR="00973FEB">
              <w:rPr>
                <w:rFonts w:cs="Arial"/>
                <w:sz w:val="16"/>
                <w:szCs w:val="16"/>
              </w:rPr>
              <w:t>II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606763">
              <w:rPr>
                <w:rFonts w:cs="Arial"/>
                <w:sz w:val="16"/>
                <w:szCs w:val="16"/>
              </w:rPr>
              <w:t>V</w:t>
            </w:r>
            <w:r w:rsidR="00973FEB">
              <w:rPr>
                <w:rFonts w:cs="Arial"/>
                <w:sz w:val="16"/>
                <w:szCs w:val="16"/>
              </w:rPr>
              <w:t>II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FF29C2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51165C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73FEB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973FEB" w:rsidRPr="00A00ADB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537,4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73FE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402,3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19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973FE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376,3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19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70,0</w:t>
            </w:r>
          </w:p>
        </w:tc>
      </w:tr>
      <w:tr w:rsidR="00973FE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19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</w:tr>
      <w:tr w:rsidR="00973FE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719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15,7</w:t>
            </w:r>
          </w:p>
        </w:tc>
      </w:tr>
      <w:tr w:rsidR="00973FEB" w:rsidRPr="0051165C" w:rsidTr="00D115A8">
        <w:trPr>
          <w:trHeight w:val="355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719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973FE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-1,6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973FE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973FE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973FE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973FE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-46,1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-13,2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-11,0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973FEB" w:rsidRPr="0051165C" w:rsidTr="00D115A8">
        <w:trPr>
          <w:trHeight w:val="258"/>
        </w:trPr>
        <w:tc>
          <w:tcPr>
            <w:tcW w:w="2237" w:type="dxa"/>
            <w:vAlign w:val="center"/>
          </w:tcPr>
          <w:p w:rsidR="00973FEB" w:rsidRPr="0051165C" w:rsidRDefault="00973FEB" w:rsidP="00973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-20,1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-5,7</w:t>
            </w:r>
          </w:p>
        </w:tc>
        <w:tc>
          <w:tcPr>
            <w:tcW w:w="717" w:type="dxa"/>
            <w:vAlign w:val="bottom"/>
          </w:tcPr>
          <w:p w:rsidR="00973FEB" w:rsidRDefault="00973FEB" w:rsidP="00973FE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-4,8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973FEB" w:rsidRPr="0051165C" w:rsidRDefault="00973FEB" w:rsidP="00973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 xml:space="preserve">w stosunki do importu według kraju pochodzenia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</w:t>
      </w:r>
      <w:r w:rsidR="008801A6">
        <w:rPr>
          <w:rFonts w:cs="Arial"/>
        </w:rPr>
        <w:t>5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471416">
        <w:rPr>
          <w:rFonts w:cs="Arial"/>
        </w:rPr>
        <w:t>1,9</w:t>
      </w:r>
      <w:r w:rsidR="0099454C">
        <w:rPr>
          <w:rFonts w:cs="Arial"/>
        </w:rPr>
        <w:t xml:space="preserve"> p. proc., </w:t>
      </w:r>
      <w:r w:rsidR="00A34319">
        <w:rPr>
          <w:rFonts w:cs="Arial"/>
        </w:rPr>
        <w:t xml:space="preserve">Belgii o 1,2 </w:t>
      </w:r>
      <w:r w:rsidR="00FD2E48">
        <w:rPr>
          <w:rFonts w:cs="Arial"/>
        </w:rPr>
        <w:t xml:space="preserve">p. proc., </w:t>
      </w:r>
      <w:r w:rsidR="00F32E0A">
        <w:rPr>
          <w:rFonts w:cs="Arial"/>
        </w:rPr>
        <w:t xml:space="preserve">Czech o 0,6 p. proc. oraz </w:t>
      </w:r>
      <w:r w:rsidR="009C1232">
        <w:rPr>
          <w:rFonts w:cs="Arial"/>
        </w:rPr>
        <w:t>Rosji</w:t>
      </w:r>
      <w:r w:rsidR="0015688D">
        <w:rPr>
          <w:rFonts w:cs="Arial"/>
        </w:rPr>
        <w:t xml:space="preserve">, Francji </w:t>
      </w:r>
      <w:r w:rsidR="007A3CC4">
        <w:rPr>
          <w:rFonts w:cs="Arial"/>
        </w:rPr>
        <w:t>o 0,</w:t>
      </w:r>
      <w:r w:rsidR="00F32E0A">
        <w:rPr>
          <w:rFonts w:cs="Arial"/>
        </w:rPr>
        <w:t>3</w:t>
      </w:r>
      <w:r w:rsidR="007A3CC4">
        <w:rPr>
          <w:rFonts w:cs="Arial"/>
        </w:rPr>
        <w:t xml:space="preserve"> p. proc.</w:t>
      </w:r>
      <w:r w:rsidR="008C317D">
        <w:rPr>
          <w:rFonts w:cs="Arial"/>
        </w:rPr>
        <w:t> 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tbl>
      <w:tblPr>
        <w:tblpPr w:leftFromText="141" w:rightFromText="141" w:vertAnchor="page" w:horzAnchor="margin" w:tblpY="8956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3D744D" w:rsidRPr="00366025" w:rsidTr="003D744D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0A7A9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F80745">
              <w:rPr>
                <w:rFonts w:cs="Arial"/>
                <w:sz w:val="16"/>
                <w:szCs w:val="16"/>
              </w:rPr>
              <w:t xml:space="preserve"> – </w:t>
            </w:r>
            <w:r w:rsidR="000A7A9E">
              <w:rPr>
                <w:rFonts w:cs="Arial"/>
                <w:sz w:val="16"/>
                <w:szCs w:val="16"/>
              </w:rPr>
              <w:t>V</w:t>
            </w:r>
            <w:r w:rsidR="00B330EA">
              <w:rPr>
                <w:rFonts w:cs="Arial"/>
                <w:sz w:val="16"/>
                <w:szCs w:val="16"/>
              </w:rPr>
              <w:t>II</w:t>
            </w:r>
            <w:r w:rsidR="00B72ACF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3D744D" w:rsidRPr="00366025" w:rsidTr="003D744D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3D744D" w:rsidRPr="005F3D74" w:rsidRDefault="003D744D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3D744D" w:rsidRPr="005F3D74" w:rsidRDefault="003D744D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0A7A9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B72ACF">
              <w:rPr>
                <w:rFonts w:cs="Arial"/>
                <w:sz w:val="16"/>
                <w:szCs w:val="16"/>
              </w:rPr>
              <w:t xml:space="preserve"> – </w:t>
            </w:r>
            <w:r w:rsidR="000A7A9E">
              <w:rPr>
                <w:rFonts w:cs="Arial"/>
                <w:sz w:val="16"/>
                <w:szCs w:val="16"/>
              </w:rPr>
              <w:t>V</w:t>
            </w:r>
            <w:r w:rsidR="00B330EA">
              <w:rPr>
                <w:rFonts w:cs="Arial"/>
                <w:sz w:val="16"/>
                <w:szCs w:val="16"/>
              </w:rPr>
              <w:t>II</w:t>
            </w:r>
            <w:r w:rsidRPr="005F3D74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0A7A9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B72ACF">
              <w:rPr>
                <w:rFonts w:cs="Arial"/>
                <w:sz w:val="16"/>
                <w:szCs w:val="16"/>
              </w:rPr>
              <w:t xml:space="preserve"> – </w:t>
            </w:r>
            <w:r w:rsidR="000A7A9E">
              <w:rPr>
                <w:rFonts w:cs="Arial"/>
                <w:sz w:val="16"/>
                <w:szCs w:val="16"/>
              </w:rPr>
              <w:t>V</w:t>
            </w:r>
            <w:r w:rsidR="00B330EA">
              <w:rPr>
                <w:rFonts w:cs="Arial"/>
                <w:sz w:val="16"/>
                <w:szCs w:val="16"/>
              </w:rPr>
              <w:t>II</w:t>
            </w:r>
            <w:r w:rsidR="00B72ACF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3D744D" w:rsidRPr="00366025" w:rsidTr="003D744D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D744D" w:rsidRPr="00366025" w:rsidTr="003D744D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3D744D" w:rsidRPr="00366025" w:rsidRDefault="003D744D" w:rsidP="003D744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146,6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41,9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34,7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119,3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 Rosja 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40,2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126,8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144,3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129,0</w:t>
            </w:r>
          </w:p>
        </w:tc>
        <w:tc>
          <w:tcPr>
            <w:tcW w:w="629" w:type="dxa"/>
            <w:vAlign w:val="bottom"/>
          </w:tcPr>
          <w:p w:rsidR="00B330EA" w:rsidRDefault="009020AD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3.  Chiny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37,5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29" w:type="dxa"/>
            <w:vAlign w:val="bottom"/>
          </w:tcPr>
          <w:p w:rsidR="00B330EA" w:rsidRDefault="009020AD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30,4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115,0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22,3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106,5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107,3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20,6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123,5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 w:rsidRPr="00366025"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B330EA" w:rsidRPr="00366025" w:rsidTr="00B330EA">
        <w:trPr>
          <w:trHeight w:val="394"/>
        </w:trPr>
        <w:tc>
          <w:tcPr>
            <w:tcW w:w="2351" w:type="dxa"/>
            <w:vAlign w:val="center"/>
          </w:tcPr>
          <w:p w:rsidR="00B330EA" w:rsidRPr="0038490F" w:rsidRDefault="00B330EA" w:rsidP="00B330E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54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55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122,3</w:t>
            </w:r>
          </w:p>
        </w:tc>
        <w:tc>
          <w:tcPr>
            <w:tcW w:w="656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29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30" w:type="dxa"/>
            <w:vAlign w:val="bottom"/>
          </w:tcPr>
          <w:p w:rsidR="00B330EA" w:rsidRDefault="00B330EA" w:rsidP="00B330E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3D744D" w:rsidRDefault="009C5A21" w:rsidP="003D744D">
      <w:pPr>
        <w:rPr>
          <w:b/>
          <w:sz w:val="18"/>
          <w:szCs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4F94345" wp14:editId="699656FA">
                <wp:simplePos x="0" y="0"/>
                <wp:positionH relativeFrom="page">
                  <wp:align>right</wp:align>
                </wp:positionH>
                <wp:positionV relativeFrom="paragraph">
                  <wp:posOffset>2109066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Default="00F52F15" w:rsidP="003D744D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Udział importu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udziału według kraju pochodzenia był mniejszy  o 3,</w:t>
                            </w:r>
                            <w:r w:rsidR="00505977">
                              <w:rPr>
                                <w:rFonts w:cs="Arial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</w:rPr>
                              <w:t> p. proc.</w:t>
                            </w: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Default="00F52F15" w:rsidP="003D744D">
                            <w:pPr>
                              <w:pStyle w:val="tekstzboku"/>
                            </w:pPr>
                          </w:p>
                          <w:p w:rsidR="00F52F15" w:rsidRPr="00074DD8" w:rsidRDefault="00F52F15" w:rsidP="003D744D">
                            <w:pPr>
                              <w:pStyle w:val="tekstzboku"/>
                            </w:pPr>
                          </w:p>
                          <w:p w:rsidR="00F52F15" w:rsidRPr="00D616D2" w:rsidRDefault="00F52F15" w:rsidP="003D744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345" id="Pole tekstowe 28" o:spid="_x0000_s1032" type="#_x0000_t202" style="position:absolute;margin-left:84.65pt;margin-top:166.05pt;width:135.85pt;height:82.45pt;z-index:-2515650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" filled="f" stroked="f">
                <v:textbox>
                  <w:txbxContent>
                    <w:p w:rsidR="00F52F15" w:rsidRDefault="00F52F15" w:rsidP="003D744D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Udział importu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udziału według kraju pochodzenia był mniejszy  o 3,</w:t>
                      </w:r>
                      <w:r w:rsidR="00505977">
                        <w:rPr>
                          <w:rFonts w:cs="Arial"/>
                        </w:rPr>
                        <w:t>5</w:t>
                      </w:r>
                      <w:r>
                        <w:rPr>
                          <w:rFonts w:cs="Arial"/>
                        </w:rPr>
                        <w:t> p. proc.</w:t>
                      </w: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Default="00F52F15" w:rsidP="003D744D">
                      <w:pPr>
                        <w:pStyle w:val="tekstzboku"/>
                      </w:pPr>
                    </w:p>
                    <w:p w:rsidR="00F52F15" w:rsidRPr="00074DD8" w:rsidRDefault="00F52F15" w:rsidP="003D744D">
                      <w:pPr>
                        <w:pStyle w:val="tekstzboku"/>
                      </w:pPr>
                    </w:p>
                    <w:p w:rsidR="00F52F15" w:rsidRPr="00D616D2" w:rsidRDefault="00F52F15" w:rsidP="003D744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744D">
        <w:rPr>
          <w:rFonts w:cs="Arial"/>
          <w:b/>
          <w:spacing w:val="-3"/>
          <w:sz w:val="18"/>
          <w:szCs w:val="18"/>
        </w:rPr>
        <w:t>Tablica 4</w:t>
      </w:r>
      <w:r w:rsidR="003D744D" w:rsidRPr="00C30406">
        <w:rPr>
          <w:rFonts w:cs="Arial"/>
          <w:b/>
          <w:spacing w:val="-3"/>
          <w:sz w:val="18"/>
          <w:szCs w:val="18"/>
        </w:rPr>
        <w:t>.</w:t>
      </w:r>
      <w:r w:rsidR="003D744D">
        <w:rPr>
          <w:rFonts w:cs="Arial"/>
          <w:b/>
          <w:spacing w:val="-3"/>
          <w:sz w:val="18"/>
          <w:szCs w:val="18"/>
        </w:rPr>
        <w:t xml:space="preserve"> </w:t>
      </w:r>
      <w:r w:rsidR="003D744D" w:rsidRPr="0048231B">
        <w:rPr>
          <w:b/>
        </w:rPr>
        <w:t>Import wedłu</w:t>
      </w:r>
      <w:r w:rsidR="003D744D">
        <w:rPr>
          <w:b/>
        </w:rPr>
        <w:t>g kraju wysyłki - według krajów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502AA2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faks:</w:t>
            </w:r>
            <w:r w:rsidRPr="00690129">
              <w:rPr>
                <w:sz w:val="20"/>
                <w:lang w:val="en-US"/>
              </w:rPr>
              <w:t xml:space="preserve"> (+48 22) 608 38 86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15" w:rsidRDefault="00F52F1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52F15" w:rsidRPr="00A00ADB" w:rsidRDefault="00F52F15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52F15" w:rsidRPr="0090586A" w:rsidRDefault="00F92F3F" w:rsidP="00AB6D25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F52F15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2017</w:t>
                              </w:r>
                            </w:hyperlink>
                          </w:p>
                          <w:p w:rsidR="00F52F15" w:rsidRDefault="00F92F3F" w:rsidP="00E12DB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5" w:history="1">
                              <w:r w:rsidR="00F52F15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Obroty towarowe handlu zagranicznego w 2016 r.</w:t>
                              </w:r>
                            </w:hyperlink>
                          </w:p>
                          <w:p w:rsidR="00F52F15" w:rsidRPr="00D47F89" w:rsidRDefault="00F92F3F" w:rsidP="00E12DB3">
                            <w:pPr>
                              <w:rPr>
                                <w:color w:val="333399"/>
                                <w:szCs w:val="19"/>
                              </w:rPr>
                            </w:pPr>
                            <w:hyperlink r:id="rId26" w:history="1">
                              <w:r w:rsidR="00F52F15" w:rsidRPr="00D47F89">
                                <w:rPr>
                                  <w:rStyle w:val="Hipercze"/>
                                  <w:color w:val="333399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F52F15" w:rsidRPr="00A00ADB" w:rsidRDefault="00F52F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52F15" w:rsidRPr="00A00ADB" w:rsidRDefault="00F52F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52F15" w:rsidRPr="0090586A" w:rsidRDefault="00F52F15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7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F52F15" w:rsidRPr="0090586A" w:rsidRDefault="00F52F1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F52F15" w:rsidRPr="00A00ADB" w:rsidRDefault="00F52F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52F15" w:rsidRDefault="00F52F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52F15" w:rsidRPr="0090586A" w:rsidRDefault="00F92F3F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F52F15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F52F15" w:rsidRPr="003C491B" w:rsidRDefault="00F92F3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52F15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F52F15" w:rsidRPr="003C491B" w:rsidRDefault="00F52F1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F52F15" w:rsidRPr="00020CD4" w:rsidRDefault="00F52F1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52F15" w:rsidRPr="00020CD4" w:rsidRDefault="00F52F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F52F15" w:rsidRDefault="00F52F15" w:rsidP="00AB6D25">
                      <w:pPr>
                        <w:rPr>
                          <w:b/>
                        </w:rPr>
                      </w:pPr>
                    </w:p>
                    <w:p w:rsidR="00F52F15" w:rsidRPr="00A00ADB" w:rsidRDefault="00F52F15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F52F15" w:rsidRPr="0090586A" w:rsidRDefault="00F52F15" w:rsidP="00AB6D25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2017</w:t>
                        </w:r>
                      </w:hyperlink>
                    </w:p>
                    <w:p w:rsidR="00F52F15" w:rsidRDefault="00F52F15" w:rsidP="00E12DB3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2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</w:rPr>
                          <w:t>Obroty towarowe handlu zagranicznego w 2016 r.</w:t>
                        </w:r>
                      </w:hyperlink>
                    </w:p>
                    <w:p w:rsidR="00F52F15" w:rsidRPr="00D47F89" w:rsidRDefault="00F52F15" w:rsidP="00E12DB3">
                      <w:pPr>
                        <w:rPr>
                          <w:color w:val="333399"/>
                          <w:szCs w:val="19"/>
                        </w:rPr>
                      </w:pPr>
                      <w:hyperlink r:id="rId33" w:history="1">
                        <w:r w:rsidRPr="00D47F89">
                          <w:rPr>
                            <w:rStyle w:val="Hipercze"/>
                            <w:color w:val="333399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F52F15" w:rsidRPr="00A00ADB" w:rsidRDefault="00F52F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52F15" w:rsidRPr="00A00ADB" w:rsidRDefault="00F52F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52F15" w:rsidRPr="0090586A" w:rsidRDefault="00F52F15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F52F15" w:rsidRPr="0090586A" w:rsidRDefault="00F52F15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F52F15" w:rsidRPr="00A00ADB" w:rsidRDefault="00F52F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52F15" w:rsidRDefault="00F52F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52F15" w:rsidRPr="0090586A" w:rsidRDefault="00F52F15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F52F15" w:rsidRPr="003C491B" w:rsidRDefault="00F52F15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F52F15" w:rsidRPr="003C491B" w:rsidRDefault="00F52F15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F52F15" w:rsidRPr="00020CD4" w:rsidRDefault="00F52F1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52F15" w:rsidRPr="00020CD4" w:rsidRDefault="00F52F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F3F" w:rsidRDefault="00F92F3F" w:rsidP="000662E2">
      <w:pPr>
        <w:spacing w:after="0" w:line="240" w:lineRule="auto"/>
      </w:pPr>
      <w:r>
        <w:separator/>
      </w:r>
    </w:p>
  </w:endnote>
  <w:endnote w:type="continuationSeparator" w:id="0">
    <w:p w:rsidR="00F92F3F" w:rsidRDefault="00F92F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F52F15" w:rsidRDefault="00F52F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01">
          <w:rPr>
            <w:noProof/>
          </w:rPr>
          <w:t>5</w:t>
        </w:r>
        <w:r>
          <w:fldChar w:fldCharType="end"/>
        </w:r>
      </w:p>
    </w:sdtContent>
  </w:sdt>
  <w:p w:rsidR="00F52F15" w:rsidRDefault="00F52F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F52F15" w:rsidRDefault="00F52F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F3F">
          <w:rPr>
            <w:noProof/>
          </w:rPr>
          <w:t>1</w:t>
        </w:r>
        <w:r>
          <w:fldChar w:fldCharType="end"/>
        </w:r>
      </w:p>
    </w:sdtContent>
  </w:sdt>
  <w:p w:rsidR="00F52F15" w:rsidRDefault="00F52F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F3F" w:rsidRDefault="00F92F3F" w:rsidP="000662E2">
      <w:pPr>
        <w:spacing w:after="0" w:line="240" w:lineRule="auto"/>
      </w:pPr>
      <w:r>
        <w:separator/>
      </w:r>
    </w:p>
  </w:footnote>
  <w:footnote w:type="continuationSeparator" w:id="0">
    <w:p w:rsidR="00F92F3F" w:rsidRDefault="00F92F3F" w:rsidP="000662E2">
      <w:pPr>
        <w:spacing w:after="0" w:line="240" w:lineRule="auto"/>
      </w:pPr>
      <w:r>
        <w:continuationSeparator/>
      </w:r>
    </w:p>
  </w:footnote>
  <w:footnote w:id="1">
    <w:p w:rsidR="00F52F15" w:rsidRPr="004926AC" w:rsidRDefault="00F52F15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F52F15" w:rsidRDefault="00F52F15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F52F15" w:rsidRDefault="00F52F15" w:rsidP="0048231B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15" w:rsidRDefault="00F52F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F6C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52F15" w:rsidRDefault="00F52F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15" w:rsidRDefault="00F52F1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2F15" w:rsidRPr="003C6C8D" w:rsidRDefault="00F52F1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52F15" w:rsidRPr="003C6C8D" w:rsidRDefault="00F52F1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BFB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197FCE4" wp14:editId="2ECD959D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2F15" w:rsidRDefault="00F52F1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2F15" w:rsidRPr="00C97596" w:rsidRDefault="00F52F1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12.09.2018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52F15" w:rsidRPr="00C97596" w:rsidRDefault="00F52F1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12.09.2018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15" w:rsidRDefault="00F52F15">
    <w:pPr>
      <w:pStyle w:val="Nagwek"/>
    </w:pPr>
  </w:p>
  <w:p w:rsidR="00F52F15" w:rsidRDefault="00F52F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6F61"/>
    <w:rsid w:val="00036E65"/>
    <w:rsid w:val="00042C5D"/>
    <w:rsid w:val="0004582E"/>
    <w:rsid w:val="000470AA"/>
    <w:rsid w:val="00057CA1"/>
    <w:rsid w:val="000662E2"/>
    <w:rsid w:val="00066883"/>
    <w:rsid w:val="00071154"/>
    <w:rsid w:val="00074DD8"/>
    <w:rsid w:val="00076A47"/>
    <w:rsid w:val="000806F7"/>
    <w:rsid w:val="00091E91"/>
    <w:rsid w:val="00093508"/>
    <w:rsid w:val="00094050"/>
    <w:rsid w:val="000A1EEF"/>
    <w:rsid w:val="000A4C89"/>
    <w:rsid w:val="000A7A9E"/>
    <w:rsid w:val="000B0727"/>
    <w:rsid w:val="000B3A5D"/>
    <w:rsid w:val="000B3CED"/>
    <w:rsid w:val="000B6C36"/>
    <w:rsid w:val="000B71D4"/>
    <w:rsid w:val="000C135D"/>
    <w:rsid w:val="000D1D43"/>
    <w:rsid w:val="000D225C"/>
    <w:rsid w:val="000D2A5C"/>
    <w:rsid w:val="000D52AA"/>
    <w:rsid w:val="000E0918"/>
    <w:rsid w:val="000E5D0E"/>
    <w:rsid w:val="000F0BB5"/>
    <w:rsid w:val="001011C3"/>
    <w:rsid w:val="00102DB5"/>
    <w:rsid w:val="001051ED"/>
    <w:rsid w:val="00110D87"/>
    <w:rsid w:val="00112855"/>
    <w:rsid w:val="001146CE"/>
    <w:rsid w:val="00114DB9"/>
    <w:rsid w:val="00116087"/>
    <w:rsid w:val="00130296"/>
    <w:rsid w:val="0013325B"/>
    <w:rsid w:val="001423B6"/>
    <w:rsid w:val="001440E1"/>
    <w:rsid w:val="001448A7"/>
    <w:rsid w:val="00146621"/>
    <w:rsid w:val="001478E5"/>
    <w:rsid w:val="00150575"/>
    <w:rsid w:val="00152273"/>
    <w:rsid w:val="0015688D"/>
    <w:rsid w:val="00162325"/>
    <w:rsid w:val="001650CE"/>
    <w:rsid w:val="0017078D"/>
    <w:rsid w:val="001731B2"/>
    <w:rsid w:val="00177026"/>
    <w:rsid w:val="00180BE8"/>
    <w:rsid w:val="00185BAA"/>
    <w:rsid w:val="00186D31"/>
    <w:rsid w:val="001951DA"/>
    <w:rsid w:val="00196A35"/>
    <w:rsid w:val="001B232A"/>
    <w:rsid w:val="001C3269"/>
    <w:rsid w:val="001C3584"/>
    <w:rsid w:val="001D111C"/>
    <w:rsid w:val="001D1DB4"/>
    <w:rsid w:val="001F10F6"/>
    <w:rsid w:val="001F1B03"/>
    <w:rsid w:val="00207FAB"/>
    <w:rsid w:val="00212F9D"/>
    <w:rsid w:val="00226D98"/>
    <w:rsid w:val="002313C5"/>
    <w:rsid w:val="00240783"/>
    <w:rsid w:val="002420CA"/>
    <w:rsid w:val="00246534"/>
    <w:rsid w:val="00256AD1"/>
    <w:rsid w:val="002574F9"/>
    <w:rsid w:val="0025788E"/>
    <w:rsid w:val="0026119D"/>
    <w:rsid w:val="0027462D"/>
    <w:rsid w:val="00276811"/>
    <w:rsid w:val="00277A82"/>
    <w:rsid w:val="00282699"/>
    <w:rsid w:val="0028458E"/>
    <w:rsid w:val="00291F7B"/>
    <w:rsid w:val="002926DF"/>
    <w:rsid w:val="00296697"/>
    <w:rsid w:val="002A2450"/>
    <w:rsid w:val="002B0472"/>
    <w:rsid w:val="002B2177"/>
    <w:rsid w:val="002B3760"/>
    <w:rsid w:val="002B6B12"/>
    <w:rsid w:val="002D45CF"/>
    <w:rsid w:val="002E14D1"/>
    <w:rsid w:val="002E6140"/>
    <w:rsid w:val="002E6985"/>
    <w:rsid w:val="002E71B6"/>
    <w:rsid w:val="002F2768"/>
    <w:rsid w:val="002F6500"/>
    <w:rsid w:val="002F77C8"/>
    <w:rsid w:val="00304F22"/>
    <w:rsid w:val="00306C7C"/>
    <w:rsid w:val="00320D7D"/>
    <w:rsid w:val="003216C9"/>
    <w:rsid w:val="00322EDD"/>
    <w:rsid w:val="00332320"/>
    <w:rsid w:val="0034509D"/>
    <w:rsid w:val="00345F7C"/>
    <w:rsid w:val="0034666A"/>
    <w:rsid w:val="00346AAD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8341F"/>
    <w:rsid w:val="003843DB"/>
    <w:rsid w:val="0038490F"/>
    <w:rsid w:val="00385BF0"/>
    <w:rsid w:val="00393761"/>
    <w:rsid w:val="00397D18"/>
    <w:rsid w:val="003A1B36"/>
    <w:rsid w:val="003B1454"/>
    <w:rsid w:val="003C0295"/>
    <w:rsid w:val="003C491B"/>
    <w:rsid w:val="003C59E0"/>
    <w:rsid w:val="003C6B82"/>
    <w:rsid w:val="003C6C8D"/>
    <w:rsid w:val="003C73DE"/>
    <w:rsid w:val="003D23E6"/>
    <w:rsid w:val="003D4F95"/>
    <w:rsid w:val="003D5F42"/>
    <w:rsid w:val="003D60A9"/>
    <w:rsid w:val="003D744D"/>
    <w:rsid w:val="003E0EA7"/>
    <w:rsid w:val="003E3ECE"/>
    <w:rsid w:val="003F4C97"/>
    <w:rsid w:val="003F7FE6"/>
    <w:rsid w:val="00400193"/>
    <w:rsid w:val="00403C1A"/>
    <w:rsid w:val="004045B9"/>
    <w:rsid w:val="00404EF4"/>
    <w:rsid w:val="00411C0A"/>
    <w:rsid w:val="00415EEB"/>
    <w:rsid w:val="004212E7"/>
    <w:rsid w:val="0042446D"/>
    <w:rsid w:val="0042458C"/>
    <w:rsid w:val="00424EA5"/>
    <w:rsid w:val="004258A4"/>
    <w:rsid w:val="00427BF8"/>
    <w:rsid w:val="00430F6A"/>
    <w:rsid w:val="00431C02"/>
    <w:rsid w:val="00434D16"/>
    <w:rsid w:val="00437395"/>
    <w:rsid w:val="004376C1"/>
    <w:rsid w:val="004437F4"/>
    <w:rsid w:val="00445047"/>
    <w:rsid w:val="0045590E"/>
    <w:rsid w:val="00463E39"/>
    <w:rsid w:val="004657FC"/>
    <w:rsid w:val="0046619C"/>
    <w:rsid w:val="00471416"/>
    <w:rsid w:val="004733F6"/>
    <w:rsid w:val="00474E69"/>
    <w:rsid w:val="00476D65"/>
    <w:rsid w:val="0048231B"/>
    <w:rsid w:val="00483835"/>
    <w:rsid w:val="0048721F"/>
    <w:rsid w:val="00490CCF"/>
    <w:rsid w:val="004921B7"/>
    <w:rsid w:val="004926AC"/>
    <w:rsid w:val="004931B7"/>
    <w:rsid w:val="0049621B"/>
    <w:rsid w:val="00497A8D"/>
    <w:rsid w:val="004A051B"/>
    <w:rsid w:val="004A29AD"/>
    <w:rsid w:val="004B2FBB"/>
    <w:rsid w:val="004B64A7"/>
    <w:rsid w:val="004C1895"/>
    <w:rsid w:val="004C6D40"/>
    <w:rsid w:val="004D100F"/>
    <w:rsid w:val="004E0FEC"/>
    <w:rsid w:val="004E32D8"/>
    <w:rsid w:val="004F0C3C"/>
    <w:rsid w:val="004F39A5"/>
    <w:rsid w:val="004F63FC"/>
    <w:rsid w:val="004F68CF"/>
    <w:rsid w:val="004F6A62"/>
    <w:rsid w:val="00502AA2"/>
    <w:rsid w:val="00505977"/>
    <w:rsid w:val="00505A92"/>
    <w:rsid w:val="0051165C"/>
    <w:rsid w:val="00512AAE"/>
    <w:rsid w:val="005203F1"/>
    <w:rsid w:val="00521BC3"/>
    <w:rsid w:val="00523701"/>
    <w:rsid w:val="00533632"/>
    <w:rsid w:val="005354A1"/>
    <w:rsid w:val="0053772A"/>
    <w:rsid w:val="0054251F"/>
    <w:rsid w:val="00550618"/>
    <w:rsid w:val="005520D8"/>
    <w:rsid w:val="005549A9"/>
    <w:rsid w:val="00556CF1"/>
    <w:rsid w:val="00567B0A"/>
    <w:rsid w:val="005762A7"/>
    <w:rsid w:val="00585385"/>
    <w:rsid w:val="00586936"/>
    <w:rsid w:val="005916D7"/>
    <w:rsid w:val="005A698C"/>
    <w:rsid w:val="005A729A"/>
    <w:rsid w:val="005C3C14"/>
    <w:rsid w:val="005C4C4F"/>
    <w:rsid w:val="005C5358"/>
    <w:rsid w:val="005D2960"/>
    <w:rsid w:val="005E0799"/>
    <w:rsid w:val="005E0EBD"/>
    <w:rsid w:val="005E67F5"/>
    <w:rsid w:val="005E76AC"/>
    <w:rsid w:val="005F0F6A"/>
    <w:rsid w:val="005F30B8"/>
    <w:rsid w:val="005F39A7"/>
    <w:rsid w:val="005F3D74"/>
    <w:rsid w:val="005F5A80"/>
    <w:rsid w:val="006044FF"/>
    <w:rsid w:val="00606763"/>
    <w:rsid w:val="00607CC5"/>
    <w:rsid w:val="00633014"/>
    <w:rsid w:val="0063437B"/>
    <w:rsid w:val="006401A1"/>
    <w:rsid w:val="0065337E"/>
    <w:rsid w:val="006537F5"/>
    <w:rsid w:val="00654F9B"/>
    <w:rsid w:val="006646E5"/>
    <w:rsid w:val="00664C1E"/>
    <w:rsid w:val="00665A78"/>
    <w:rsid w:val="006673CA"/>
    <w:rsid w:val="00673305"/>
    <w:rsid w:val="00673C26"/>
    <w:rsid w:val="0067678F"/>
    <w:rsid w:val="006812AF"/>
    <w:rsid w:val="00682774"/>
    <w:rsid w:val="0068327D"/>
    <w:rsid w:val="00690129"/>
    <w:rsid w:val="00694AF0"/>
    <w:rsid w:val="00695495"/>
    <w:rsid w:val="006A215D"/>
    <w:rsid w:val="006A4F91"/>
    <w:rsid w:val="006B0E9E"/>
    <w:rsid w:val="006B47AE"/>
    <w:rsid w:val="006B4E44"/>
    <w:rsid w:val="006B53C4"/>
    <w:rsid w:val="006B5AE4"/>
    <w:rsid w:val="006C57ED"/>
    <w:rsid w:val="006D31C0"/>
    <w:rsid w:val="006D4054"/>
    <w:rsid w:val="006E02EC"/>
    <w:rsid w:val="006E4FFD"/>
    <w:rsid w:val="006F6C73"/>
    <w:rsid w:val="00701D51"/>
    <w:rsid w:val="0071064C"/>
    <w:rsid w:val="00712DB0"/>
    <w:rsid w:val="007211B1"/>
    <w:rsid w:val="00722DDE"/>
    <w:rsid w:val="00741199"/>
    <w:rsid w:val="00744325"/>
    <w:rsid w:val="00746187"/>
    <w:rsid w:val="007476ED"/>
    <w:rsid w:val="0076254F"/>
    <w:rsid w:val="00773E91"/>
    <w:rsid w:val="00774E70"/>
    <w:rsid w:val="007801F5"/>
    <w:rsid w:val="007808EF"/>
    <w:rsid w:val="00781E09"/>
    <w:rsid w:val="00783CA4"/>
    <w:rsid w:val="007842FB"/>
    <w:rsid w:val="00786124"/>
    <w:rsid w:val="007912C4"/>
    <w:rsid w:val="0079514B"/>
    <w:rsid w:val="00797CEA"/>
    <w:rsid w:val="007A2DC1"/>
    <w:rsid w:val="007A3CC4"/>
    <w:rsid w:val="007A4923"/>
    <w:rsid w:val="007A584A"/>
    <w:rsid w:val="007C5AC9"/>
    <w:rsid w:val="007D3319"/>
    <w:rsid w:val="007D335D"/>
    <w:rsid w:val="007D3F3F"/>
    <w:rsid w:val="007D6BC4"/>
    <w:rsid w:val="007E11F4"/>
    <w:rsid w:val="007E3314"/>
    <w:rsid w:val="007E3777"/>
    <w:rsid w:val="007E4B03"/>
    <w:rsid w:val="007F324B"/>
    <w:rsid w:val="007F3FA5"/>
    <w:rsid w:val="007F6BA3"/>
    <w:rsid w:val="0080553C"/>
    <w:rsid w:val="00805B46"/>
    <w:rsid w:val="00824808"/>
    <w:rsid w:val="00825DC2"/>
    <w:rsid w:val="00825F5C"/>
    <w:rsid w:val="00832FBE"/>
    <w:rsid w:val="00834AD3"/>
    <w:rsid w:val="0084092E"/>
    <w:rsid w:val="00843795"/>
    <w:rsid w:val="00843B80"/>
    <w:rsid w:val="00847F0F"/>
    <w:rsid w:val="00852448"/>
    <w:rsid w:val="008529D8"/>
    <w:rsid w:val="008652AD"/>
    <w:rsid w:val="0087094B"/>
    <w:rsid w:val="0087116E"/>
    <w:rsid w:val="008720A0"/>
    <w:rsid w:val="00874A1E"/>
    <w:rsid w:val="008801A6"/>
    <w:rsid w:val="0088258A"/>
    <w:rsid w:val="00886332"/>
    <w:rsid w:val="00887BD4"/>
    <w:rsid w:val="0089134A"/>
    <w:rsid w:val="008935C5"/>
    <w:rsid w:val="008A10A2"/>
    <w:rsid w:val="008A26D9"/>
    <w:rsid w:val="008A697A"/>
    <w:rsid w:val="008B4B4D"/>
    <w:rsid w:val="008C0C29"/>
    <w:rsid w:val="008C317D"/>
    <w:rsid w:val="008C3310"/>
    <w:rsid w:val="008F3638"/>
    <w:rsid w:val="008F6F31"/>
    <w:rsid w:val="008F74DF"/>
    <w:rsid w:val="009020AD"/>
    <w:rsid w:val="0090586A"/>
    <w:rsid w:val="009127BA"/>
    <w:rsid w:val="00921F50"/>
    <w:rsid w:val="009227A6"/>
    <w:rsid w:val="00932408"/>
    <w:rsid w:val="00933EC1"/>
    <w:rsid w:val="00944977"/>
    <w:rsid w:val="00946BAC"/>
    <w:rsid w:val="00951F4F"/>
    <w:rsid w:val="009530DB"/>
    <w:rsid w:val="00953676"/>
    <w:rsid w:val="00955FF5"/>
    <w:rsid w:val="009705EE"/>
    <w:rsid w:val="00973FEB"/>
    <w:rsid w:val="00977927"/>
    <w:rsid w:val="0098135C"/>
    <w:rsid w:val="0098156A"/>
    <w:rsid w:val="00982B24"/>
    <w:rsid w:val="00984585"/>
    <w:rsid w:val="00985D81"/>
    <w:rsid w:val="00987A98"/>
    <w:rsid w:val="00991BAC"/>
    <w:rsid w:val="00992926"/>
    <w:rsid w:val="0099454C"/>
    <w:rsid w:val="009A0F70"/>
    <w:rsid w:val="009A39CF"/>
    <w:rsid w:val="009A5C86"/>
    <w:rsid w:val="009A6EA0"/>
    <w:rsid w:val="009B7A42"/>
    <w:rsid w:val="009C1232"/>
    <w:rsid w:val="009C1335"/>
    <w:rsid w:val="009C17B6"/>
    <w:rsid w:val="009C1AB2"/>
    <w:rsid w:val="009C5A21"/>
    <w:rsid w:val="009C5D06"/>
    <w:rsid w:val="009C7251"/>
    <w:rsid w:val="009D0070"/>
    <w:rsid w:val="009D1900"/>
    <w:rsid w:val="009E2E91"/>
    <w:rsid w:val="009E31C1"/>
    <w:rsid w:val="009E4C59"/>
    <w:rsid w:val="009F21D8"/>
    <w:rsid w:val="009F50B3"/>
    <w:rsid w:val="009F59A3"/>
    <w:rsid w:val="009F6713"/>
    <w:rsid w:val="00A00ADB"/>
    <w:rsid w:val="00A123C7"/>
    <w:rsid w:val="00A139F5"/>
    <w:rsid w:val="00A165B0"/>
    <w:rsid w:val="00A34319"/>
    <w:rsid w:val="00A365F4"/>
    <w:rsid w:val="00A416B1"/>
    <w:rsid w:val="00A44ACB"/>
    <w:rsid w:val="00A477B8"/>
    <w:rsid w:val="00A47D80"/>
    <w:rsid w:val="00A53132"/>
    <w:rsid w:val="00A563F2"/>
    <w:rsid w:val="00A566E8"/>
    <w:rsid w:val="00A6544F"/>
    <w:rsid w:val="00A77F02"/>
    <w:rsid w:val="00A810F9"/>
    <w:rsid w:val="00A81F44"/>
    <w:rsid w:val="00A844E6"/>
    <w:rsid w:val="00A86962"/>
    <w:rsid w:val="00A86ECC"/>
    <w:rsid w:val="00A86EFC"/>
    <w:rsid w:val="00A86FCC"/>
    <w:rsid w:val="00A876AE"/>
    <w:rsid w:val="00A913B8"/>
    <w:rsid w:val="00A951BE"/>
    <w:rsid w:val="00AA1FF3"/>
    <w:rsid w:val="00AA5072"/>
    <w:rsid w:val="00AA710D"/>
    <w:rsid w:val="00AB6D25"/>
    <w:rsid w:val="00AB72B1"/>
    <w:rsid w:val="00AD34B4"/>
    <w:rsid w:val="00AE2D4B"/>
    <w:rsid w:val="00AE4325"/>
    <w:rsid w:val="00AE4F99"/>
    <w:rsid w:val="00AE636C"/>
    <w:rsid w:val="00AF6C4B"/>
    <w:rsid w:val="00B04285"/>
    <w:rsid w:val="00B1493C"/>
    <w:rsid w:val="00B14952"/>
    <w:rsid w:val="00B15BEB"/>
    <w:rsid w:val="00B25357"/>
    <w:rsid w:val="00B31E5A"/>
    <w:rsid w:val="00B330EA"/>
    <w:rsid w:val="00B33E37"/>
    <w:rsid w:val="00B50115"/>
    <w:rsid w:val="00B5279C"/>
    <w:rsid w:val="00B653AB"/>
    <w:rsid w:val="00B65F9E"/>
    <w:rsid w:val="00B66555"/>
    <w:rsid w:val="00B66B19"/>
    <w:rsid w:val="00B718F6"/>
    <w:rsid w:val="00B72ACF"/>
    <w:rsid w:val="00B76C0C"/>
    <w:rsid w:val="00B914E9"/>
    <w:rsid w:val="00B92654"/>
    <w:rsid w:val="00B956EE"/>
    <w:rsid w:val="00B957EC"/>
    <w:rsid w:val="00BA1D4F"/>
    <w:rsid w:val="00BA2BA1"/>
    <w:rsid w:val="00BB4F09"/>
    <w:rsid w:val="00BD2BC3"/>
    <w:rsid w:val="00BD4E33"/>
    <w:rsid w:val="00BD67C2"/>
    <w:rsid w:val="00BE060A"/>
    <w:rsid w:val="00BE588F"/>
    <w:rsid w:val="00C02127"/>
    <w:rsid w:val="00C030DE"/>
    <w:rsid w:val="00C22105"/>
    <w:rsid w:val="00C244B6"/>
    <w:rsid w:val="00C30406"/>
    <w:rsid w:val="00C3702F"/>
    <w:rsid w:val="00C425A6"/>
    <w:rsid w:val="00C436BE"/>
    <w:rsid w:val="00C43CFC"/>
    <w:rsid w:val="00C5627C"/>
    <w:rsid w:val="00C64A37"/>
    <w:rsid w:val="00C7158E"/>
    <w:rsid w:val="00C7250B"/>
    <w:rsid w:val="00C733C3"/>
    <w:rsid w:val="00C7346B"/>
    <w:rsid w:val="00C7776D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018D"/>
    <w:rsid w:val="00CC303A"/>
    <w:rsid w:val="00CC739E"/>
    <w:rsid w:val="00CD2FE9"/>
    <w:rsid w:val="00CD58B7"/>
    <w:rsid w:val="00CF4099"/>
    <w:rsid w:val="00D00796"/>
    <w:rsid w:val="00D0610C"/>
    <w:rsid w:val="00D115A8"/>
    <w:rsid w:val="00D12F60"/>
    <w:rsid w:val="00D23875"/>
    <w:rsid w:val="00D261A2"/>
    <w:rsid w:val="00D34D98"/>
    <w:rsid w:val="00D37998"/>
    <w:rsid w:val="00D47F89"/>
    <w:rsid w:val="00D53D5E"/>
    <w:rsid w:val="00D616D2"/>
    <w:rsid w:val="00D626BB"/>
    <w:rsid w:val="00D63B5F"/>
    <w:rsid w:val="00D67CD3"/>
    <w:rsid w:val="00D70EF7"/>
    <w:rsid w:val="00D8397C"/>
    <w:rsid w:val="00D83BBC"/>
    <w:rsid w:val="00D845BF"/>
    <w:rsid w:val="00D94EED"/>
    <w:rsid w:val="00D96026"/>
    <w:rsid w:val="00DA4CE5"/>
    <w:rsid w:val="00DA7C1C"/>
    <w:rsid w:val="00DB147A"/>
    <w:rsid w:val="00DB1B7A"/>
    <w:rsid w:val="00DB20ED"/>
    <w:rsid w:val="00DB562E"/>
    <w:rsid w:val="00DC6708"/>
    <w:rsid w:val="00DE267C"/>
    <w:rsid w:val="00DE2D12"/>
    <w:rsid w:val="00E01436"/>
    <w:rsid w:val="00E045BD"/>
    <w:rsid w:val="00E103C6"/>
    <w:rsid w:val="00E12DB3"/>
    <w:rsid w:val="00E17B77"/>
    <w:rsid w:val="00E23337"/>
    <w:rsid w:val="00E259EA"/>
    <w:rsid w:val="00E31C5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637B8"/>
    <w:rsid w:val="00E664C5"/>
    <w:rsid w:val="00E671A2"/>
    <w:rsid w:val="00E723F3"/>
    <w:rsid w:val="00E76D26"/>
    <w:rsid w:val="00E86D11"/>
    <w:rsid w:val="00E93AC6"/>
    <w:rsid w:val="00EA7416"/>
    <w:rsid w:val="00EB1390"/>
    <w:rsid w:val="00EB2C71"/>
    <w:rsid w:val="00EB4340"/>
    <w:rsid w:val="00EB556D"/>
    <w:rsid w:val="00EB5A7D"/>
    <w:rsid w:val="00EC2269"/>
    <w:rsid w:val="00EC6793"/>
    <w:rsid w:val="00ED55C0"/>
    <w:rsid w:val="00ED682B"/>
    <w:rsid w:val="00EE41D5"/>
    <w:rsid w:val="00F02C7E"/>
    <w:rsid w:val="00F037A4"/>
    <w:rsid w:val="00F067F4"/>
    <w:rsid w:val="00F136D9"/>
    <w:rsid w:val="00F152E6"/>
    <w:rsid w:val="00F274D0"/>
    <w:rsid w:val="00F27C8F"/>
    <w:rsid w:val="00F32749"/>
    <w:rsid w:val="00F32E0A"/>
    <w:rsid w:val="00F3415A"/>
    <w:rsid w:val="00F35F16"/>
    <w:rsid w:val="00F37172"/>
    <w:rsid w:val="00F42440"/>
    <w:rsid w:val="00F42522"/>
    <w:rsid w:val="00F4477E"/>
    <w:rsid w:val="00F52F15"/>
    <w:rsid w:val="00F657FD"/>
    <w:rsid w:val="00F67D8F"/>
    <w:rsid w:val="00F70DA2"/>
    <w:rsid w:val="00F71B2B"/>
    <w:rsid w:val="00F802BE"/>
    <w:rsid w:val="00F80745"/>
    <w:rsid w:val="00F86024"/>
    <w:rsid w:val="00F8611A"/>
    <w:rsid w:val="00F92F3F"/>
    <w:rsid w:val="00FA5128"/>
    <w:rsid w:val="00FB42D4"/>
    <w:rsid w:val="00FB50BD"/>
    <w:rsid w:val="00FB5906"/>
    <w:rsid w:val="00FB762F"/>
    <w:rsid w:val="00FC0B7D"/>
    <w:rsid w:val="00FC2AED"/>
    <w:rsid w:val="00FD2E48"/>
    <w:rsid w:val="00FD5EA7"/>
    <w:rsid w:val="00FF1498"/>
    <w:rsid w:val="00FF1AF9"/>
    <w:rsid w:val="00FF29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s://stat.gov.pl/obszary-tematyczne/ceny-handel/handel/handel-zagraniczny-statystyka-lustrzana-i-statystyka-asymetrii,17,1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SitePagesDBW/HandelZagranicz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ceny-handel/handel/obroty-towarowe-handlu-zagranicznego-w-2016-r-,4,14.html" TargetMode="External"/><Relationship Id="rId33" Type="http://schemas.openxmlformats.org/officeDocument/2006/relationships/hyperlink" Target="https://stat.gov.pl/obszary-tematyczne/ceny-handel/handel/handel-zagraniczny-statystyka-lustrzana-i-statystyka-asymetrii,17,1.html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4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roczniki-statystyczne/roczniki-statystyczne/rocznik-statystyczny-handlu-zagranicznego-2017,9,11.html" TargetMode="External"/><Relationship Id="rId32" Type="http://schemas.openxmlformats.org/officeDocument/2006/relationships/hyperlink" Target="http://stat.gov.pl/obszary-tematyczne/ceny-handel/handel/obroty-towarowe-handlu-zagranicznego-w-2016-r-,4,14.html" TargetMode="External"/><Relationship Id="rId37" Type="http://schemas.openxmlformats.org/officeDocument/2006/relationships/hyperlink" Target="http://stat.gov.pl/metainformacje/slownik-pojec/pojecia-stosowane-w-statystyce-publicznej/11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banki-i-bazy-danych/handel-zagraniczny/" TargetMode="External"/><Relationship Id="rId36" Type="http://schemas.openxmlformats.org/officeDocument/2006/relationships/hyperlink" Target="http://stat.gov.pl/metainformacje/slownik-pojec/pojecia-stosowane-w-statystyce-publicznej/746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obszary-tematyczne/roczniki-statystyczne/roczniki-statystyczne/rocznik-statystyczny-handlu-zagranicznego-2017,9,1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HandelZagraniczny.aspx" TargetMode="External"/><Relationship Id="rId30" Type="http://schemas.openxmlformats.org/officeDocument/2006/relationships/hyperlink" Target="http://stat.gov.pl/metainformacje/slownik-pojec/pojecia-stosowane-w-statystyce-publicznej/119,pojecie.html" TargetMode="External"/><Relationship Id="rId35" Type="http://schemas.openxmlformats.org/officeDocument/2006/relationships/hyperlink" Target="http://stat.gov.pl/banki-i-bazy-danych/handel-zagraniczny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0099">
                <a:shade val="30000"/>
                <a:satMod val="115000"/>
              </a:srgbClr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</c:strCache>
            </c:strRef>
          </c:cat>
          <c:val>
            <c:numRef>
              <c:f>Arkusz1!$B$7:$D$7</c:f>
              <c:numCache>
                <c:formatCode>0.0</c:formatCode>
                <c:ptCount val="3"/>
                <c:pt idx="0">
                  <c:v>76.8</c:v>
                </c:pt>
                <c:pt idx="1">
                  <c:v>79.900000000000006</c:v>
                </c:pt>
                <c:pt idx="2">
                  <c:v>73.400000000000006</c:v>
                </c:pt>
              </c:numCache>
            </c:numRef>
          </c:val>
        </c:ser>
        <c:ser>
          <c:idx val="1"/>
          <c:order val="1"/>
          <c:tx>
            <c:strRef>
              <c:f>Arkusz1!$A$8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</c:strCache>
            </c:strRef>
          </c:cat>
          <c:val>
            <c:numRef>
              <c:f>Arkusz1!$B$8:$D$8</c:f>
              <c:numCache>
                <c:formatCode>0.0</c:formatCode>
                <c:ptCount val="3"/>
                <c:pt idx="0">
                  <c:v>76.099999999999994</c:v>
                </c:pt>
                <c:pt idx="1">
                  <c:v>81</c:v>
                </c:pt>
                <c:pt idx="2">
                  <c:v>75.599999999999994</c:v>
                </c:pt>
              </c:numCache>
            </c:numRef>
          </c:val>
        </c:ser>
        <c:ser>
          <c:idx val="2"/>
          <c:order val="2"/>
          <c:tx>
            <c:strRef>
              <c:f>Arkusz1!$A$9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69BE2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</c:strCache>
            </c:strRef>
          </c:cat>
          <c:val>
            <c:numRef>
              <c:f>Arkusz1!$B$9:$D$9</c:f>
              <c:numCache>
                <c:formatCode>0.0</c:formatCode>
                <c:ptCount val="3"/>
                <c:pt idx="0">
                  <c:v>0.70000000000000284</c:v>
                </c:pt>
                <c:pt idx="1">
                  <c:v>-1.0999999999999943</c:v>
                </c:pt>
                <c:pt idx="2">
                  <c:v>-2.1999999999999886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94512800"/>
        <c:axId val="-1994510624"/>
      </c:barChart>
      <c:catAx>
        <c:axId val="-199451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94510624"/>
        <c:crosses val="autoZero"/>
        <c:auto val="1"/>
        <c:lblAlgn val="ctr"/>
        <c:lblOffset val="100"/>
        <c:noMultiLvlLbl val="0"/>
      </c:catAx>
      <c:valAx>
        <c:axId val="-1994510624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945128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EEF72B-A69F-4A44-8851-1E76F2EB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3</cp:revision>
  <cp:lastPrinted>2018-09-05T11:47:00Z</cp:lastPrinted>
  <dcterms:created xsi:type="dcterms:W3CDTF">2018-09-12T07:42:00Z</dcterms:created>
  <dcterms:modified xsi:type="dcterms:W3CDTF">2018-09-12T07:42:00Z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