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Default="00685123" w:rsidP="00685123">
      <w:pPr>
        <w:pStyle w:val="tytuinformacji"/>
      </w:pPr>
      <w:r w:rsidRPr="000846A2">
        <w:t>Wskaźniki cen towarów i usług konsumpcyjnych</w:t>
      </w:r>
      <w:r>
        <w:t xml:space="preserve"> w </w:t>
      </w:r>
      <w:r w:rsidR="000F2650">
        <w:t>kwietniu</w:t>
      </w:r>
      <w:r w:rsidR="00EE696D">
        <w:t xml:space="preserve"> 2018 r.</w:t>
      </w:r>
    </w:p>
    <w:p w:rsidR="00AD4947" w:rsidRPr="00001C5B" w:rsidRDefault="00AD4947" w:rsidP="00AD4947">
      <w:pPr>
        <w:pStyle w:val="tytuinformacji"/>
        <w:rPr>
          <w:sz w:val="32"/>
        </w:rPr>
      </w:pPr>
    </w:p>
    <w:p w:rsidR="00D538E4" w:rsidRDefault="005D1C04" w:rsidP="00CF08EF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5DC3FF02" wp14:editId="431AD029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650" w:rsidRPr="00D538E4" w:rsidRDefault="000F2650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910001C" wp14:editId="15E0FB88">
                                  <wp:extent cx="334645" cy="334645"/>
                                  <wp:effectExtent l="0" t="0" r="8255" b="8255"/>
                                  <wp:docPr id="9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5%</w:t>
                            </w:r>
                          </w:p>
                          <w:p w:rsidR="000F2650" w:rsidRPr="00D538E4" w:rsidRDefault="000F2650" w:rsidP="00D538E4">
                            <w:pPr>
                              <w:pStyle w:val="tekstnaniebieskimtle"/>
                            </w:pPr>
                            <w:r>
                              <w:t xml:space="preserve">wzrost </w:t>
                            </w:r>
                            <w:r w:rsidRPr="00D538E4">
                              <w:t>w po</w:t>
                            </w:r>
                            <w:r>
                              <w:t xml:space="preserve">równaniu </w:t>
                            </w:r>
                            <w:r>
                              <w:br/>
                              <w:t>z poprzednim miesiącem</w:t>
                            </w:r>
                          </w:p>
                          <w:p w:rsidR="000F2650" w:rsidRPr="00D538E4" w:rsidRDefault="000F2650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3FF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0F2650" w:rsidRPr="00D538E4" w:rsidRDefault="000F2650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910001C" wp14:editId="15E0FB88">
                            <wp:extent cx="334645" cy="334645"/>
                            <wp:effectExtent l="0" t="0" r="8255" b="8255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5%</w:t>
                      </w:r>
                    </w:p>
                    <w:p w:rsidR="000F2650" w:rsidRPr="00D538E4" w:rsidRDefault="000F2650" w:rsidP="00D538E4">
                      <w:pPr>
                        <w:pStyle w:val="tekstnaniebieskimtle"/>
                      </w:pPr>
                      <w:r>
                        <w:t xml:space="preserve">wzrost </w:t>
                      </w:r>
                      <w:r w:rsidRPr="00D538E4">
                        <w:t>w po</w:t>
                      </w:r>
                      <w:r>
                        <w:t xml:space="preserve">równaniu </w:t>
                      </w:r>
                      <w:r>
                        <w:br/>
                        <w:t>z poprzednim miesiącem</w:t>
                      </w:r>
                    </w:p>
                    <w:p w:rsidR="000F2650" w:rsidRPr="00D538E4" w:rsidRDefault="000F2650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38E4" w:rsidRPr="00D538E4">
        <w:t xml:space="preserve">Ceny towarów i usług konsumpcyjnych w </w:t>
      </w:r>
      <w:r w:rsidR="000F2650">
        <w:t>kwietniu</w:t>
      </w:r>
      <w:r w:rsidR="00D538E4" w:rsidRPr="00D538E4">
        <w:t xml:space="preserve"> 201</w:t>
      </w:r>
      <w:r w:rsidR="009C5407">
        <w:t>8</w:t>
      </w:r>
      <w:r w:rsidR="000F2650">
        <w:t xml:space="preserve"> r. </w:t>
      </w:r>
      <w:r w:rsidR="00D538E4" w:rsidRPr="00D538E4">
        <w:t xml:space="preserve">w stosunku do poprzedniego miesiąca </w:t>
      </w:r>
      <w:r w:rsidR="000F2650">
        <w:t>wzrosły</w:t>
      </w:r>
      <w:r w:rsidR="006D6B72">
        <w:t xml:space="preserve"> </w:t>
      </w:r>
      <w:r w:rsidR="006D6B72" w:rsidRPr="006D6B72">
        <w:t>o </w:t>
      </w:r>
      <w:r w:rsidR="00D538E4" w:rsidRPr="006D6B72">
        <w:t>0,</w:t>
      </w:r>
      <w:r w:rsidR="000F2650">
        <w:t>5</w:t>
      </w:r>
      <w:r w:rsidR="00D538E4" w:rsidRPr="006D6B72">
        <w:t xml:space="preserve">% (w tym towarów </w:t>
      </w:r>
      <w:r w:rsidR="000F2650">
        <w:t xml:space="preserve">– o 0,6% </w:t>
      </w:r>
      <w:r w:rsidR="000800B4">
        <w:t>oraz usług</w:t>
      </w:r>
      <w:r w:rsidR="00D538E4" w:rsidRPr="006D6B72">
        <w:t xml:space="preserve"> </w:t>
      </w:r>
      <w:r w:rsidR="000F2650">
        <w:t xml:space="preserve">– </w:t>
      </w:r>
      <w:r w:rsidR="00D538E4" w:rsidRPr="006D6B72">
        <w:t>o 0,</w:t>
      </w:r>
      <w:r w:rsidR="000F2650">
        <w:t>3</w:t>
      </w:r>
      <w:r w:rsidR="00D538E4" w:rsidRPr="006D6B72">
        <w:t>%)</w:t>
      </w:r>
      <w:r w:rsidR="006D6B72">
        <w:t xml:space="preserve">. </w:t>
      </w:r>
      <w:r w:rsidR="00917CCF">
        <w:br/>
      </w:r>
      <w:r w:rsidR="006D6B72">
        <w:t>W porównaniu z </w:t>
      </w:r>
      <w:r w:rsidR="00D538E4" w:rsidRPr="006D6B72">
        <w:t>a</w:t>
      </w:r>
      <w:r w:rsidR="000F2650">
        <w:t>nalo</w:t>
      </w:r>
      <w:r w:rsidR="000F2650">
        <w:softHyphen/>
        <w:t>gicznym miesiącem ub. roku</w:t>
      </w:r>
      <w:r w:rsidR="00D538E4" w:rsidRPr="006D6B72">
        <w:t xml:space="preserve"> </w:t>
      </w:r>
      <w:r w:rsidR="00917CCF">
        <w:br/>
      </w:r>
      <w:r w:rsidR="006D6B72" w:rsidRPr="006D6B72">
        <w:t xml:space="preserve">ceny towarów i usług konsumpcyjnych </w:t>
      </w:r>
      <w:r w:rsidR="00D538E4" w:rsidRPr="006D6B72">
        <w:t>wzros</w:t>
      </w:r>
      <w:r w:rsidR="006D6B72" w:rsidRPr="006D6B72">
        <w:t>ły</w:t>
      </w:r>
      <w:r w:rsidR="00D538E4" w:rsidRPr="006D6B72">
        <w:t xml:space="preserve"> </w:t>
      </w:r>
      <w:r w:rsidR="00917CCF">
        <w:br/>
      </w:r>
      <w:r w:rsidR="006D6B72" w:rsidRPr="006D6B72">
        <w:t>o</w:t>
      </w:r>
      <w:r w:rsidR="00D538E4" w:rsidRPr="006D6B72">
        <w:t xml:space="preserve"> </w:t>
      </w:r>
      <w:r w:rsidR="006D6B72" w:rsidRPr="006D6B72">
        <w:t>1</w:t>
      </w:r>
      <w:r w:rsidR="00D538E4" w:rsidRPr="006D6B72">
        <w:t>,</w:t>
      </w:r>
      <w:r w:rsidR="000F2650">
        <w:t>6</w:t>
      </w:r>
      <w:r w:rsidR="00D538E4" w:rsidRPr="006D6B72">
        <w:t xml:space="preserve">% (w tym </w:t>
      </w:r>
      <w:r w:rsidR="006D6B72" w:rsidRPr="006D6B72">
        <w:t xml:space="preserve">usług </w:t>
      </w:r>
      <w:r w:rsidR="00D538E4" w:rsidRPr="006D6B72">
        <w:t>–</w:t>
      </w:r>
      <w:r w:rsidR="00B94737">
        <w:t xml:space="preserve"> </w:t>
      </w:r>
      <w:r w:rsidR="00D538E4" w:rsidRPr="006D6B72">
        <w:t>o </w:t>
      </w:r>
      <w:r w:rsidR="000F2650">
        <w:t>1</w:t>
      </w:r>
      <w:r w:rsidR="00D538E4" w:rsidRPr="006D6B72">
        <w:t>,</w:t>
      </w:r>
      <w:r w:rsidR="000F2650">
        <w:t>7</w:t>
      </w:r>
      <w:r w:rsidR="00D538E4" w:rsidRPr="006D6B72">
        <w:t>% i </w:t>
      </w:r>
      <w:r w:rsidR="006D6B72" w:rsidRPr="006D6B72">
        <w:t>towarów</w:t>
      </w:r>
      <w:r w:rsidR="00D538E4" w:rsidRPr="006D6B72">
        <w:t xml:space="preserve"> – o 1,</w:t>
      </w:r>
      <w:r w:rsidR="000F2650">
        <w:t>5</w:t>
      </w:r>
      <w:r w:rsidR="00D538E4" w:rsidRPr="006D6B72">
        <w:t>%).</w:t>
      </w:r>
      <w:r w:rsidR="000800B4">
        <w:br/>
      </w:r>
    </w:p>
    <w:p w:rsidR="00CF08EF" w:rsidRPr="00D538E4" w:rsidRDefault="00CF08EF" w:rsidP="00CF08EF">
      <w:pPr>
        <w:pStyle w:val="LID"/>
        <w:rPr>
          <w:b w:val="0"/>
          <w:color w:val="212492"/>
          <w:spacing w:val="-2"/>
        </w:rPr>
      </w:pPr>
    </w:p>
    <w:tbl>
      <w:tblPr>
        <w:tblStyle w:val="Siatkatabelijasna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11"/>
        <w:gridCol w:w="1023"/>
        <w:gridCol w:w="1023"/>
        <w:gridCol w:w="1026"/>
        <w:gridCol w:w="1055"/>
        <w:gridCol w:w="945"/>
      </w:tblGrid>
      <w:tr w:rsidR="003B5096" w:rsidRPr="00FA5128" w:rsidTr="003B5096">
        <w:trPr>
          <w:cantSplit/>
          <w:trHeight w:val="367"/>
        </w:trPr>
        <w:tc>
          <w:tcPr>
            <w:tcW w:w="3211" w:type="dxa"/>
            <w:vMerge w:val="restart"/>
            <w:vAlign w:val="center"/>
          </w:tcPr>
          <w:p w:rsidR="003B5096" w:rsidRPr="009C7251" w:rsidRDefault="003B5096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9C7251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3072" w:type="dxa"/>
            <w:gridSpan w:val="3"/>
            <w:vAlign w:val="center"/>
          </w:tcPr>
          <w:p w:rsidR="003B5096" w:rsidRPr="00FA5128" w:rsidRDefault="003B5096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IV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055" w:type="dxa"/>
          </w:tcPr>
          <w:p w:rsidR="003B5096" w:rsidRPr="00493217" w:rsidRDefault="003B5096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I-IV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45" w:type="dxa"/>
            <w:vMerge w:val="restart"/>
            <w:vAlign w:val="center"/>
          </w:tcPr>
          <w:p w:rsidR="003B5096" w:rsidRPr="00493217" w:rsidRDefault="003B5096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49321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WPŁYW ZMIAN</w:t>
            </w:r>
          </w:p>
          <w:p w:rsidR="003B5096" w:rsidRPr="000800B4" w:rsidRDefault="003B5096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</w:t>
            </w:r>
            <w:r w:rsidRPr="0049321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II 2018=</w:t>
            </w:r>
            <w:r w:rsidRPr="00493217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br/>
              <w:t>=100</w:t>
            </w:r>
          </w:p>
        </w:tc>
      </w:tr>
      <w:tr w:rsidR="003B5096" w:rsidRPr="00FA5128" w:rsidTr="003B5096">
        <w:trPr>
          <w:cantSplit/>
          <w:trHeight w:val="57"/>
        </w:trPr>
        <w:tc>
          <w:tcPr>
            <w:tcW w:w="3211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FA5128" w:rsidRDefault="003B5096" w:rsidP="003B509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A37CE0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IV 2017=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23" w:type="dxa"/>
            <w:tcBorders>
              <w:bottom w:val="single" w:sz="12" w:space="0" w:color="212492"/>
            </w:tcBorders>
            <w:vAlign w:val="center"/>
          </w:tcPr>
          <w:p w:rsidR="003B5096" w:rsidRPr="00A37CE0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XII 2017=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26" w:type="dxa"/>
            <w:tcBorders>
              <w:bottom w:val="single" w:sz="12" w:space="0" w:color="212492"/>
            </w:tcBorders>
            <w:vAlign w:val="center"/>
          </w:tcPr>
          <w:p w:rsidR="003B5096" w:rsidRPr="00A37CE0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III 2018=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</w:t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bottom w:val="single" w:sz="12" w:space="0" w:color="212492"/>
            </w:tcBorders>
          </w:tcPr>
          <w:p w:rsidR="003B5096" w:rsidRPr="00493217" w:rsidRDefault="003B5096" w:rsidP="003B5096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I-IV</w:t>
            </w: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7=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3B5096" w:rsidRPr="00A37CE0" w:rsidRDefault="003B5096" w:rsidP="003B5096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3B5096" w:rsidRPr="00FA5128" w:rsidTr="00A20F29">
        <w:trPr>
          <w:cantSplit/>
          <w:trHeight w:val="57"/>
        </w:trPr>
        <w:tc>
          <w:tcPr>
            <w:tcW w:w="321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3B5096" w:rsidRPr="00FA5128" w:rsidRDefault="003B5096" w:rsidP="003B5096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b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23" w:type="dxa"/>
            <w:tcBorders>
              <w:top w:val="single" w:sz="12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26" w:type="dxa"/>
            <w:tcBorders>
              <w:top w:val="single" w:sz="12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b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55" w:type="dxa"/>
            <w:tcBorders>
              <w:top w:val="single" w:sz="12" w:space="0" w:color="212492"/>
              <w:bottom w:val="single" w:sz="4" w:space="0" w:color="212492"/>
            </w:tcBorders>
          </w:tcPr>
          <w:p w:rsidR="003B5096" w:rsidRPr="003B5096" w:rsidRDefault="003B5096" w:rsidP="003B509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b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3B5096" w:rsidRPr="003D3B24" w:rsidRDefault="003B5096" w:rsidP="003B509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3B5096" w:rsidRPr="00FA5128" w:rsidTr="00A20F29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5096" w:rsidRPr="008C7A01" w:rsidRDefault="003B5096" w:rsidP="003B5096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8C7A0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</w:r>
            <w:r w:rsidRPr="008C7A01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bezalkoholowe 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3B5096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0,09</w:t>
            </w:r>
          </w:p>
        </w:tc>
      </w:tr>
      <w:tr w:rsidR="003B5096" w:rsidRPr="00296068" w:rsidTr="00A20F29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5096" w:rsidRPr="006761A7" w:rsidRDefault="003B5096" w:rsidP="003B5096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A37CE0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</w:r>
            <w:r w:rsidRPr="00A37CE0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i wyroby tytoniowe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3B5096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3B5096" w:rsidRPr="00296068" w:rsidTr="00A20F29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5096" w:rsidRPr="00296068" w:rsidRDefault="003B5096" w:rsidP="003B5096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96,2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3B5096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0,15</w:t>
            </w:r>
          </w:p>
        </w:tc>
      </w:tr>
      <w:tr w:rsidR="003B5096" w:rsidRPr="00FA5128" w:rsidTr="00A20F29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5096" w:rsidRPr="00A37CE0" w:rsidRDefault="003B5096" w:rsidP="003B5096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</w:r>
            <w:r w:rsidRPr="00A37CE0">
              <w:rPr>
                <w:rFonts w:ascii="Fira Sans" w:hAnsi="Fira Sans"/>
                <w:color w:val="000000" w:themeColor="text1"/>
                <w:sz w:val="16"/>
                <w:szCs w:val="16"/>
              </w:rPr>
              <w:t>lub domu i nośniki energii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3B5096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3B5096" w:rsidRPr="00FA5128" w:rsidTr="00A20F29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5096" w:rsidRPr="00A37CE0" w:rsidRDefault="003B5096" w:rsidP="003B509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</w:t>
            </w: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prowa</w:t>
            </w:r>
            <w:r>
              <w:rPr>
                <w:rFonts w:cstheme="majorBidi"/>
                <w:bCs/>
                <w:color w:val="000000" w:themeColor="text1"/>
                <w:sz w:val="16"/>
                <w:szCs w:val="16"/>
              </w:rPr>
              <w:t>dzenie</w:t>
            </w:r>
            <w:r>
              <w:rPr>
                <w:rFonts w:cstheme="majorBidi"/>
                <w:bCs/>
                <w:color w:val="000000" w:themeColor="text1"/>
                <w:sz w:val="16"/>
                <w:szCs w:val="16"/>
              </w:rPr>
              <w:br/>
            </w: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gospodarstwa domowego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3B5096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3B5096" w:rsidRPr="00FA5128" w:rsidTr="00A20F29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5096" w:rsidRPr="00A37CE0" w:rsidRDefault="003B5096" w:rsidP="003B509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3B5096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3B5096" w:rsidRPr="00FA5128" w:rsidTr="00A20F29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5096" w:rsidRPr="00A37CE0" w:rsidRDefault="003B5096" w:rsidP="003B509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3B5096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98,7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0,20</w:t>
            </w:r>
          </w:p>
        </w:tc>
      </w:tr>
      <w:tr w:rsidR="003B5096" w:rsidRPr="00FA5128" w:rsidTr="00A20F29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5096" w:rsidRPr="00A37CE0" w:rsidRDefault="003B5096" w:rsidP="003B509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98,2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3B5096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3B5096" w:rsidRPr="00FA5128" w:rsidTr="00A20F29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5096" w:rsidRPr="00A37CE0" w:rsidRDefault="003B5096" w:rsidP="003B509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3B5096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3B5096" w:rsidRPr="00FA5128" w:rsidTr="00A20F29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5096" w:rsidRPr="00A37CE0" w:rsidRDefault="003B5096" w:rsidP="003B509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3B5096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3B5096" w:rsidRPr="00FA5128" w:rsidTr="00A20F29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B5096" w:rsidRPr="00A37CE0" w:rsidRDefault="003B5096" w:rsidP="003B509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02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26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55" w:type="dxa"/>
            <w:tcBorders>
              <w:top w:val="single" w:sz="4" w:space="0" w:color="212492"/>
              <w:bottom w:val="single" w:sz="4" w:space="0" w:color="212492"/>
            </w:tcBorders>
          </w:tcPr>
          <w:p w:rsidR="003B5096" w:rsidRPr="003B5096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3B5096" w:rsidRPr="00FA5128" w:rsidTr="00A20F29">
        <w:trPr>
          <w:cantSplit/>
          <w:trHeight w:val="57"/>
        </w:trPr>
        <w:tc>
          <w:tcPr>
            <w:tcW w:w="3211" w:type="dxa"/>
            <w:tcBorders>
              <w:top w:val="single" w:sz="4" w:space="0" w:color="212492"/>
              <w:bottom w:val="nil"/>
            </w:tcBorders>
            <w:vAlign w:val="center"/>
          </w:tcPr>
          <w:p w:rsidR="003B5096" w:rsidRPr="00A37CE0" w:rsidRDefault="003B5096" w:rsidP="003B509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A37CE0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1023" w:type="dxa"/>
            <w:tcBorders>
              <w:top w:val="single" w:sz="4" w:space="0" w:color="212492"/>
              <w:bottom w:val="nil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026" w:type="dxa"/>
            <w:tcBorders>
              <w:top w:val="single" w:sz="4" w:space="0" w:color="212492"/>
              <w:bottom w:val="nil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55" w:type="dxa"/>
            <w:tcBorders>
              <w:top w:val="single" w:sz="4" w:space="0" w:color="212492"/>
              <w:bottom w:val="nil"/>
            </w:tcBorders>
          </w:tcPr>
          <w:p w:rsidR="003B5096" w:rsidRPr="003B5096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B5096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</w:tcPr>
          <w:p w:rsidR="003B5096" w:rsidRPr="000F2650" w:rsidRDefault="003B5096" w:rsidP="003B5096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2650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</w:tbl>
    <w:p w:rsidR="00AD4947" w:rsidRPr="00AD4947" w:rsidRDefault="00CF08EF" w:rsidP="00D538E4">
      <w:pPr>
        <w:pStyle w:val="tytuwykresu"/>
      </w:pPr>
      <w:bookmarkStart w:id="0" w:name="_GoBack"/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76B085F7" wp14:editId="6D104319">
                <wp:simplePos x="0" y="0"/>
                <wp:positionH relativeFrom="column">
                  <wp:posOffset>5267325</wp:posOffset>
                </wp:positionH>
                <wp:positionV relativeFrom="paragraph">
                  <wp:posOffset>164465</wp:posOffset>
                </wp:positionV>
                <wp:extent cx="1725295" cy="1162050"/>
                <wp:effectExtent l="0" t="0" r="0" b="0"/>
                <wp:wrapTight wrapText="bothSides">
                  <wp:wrapPolygon edited="0">
                    <wp:start x="715" y="0"/>
                    <wp:lineTo x="715" y="21246"/>
                    <wp:lineTo x="20749" y="21246"/>
                    <wp:lineTo x="20749" y="0"/>
                    <wp:lineTo x="715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650" w:rsidRPr="00135B65" w:rsidRDefault="000F2650" w:rsidP="00AD4947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porównaniu z</w:t>
                            </w:r>
                            <w:r w:rsidRPr="00135B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poprzednim miesiąc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em, w kwietniu 2018 r. więcej </w:t>
                            </w:r>
                            <w:r w:rsidRPr="00135B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płacono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8311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za</w:t>
                            </w:r>
                            <w:r w:rsidR="0050125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odzież i obuwie (o 2,9%) </w:t>
                            </w:r>
                            <w:r w:rsidR="0050125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oraz </w:t>
                            </w:r>
                            <w:r w:rsidR="000201F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towary i usługi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zakresie transportu </w:t>
                            </w:r>
                            <w:r w:rsidRPr="008311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(o </w:t>
                            </w:r>
                            <w:r w:rsidR="0050125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Pr="008311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="0050125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085F7" id="_x0000_s1027" type="#_x0000_t202" style="position:absolute;margin-left:414.75pt;margin-top:12.95pt;width:135.85pt;height:91.5pt;z-index:-25154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yLdEgIAAAAEAAAOAAAAZHJzL2Uyb0RvYy54bWysU11v2yAUfZ+0/4B4X/yhOG2sOFXXrtOk&#10;bqvU7QcQjGNU4DIgsbNfvwtOsmh9q+YHBL7cc+8597C6GbUie+G8BNPQYpZTIgyHVpptQ3/+ePhw&#10;TYkPzLRMgRENPQhPb9bv360GW4sSelCtcARBjK8H29A+BFtnmee90MzPwAqDwQ6cZgGPbpu1jg2I&#10;rlVW5vkiG8C11gEX3uPf+ylI1wm/6wQP37vOi0BUQ7G3kFaX1k1cs/WK1VvHbC/5sQ32hi40kwaL&#10;nqHuWWBk5+QrKC25Aw9dmHHQGXSd5CJxQDZF/g+b555ZkbigON6eZfL/D5Z/2z85Iluc3YISwzTO&#10;6AmUIEG8+ACDIGXUaLC+xqvPFi+H8SOMeD/x9fYR+IsnBu56Zrbi1jkYesFa7LGImdlF6oTjI8hm&#10;+Aot1mK7AAlo7JyOAqIkBNFxVofzfMQYCI8lr8qqXFaUcIwVxaLMqzTBjNWndOt8+CxAk7hpqEMD&#10;JHi2f/QhtsPq05VYzcCDVCqZQBkyNHRZlVVKuIhoGdCjSuqGXufxm1wTWX4ybUoOTKppjwWUOdKO&#10;TCfOYdyMk8onNTfQHlAHB5Ml8Qnhpgf3m5IB7dhQ/2vHnKBEfTGo5bKYz6N/02FeXZV4cJeRzWWE&#10;GY5QDQ2UTNu7kDw/Ub5FzTuZ1IjDmTo5tow2SyIdn0T08eU53fr7cNd/AAAA//8DAFBLAwQUAAYA&#10;CAAAACEAJ6IFKt4AAAALAQAADwAAAGRycy9kb3ducmV2LnhtbEyPwU7DMAyG70i8Q2QkbsxpRVHb&#10;NZ0QiCuIDZC4ZY3XVmucqsnW8vZkJzja/vT7+6vNYgdxpsn3jhUkKwmCuHGm51bBx+7lLgfhg2aj&#10;B8ek4Ic8bOrrq0qXxs38TudtaEUMYV9qBV0IY4nom46s9is3EsfbwU1WhzhOLZpJzzHcDphK+YBW&#10;9xw/dHqkp46a4/ZkFXy+Hr6/7uVb+2yzcXaLRLYFKnV7szyuQQRawh8MF/2oDnV02rsTGy8GBXla&#10;ZBFVkGYFiAuQyCQFsY8bmReAdYX/O9S/AAAA//8DAFBLAQItABQABgAIAAAAIQC2gziS/gAAAOEB&#10;AAATAAAAAAAAAAAAAAAAAAAAAABbQ29udGVudF9UeXBlc10ueG1sUEsBAi0AFAAGAAgAAAAhADj9&#10;If/WAAAAlAEAAAsAAAAAAAAAAAAAAAAALwEAAF9yZWxzLy5yZWxzUEsBAi0AFAAGAAgAAAAhAPaH&#10;It0SAgAAAAQAAA4AAAAAAAAAAAAAAAAALgIAAGRycy9lMm9Eb2MueG1sUEsBAi0AFAAGAAgAAAAh&#10;ACeiBSreAAAACwEAAA8AAAAAAAAAAAAAAAAAbAQAAGRycy9kb3ducmV2LnhtbFBLBQYAAAAABAAE&#10;APMAAAB3BQAAAAA=&#10;" filled="f" stroked="f">
                <v:textbox>
                  <w:txbxContent>
                    <w:p w:rsidR="000F2650" w:rsidRPr="00135B65" w:rsidRDefault="000F2650" w:rsidP="00AD4947">
                      <w:pPr>
                        <w:rPr>
                          <w:szCs w:val="18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porównaniu z</w:t>
                      </w:r>
                      <w:r w:rsidRPr="00135B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poprzednim miesiąc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em, w kwietniu 2018 r. więcej </w:t>
                      </w:r>
                      <w:r w:rsidRPr="00135B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płacono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8311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za</w:t>
                      </w:r>
                      <w:r w:rsidR="0050125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odzież i obuwie (o 2,9%) </w:t>
                      </w:r>
                      <w:r w:rsidR="0050125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oraz </w:t>
                      </w:r>
                      <w:r w:rsidR="000201F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towary i usługi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zakresie transportu </w:t>
                      </w:r>
                      <w:r w:rsidRPr="008311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(o </w:t>
                      </w:r>
                      <w:r w:rsidR="0050125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Pr="008311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="0050125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D4947">
        <w:t>Tablica</w:t>
      </w:r>
      <w:r w:rsidR="00AD4947" w:rsidRPr="00967A32">
        <w:t xml:space="preserve"> 1</w:t>
      </w:r>
      <w:r w:rsidR="00AD4947">
        <w:t>.</w:t>
      </w:r>
      <w:r w:rsidR="00AD4947" w:rsidRPr="00967A32">
        <w:rPr>
          <w:shd w:val="clear" w:color="auto" w:fill="FFFFFF"/>
        </w:rPr>
        <w:t xml:space="preserve"> </w:t>
      </w:r>
      <w:r w:rsidR="00AD4947">
        <w:rPr>
          <w:bCs/>
          <w:shd w:val="clear" w:color="auto" w:fill="FFFFFF"/>
        </w:rPr>
        <w:t xml:space="preserve">Wskaźniki cen towarów i usług konsumpcyjnych w </w:t>
      </w:r>
      <w:r w:rsidR="000F2650">
        <w:rPr>
          <w:bCs/>
          <w:shd w:val="clear" w:color="auto" w:fill="FFFFFF"/>
        </w:rPr>
        <w:t>kwietniu</w:t>
      </w:r>
      <w:r w:rsidR="00AD4947" w:rsidRPr="008C7A01">
        <w:t xml:space="preserve"> 201</w:t>
      </w:r>
      <w:r w:rsidR="00AD4947">
        <w:t>8</w:t>
      </w:r>
      <w:r w:rsidR="00AD4947" w:rsidRPr="008C7A01">
        <w:t> </w:t>
      </w:r>
      <w:r w:rsidR="00AD4947">
        <w:rPr>
          <w:bCs/>
          <w:shd w:val="clear" w:color="auto" w:fill="FFFFFF"/>
        </w:rPr>
        <w:t>r.</w:t>
      </w:r>
      <w:bookmarkEnd w:id="0"/>
    </w:p>
    <w:p w:rsidR="00C27D75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shd w:val="clear" w:color="auto" w:fill="FFFFFF"/>
          <w:lang w:eastAsia="pl-PL"/>
        </w:rPr>
      </w:pPr>
      <w:r>
        <w:rPr>
          <w:shd w:val="clear" w:color="auto" w:fill="FFFFFF"/>
        </w:rPr>
        <w:t xml:space="preserve"> </w:t>
      </w:r>
      <w:r w:rsidR="00C27D75">
        <w:rPr>
          <w:shd w:val="clear" w:color="auto" w:fill="FFFFFF"/>
        </w:rPr>
        <w:br w:type="page"/>
      </w:r>
    </w:p>
    <w:p w:rsidR="00A07F00" w:rsidRPr="00074DD8" w:rsidRDefault="00A07F00" w:rsidP="00C27D75">
      <w:pPr>
        <w:pStyle w:val="Nagwek1"/>
        <w:spacing w:before="120" w:line="240" w:lineRule="exact"/>
      </w:pPr>
      <w:r>
        <w:rPr>
          <w:shd w:val="clear" w:color="auto" w:fill="FFFFFF"/>
        </w:rPr>
        <w:lastRenderedPageBreak/>
        <w:t>Wpływy zmian cen na wskaźnik</w:t>
      </w:r>
      <w:r w:rsidR="00B97152">
        <w:rPr>
          <w:shd w:val="clear" w:color="auto" w:fill="FFFFFF"/>
        </w:rPr>
        <w:t xml:space="preserve"> cen</w:t>
      </w:r>
      <w:r>
        <w:rPr>
          <w:shd w:val="clear" w:color="auto" w:fill="FFFFFF"/>
        </w:rPr>
        <w:t xml:space="preserve"> towarów i usług konsumpcyjnych ogółem</w:t>
      </w:r>
    </w:p>
    <w:p w:rsidR="00A07F00" w:rsidRPr="00674A8B" w:rsidRDefault="00A07F00" w:rsidP="00C27D75">
      <w:r w:rsidRPr="00674A8B">
        <w:t xml:space="preserve">W </w:t>
      </w:r>
      <w:r w:rsidR="00501254">
        <w:t>kwietniu</w:t>
      </w:r>
      <w:r w:rsidRPr="00674A8B">
        <w:t xml:space="preserve"> br. w porównaniu z poprzednim miesiącem największy wpływ na wskaźnik cen </w:t>
      </w:r>
      <w:r w:rsidR="00917CCF">
        <w:br/>
      </w:r>
      <w:r w:rsidRPr="00674A8B">
        <w:t xml:space="preserve">towarów i usług konsumpcyjnych ogółem miały </w:t>
      </w:r>
      <w:r w:rsidR="00501254">
        <w:t>wyższe</w:t>
      </w:r>
      <w:r w:rsidRPr="00674A8B">
        <w:t xml:space="preserve"> ceny </w:t>
      </w:r>
      <w:r w:rsidR="00F04C11">
        <w:t>w zakresie transportu</w:t>
      </w:r>
      <w:r w:rsidRPr="00674A8B">
        <w:t xml:space="preserve"> (o </w:t>
      </w:r>
      <w:r w:rsidR="00501254">
        <w:t>2</w:t>
      </w:r>
      <w:r w:rsidRPr="00674A8B">
        <w:t>,</w:t>
      </w:r>
      <w:r w:rsidR="00501254">
        <w:t>4</w:t>
      </w:r>
      <w:r w:rsidRPr="00674A8B">
        <w:t>%)</w:t>
      </w:r>
      <w:r w:rsidR="00501254">
        <w:t>, odzieży i obuwia</w:t>
      </w:r>
      <w:r w:rsidRPr="00674A8B">
        <w:t xml:space="preserve"> (o </w:t>
      </w:r>
      <w:r w:rsidR="00501254">
        <w:t>2</w:t>
      </w:r>
      <w:r w:rsidRPr="00674A8B">
        <w:t>,</w:t>
      </w:r>
      <w:r w:rsidR="00501254">
        <w:t>9</w:t>
      </w:r>
      <w:r w:rsidRPr="00674A8B">
        <w:t>%)</w:t>
      </w:r>
      <w:r w:rsidR="00501254">
        <w:t xml:space="preserve"> oraz żywności (o 0,4%)</w:t>
      </w:r>
      <w:r w:rsidRPr="00674A8B">
        <w:t xml:space="preserve">, które </w:t>
      </w:r>
      <w:r w:rsidR="00501254">
        <w:t xml:space="preserve">podwyższyły </w:t>
      </w:r>
      <w:r w:rsidR="00D401C9">
        <w:t>wskaźnik odpowied</w:t>
      </w:r>
      <w:r w:rsidR="00501254">
        <w:t>nio o </w:t>
      </w:r>
      <w:r w:rsidRPr="00674A8B">
        <w:t>0,</w:t>
      </w:r>
      <w:r w:rsidR="00501254">
        <w:t>20</w:t>
      </w:r>
      <w:r w:rsidR="00674A8B" w:rsidRPr="00674A8B">
        <w:t xml:space="preserve"> p. </w:t>
      </w:r>
      <w:r w:rsidR="00501254">
        <w:t>proc.,</w:t>
      </w:r>
      <w:r w:rsidR="00E41FCF" w:rsidRPr="00674A8B">
        <w:t xml:space="preserve"> </w:t>
      </w:r>
      <w:r w:rsidRPr="00674A8B">
        <w:t>0,</w:t>
      </w:r>
      <w:r w:rsidR="00501254">
        <w:t>1</w:t>
      </w:r>
      <w:r w:rsidR="00F04C11">
        <w:t>5</w:t>
      </w:r>
      <w:r w:rsidRPr="00674A8B">
        <w:t xml:space="preserve"> p. proc. </w:t>
      </w:r>
      <w:r w:rsidR="00501254">
        <w:t>i 0,09 p. proc.</w:t>
      </w:r>
      <w:r w:rsidR="00E63312">
        <w:t xml:space="preserve"> </w:t>
      </w:r>
      <w:r w:rsidR="00501254">
        <w:t>Niższe</w:t>
      </w:r>
      <w:r w:rsidRPr="00674A8B">
        <w:t xml:space="preserve"> ceny </w:t>
      </w:r>
      <w:r w:rsidR="00E41FCF" w:rsidRPr="00674A8B">
        <w:t xml:space="preserve">w zakresie </w:t>
      </w:r>
      <w:r w:rsidR="00501254">
        <w:t>łączności</w:t>
      </w:r>
      <w:r w:rsidR="00E41FCF" w:rsidRPr="00674A8B">
        <w:t xml:space="preserve"> </w:t>
      </w:r>
      <w:r w:rsidRPr="00674A8B">
        <w:t xml:space="preserve">(o </w:t>
      </w:r>
      <w:r w:rsidR="00501254">
        <w:t>0</w:t>
      </w:r>
      <w:r w:rsidRPr="00674A8B">
        <w:t>,</w:t>
      </w:r>
      <w:r w:rsidR="00501254">
        <w:t>6</w:t>
      </w:r>
      <w:r w:rsidRPr="00674A8B">
        <w:t xml:space="preserve">%) </w:t>
      </w:r>
      <w:r w:rsidR="00501254">
        <w:t>obniżyły</w:t>
      </w:r>
      <w:r w:rsidRPr="00674A8B">
        <w:t xml:space="preserve"> ten wskaźnik o 0,</w:t>
      </w:r>
      <w:r w:rsidR="00501254">
        <w:t>03</w:t>
      </w:r>
      <w:r w:rsidRPr="00674A8B">
        <w:t xml:space="preserve"> p. proc.</w:t>
      </w:r>
      <w:r w:rsidRPr="00674A8B">
        <w:rPr>
          <w:b/>
        </w:rPr>
        <w:t xml:space="preserve"> </w:t>
      </w:r>
      <w:r w:rsidR="00917CCF">
        <w:rPr>
          <w:b/>
        </w:rPr>
        <w:br/>
      </w:r>
      <w:r w:rsidRPr="00674A8B">
        <w:t>W porównaniu z miesiącem analogicznym poprzedniego roku wyższe ceny żywności (o </w:t>
      </w:r>
      <w:r w:rsidR="00D401C9">
        <w:t>4</w:t>
      </w:r>
      <w:r w:rsidRPr="00674A8B">
        <w:t>,</w:t>
      </w:r>
      <w:r w:rsidR="00D401C9">
        <w:t>3</w:t>
      </w:r>
      <w:r w:rsidR="00674A8B" w:rsidRPr="00674A8B">
        <w:t xml:space="preserve">%) </w:t>
      </w:r>
      <w:r w:rsidRPr="00674A8B">
        <w:t>oraz w zakresie mieszkania (o 1,</w:t>
      </w:r>
      <w:r w:rsidR="00F04C11">
        <w:t>6</w:t>
      </w:r>
      <w:r w:rsidR="00674A8B" w:rsidRPr="00674A8B">
        <w:t xml:space="preserve">%) </w:t>
      </w:r>
      <w:r w:rsidRPr="00674A8B">
        <w:t>pod</w:t>
      </w:r>
      <w:r w:rsidRPr="00674A8B">
        <w:softHyphen/>
      </w:r>
      <w:r w:rsidR="00D401C9">
        <w:t>wyższyły</w:t>
      </w:r>
      <w:r w:rsidRPr="00674A8B">
        <w:t xml:space="preserve"> wskaźnik </w:t>
      </w:r>
      <w:r w:rsidR="00D401C9">
        <w:t xml:space="preserve">cen towarów i usług konsumpcyjnych </w:t>
      </w:r>
      <w:r w:rsidRPr="00674A8B">
        <w:t>odpowiednio o 0,</w:t>
      </w:r>
      <w:r w:rsidR="00D401C9">
        <w:t>94</w:t>
      </w:r>
      <w:r w:rsidRPr="00674A8B">
        <w:t xml:space="preserve"> p. proc. i 0,</w:t>
      </w:r>
      <w:r w:rsidR="00674A8B" w:rsidRPr="00674A8B">
        <w:t>4</w:t>
      </w:r>
      <w:r w:rsidR="00F04C11">
        <w:t>2</w:t>
      </w:r>
      <w:r w:rsidR="00917CCF">
        <w:t> </w:t>
      </w:r>
      <w:r w:rsidR="00F04C11">
        <w:t>p. </w:t>
      </w:r>
      <w:r w:rsidRPr="00674A8B">
        <w:t xml:space="preserve">proc. Niższe ceny odzieży i obuwia (o </w:t>
      </w:r>
      <w:r w:rsidR="00F04C11">
        <w:t>3</w:t>
      </w:r>
      <w:r w:rsidRPr="00674A8B">
        <w:t>,</w:t>
      </w:r>
      <w:r w:rsidR="00D401C9">
        <w:t>8</w:t>
      </w:r>
      <w:r w:rsidR="00674A8B" w:rsidRPr="00674A8B">
        <w:t xml:space="preserve">%) </w:t>
      </w:r>
      <w:r w:rsidRPr="00674A8B">
        <w:t xml:space="preserve">obniżyły </w:t>
      </w:r>
      <w:r w:rsidR="00D401C9">
        <w:t xml:space="preserve">ten </w:t>
      </w:r>
      <w:r w:rsidRPr="00674A8B">
        <w:t>wskaźnik o 0,</w:t>
      </w:r>
      <w:r w:rsidR="00674A8B" w:rsidRPr="00674A8B">
        <w:t>2</w:t>
      </w:r>
      <w:r w:rsidR="00D401C9">
        <w:t>1 p. proc</w:t>
      </w:r>
      <w:r w:rsidRPr="00674A8B">
        <w:t>.</w:t>
      </w:r>
    </w:p>
    <w:p w:rsidR="00A07F00" w:rsidRDefault="00A07F00" w:rsidP="00C27D75"/>
    <w:p w:rsidR="00A07F00" w:rsidRDefault="005D1C04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23EB055A" wp14:editId="0A391D7F">
                <wp:simplePos x="0" y="0"/>
                <wp:positionH relativeFrom="column">
                  <wp:posOffset>5267325</wp:posOffset>
                </wp:positionH>
                <wp:positionV relativeFrom="page">
                  <wp:posOffset>2924175</wp:posOffset>
                </wp:positionV>
                <wp:extent cx="1725295" cy="1838325"/>
                <wp:effectExtent l="0" t="0" r="0" b="9525"/>
                <wp:wrapSquare wrapText="bothSides"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650" w:rsidRPr="00674A8B" w:rsidRDefault="000F2650" w:rsidP="00A07F0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D40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kwietniu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2018 r.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największy wpływ na wskaźnik cen towarów i usług konsumpcyjnych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ogółem miały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ższe ceny </w:t>
                            </w:r>
                            <w:r w:rsidR="007815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paliw do prywatnych środków transportu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 które podwyższ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yły ten wskaźnik o 0,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7815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4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B055A" id="Text Box 29" o:spid="_x0000_s1028" type="#_x0000_t202" style="position:absolute;margin-left:414.75pt;margin-top:230.25pt;width:135.85pt;height:144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EQ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RamtzzjoDNzuB3A0ezgHX8dVD3ey+qqRkMuWig27UUqOLaM15Bfam/7Z&#10;1QlHW5D1+EHWEIdujXRA+0b1tnhQDgTo0KfHU29sLpUNOY/iKIUcK7CFyWVyGcUuBs2O1welzTsm&#10;e2QXOVbQfAdPd3fa2HRodnSx0YQsedc5AXTi2QE4TicQHK5am03D9fNHGqSrZJUQj0SzlUeCovBu&#10;yiXxZmU4j4vLYrkswp82bkiyltc1EzbMUVsh+bPeHVQ+qeKkLi07Xls4m5JWm/WyU2hHQdul+w4F&#10;OXPzn6fhigBcXlAKIxLcRqlXzpK5R0oSe+k8SLwgTG/TWUBSUpTPKd1xwf6dEhpznMbQR0fnt9wC&#10;973mRrOeG5geHe9znJycaGY1uBK1a62hvJvWZ6Ww6T+VAtp9bLRTrBXpJFezX+/d44hsdKvmtawf&#10;QcJKgsBApzD5YNFK9R2jEaZIjvW3LVUMo+69gGeQhoTYseM2JJ5HsFHnlvW5hYoKoHJsMJqWSzON&#10;qu2g+KaFSNPDE/IGnk7Dnaifsjo8OJgUjtthqtlRdL53Xk+zd/ELAAD//wMAUEsDBBQABgAIAAAA&#10;IQDHNq0k3wAAAAwBAAAPAAAAZHJzL2Rvd25yZXYueG1sTI9NT8MwDIbvSPyHyJO4saTVuo9Sd0Ig&#10;riDGQOKWNV5brXGqJlvLvyc7wc2WH71+3mI72U5caPCtY4RkrkAQV860XCPsP17u1yB80Gx055gQ&#10;fsjDtry9KXRu3MjvdNmFWsQQ9rlGaELocyl91ZDVfu564ng7usHqENehlmbQYwy3nUyVWkqrW44f&#10;Gt3TU0PVaXe2CJ+vx++vhXqrn23Wj25Sku1GIt7NpscHEIGm8AfDVT+qQxmdDu7MxosOYZ1usogi&#10;LJYqDlciUUkK4oCwypQCWRbyf4nyFwAA//8DAFBLAQItABQABgAIAAAAIQC2gziS/gAAAOEBAAAT&#10;AAAAAAAAAAAAAAAAAAAAAABbQ29udGVudF9UeXBlc10ueG1sUEsBAi0AFAAGAAgAAAAhADj9If/W&#10;AAAAlAEAAAsAAAAAAAAAAAAAAAAALwEAAF9yZWxzLy5yZWxzUEsBAi0AFAAGAAgAAAAhAEh8cRC5&#10;AgAAwwUAAA4AAAAAAAAAAAAAAAAALgIAAGRycy9lMm9Eb2MueG1sUEsBAi0AFAAGAAgAAAAhAMc2&#10;rSTfAAAADAEAAA8AAAAAAAAAAAAAAAAAEwUAAGRycy9kb3ducmV2LnhtbFBLBQYAAAAABAAEAPMA&#10;AAAfBgAAAAA=&#10;" filled="f" stroked="f">
                <v:textbox>
                  <w:txbxContent>
                    <w:p w:rsidR="000F2650" w:rsidRPr="00674A8B" w:rsidRDefault="000F2650" w:rsidP="00A07F0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D40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kwietniu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2018 r.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największy wpływ na wskaźnik cen towarów i usług konsumpcyjnych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ogółem miały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ższe ceny </w:t>
                      </w:r>
                      <w:r w:rsidR="007815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paliw do prywatnych środków transportu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 które podwyższ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yły ten wskaźnik o 0,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7815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4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p. proc.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A07F00" w:rsidRPr="00967A32">
        <w:t xml:space="preserve">Wykres </w:t>
      </w:r>
      <w:r w:rsidR="00761070">
        <w:t>1</w:t>
      </w:r>
      <w:r w:rsidR="00A07F00">
        <w:t>.</w:t>
      </w:r>
      <w:r w:rsidR="00A07F00" w:rsidRPr="00967A32">
        <w:rPr>
          <w:shd w:val="clear" w:color="auto" w:fill="FFFFFF"/>
        </w:rPr>
        <w:t xml:space="preserve"> </w:t>
      </w:r>
      <w:r w:rsidR="00A07F00">
        <w:rPr>
          <w:shd w:val="clear" w:color="auto" w:fill="FFFFFF"/>
        </w:rPr>
        <w:t xml:space="preserve">Wpływ zmian cen wybranych grup towarów i usług konsumpcyjnych w </w:t>
      </w:r>
      <w:r w:rsidR="00D401C9">
        <w:rPr>
          <w:shd w:val="clear" w:color="auto" w:fill="FFFFFF"/>
        </w:rPr>
        <w:t>kwietniu</w:t>
      </w:r>
      <w:r w:rsidR="00A07F00">
        <w:rPr>
          <w:shd w:val="clear" w:color="auto" w:fill="FFFFFF"/>
        </w:rPr>
        <w:t xml:space="preserve"> </w:t>
      </w:r>
      <w:r w:rsidR="00A07F00" w:rsidRPr="0051646A">
        <w:rPr>
          <w:shd w:val="clear" w:color="auto" w:fill="FFFFFF"/>
        </w:rPr>
        <w:t>201</w:t>
      </w:r>
      <w:r w:rsidR="00C27D75" w:rsidRPr="0051646A">
        <w:rPr>
          <w:shd w:val="clear" w:color="auto" w:fill="FFFFFF"/>
        </w:rPr>
        <w:t>8</w:t>
      </w:r>
      <w:r w:rsidR="00A07F00" w:rsidRPr="0051646A">
        <w:rPr>
          <w:shd w:val="clear" w:color="auto" w:fill="FFFFFF"/>
        </w:rPr>
        <w:t xml:space="preserve"> r.</w:t>
      </w:r>
      <w:r w:rsidR="00A07F00" w:rsidRPr="0051646A">
        <w:rPr>
          <w:noProof/>
          <w:shd w:val="clear" w:color="auto" w:fill="FFFFFF"/>
          <w:lang w:eastAsia="pl-PL"/>
        </w:rPr>
        <w:t xml:space="preserve"> </w:t>
      </w:r>
      <w:r w:rsidR="0051646A">
        <w:rPr>
          <w:noProof/>
          <w:shd w:val="clear" w:color="auto" w:fill="FFFFFF"/>
          <w:lang w:eastAsia="pl-PL"/>
        </w:rPr>
        <w:br/>
      </w:r>
      <w:r w:rsidR="0051646A" w:rsidRPr="0051646A">
        <w:rPr>
          <w:noProof/>
          <w:shd w:val="clear" w:color="auto" w:fill="FFFFFF"/>
          <w:lang w:eastAsia="pl-PL"/>
        </w:rPr>
        <w:t>(z</w:t>
      </w:r>
      <w:r w:rsidR="0051646A" w:rsidRPr="0051646A">
        <w:rPr>
          <w:shd w:val="clear" w:color="auto" w:fill="FFFFFF"/>
        </w:rPr>
        <w:t>miana</w:t>
      </w:r>
      <w:r w:rsidR="0051646A" w:rsidRPr="007D5668">
        <w:rPr>
          <w:shd w:val="clear" w:color="auto" w:fill="FFFFFF"/>
        </w:rPr>
        <w:t xml:space="preserve"> w </w:t>
      </w:r>
      <w:r w:rsidR="0051646A">
        <w:rPr>
          <w:shd w:val="clear" w:color="auto" w:fill="FFFFFF"/>
        </w:rPr>
        <w:t>p. proc.</w:t>
      </w:r>
      <w:r w:rsidR="0051646A" w:rsidRPr="007D5668">
        <w:rPr>
          <w:shd w:val="clear" w:color="auto" w:fill="FFFFFF"/>
        </w:rPr>
        <w:t xml:space="preserve"> do okresu poprzedniego</w:t>
      </w:r>
      <w:r w:rsidR="0051646A">
        <w:rPr>
          <w:shd w:val="clear" w:color="auto" w:fill="FFFFFF"/>
        </w:rPr>
        <w:t>)</w:t>
      </w:r>
    </w:p>
    <w:p w:rsidR="00A07F00" w:rsidRPr="00316DF3" w:rsidRDefault="00781552" w:rsidP="00C27D75">
      <w:pPr>
        <w:pStyle w:val="tytuwykresu"/>
        <w:rPr>
          <w:b w:val="0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91360" behindDoc="0" locked="0" layoutInCell="1" allowOverlap="1" wp14:anchorId="4C2D55C5" wp14:editId="02404F18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876400"/>
            <wp:effectExtent l="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3B5E" w:rsidRDefault="005D1C04">
      <w:pPr>
        <w:spacing w:before="0" w:after="160" w:line="259" w:lineRule="auto"/>
        <w:rPr>
          <w:b/>
          <w:spacing w:val="-2"/>
          <w:sz w:val="18"/>
        </w:rPr>
      </w:pPr>
      <w:r>
        <w:rPr>
          <w:b/>
          <w:noProof/>
          <w:spacing w:val="-2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 wp14:anchorId="78270E1A" wp14:editId="0D54F91B">
                <wp:simplePos x="0" y="0"/>
                <wp:positionH relativeFrom="column">
                  <wp:posOffset>5267325</wp:posOffset>
                </wp:positionH>
                <wp:positionV relativeFrom="page">
                  <wp:posOffset>6515100</wp:posOffset>
                </wp:positionV>
                <wp:extent cx="1725295" cy="1800225"/>
                <wp:effectExtent l="0" t="0" r="0" b="0"/>
                <wp:wrapTight wrapText="bothSides">
                  <wp:wrapPolygon edited="0">
                    <wp:start x="715" y="0"/>
                    <wp:lineTo x="715" y="21257"/>
                    <wp:lineTo x="20749" y="21257"/>
                    <wp:lineTo x="20749" y="0"/>
                    <wp:lineTo x="71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0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650" w:rsidRPr="00BF2F65" w:rsidRDefault="000F2650" w:rsidP="00792E24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 2018 r., podobnie jak w latach poprzednich, największy udział wydatków w obliczeniach wskaźnika cen towarów i usług konsumpcyjnych mają żywność i napoje bezalkoholowe (24,36%) oraz towary i usługi związane z użytkowaniem mieszkania lub domu i nośniki energii (20,35%)</w:t>
                            </w:r>
                          </w:p>
                          <w:p w:rsidR="000F2650" w:rsidRPr="00BF2F65" w:rsidRDefault="000F2650" w:rsidP="00792E24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70E1A" id="_x0000_s1029" type="#_x0000_t202" style="position:absolute;margin-left:414.75pt;margin-top:513pt;width:135.85pt;height:141.75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6FEQIAAAAEAAAOAAAAZHJzL2Uyb0RvYy54bWysU1Fv0zAQfkfiP1h+p2lDy9ao6TQ2hpAG&#10;TBr8gKvjNNZsn7HdJuXX7+x0pRpviDxYdu783X3ffV5dDUazvfRBoa35bDLlTFqBjbLbmv/8cffu&#10;krMQwTag0cqaH2TgV+u3b1a9q2SJHepGekYgNlS9q3kXo6uKIohOGggTdNJSsEVvINLRb4vGQ0/o&#10;RhfldPqh6NE3zqOQIdDf2zHI1xm/baWI39s2yMh0zam3mFef101ai/UKqq0H1ylxbAP+oQsDylLR&#10;E9QtRGA7r/6CMkp4DNjGiUBTYNsqITMHYjObvmLz2IGTmQuJE9xJpvD/YMW3/YNnqqHZzTmzYGhG&#10;D6gli/IpROwlK5NGvQsVpT46So7DRxwoP/MN7h7FU2AWbzqwW3ntPfadhIZ6nKWbxdnVESckkE3/&#10;FRuqBbuIGWhovUkCkiSM0GlWh9N85BCZSCUvykW5XHAmKDa7nE7LcpFrQPVy3fkQP0s0LG1q7skA&#10;GR729yGmdqB6SUnVLN4prbMJtGV9zZcLgnwVMSqSR7UyNaea9I2uSSw/2SZfjqD0uKcC2h5pJ6Yj&#10;5zhshqzy+xc1N9gcSAePoyXpCdGmQ/+bs57sWPPwawdecqa/WNJyOZvPk3/zYb64KOngzyOb8whY&#10;QVA1j5yN25uYPT8SuybNW5XVSMMZOzm2TDbLIh2fRPLx+Tln/Xm462cAAAD//wMAUEsDBBQABgAI&#10;AAAAIQBWzWCl4AAAAA4BAAAPAAAAZHJzL2Rvd25yZXYueG1sTI/NbsIwEITvlXgHayv1VuykBUGI&#10;g1CrXotKfyRuJl6SqPE6ig1J357lVG47mtHsN/l6dK04Yx8aTxqSqQKBVHrbUKXh6/PtcQEiREPW&#10;tJ5Qwx8GWBeTu9xk1g/0geddrASXUMiMhjrGLpMylDU6E6a+Q2Lv6HtnIsu+krY3A5e7VqZKzaUz&#10;DfGH2nT4UmP5uzs5Dd/vx/3Ps9pWr27WDX5UktxSav1wP25WICKO8T8MV3xGh4KZDv5ENohWwyJd&#10;zjjKhkrnvOoaSVSSgjjw9aTYlUUub2cUFwAAAP//AwBQSwECLQAUAAYACAAAACEAtoM4kv4AAADh&#10;AQAAEwAAAAAAAAAAAAAAAAAAAAAAW0NvbnRlbnRfVHlwZXNdLnhtbFBLAQItABQABgAIAAAAIQA4&#10;/SH/1gAAAJQBAAALAAAAAAAAAAAAAAAAAC8BAABfcmVscy8ucmVsc1BLAQItABQABgAIAAAAIQBb&#10;SO6FEQIAAAAEAAAOAAAAAAAAAAAAAAAAAC4CAABkcnMvZTJvRG9jLnhtbFBLAQItABQABgAIAAAA&#10;IQBWzWCl4AAAAA4BAAAPAAAAAAAAAAAAAAAAAGsEAABkcnMvZG93bnJldi54bWxQSwUGAAAAAAQA&#10;BADzAAAAeAUAAAAA&#10;" filled="f" stroked="f">
                <v:textbox>
                  <w:txbxContent>
                    <w:p w:rsidR="000F2650" w:rsidRPr="00BF2F65" w:rsidRDefault="000F2650" w:rsidP="00792E24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 2018 r., podobnie jak w latach poprzednich, największy udział wydatków w obliczeniach wskaźnika cen towarów i usług konsumpcyjnych mają żywność i napoje bezalkoholowe (24,36%) oraz towary i usługi związane z użytkowaniem mieszkania lub domu i nośniki energii (20,35%)</w:t>
                      </w:r>
                    </w:p>
                    <w:p w:rsidR="000F2650" w:rsidRPr="00BF2F65" w:rsidRDefault="000F2650" w:rsidP="00792E24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F4399" w:rsidRPr="005F4399">
        <w:rPr>
          <w:b/>
          <w:spacing w:val="-2"/>
          <w:sz w:val="18"/>
        </w:rPr>
        <w:t xml:space="preserve">Wykres </w:t>
      </w:r>
      <w:r w:rsidR="005F4399">
        <w:rPr>
          <w:b/>
          <w:spacing w:val="-2"/>
          <w:sz w:val="18"/>
        </w:rPr>
        <w:t>2</w:t>
      </w:r>
      <w:r w:rsidR="005F4399" w:rsidRPr="005F4399">
        <w:rPr>
          <w:b/>
          <w:spacing w:val="-2"/>
          <w:sz w:val="18"/>
        </w:rPr>
        <w:t>. System wag stosowany w obliczeniach wskaźników cen towarów</w:t>
      </w:r>
      <w:r w:rsidR="005F4399">
        <w:rPr>
          <w:b/>
          <w:spacing w:val="-2"/>
          <w:sz w:val="18"/>
        </w:rPr>
        <w:t xml:space="preserve"> </w:t>
      </w:r>
      <w:r w:rsidR="00A51BB2">
        <w:rPr>
          <w:b/>
          <w:spacing w:val="-2"/>
          <w:sz w:val="18"/>
        </w:rPr>
        <w:br/>
      </w:r>
      <w:r w:rsidR="005F4399">
        <w:rPr>
          <w:b/>
          <w:spacing w:val="-2"/>
          <w:sz w:val="18"/>
        </w:rPr>
        <w:t xml:space="preserve">i usług </w:t>
      </w:r>
      <w:r w:rsidR="00792E24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0FE53C61" wp14:editId="684A1839">
            <wp:simplePos x="0" y="0"/>
            <wp:positionH relativeFrom="column">
              <wp:posOffset>0</wp:posOffset>
            </wp:positionH>
            <wp:positionV relativeFrom="line">
              <wp:posOffset>286385</wp:posOffset>
            </wp:positionV>
            <wp:extent cx="5122545" cy="3600000"/>
            <wp:effectExtent l="0" t="0" r="1905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>
        <w:rPr>
          <w:b/>
          <w:spacing w:val="-2"/>
          <w:sz w:val="18"/>
        </w:rPr>
        <w:t>konsumpcyjnych w 2018 r.</w:t>
      </w:r>
      <w:r w:rsidR="00C73B5E">
        <w:br w:type="page"/>
      </w:r>
    </w:p>
    <w:p w:rsidR="003A440F" w:rsidRDefault="00917CCF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7D902B61" wp14:editId="1EDD1EED">
                <wp:simplePos x="0" y="0"/>
                <wp:positionH relativeFrom="column">
                  <wp:posOffset>5267325</wp:posOffset>
                </wp:positionH>
                <wp:positionV relativeFrom="page">
                  <wp:posOffset>809625</wp:posOffset>
                </wp:positionV>
                <wp:extent cx="1725295" cy="952500"/>
                <wp:effectExtent l="0" t="0" r="0" b="0"/>
                <wp:wrapTight wrapText="bothSides">
                  <wp:wrapPolygon edited="0">
                    <wp:start x="477" y="0"/>
                    <wp:lineTo x="477" y="21168"/>
                    <wp:lineTo x="20749" y="21168"/>
                    <wp:lineTo x="20749" y="0"/>
                    <wp:lineTo x="477" y="0"/>
                  </wp:wrapPolygon>
                </wp:wrapTight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650" w:rsidRPr="00C73B5E" w:rsidRDefault="000F2650" w:rsidP="00034160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porównaniu z poprzednim miesiącem, w </w:t>
                            </w:r>
                            <w:r w:rsidR="00BF79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kwietniu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2018 r. ceny towarów i usług konsumpcyjnych </w:t>
                            </w:r>
                            <w:r w:rsidR="00BF79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wzrosły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9B13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 0,</w:t>
                            </w:r>
                            <w:r w:rsidR="00BF79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Pr="009B139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02B61" id="Text Box 25" o:spid="_x0000_s1030" type="#_x0000_t202" style="position:absolute;margin-left:414.75pt;margin-top:63.75pt;width:135.85pt;height:75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2QuAIAAMI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cJRgJGgHHD2y0aA7OaIotvUZep3CtYceLpoRzoFnl6vu72X5TSMhVw0VW3arlBwaRiuIL7Qv/Yun&#10;E462IJvho6zAD90Z6YDGWnW2eFAOBOjA09OJGxtLaV3OozhKYoxKsCVxFAeOPJ+mx9e90uY9kx2y&#10;iwwr4N6h0/29NjYamh6vWGdCFrxtHf+teHYAF6cT8A1Prc1G4ej8mQTJerFeEI9Es7VHgjz3bosV&#10;8WZFOI/zd/lqlYe/rN+QpA2vKiasm6O0QvJn1B1EPoniJC4tW15ZOBuSVtvNqlVoT0HahftczcFy&#10;vuY/D8MVAXJ5kVIYkeAuSrxitph7pCCxl8yDhReEyV0yC0hC8uJ5SvdcsH9PCQ0Tk5OYzkG/yC1w&#10;3+vcaNpxA8Oj5V2GF6dLNLUSXIvKUWsob6f1RSls+OdSAN1Hop1grUYntZpxM7reIMc+2MjqCRSs&#10;JAgMZAqDDxaNVD8wGmCIZFh/31HFMGo/COiCJCTETh23IfE8go26tGwuLVSUAJVhg9G0XJlpUu16&#10;xbcNeJr6Tshb6JyaO1HbFpuiOvQbDAqX22Go2Ul0uXe3zqN3+RsAAP//AwBQSwMEFAAGAAgAAAAh&#10;ADVCykjfAAAADAEAAA8AAABkcnMvZG93bnJldi54bWxMj81OwzAQhO9IvIO1SNyoHYvSNo1TIRBX&#10;EOVH6s2Nt0lEvI5itwlvz/ZEb7s7o9lvis3kO3HCIbaBDGQzBQKpCq6l2sDnx8vdEkRMlpztAqGB&#10;X4ywKa+vCpu7MNI7nrapFhxCMbcGmpT6XMpYNehtnIUeibVDGLxNvA61dIMdOdx3Uiv1IL1tiT80&#10;tsenBquf7dEb+Ho97L7v1Vv97Of9GCYlya+kMbc30+MaRMIp/ZvhjM/oUDLTPhzJRdEZWOrVnK0s&#10;6AUPZ0emMg1ib0Av+CTLQl6WKP8AAAD//wMAUEsBAi0AFAAGAAgAAAAhALaDOJL+AAAA4QEAABMA&#10;AAAAAAAAAAAAAAAAAAAAAFtDb250ZW50X1R5cGVzXS54bWxQSwECLQAUAAYACAAAACEAOP0h/9YA&#10;AACUAQAACwAAAAAAAAAAAAAAAAAvAQAAX3JlbHMvLnJlbHNQSwECLQAUAAYACAAAACEAbrjNkLgC&#10;AADCBQAADgAAAAAAAAAAAAAAAAAuAgAAZHJzL2Uyb0RvYy54bWxQSwECLQAUAAYACAAAACEANULK&#10;SN8AAAAMAQAADwAAAAAAAAAAAAAAAAASBQAAZHJzL2Rvd25yZXYueG1sUEsFBgAAAAAEAAQA8wAA&#10;AB4GAAAAAA==&#10;" filled="f" stroked="f">
                <v:textbox>
                  <w:txbxContent>
                    <w:p w:rsidR="000F2650" w:rsidRPr="00C73B5E" w:rsidRDefault="000F2650" w:rsidP="00034160">
                      <w:pPr>
                        <w:rPr>
                          <w:szCs w:val="18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porównaniu z poprzednim miesiącem, w </w:t>
                      </w:r>
                      <w:r w:rsidR="00BF79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kwietniu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2018 r. ceny towarów i usług konsumpcyjnych </w:t>
                      </w:r>
                      <w:r w:rsidR="00BF79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wzrosły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9B13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 0,</w:t>
                      </w:r>
                      <w:r w:rsidR="00BF79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Pr="009B139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A440F" w:rsidRPr="00967A32">
        <w:t xml:space="preserve">Wykres </w:t>
      </w:r>
      <w:r w:rsidR="00CF08EF">
        <w:t>3</w:t>
      </w:r>
      <w:r w:rsidR="003A440F">
        <w:t>.</w:t>
      </w:r>
      <w:r w:rsidR="003A440F" w:rsidRPr="00967A32">
        <w:rPr>
          <w:shd w:val="clear" w:color="auto" w:fill="FFFFFF"/>
        </w:rPr>
        <w:t xml:space="preserve"> </w:t>
      </w:r>
      <w:r w:rsidR="003A440F">
        <w:rPr>
          <w:shd w:val="clear" w:color="auto" w:fill="FFFFFF"/>
        </w:rPr>
        <w:t>C</w:t>
      </w:r>
      <w:r w:rsidR="003A440F">
        <w:rPr>
          <w:bCs/>
          <w:shd w:val="clear" w:color="auto" w:fill="FFFFFF"/>
        </w:rPr>
        <w:t>eny</w:t>
      </w:r>
      <w:r w:rsidR="003A440F" w:rsidRPr="00967A32">
        <w:rPr>
          <w:bCs/>
          <w:shd w:val="clear" w:color="auto" w:fill="FFFFFF"/>
        </w:rPr>
        <w:t xml:space="preserve"> towarów i usług </w:t>
      </w:r>
      <w:r w:rsidR="003A440F" w:rsidRPr="007D5668">
        <w:rPr>
          <w:bCs/>
          <w:shd w:val="clear" w:color="auto" w:fill="FFFFFF"/>
        </w:rPr>
        <w:t xml:space="preserve">konsumpcyjnych </w:t>
      </w:r>
      <w:r w:rsidR="003A440F" w:rsidRPr="007D5668">
        <w:rPr>
          <w:shd w:val="clear" w:color="auto" w:fill="FFFFFF"/>
        </w:rPr>
        <w:t>(zmiana w % do okresu poprzedniego)</w:t>
      </w:r>
      <w:r w:rsidR="003A440F" w:rsidRPr="00316DF3">
        <w:rPr>
          <w:b w:val="0"/>
          <w:noProof/>
          <w:shd w:val="clear" w:color="auto" w:fill="FFFFFF"/>
          <w:lang w:eastAsia="pl-PL"/>
        </w:rPr>
        <w:t xml:space="preserve"> </w:t>
      </w:r>
    </w:p>
    <w:p w:rsidR="00DA0243" w:rsidRDefault="00BF790C" w:rsidP="0026302B">
      <w:pPr>
        <w:pStyle w:val="LID"/>
        <w:rPr>
          <w:b w:val="0"/>
          <w:spacing w:val="-2"/>
          <w:sz w:val="18"/>
        </w:rPr>
      </w:pPr>
      <w:r>
        <w:drawing>
          <wp:anchor distT="0" distB="0" distL="114300" distR="114300" simplePos="0" relativeHeight="251792384" behindDoc="0" locked="0" layoutInCell="1" allowOverlap="1" wp14:anchorId="23F83926" wp14:editId="04B5327C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556000"/>
            <wp:effectExtent l="0" t="0" r="1905" b="1587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60" w:rsidRPr="007D5668" w:rsidRDefault="005D1C04" w:rsidP="00034160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365E840F" wp14:editId="62FCF216">
                <wp:simplePos x="0" y="0"/>
                <wp:positionH relativeFrom="column">
                  <wp:posOffset>5267325</wp:posOffset>
                </wp:positionH>
                <wp:positionV relativeFrom="page">
                  <wp:posOffset>4067175</wp:posOffset>
                </wp:positionV>
                <wp:extent cx="1725295" cy="1590675"/>
                <wp:effectExtent l="0" t="0" r="0" b="9525"/>
                <wp:wrapTight wrapText="bothSides">
                  <wp:wrapPolygon edited="0">
                    <wp:start x="477" y="0"/>
                    <wp:lineTo x="477" y="21471"/>
                    <wp:lineTo x="20749" y="21471"/>
                    <wp:lineTo x="20749" y="0"/>
                    <wp:lineTo x="477" y="0"/>
                  </wp:wrapPolygon>
                </wp:wrapTight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2650" w:rsidRPr="00BF2F65" w:rsidRDefault="000F2650" w:rsidP="00034160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BF79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kwietniu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2018 r. wskaźnik cen towarów i usług konsumpcyjnych znajdował się </w:t>
                            </w:r>
                            <w:r w:rsidR="00BF79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w granicach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odchyleń od </w:t>
                            </w:r>
                            <w:r w:rsidR="00BF790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celu inflacyjnego określonego przez Radę Polityki Pieniężnej (2,5% +/- 1 p. proc.)</w:t>
                            </w:r>
                          </w:p>
                          <w:p w:rsidR="000F2650" w:rsidRPr="00BF2F65" w:rsidRDefault="000F2650" w:rsidP="0003416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E840F" id="_x0000_s1031" type="#_x0000_t202" style="position:absolute;margin-left:414.75pt;margin-top:320.25pt;width:135.85pt;height:125.2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6Kuw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ODXCRlZP&#10;IGElQWCgU5h8sGik+oHRAFMkw/r7jiqGUftBQBskISF27LgNiecRbNTlzebyhooSoDJsMJqWKzON&#10;ql2v+LYBT1PjCXkLrVNzJ2rbY1NUh4aDSeG4HaaaHUWXe2d1nr3L3wAAAP//AwBQSwMEFAAGAAgA&#10;AAAhAMAd/STfAAAADAEAAA8AAABkcnMvZG93bnJldi54bWxMj8FOwzAMhu9IvENkpN1Y0mqb1tJ0&#10;moa4DrEBEres8dqKxqmabC1vj3eCm63/0+/PxWZynbjiEFpPGpK5AoFUedtSreH9+PK4BhGiIWs6&#10;T6jhBwNsyvu7wuTWj/SG10OsBZdQyI2GJsY+lzJUDToT5r5H4uzsB2cir0Mt7WBGLnedTJVaSWda&#10;4guN6XHXYPV9uDgNH/vz1+dCvdbPbtmPflKSXCa1nj1M2ycQEaf4B8NNn9WhZKeTv5ANotOwTrMl&#10;oxpWC8XDjUhUkoI4cZYlCmRZyP9PlL8AAAD//wMAUEsBAi0AFAAGAAgAAAAhALaDOJL+AAAA4QEA&#10;ABMAAAAAAAAAAAAAAAAAAAAAAFtDb250ZW50X1R5cGVzXS54bWxQSwECLQAUAAYACAAAACEAOP0h&#10;/9YAAACUAQAACwAAAAAAAAAAAAAAAAAvAQAAX3JlbHMvLnJlbHNQSwECLQAUAAYACAAAACEAT0o+&#10;irsCAADDBQAADgAAAAAAAAAAAAAAAAAuAgAAZHJzL2Uyb0RvYy54bWxQSwECLQAUAAYACAAAACEA&#10;wB39JN8AAAAMAQAADwAAAAAAAAAAAAAAAAAVBQAAZHJzL2Rvd25yZXYueG1sUEsFBgAAAAAEAAQA&#10;8wAAACEGAAAAAA==&#10;" filled="f" stroked="f">
                <v:textbox>
                  <w:txbxContent>
                    <w:p w:rsidR="000F2650" w:rsidRPr="00BF2F65" w:rsidRDefault="000F2650" w:rsidP="00034160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BF79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kwietniu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2018 r. wskaźnik cen towarów i usług konsumpcyjnych znajdował się </w:t>
                      </w:r>
                      <w:r w:rsidR="00BF79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w granicach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odchyleń od </w:t>
                      </w:r>
                      <w:r w:rsidR="00BF790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celu inflacyjnego określonego przez Radę Polityki Pieniężnej (2,5% +/- 1 p. proc.)</w:t>
                      </w:r>
                    </w:p>
                    <w:p w:rsidR="000F2650" w:rsidRPr="00BF2F65" w:rsidRDefault="000F2650" w:rsidP="0003416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34160" w:rsidRPr="00967A32">
        <w:t xml:space="preserve">Wykres </w:t>
      </w:r>
      <w:r w:rsidR="00CF08EF">
        <w:t>4</w:t>
      </w:r>
      <w:r w:rsidR="00034160">
        <w:t>.</w:t>
      </w:r>
      <w:r w:rsidR="00034160" w:rsidRPr="00967A32">
        <w:rPr>
          <w:shd w:val="clear" w:color="auto" w:fill="FFFFFF"/>
        </w:rPr>
        <w:t xml:space="preserve"> </w:t>
      </w:r>
      <w:r w:rsidR="00034160">
        <w:rPr>
          <w:shd w:val="clear" w:color="auto" w:fill="FFFFFF"/>
        </w:rPr>
        <w:t>C</w:t>
      </w:r>
      <w:r w:rsidR="00034160">
        <w:rPr>
          <w:bCs/>
          <w:shd w:val="clear" w:color="auto" w:fill="FFFFFF"/>
        </w:rPr>
        <w:t>eny</w:t>
      </w:r>
      <w:r w:rsidR="00034160" w:rsidRPr="00967A32">
        <w:rPr>
          <w:bCs/>
          <w:shd w:val="clear" w:color="auto" w:fill="FFFFFF"/>
        </w:rPr>
        <w:t xml:space="preserve"> towarów i usług konsumpcyjnych </w:t>
      </w:r>
      <w:r w:rsidR="00132297">
        <w:rPr>
          <w:bCs/>
          <w:shd w:val="clear" w:color="auto" w:fill="FFFFFF"/>
        </w:rPr>
        <w:br/>
      </w:r>
      <w:r w:rsidR="00034160" w:rsidRPr="007D5668">
        <w:rPr>
          <w:shd w:val="clear" w:color="auto" w:fill="FFFFFF"/>
        </w:rPr>
        <w:t>(zmiana w % do analogicznego okresu roku poprzedniego)</w:t>
      </w:r>
    </w:p>
    <w:p w:rsidR="00034160" w:rsidRPr="0026302B" w:rsidRDefault="00BF790C" w:rsidP="00034160">
      <w:pPr>
        <w:spacing w:before="0" w:after="160" w:line="259" w:lineRule="auto"/>
        <w:rPr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93408" behindDoc="0" locked="0" layoutInCell="1" allowOverlap="1" wp14:anchorId="1CE03081" wp14:editId="5FB177AA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592000"/>
            <wp:effectExtent l="0" t="0" r="0" b="1841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DBB" w:rsidRPr="001E7DBB" w:rsidRDefault="00883763" w:rsidP="001E7DBB">
      <w:pPr>
        <w:pStyle w:val="tytuwykresu"/>
        <w:rPr>
          <w:bCs/>
          <w:shd w:val="clear" w:color="auto" w:fill="FFFFFF"/>
        </w:rPr>
      </w:pPr>
      <w:r w:rsidRPr="00774620">
        <w:t xml:space="preserve">Wykres </w:t>
      </w:r>
      <w:r w:rsidR="00CF08EF">
        <w:t>5</w:t>
      </w:r>
      <w:r>
        <w:t>.</w:t>
      </w:r>
      <w:r w:rsidRPr="00774620">
        <w:rPr>
          <w:shd w:val="clear" w:color="auto" w:fill="FFFFFF"/>
        </w:rPr>
        <w:t xml:space="preserve"> </w:t>
      </w:r>
      <w:r w:rsidR="00761070">
        <w:rPr>
          <w:bCs/>
          <w:shd w:val="clear" w:color="auto" w:fill="FFFFFF"/>
        </w:rPr>
        <w:t xml:space="preserve">Wskaźnik cen towarów i usług konsumpcyjnych (CPI) oraz </w:t>
      </w:r>
      <w:r w:rsidR="001E7DBB">
        <w:rPr>
          <w:bCs/>
          <w:shd w:val="clear" w:color="auto" w:fill="FFFFFF"/>
        </w:rPr>
        <w:t>z</w:t>
      </w:r>
      <w:r w:rsidR="00761070">
        <w:rPr>
          <w:bCs/>
          <w:shd w:val="clear" w:color="auto" w:fill="FFFFFF"/>
        </w:rPr>
        <w:t xml:space="preserve">harmonizowany </w:t>
      </w:r>
      <w:r w:rsidR="001E7DBB" w:rsidRPr="001E7DBB">
        <w:rPr>
          <w:bCs/>
          <w:shd w:val="clear" w:color="auto" w:fill="FFFFFF"/>
        </w:rPr>
        <w:t xml:space="preserve">wskaźnik </w:t>
      </w:r>
      <w:r w:rsidR="00511F19">
        <w:rPr>
          <w:bCs/>
          <w:shd w:val="clear" w:color="auto" w:fill="FFFFFF"/>
        </w:rPr>
        <w:br/>
      </w:r>
      <w:r w:rsidR="001E7DBB" w:rsidRPr="001E7DBB">
        <w:rPr>
          <w:bCs/>
          <w:shd w:val="clear" w:color="auto" w:fill="FFFFFF"/>
        </w:rPr>
        <w:t>cen konsumpcyjnych (HICP)</w:t>
      </w:r>
      <w:r w:rsidR="001E7DBB">
        <w:rPr>
          <w:bCs/>
          <w:shd w:val="clear" w:color="auto" w:fill="FFFFFF"/>
        </w:rPr>
        <w:t xml:space="preserve"> </w:t>
      </w:r>
      <w:r w:rsidR="001E7DBB" w:rsidRPr="007D5668">
        <w:rPr>
          <w:shd w:val="clear" w:color="auto" w:fill="FFFFFF"/>
        </w:rPr>
        <w:t>(zmiana w % do analogicznego okresu</w:t>
      </w:r>
      <w:r w:rsidR="001E7DBB">
        <w:rPr>
          <w:shd w:val="clear" w:color="auto" w:fill="FFFFFF"/>
        </w:rPr>
        <w:t xml:space="preserve"> roku poprzedniego)</w:t>
      </w:r>
    </w:p>
    <w:p w:rsidR="00820461" w:rsidRDefault="003B5096">
      <w:pPr>
        <w:spacing w:before="0" w:after="160" w:line="259" w:lineRule="auto"/>
        <w:rPr>
          <w:b/>
          <w:noProof/>
          <w:sz w:val="18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36489471" wp14:editId="19738B2B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592000"/>
            <wp:effectExtent l="0" t="0" r="0" b="0"/>
            <wp:wrapSquare wrapText="bothSides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461">
        <w:rPr>
          <w:sz w:val="18"/>
        </w:rPr>
        <w:br w:type="page"/>
      </w:r>
    </w:p>
    <w:p w:rsidR="00516A50" w:rsidRDefault="00516A50" w:rsidP="00516A50">
      <w:pPr>
        <w:pStyle w:val="LID"/>
        <w:rPr>
          <w:bCs/>
          <w:sz w:val="18"/>
          <w:shd w:val="clear" w:color="auto" w:fill="FFFFFF"/>
        </w:rPr>
      </w:pPr>
      <w:r w:rsidRPr="00F90BB1">
        <w:rPr>
          <w:sz w:val="18"/>
        </w:rPr>
        <w:lastRenderedPageBreak/>
        <w:t xml:space="preserve">Tablica </w:t>
      </w:r>
      <w:r w:rsidR="00CF08EF">
        <w:rPr>
          <w:sz w:val="18"/>
        </w:rPr>
        <w:t>2</w:t>
      </w:r>
      <w:r w:rsidRPr="00F90BB1">
        <w:rPr>
          <w:sz w:val="18"/>
        </w:rPr>
        <w:t>.</w:t>
      </w:r>
      <w:r w:rsidRPr="00F90BB1">
        <w:rPr>
          <w:sz w:val="18"/>
          <w:shd w:val="clear" w:color="auto" w:fill="FFFFFF"/>
        </w:rPr>
        <w:t xml:space="preserve"> </w:t>
      </w:r>
      <w:r w:rsidRPr="00F90BB1">
        <w:rPr>
          <w:bCs/>
          <w:sz w:val="18"/>
          <w:shd w:val="clear" w:color="auto" w:fill="FFFFFF"/>
        </w:rPr>
        <w:t xml:space="preserve">Wskaźniki cen towarów i usług konsumpcyjnych w </w:t>
      </w:r>
      <w:r w:rsidR="003B5096">
        <w:rPr>
          <w:bCs/>
          <w:sz w:val="18"/>
          <w:shd w:val="clear" w:color="auto" w:fill="FFFFFF"/>
        </w:rPr>
        <w:t>kwietniu</w:t>
      </w:r>
      <w:r w:rsidRPr="00F90BB1">
        <w:rPr>
          <w:sz w:val="18"/>
        </w:rPr>
        <w:t xml:space="preserve"> 201</w:t>
      </w:r>
      <w:r w:rsidR="00C27D75" w:rsidRPr="00F90BB1">
        <w:rPr>
          <w:sz w:val="18"/>
        </w:rPr>
        <w:t>8</w:t>
      </w:r>
      <w:r w:rsidRPr="00F90BB1">
        <w:rPr>
          <w:sz w:val="18"/>
        </w:rPr>
        <w:t> </w:t>
      </w:r>
      <w:r w:rsidRPr="00F90BB1">
        <w:rPr>
          <w:bCs/>
          <w:sz w:val="18"/>
          <w:shd w:val="clear" w:color="auto" w:fill="FFFFFF"/>
        </w:rPr>
        <w:t>r.</w:t>
      </w:r>
    </w:p>
    <w:p w:rsidR="009E3FA7" w:rsidRDefault="009E3FA7" w:rsidP="00516A50">
      <w:pPr>
        <w:pStyle w:val="LID"/>
        <w:rPr>
          <w:bCs/>
          <w:sz w:val="18"/>
          <w:shd w:val="clear" w:color="auto" w:fill="FFFFFF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A93892" w:rsidRPr="00A93892" w:rsidTr="005D0389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A93892" w:rsidRDefault="00A93892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93892" w:rsidRPr="00A93892" w:rsidRDefault="003B5096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IV</w:t>
            </w:r>
            <w:r w:rsidR="00A93892" w:rsidRPr="00A93892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93892" w:rsidRPr="00A93892" w:rsidRDefault="005D0389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I-IV</w:t>
            </w:r>
            <w:r w:rsidR="00A93892" w:rsidRPr="00A93892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2018</w:t>
            </w:r>
          </w:p>
        </w:tc>
      </w:tr>
      <w:tr w:rsidR="005D0389" w:rsidRPr="00A93892" w:rsidTr="005D0389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D0389" w:rsidRPr="00A93892" w:rsidRDefault="005D0389" w:rsidP="00A93892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1F60D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IV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XII 2017=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A93892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I 2018=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I-IV</w:t>
            </w:r>
            <w:r w:rsidRPr="00A93892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2017= =100</w:t>
            </w:r>
          </w:p>
        </w:tc>
      </w:tr>
      <w:tr w:rsidR="005D0389" w:rsidRPr="005D0389" w:rsidTr="005D0389">
        <w:trPr>
          <w:trHeight w:val="330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5D0389" w:rsidRPr="005D0389" w:rsidTr="005D0389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</w:t>
            </w:r>
            <w:r w:rsidRPr="00A93892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>alkoholowe oraz wyroby tytoniowe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5D0389" w:rsidRPr="005D0389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917CCF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917CCF" w:rsidRDefault="005D0389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917CCF" w:rsidRDefault="005D0389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917CCF" w:rsidRDefault="005D0389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917CCF" w:rsidRDefault="005D0389" w:rsidP="00917CC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5D0389" w:rsidRPr="00A93892" w:rsidTr="005D0389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 desery mleczne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135,1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112,4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121,9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123,2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111,9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68,6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72,4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NAPOJE ALKOHOLOWE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WYROBY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D0389" w:rsidRPr="00A93892" w:rsidTr="005D0389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Default="005D0389" w:rsidP="005D0389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YTKOWANIE MIESZKANIA LUB DOMU </w:t>
            </w:r>
          </w:p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5D0389" w:rsidRPr="00A93892" w:rsidTr="005D0389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D0389" w:rsidRPr="00A93892" w:rsidTr="005D0389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Mebl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e, artykuły dekoracyjne,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oświetleniowy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5D0389" w:rsidRPr="00A93892" w:rsidTr="005D0389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ane z prowadzeniem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domowego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5D0389" w:rsidRPr="00A93892" w:rsidTr="005D0389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do prywatnych środków transportu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Usługi transportowe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ŁĄCZNOŚĆ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86,6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D0389" w:rsidRPr="00A93892" w:rsidTr="005D0389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audiowizualny,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</w:t>
            </w: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informatyczny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</w:tr>
      <w:tr w:rsidR="005D0389" w:rsidRPr="00A93892" w:rsidTr="005D0389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A9389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D0389" w:rsidRPr="00A93892" w:rsidTr="005D0389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5D0389" w:rsidRPr="00A93892" w:rsidTr="005D0389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93,7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fryzjerskie, kosmety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czne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pielęgnacyjne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kosmetyki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5D0389" w:rsidRPr="00A93892" w:rsidTr="005D0389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</w:tr>
      <w:tr w:rsidR="005D0389" w:rsidRPr="00A93892" w:rsidTr="005D0389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Default="005D0389" w:rsidP="005D0389">
            <w:pPr>
              <w:spacing w:before="0"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ansowe świadczone przez banki </w:t>
            </w:r>
          </w:p>
          <w:p w:rsidR="005D0389" w:rsidRPr="00A93892" w:rsidRDefault="005D0389" w:rsidP="005D038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 </w:t>
            </w:r>
            <w:r w:rsidRPr="00A93892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instytucje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389" w:rsidRPr="005D0389" w:rsidRDefault="005D0389" w:rsidP="005D0389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5D038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89,3</w:t>
            </w:r>
          </w:p>
        </w:tc>
      </w:tr>
    </w:tbl>
    <w:p w:rsidR="001A78D0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Default="001A78D0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F90BB1" w:rsidRDefault="001A78D0" w:rsidP="00516A50">
      <w:pPr>
        <w:pStyle w:val="LID"/>
        <w:rPr>
          <w:sz w:val="18"/>
          <w:shd w:val="clear" w:color="auto" w:fill="FFFFFF"/>
        </w:rPr>
      </w:pPr>
    </w:p>
    <w:p w:rsidR="00DF712D" w:rsidRDefault="00DF712D" w:rsidP="00883763">
      <w:pPr>
        <w:spacing w:before="0" w:after="160" w:line="259" w:lineRule="auto"/>
      </w:pPr>
    </w:p>
    <w:p w:rsidR="00685123" w:rsidRPr="00883763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883763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2268BB" w:rsidTr="00EE696D">
        <w:trPr>
          <w:trHeight w:val="1912"/>
        </w:trPr>
        <w:tc>
          <w:tcPr>
            <w:tcW w:w="4379" w:type="dxa"/>
          </w:tcPr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883763" w:rsidRPr="003A5CC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608 35 12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3A5CC6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21" w:history="1">
              <w:r w:rsidRPr="0029606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0470AA">
            <w:pPr>
              <w:rPr>
                <w:sz w:val="20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faks:</w:t>
            </w:r>
            <w:r w:rsidR="00097840" w:rsidRPr="00685123">
              <w:rPr>
                <w:sz w:val="20"/>
                <w:lang w:val="en-US"/>
              </w:rPr>
              <w:t xml:space="preserve"> 22</w:t>
            </w:r>
            <w:r w:rsidRPr="00685123">
              <w:rPr>
                <w:sz w:val="20"/>
                <w:lang w:val="en-US"/>
              </w:rPr>
              <w:t xml:space="preserve"> 608 38 86 </w:t>
            </w:r>
          </w:p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3" w:history="1">
              <w:r w:rsidRPr="00685123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0AEBB7B" wp14:editId="4A5AFC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F91E765" wp14:editId="3B66C2D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04C9D72" wp14:editId="4641103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5D1C04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49187DFA" wp14:editId="4BA5B1CB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650" w:rsidRDefault="000F2650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0F2650" w:rsidRPr="006761A7" w:rsidRDefault="000F2650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0F2650" w:rsidRPr="006761A7" w:rsidRDefault="00EB0BB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0F2650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0F2650" w:rsidRPr="006761A7" w:rsidRDefault="00EB0BB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0F2650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0F2650" w:rsidRPr="00E233EA" w:rsidRDefault="000F2650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F2650" w:rsidRPr="00E233EA" w:rsidRDefault="000F2650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0F2650" w:rsidRPr="006761A7" w:rsidRDefault="00EB0BB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0F2650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0F2650" w:rsidRPr="006761A7" w:rsidRDefault="00EB0BB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0F2650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0F2650" w:rsidRPr="006761A7" w:rsidRDefault="00EB0BB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0F2650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0F2650" w:rsidRPr="006761A7" w:rsidRDefault="00EB0BB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0F2650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0F2650" w:rsidRPr="006761A7" w:rsidRDefault="00EB0BB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0F2650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0F2650" w:rsidRPr="006761A7" w:rsidRDefault="000F2650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F2650" w:rsidRDefault="000F2650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0F2650" w:rsidRPr="006761A7" w:rsidRDefault="00EB0BB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0F2650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0F2650" w:rsidRPr="00E233EA" w:rsidRDefault="00EB0BB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5" w:history="1">
                              <w:r w:rsidR="000F2650" w:rsidRPr="00E233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87DFA" id="_x0000_s1032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t7PwIAAHQEAAAOAAAAZHJzL2Uyb0RvYy54bWysVFFv0zAQfkfiP1h+Z0lLU9Zo6TQ2hpAG&#10;TBr8gIvjNNZsX7DdJuXX7+y0o4MHJMRL5POdv/vuu7tcXI5Gs510XqGt+Ows50xagY2ym4p//3b7&#10;5pwzH8A2oNHKiu+l55fr168uhr6Uc+xQN9IxArG+HPqKdyH0ZZZ50UkD/gx7acnZojMQyHSbrHEw&#10;ELrR2TzPl9mArukdCuk93d5MTr5O+G0rRfjatl4GpitO3EL6uvSt4zdbX0C5cdB3ShxowD+wMKAs&#10;JX2GuoEAbOvUH1BGCYce23Am0GTYtkrIVANVM8t/q+ahg16mWkgc3z/L5P8frPiyu3dMNdS7GWcW&#10;DPXoHrVkQT76gINk86jR0PuSQh96Cg7jexwpPtXr+zsUj55ZvO7AbuSVczh0EhriOIsvs5OnE46P&#10;IPXwGRvKBduACWhsnYkCkiSM0KlX++f+yDEwQZfLolgVBbkE+RaLxdt8VaQcUB6f986HjxINi4eK&#10;OxqABA+7Ox8iHSiPITGbR62aW6V1MuLQyWvt2A5oXOrNVKLeGuI63a2KPE9DQzhpRmN4Qn2BpC0b&#10;Kr4q5sUk0l+yTLxeIBgVaC+0MhU/p5RTUiijsh9sQw+gDKD0dCYy2h6kjupOOoexHlNnl8cO1tjs&#10;SXuH0xrQ2tKhQ/eTs4FWoOL+xxac5Ex/stS/1WyxiDuTjEXxbk6GO/XUpx6wgqAqHjibjtch7Vmk&#10;avGK+tyq1IE4EBOTA2Ua7SThYQ3j7pzaKerXz2L9BA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D5Fkt7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0F2650" w:rsidRDefault="000F2650" w:rsidP="00883763">
                      <w:pPr>
                        <w:rPr>
                          <w:b/>
                        </w:rPr>
                      </w:pPr>
                    </w:p>
                    <w:p w:rsidR="000F2650" w:rsidRPr="006761A7" w:rsidRDefault="000F2650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0F2650" w:rsidRPr="006761A7" w:rsidRDefault="00EB0BB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0F2650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0F2650" w:rsidRPr="006761A7" w:rsidRDefault="00EB0BB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0F2650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0F2650" w:rsidRPr="00E233EA" w:rsidRDefault="000F2650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F2650" w:rsidRPr="00E233EA" w:rsidRDefault="000F2650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0F2650" w:rsidRPr="006761A7" w:rsidRDefault="00EB0BB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0F2650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0F2650" w:rsidRPr="006761A7" w:rsidRDefault="00EB0BB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0F2650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0F2650" w:rsidRPr="006761A7" w:rsidRDefault="00EB0BB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0F2650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0F2650" w:rsidRPr="006761A7" w:rsidRDefault="00EB0BB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0F2650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0F2650" w:rsidRPr="006761A7" w:rsidRDefault="00EB0BB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0F2650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0F2650" w:rsidRPr="006761A7" w:rsidRDefault="000F2650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F2650" w:rsidRDefault="000F2650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0F2650" w:rsidRPr="006761A7" w:rsidRDefault="00EB0BB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0F2650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0F2650" w:rsidRPr="00E233EA" w:rsidRDefault="00EB0BB4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4" w:history="1">
                        <w:r w:rsidR="000F2650" w:rsidRPr="00E233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5"/>
      <w:footerReference w:type="default" r:id="rId46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BB4" w:rsidRDefault="00EB0BB4" w:rsidP="000662E2">
      <w:pPr>
        <w:spacing w:after="0" w:line="240" w:lineRule="auto"/>
      </w:pPr>
      <w:r>
        <w:separator/>
      </w:r>
    </w:p>
  </w:endnote>
  <w:endnote w:type="continuationSeparator" w:id="0">
    <w:p w:rsidR="00EB0BB4" w:rsidRDefault="00EB0BB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DejaVu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0F2650" w:rsidRDefault="000F265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C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0F2650" w:rsidRDefault="000F265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C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0F2650" w:rsidRDefault="000F2650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CA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BB4" w:rsidRDefault="00EB0BB4" w:rsidP="000662E2">
      <w:pPr>
        <w:spacing w:after="0" w:line="240" w:lineRule="auto"/>
      </w:pPr>
      <w:r>
        <w:separator/>
      </w:r>
    </w:p>
  </w:footnote>
  <w:footnote w:type="continuationSeparator" w:id="0">
    <w:p w:rsidR="00EB0BB4" w:rsidRDefault="00EB0BB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650" w:rsidRDefault="000F26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572FE1" wp14:editId="6BD4B090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B427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0F2650" w:rsidRDefault="000F265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650" w:rsidRDefault="000F26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9867EBE" wp14:editId="17B9379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7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2650" w:rsidRPr="003C6C8D" w:rsidRDefault="000F2650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67EBE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F2650" w:rsidRPr="003C6C8D" w:rsidRDefault="000F2650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79632EF" wp14:editId="182CD29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078D9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A96D30E" wp14:editId="572B7369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650" w:rsidRDefault="000F26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8F76D3E" wp14:editId="0726C52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F2650" w:rsidRPr="00C97596" w:rsidRDefault="000F265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76D3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0F2650" w:rsidRPr="00C97596" w:rsidRDefault="000F265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650" w:rsidRDefault="000F2650">
    <w:pPr>
      <w:pStyle w:val="Nagwek"/>
    </w:pPr>
  </w:p>
  <w:p w:rsidR="000F2650" w:rsidRDefault="000F26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01FC"/>
    <w:rsid w:val="00034160"/>
    <w:rsid w:val="0004015D"/>
    <w:rsid w:val="0004582E"/>
    <w:rsid w:val="0004646A"/>
    <w:rsid w:val="000470AA"/>
    <w:rsid w:val="00057CA1"/>
    <w:rsid w:val="000662E2"/>
    <w:rsid w:val="00066883"/>
    <w:rsid w:val="00074DD8"/>
    <w:rsid w:val="000800B4"/>
    <w:rsid w:val="000806F7"/>
    <w:rsid w:val="00097840"/>
    <w:rsid w:val="000A6963"/>
    <w:rsid w:val="000A7F1A"/>
    <w:rsid w:val="000B0727"/>
    <w:rsid w:val="000C135D"/>
    <w:rsid w:val="000D1D43"/>
    <w:rsid w:val="000D225C"/>
    <w:rsid w:val="000D2A5C"/>
    <w:rsid w:val="000E0918"/>
    <w:rsid w:val="000F2650"/>
    <w:rsid w:val="001011C3"/>
    <w:rsid w:val="00110D87"/>
    <w:rsid w:val="001149A1"/>
    <w:rsid w:val="00114DB9"/>
    <w:rsid w:val="00116087"/>
    <w:rsid w:val="00130296"/>
    <w:rsid w:val="00132297"/>
    <w:rsid w:val="00133A82"/>
    <w:rsid w:val="00135B65"/>
    <w:rsid w:val="00142037"/>
    <w:rsid w:val="001423B6"/>
    <w:rsid w:val="001448A7"/>
    <w:rsid w:val="00146621"/>
    <w:rsid w:val="00162325"/>
    <w:rsid w:val="001951DA"/>
    <w:rsid w:val="001A78D0"/>
    <w:rsid w:val="001C3269"/>
    <w:rsid w:val="001D1DB4"/>
    <w:rsid w:val="001E1D94"/>
    <w:rsid w:val="001E7DBB"/>
    <w:rsid w:val="001F60D1"/>
    <w:rsid w:val="002268BB"/>
    <w:rsid w:val="002574F9"/>
    <w:rsid w:val="00262B61"/>
    <w:rsid w:val="0026302B"/>
    <w:rsid w:val="002724FF"/>
    <w:rsid w:val="00275FA6"/>
    <w:rsid w:val="00276811"/>
    <w:rsid w:val="00276C9A"/>
    <w:rsid w:val="00282699"/>
    <w:rsid w:val="00290CB6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22EDD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E6F8F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52CAB"/>
    <w:rsid w:val="00454E14"/>
    <w:rsid w:val="004566AB"/>
    <w:rsid w:val="0045762F"/>
    <w:rsid w:val="004601AC"/>
    <w:rsid w:val="00463E39"/>
    <w:rsid w:val="004657FC"/>
    <w:rsid w:val="004733F6"/>
    <w:rsid w:val="00474E69"/>
    <w:rsid w:val="00493217"/>
    <w:rsid w:val="0049621B"/>
    <w:rsid w:val="004C1895"/>
    <w:rsid w:val="004C6D40"/>
    <w:rsid w:val="004F0C3C"/>
    <w:rsid w:val="004F63FC"/>
    <w:rsid w:val="00501254"/>
    <w:rsid w:val="00501F76"/>
    <w:rsid w:val="00502E6F"/>
    <w:rsid w:val="00505A92"/>
    <w:rsid w:val="00511F19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62A7"/>
    <w:rsid w:val="005877DE"/>
    <w:rsid w:val="005916D7"/>
    <w:rsid w:val="005A2784"/>
    <w:rsid w:val="005A698C"/>
    <w:rsid w:val="005C1AF8"/>
    <w:rsid w:val="005D0389"/>
    <w:rsid w:val="005D1C04"/>
    <w:rsid w:val="005D470D"/>
    <w:rsid w:val="005E0799"/>
    <w:rsid w:val="005E2757"/>
    <w:rsid w:val="005F4399"/>
    <w:rsid w:val="005F5A80"/>
    <w:rsid w:val="006044FF"/>
    <w:rsid w:val="00607CC5"/>
    <w:rsid w:val="006149F0"/>
    <w:rsid w:val="006321A2"/>
    <w:rsid w:val="00633014"/>
    <w:rsid w:val="0063437B"/>
    <w:rsid w:val="006673CA"/>
    <w:rsid w:val="00673C26"/>
    <w:rsid w:val="00674A8B"/>
    <w:rsid w:val="006812AF"/>
    <w:rsid w:val="00682B23"/>
    <w:rsid w:val="0068327D"/>
    <w:rsid w:val="00683EDE"/>
    <w:rsid w:val="00685123"/>
    <w:rsid w:val="00691225"/>
    <w:rsid w:val="00694AF0"/>
    <w:rsid w:val="006A4686"/>
    <w:rsid w:val="006B0E9E"/>
    <w:rsid w:val="006B208D"/>
    <w:rsid w:val="006B20B4"/>
    <w:rsid w:val="006B5AE4"/>
    <w:rsid w:val="006D1507"/>
    <w:rsid w:val="006D4054"/>
    <w:rsid w:val="006D6B72"/>
    <w:rsid w:val="006E02EC"/>
    <w:rsid w:val="007059D5"/>
    <w:rsid w:val="007162EB"/>
    <w:rsid w:val="007211B1"/>
    <w:rsid w:val="0072400B"/>
    <w:rsid w:val="00733D55"/>
    <w:rsid w:val="00746187"/>
    <w:rsid w:val="00752A67"/>
    <w:rsid w:val="00761070"/>
    <w:rsid w:val="0076254F"/>
    <w:rsid w:val="007801F5"/>
    <w:rsid w:val="00781552"/>
    <w:rsid w:val="00783CA4"/>
    <w:rsid w:val="007842FB"/>
    <w:rsid w:val="00786124"/>
    <w:rsid w:val="0078756B"/>
    <w:rsid w:val="00792E24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B4AE0"/>
    <w:rsid w:val="008C0C29"/>
    <w:rsid w:val="008C7A01"/>
    <w:rsid w:val="008F3638"/>
    <w:rsid w:val="008F4441"/>
    <w:rsid w:val="008F6F31"/>
    <w:rsid w:val="008F74DF"/>
    <w:rsid w:val="009127BA"/>
    <w:rsid w:val="00916782"/>
    <w:rsid w:val="00917CCF"/>
    <w:rsid w:val="009227A6"/>
    <w:rsid w:val="00933B26"/>
    <w:rsid w:val="00933EC1"/>
    <w:rsid w:val="00942DCA"/>
    <w:rsid w:val="009530DB"/>
    <w:rsid w:val="00953676"/>
    <w:rsid w:val="009705EE"/>
    <w:rsid w:val="00971217"/>
    <w:rsid w:val="00977927"/>
    <w:rsid w:val="0098135C"/>
    <w:rsid w:val="0098156A"/>
    <w:rsid w:val="00990133"/>
    <w:rsid w:val="00991BAC"/>
    <w:rsid w:val="009A6EA0"/>
    <w:rsid w:val="009B1399"/>
    <w:rsid w:val="009B746F"/>
    <w:rsid w:val="009C1335"/>
    <w:rsid w:val="009C1AB2"/>
    <w:rsid w:val="009C5407"/>
    <w:rsid w:val="009C7251"/>
    <w:rsid w:val="009E2E91"/>
    <w:rsid w:val="009E3BF4"/>
    <w:rsid w:val="009E3FA7"/>
    <w:rsid w:val="009E410D"/>
    <w:rsid w:val="009F5815"/>
    <w:rsid w:val="00A07F00"/>
    <w:rsid w:val="00A12435"/>
    <w:rsid w:val="00A139F5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810F9"/>
    <w:rsid w:val="00A86ECC"/>
    <w:rsid w:val="00A86FCC"/>
    <w:rsid w:val="00A93892"/>
    <w:rsid w:val="00AA710D"/>
    <w:rsid w:val="00AB6D25"/>
    <w:rsid w:val="00AD4947"/>
    <w:rsid w:val="00AE20FD"/>
    <w:rsid w:val="00AE2D4B"/>
    <w:rsid w:val="00AE3075"/>
    <w:rsid w:val="00AE4F99"/>
    <w:rsid w:val="00B06265"/>
    <w:rsid w:val="00B11B69"/>
    <w:rsid w:val="00B14952"/>
    <w:rsid w:val="00B31E5A"/>
    <w:rsid w:val="00B322EC"/>
    <w:rsid w:val="00B609CE"/>
    <w:rsid w:val="00B653AB"/>
    <w:rsid w:val="00B65F9E"/>
    <w:rsid w:val="00B66B19"/>
    <w:rsid w:val="00B914E9"/>
    <w:rsid w:val="00B94737"/>
    <w:rsid w:val="00B956EE"/>
    <w:rsid w:val="00B97152"/>
    <w:rsid w:val="00BA2BA1"/>
    <w:rsid w:val="00BA3562"/>
    <w:rsid w:val="00BA5A42"/>
    <w:rsid w:val="00BB4F09"/>
    <w:rsid w:val="00BC17C7"/>
    <w:rsid w:val="00BD4E33"/>
    <w:rsid w:val="00BE4B65"/>
    <w:rsid w:val="00BF790C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08EF"/>
    <w:rsid w:val="00CF4099"/>
    <w:rsid w:val="00D00796"/>
    <w:rsid w:val="00D02D2C"/>
    <w:rsid w:val="00D261A2"/>
    <w:rsid w:val="00D401C9"/>
    <w:rsid w:val="00D538E4"/>
    <w:rsid w:val="00D616D2"/>
    <w:rsid w:val="00D63B5F"/>
    <w:rsid w:val="00D7066F"/>
    <w:rsid w:val="00D70EF7"/>
    <w:rsid w:val="00D815F5"/>
    <w:rsid w:val="00D8397C"/>
    <w:rsid w:val="00D94EED"/>
    <w:rsid w:val="00D96026"/>
    <w:rsid w:val="00DA0243"/>
    <w:rsid w:val="00DA433C"/>
    <w:rsid w:val="00DA7C1C"/>
    <w:rsid w:val="00DB147A"/>
    <w:rsid w:val="00DB1B7A"/>
    <w:rsid w:val="00DC6708"/>
    <w:rsid w:val="00DC7CFA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3312"/>
    <w:rsid w:val="00E664C5"/>
    <w:rsid w:val="00E671A2"/>
    <w:rsid w:val="00E76D26"/>
    <w:rsid w:val="00EB02C9"/>
    <w:rsid w:val="00EB0BB4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04C11"/>
    <w:rsid w:val="00F12FEC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93CA3"/>
    <w:rsid w:val="00FA5128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038477-0C7A-4F30-BC2F-4B3FD3DB3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9" Type="http://schemas.openxmlformats.org/officeDocument/2006/relationships/hyperlink" Target="http://bdm.stat.gov.pl/" TargetMode="External"/><Relationship Id="rId21" Type="http://schemas.openxmlformats.org/officeDocument/2006/relationships/hyperlink" Target="mailto:a.bobel@stat.gov.pl" TargetMode="External"/><Relationship Id="rId34" Type="http://schemas.openxmlformats.org/officeDocument/2006/relationships/hyperlink" Target="http://stat.gov.pl/metainformacje/slownik-pojec/pojecia-stosowane-w-statystyce-publicznej/711,pojecie.html" TargetMode="External"/><Relationship Id="rId42" Type="http://schemas.openxmlformats.org/officeDocument/2006/relationships/hyperlink" Target="http://stat.gov.pl/obszary-tematyczne/ceny-handel/ceny/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9" Type="http://schemas.openxmlformats.org/officeDocument/2006/relationships/hyperlink" Target="http://swaid.stat.gov.pl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obszary-tematyczne/ceny-handel/wskazniki-cen/" TargetMode="External"/><Relationship Id="rId37" Type="http://schemas.openxmlformats.org/officeDocument/2006/relationships/hyperlink" Target="http://stat.gov.pl/sygnalne/informacje-sygnalne/" TargetMode="External"/><Relationship Id="rId40" Type="http://schemas.openxmlformats.org/officeDocument/2006/relationships/hyperlink" Target="https://bdl.stat.gov.pl/BDL/start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yperlink" Target="http://stat.gov.pl/sygnalne/komunikaty-i-obwieszczenia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bdl.stat.gov.pl/BDL/start" TargetMode="External"/><Relationship Id="rId44" Type="http://schemas.openxmlformats.org/officeDocument/2006/relationships/hyperlink" Target="http://stat.gov.pl/metainformacje/slownik-pojec/pojecia-stosowane-w-statystyce-publicznej/32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sygnalne/komunikaty-i-obwieszczenia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metainformacje/slownik-pojec/pojecia-stosowane-w-statystyce-publicznej/32,pojecie.html" TargetMode="External"/><Relationship Id="rId43" Type="http://schemas.openxmlformats.org/officeDocument/2006/relationships/hyperlink" Target="http://stat.gov.pl/metainformacje/slownik-pojec/pojecia-stosowane-w-statystyce-publicznej/711,pojecie.html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obszary-tematyczne/ceny-handel/ceny/" TargetMode="External"/><Relationship Id="rId38" Type="http://schemas.openxmlformats.org/officeDocument/2006/relationships/hyperlink" Target="http://swaid.stat.gov.pl/SitePagesDBW/Ceny.aspx" TargetMode="External"/><Relationship Id="rId46" Type="http://schemas.openxmlformats.org/officeDocument/2006/relationships/footer" Target="footer3.xml"/><Relationship Id="rId20" Type="http://schemas.openxmlformats.org/officeDocument/2006/relationships/footer" Target="footer2.xml"/><Relationship Id="rId41" Type="http://schemas.openxmlformats.org/officeDocument/2006/relationships/hyperlink" Target="http://stat.gov.pl/obszary-tematyczne/ceny-handel/wskazniki-c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Usługi telekomunikacyjne</c:v>
                </c:pt>
                <c:pt idx="1">
                  <c:v>Ubezpieczenia</c:v>
                </c:pt>
                <c:pt idx="2">
                  <c:v>Usługi związane z rekreacją i kulturą</c:v>
                </c:pt>
                <c:pt idx="3">
                  <c:v>Mleko, sery i jaja</c:v>
                </c:pt>
                <c:pt idx="4">
                  <c:v>Turystyka zorganizowana</c:v>
                </c:pt>
                <c:pt idx="5">
                  <c:v>Obuwie</c:v>
                </c:pt>
                <c:pt idx="6">
                  <c:v>Usługi transportowe</c:v>
                </c:pt>
                <c:pt idx="7">
                  <c:v>Warzywa</c:v>
                </c:pt>
                <c:pt idx="8">
                  <c:v>Odzież</c:v>
                </c:pt>
                <c:pt idx="9">
                  <c:v>Paliwa do prywatnych środków transportu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-0.02</c:v>
                </c:pt>
                <c:pt idx="1">
                  <c:v>-0.02</c:v>
                </c:pt>
                <c:pt idx="2">
                  <c:v>-0.02</c:v>
                </c:pt>
                <c:pt idx="3">
                  <c:v>-0.01</c:v>
                </c:pt>
                <c:pt idx="4">
                  <c:v>0.03</c:v>
                </c:pt>
                <c:pt idx="5">
                  <c:v>0.06</c:v>
                </c:pt>
                <c:pt idx="6">
                  <c:v>7.0000000000000007E-2</c:v>
                </c:pt>
                <c:pt idx="7">
                  <c:v>7.0000000000000007E-2</c:v>
                </c:pt>
                <c:pt idx="8">
                  <c:v>0.08</c:v>
                </c:pt>
                <c:pt idx="9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370180816"/>
        <c:axId val="-1370179728"/>
      </c:barChart>
      <c:catAx>
        <c:axId val="-137018081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70179728"/>
        <c:crosses val="autoZero"/>
        <c:auto val="1"/>
        <c:lblAlgn val="ctr"/>
        <c:lblOffset val="300"/>
        <c:tickMarkSkip val="1"/>
        <c:noMultiLvlLbl val="0"/>
      </c:catAx>
      <c:valAx>
        <c:axId val="-1370179728"/>
        <c:scaling>
          <c:orientation val="minMax"/>
          <c:max val="0.15000000000000002"/>
          <c:min val="-5.000000000000001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70180816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33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8.74</c:v>
                </c:pt>
                <c:pt idx="6">
                  <c:v>5.69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6.19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370176464"/>
        <c:axId val="-1370178096"/>
      </c:barChart>
      <c:catAx>
        <c:axId val="-1370176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1370178096"/>
        <c:crosses val="autoZero"/>
        <c:auto val="0"/>
        <c:lblAlgn val="ctr"/>
        <c:lblOffset val="100"/>
        <c:noMultiLvlLbl val="0"/>
      </c:catAx>
      <c:valAx>
        <c:axId val="-137017809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18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13701764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71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79374506265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19E-2"/>
                  <c:y val="3.59417644078952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65282209589E-2"/>
                  <c:y val="-2.896205639318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304E-2"/>
                  <c:y val="3.1637865954991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667569597413974E-2"/>
                  <c:y val="3.107121651612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1710196496977316E-2"/>
                  <c:y val="3.1419024251379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130202223298582E-2"/>
                  <c:y val="-2.4751262141114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15304861636E-2"/>
                  <c:y val="-2.8836485923688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122460251036223E-2"/>
                  <c:y val="3.1289891186458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3032818457817623E-2"/>
                  <c:y val="-2.88364859236880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510378237201957E-2"/>
                  <c:y val="2.6985992733554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8537155534637192E-2"/>
                  <c:y val="3.57230001762257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77E-2"/>
                  <c:y val="-2.4532587470783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738335707806092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4111486621742198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96496977316E-2"/>
                  <c:y val="3.57230001762258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76639484731274E-2"/>
                  <c:y val="3.57230001762257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438327017138361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25831106154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09781200292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05682622736E-2"/>
                  <c:y val="4.0026976101072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188763957210899E-2"/>
                  <c:y val="-3.04229166666666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94E-2"/>
                  <c:y val="3.3838175528528261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55E-2"/>
                  <c:y val="2.718320070721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'M-1'!$B$14:$B$29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'M-1'!$C$14:$C$29</c:f>
              <c:numCache>
                <c:formatCode>0.0</c:formatCode>
                <c:ptCount val="16"/>
                <c:pt idx="0">
                  <c:v>0.40000000000000568</c:v>
                </c:pt>
                <c:pt idx="1">
                  <c:v>0.29999999999999716</c:v>
                </c:pt>
                <c:pt idx="2">
                  <c:v>-9.9999999999994316E-2</c:v>
                </c:pt>
                <c:pt idx="3">
                  <c:v>0.29999999999999716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-9.9999999999994316E-2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0.29999999999999716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70177552"/>
        <c:axId val="-1370175920"/>
      </c:lineChart>
      <c:dateAx>
        <c:axId val="-137017755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70175920"/>
        <c:crossesAt val="0"/>
        <c:auto val="0"/>
        <c:lblOffset val="100"/>
        <c:baseTimeUnit val="days"/>
      </c:dateAx>
      <c:valAx>
        <c:axId val="-1370175920"/>
        <c:scaling>
          <c:orientation val="minMax"/>
          <c:max val="0.60000000000000009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70177552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71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26"/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29497073465E-2"/>
                  <c:y val="-3.53152447438773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37E-2"/>
                  <c:y val="-2.5375967836694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454337638810398E-2"/>
                  <c:y val="3.3907854142588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46767378325E-2"/>
                  <c:y val="3.33344266786548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17286462635E-2"/>
                  <c:y val="-2.9895604486074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60086539061E-2"/>
                  <c:y val="3.3903995276748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6170428956744E-2"/>
                  <c:y val="-3.1317397503699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07255280337E-2"/>
                  <c:y val="-3.1246780258814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120470391182506E-2"/>
                  <c:y val="-2.24107492566860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690391202029462E-2"/>
                  <c:y val="3.30828286258385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834810644111E-2"/>
                  <c:y val="-2.9970225260147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62541764E-2"/>
                  <c:y val="2.84884629558526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0544104541785385E-2"/>
                  <c:y val="3.35304570633645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3584025350458332E-2"/>
                  <c:y val="2.70484541062971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5188861615126701E-2"/>
                  <c:y val="-3.77311360960303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0884413575210797E-2"/>
                  <c:y val="-2.12170855476085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184443258502388E-2"/>
                  <c:y val="2.6973971558992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1710119110314169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1167958381641146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0401799210021983E-2"/>
                  <c:y val="-2.4462201512022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1055888811344E-2"/>
                  <c:y val="2.365824220187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213685502105962E-2"/>
                  <c:y val="-3.3211373096366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51515440490082E-2"/>
                  <c:y val="2.69033581662838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2706922733747125E-2"/>
                  <c:y val="-3.04230052233243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731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6953E-2"/>
                  <c:y val="2.755993922435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(FE)'!$B$14:$B$29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'M-12 (FE)'!$C$14:$C$29</c:f>
              <c:numCache>
                <c:formatCode>0.0</c:formatCode>
                <c:ptCount val="16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1.9000000000000057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1.9000000000000057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18395472"/>
        <c:axId val="-1315521136"/>
      </c:lineChart>
      <c:dateAx>
        <c:axId val="-131839547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15521136"/>
        <c:crossesAt val="0"/>
        <c:auto val="0"/>
        <c:lblOffset val="100"/>
        <c:baseTimeUnit val="days"/>
      </c:dateAx>
      <c:valAx>
        <c:axId val="-1315521136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31839547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195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m-12'!$B$15:$B$30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m-12'!$C$15:$C$30</c:f>
              <c:numCache>
                <c:formatCode>0.0</c:formatCode>
                <c:ptCount val="16"/>
                <c:pt idx="0">
                  <c:v>1.7000000000000028</c:v>
                </c:pt>
                <c:pt idx="1">
                  <c:v>2.2000000000000028</c:v>
                </c:pt>
                <c:pt idx="2">
                  <c:v>2</c:v>
                </c:pt>
                <c:pt idx="3">
                  <c:v>2</c:v>
                </c:pt>
                <c:pt idx="4">
                  <c:v>1.9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1.7999999999999972</c:v>
                </c:pt>
                <c:pt idx="8">
                  <c:v>2.2000000000000028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m-12'!$B$15:$B$30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m-12'!$E$15:$E$30</c:f>
              <c:numCache>
                <c:formatCode>0.0</c:formatCode>
                <c:ptCount val="16"/>
                <c:pt idx="0">
                  <c:v>1.4</c:v>
                </c:pt>
                <c:pt idx="1">
                  <c:v>1.9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</c:v>
                </c:pt>
                <c:pt idx="14">
                  <c:v>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15520048"/>
        <c:axId val="-1315518416"/>
      </c:lineChart>
      <c:catAx>
        <c:axId val="-1315520048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31551841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1315518416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315520048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659"/>
          <c:y val="0.18867362469532584"/>
          <c:w val="0.11602738896666084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0.71266</cdr:x>
      <cdr:y>0.8665</cdr:y>
    </cdr:from>
    <cdr:to>
      <cdr:x>0.71298</cdr:x>
      <cdr:y>0.94618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650402" y="2346756"/>
          <a:ext cx="1639" cy="215798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0.92748</cdr:y>
    </cdr:from>
    <cdr:to>
      <cdr:x>0.71256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590" y="2520220"/>
          <a:ext cx="3297680" cy="1970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0.71256</cdr:x>
      <cdr:y>0.92407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44241" y="2486209"/>
          <a:ext cx="1136038" cy="2042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0.93596</cdr:y>
    </cdr:from>
    <cdr:to>
      <cdr:x>0.71398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1950" y="2695575"/>
          <a:ext cx="3295651" cy="184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0.71398</cdr:x>
      <cdr:y>0.93596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657601" y="2695575"/>
          <a:ext cx="1130630" cy="1844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0.7126</cdr:x>
      <cdr:y>0.86417</cdr:y>
    </cdr:from>
    <cdr:to>
      <cdr:x>0.71295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3650527" y="2488810"/>
          <a:ext cx="1793" cy="2446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0.04032</cdr:x>
      <cdr:y>0.21824</cdr:y>
    </cdr:from>
    <cdr:to>
      <cdr:x>0.30888</cdr:x>
      <cdr:y>0.31455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06234" y="631114"/>
          <a:ext cx="1373782" cy="27851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0.19659</cdr:x>
      <cdr:y>0.29895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005612" y="864515"/>
          <a:ext cx="193719" cy="1477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0.38143</cdr:x>
      <cdr:y>0.19591</cdr:y>
    </cdr:from>
    <cdr:to>
      <cdr:x>0.63447</cdr:x>
      <cdr:y>0.34112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51137" y="566535"/>
          <a:ext cx="1294392" cy="419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0.34909</cdr:x>
      <cdr:y>0.1571</cdr:y>
    </cdr:from>
    <cdr:to>
      <cdr:x>0.41835</cdr:x>
      <cdr:y>0.26706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788318" y="452437"/>
          <a:ext cx="354805" cy="31670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0.32214</cdr:x>
      <cdr:y>0.26671</cdr:y>
    </cdr:from>
    <cdr:to>
      <cdr:x>0.41782</cdr:x>
      <cdr:y>0.54925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47847" y="771294"/>
          <a:ext cx="489470" cy="81705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0.71289</cdr:x>
      <cdr:y>0.90435</cdr:y>
    </cdr:from>
    <cdr:to>
      <cdr:x>0.9321</cdr:x>
      <cdr:y>0.97351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656672" y="2426613"/>
          <a:ext cx="1124414" cy="185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0.06613</cdr:x>
      <cdr:y>0.90427</cdr:y>
    </cdr:from>
    <cdr:to>
      <cdr:x>0.71561</cdr:x>
      <cdr:y>0.97732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39184" y="2426399"/>
          <a:ext cx="3331426" cy="1960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0.71382</cdr:x>
      <cdr:y>0.85526</cdr:y>
    </cdr:from>
    <cdr:to>
      <cdr:x>0.71408</cdr:x>
      <cdr:y>0.93211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3666739" y="2285354"/>
          <a:ext cx="1335" cy="20535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6857CB13-E2F1-4F94-8403-B897C6E5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2018-05-11T13:12:00Z</cp:lastPrinted>
  <dcterms:created xsi:type="dcterms:W3CDTF">2018-05-15T07:34:00Z</dcterms:created>
  <dcterms:modified xsi:type="dcterms:W3CDTF">2018-05-15T07:34:00Z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