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23" w:rsidRDefault="00A34C24" w:rsidP="00685123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414.4pt;margin-top:74.4pt;width:135.85pt;height:88.6pt;z-index:-25157734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" filled="f" stroked="f">
            <v:textbox style="mso-next-textbox:#_x0000_s1036">
              <w:txbxContent>
                <w:p w:rsidR="00685123" w:rsidRPr="00BF2F65" w:rsidRDefault="00685123" w:rsidP="0068512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</w:t>
                  </w:r>
                  <w:r w:rsidRPr="00C92B3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edług wstępnyc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h danych wskaźnik cen towarów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i usług konsumpcyjnych w </w:t>
                  </w:r>
                  <w:r w:rsidRPr="00C92B3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styczniu 201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8 </w:t>
                  </w:r>
                  <w:r w:rsidRPr="00C92B3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r. w stosunku do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stycznia poprzedniego roku</w:t>
                  </w:r>
                  <w:r w:rsidRPr="00C92B3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wyniósł 10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1</w:t>
                  </w:r>
                  <w:r w:rsidRPr="00C92B3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,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9</w:t>
                  </w:r>
                </w:p>
              </w:txbxContent>
            </v:textbox>
            <w10:wrap type="tight"/>
          </v:shape>
        </w:pict>
      </w:r>
      <w:r w:rsidR="00685123" w:rsidRPr="000846A2">
        <w:t>Wskaźniki cen towarów i usług konsumpcyjnych</w:t>
      </w:r>
      <w:r w:rsidR="00685123">
        <w:t xml:space="preserve"> w styczniu 2018 r. (dane wstępne)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685123" w:rsidRDefault="00A34C24" w:rsidP="00685123">
      <w:pPr>
        <w:pStyle w:val="LID"/>
        <w:contextualSpacing/>
        <w:rPr>
          <w:shd w:val="clear" w:color="auto" w:fill="FFFFFF"/>
        </w:rPr>
      </w:pPr>
      <w:r>
        <w:pict>
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27">
              <w:txbxContent>
                <w:p w:rsidR="00685123" w:rsidRPr="00B66B19" w:rsidRDefault="00A34C24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A34C24">
                    <w:rPr>
                      <w:rFonts w:asciiTheme="minorHAnsi" w:hAnsiTheme="minorHAnsi"/>
                      <w:color w:val="001D77"/>
                      <w:sz w:val="22"/>
                    </w:rPr>
                    <w:pict>
                      <v:shape id="_x0000_i1028" type="#_x0000_t75" style="width:26.35pt;height:26.35pt;visibility:visible;mso-wrap-style:square" o:bullet="t">
                        <v:imagedata r:id="rId11" o:title=""/>
                      </v:shape>
                    </w:pict>
                  </w:r>
                  <w:r w:rsidR="00685123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685123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100,3</w:t>
                  </w:r>
                </w:p>
                <w:p w:rsidR="00883763" w:rsidRPr="00A4450E" w:rsidRDefault="00883763" w:rsidP="00883763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 w:rsidRPr="00A4450E">
                    <w:t>w porównaniu z </w:t>
                  </w:r>
                  <w:r>
                    <w:t>poprzednim</w:t>
                  </w:r>
                  <w:r w:rsidRPr="00A4450E">
                    <w:t xml:space="preserve"> miesiącem</w:t>
                  </w:r>
                  <w:r>
                    <w:t xml:space="preserve"> (grudzień 2017 r.)</w:t>
                  </w:r>
                </w:p>
                <w:p w:rsidR="00685123" w:rsidRPr="00883763" w:rsidRDefault="00685123" w:rsidP="00883763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685123" w:rsidRPr="00685123">
        <w:t>W styczniu 2018 r. ceny towarów i usług konsumpcyj-nych, według wstępnych danych</w:t>
      </w:r>
      <w:r w:rsidR="00685123" w:rsidRPr="00685123">
        <w:rPr>
          <w:vertAlign w:val="superscript"/>
        </w:rPr>
        <w:footnoteReference w:id="1"/>
      </w:r>
      <w:r w:rsidR="00685123" w:rsidRPr="00685123">
        <w:t xml:space="preserve">, były wyższe o 0,3% </w:t>
      </w:r>
      <w:r w:rsidR="00685123" w:rsidRPr="00685123">
        <w:br/>
        <w:t>niż w grudniu ub. roku.</w:t>
      </w:r>
      <w:bookmarkStart w:id="0" w:name="_GoBack"/>
      <w:bookmarkEnd w:id="0"/>
      <w:r w:rsidR="00685123" w:rsidRPr="00685123">
        <w:rPr>
          <w:shd w:val="clear" w:color="auto" w:fill="FFFFFF"/>
        </w:rPr>
        <w:t xml:space="preserve"> </w:t>
      </w:r>
    </w:p>
    <w:p w:rsidR="00685123" w:rsidRDefault="00685123" w:rsidP="00685123">
      <w:pPr>
        <w:pStyle w:val="LID"/>
        <w:contextualSpacing/>
      </w:pPr>
    </w:p>
    <w:p w:rsidR="00685123" w:rsidRDefault="00685123" w:rsidP="00685123">
      <w:pPr>
        <w:pStyle w:val="LID"/>
        <w:contextualSpacing/>
      </w:pPr>
    </w:p>
    <w:p w:rsidR="00685123" w:rsidRDefault="00685123" w:rsidP="00685123">
      <w:pPr>
        <w:pStyle w:val="LID"/>
        <w:contextualSpacing/>
      </w:pPr>
    </w:p>
    <w:p w:rsidR="00685123" w:rsidRDefault="00685123" w:rsidP="00685123">
      <w:pPr>
        <w:pStyle w:val="LID"/>
        <w:contextualSpacing/>
      </w:pPr>
    </w:p>
    <w:p w:rsidR="00685123" w:rsidRDefault="00685123" w:rsidP="00685123">
      <w:pPr>
        <w:pStyle w:val="LID"/>
      </w:pPr>
    </w:p>
    <w:tbl>
      <w:tblPr>
        <w:tblStyle w:val="Siatkatabelijasna1"/>
        <w:tblpPr w:leftFromText="142" w:rightFromText="142" w:vertAnchor="text" w:horzAnchor="margin" w:tblpXSpec="center" w:tblpY="341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2424"/>
        <w:gridCol w:w="1147"/>
        <w:gridCol w:w="2251"/>
        <w:gridCol w:w="2246"/>
      </w:tblGrid>
      <w:tr w:rsidR="00685123" w:rsidRPr="00FA5128" w:rsidTr="00685123">
        <w:trPr>
          <w:trHeight w:val="57"/>
        </w:trPr>
        <w:tc>
          <w:tcPr>
            <w:tcW w:w="3571" w:type="dxa"/>
            <w:gridSpan w:val="2"/>
            <w:vMerge w:val="restart"/>
            <w:vAlign w:val="center"/>
          </w:tcPr>
          <w:p w:rsidR="00685123" w:rsidRPr="009C7251" w:rsidRDefault="00685123" w:rsidP="00685123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497" w:type="dxa"/>
            <w:gridSpan w:val="2"/>
            <w:vAlign w:val="center"/>
          </w:tcPr>
          <w:p w:rsidR="00685123" w:rsidRPr="00FA5128" w:rsidRDefault="00685123" w:rsidP="0068512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685123" w:rsidRPr="00FA5128" w:rsidTr="00685123">
        <w:trPr>
          <w:trHeight w:val="57"/>
        </w:trPr>
        <w:tc>
          <w:tcPr>
            <w:tcW w:w="357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685123" w:rsidRPr="00FA5128" w:rsidRDefault="00685123" w:rsidP="00685123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tcBorders>
              <w:bottom w:val="single" w:sz="12" w:space="0" w:color="212492"/>
            </w:tcBorders>
            <w:vAlign w:val="center"/>
          </w:tcPr>
          <w:p w:rsidR="00685123" w:rsidRPr="00FA5128" w:rsidRDefault="00685123" w:rsidP="006851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46" w:type="dxa"/>
            <w:tcBorders>
              <w:bottom w:val="single" w:sz="12" w:space="0" w:color="212492"/>
            </w:tcBorders>
            <w:vAlign w:val="center"/>
          </w:tcPr>
          <w:p w:rsidR="00685123" w:rsidRPr="00FA5128" w:rsidRDefault="00685123" w:rsidP="0068512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85123" w:rsidRPr="00FA5128" w:rsidTr="00685123">
        <w:trPr>
          <w:trHeight w:val="57"/>
        </w:trPr>
        <w:tc>
          <w:tcPr>
            <w:tcW w:w="3571" w:type="dxa"/>
            <w:gridSpan w:val="2"/>
            <w:tcBorders>
              <w:top w:val="single" w:sz="12" w:space="0" w:color="212492"/>
            </w:tcBorders>
            <w:vAlign w:val="center"/>
          </w:tcPr>
          <w:p w:rsidR="00685123" w:rsidRPr="00FA5128" w:rsidRDefault="00685123" w:rsidP="0068512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51" w:type="dxa"/>
            <w:tcBorders>
              <w:top w:val="single" w:sz="12" w:space="0" w:color="212492"/>
            </w:tcBorders>
            <w:vAlign w:val="center"/>
          </w:tcPr>
          <w:p w:rsidR="00685123" w:rsidRPr="00FA5128" w:rsidRDefault="00685123" w:rsidP="0068512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2246" w:type="dxa"/>
            <w:tcBorders>
              <w:top w:val="single" w:sz="12" w:space="0" w:color="212492"/>
            </w:tcBorders>
            <w:vAlign w:val="center"/>
          </w:tcPr>
          <w:p w:rsidR="00685123" w:rsidRPr="00FA5128" w:rsidRDefault="00685123" w:rsidP="0068512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685123" w:rsidRPr="00FA5128" w:rsidTr="00685123">
        <w:trPr>
          <w:gridAfter w:val="3"/>
          <w:wAfter w:w="5644" w:type="dxa"/>
          <w:trHeight w:val="57"/>
        </w:trPr>
        <w:tc>
          <w:tcPr>
            <w:tcW w:w="2424" w:type="dxa"/>
          </w:tcPr>
          <w:p w:rsidR="00685123" w:rsidRPr="007D5668" w:rsidRDefault="00685123" w:rsidP="00685123">
            <w:pPr>
              <w:rPr>
                <w:color w:val="000000" w:themeColor="text1"/>
                <w:sz w:val="16"/>
                <w:szCs w:val="16"/>
              </w:rPr>
            </w:pPr>
            <w:r w:rsidRPr="007D5668">
              <w:rPr>
                <w:color w:val="000000" w:themeColor="text1"/>
                <w:sz w:val="16"/>
                <w:szCs w:val="16"/>
              </w:rPr>
              <w:t>w tym:</w:t>
            </w:r>
          </w:p>
        </w:tc>
      </w:tr>
      <w:tr w:rsidR="00685123" w:rsidRPr="00FA5128" w:rsidTr="00685123">
        <w:trPr>
          <w:trHeight w:val="57"/>
        </w:trPr>
        <w:tc>
          <w:tcPr>
            <w:tcW w:w="3571" w:type="dxa"/>
            <w:gridSpan w:val="2"/>
            <w:vAlign w:val="center"/>
          </w:tcPr>
          <w:p w:rsidR="00685123" w:rsidRPr="00296068" w:rsidRDefault="00685123" w:rsidP="0068512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9606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Żywność, napoje bezalkoholowe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96068">
              <w:rPr>
                <w:rFonts w:ascii="Fira Sans" w:hAnsi="Fira Sans"/>
                <w:color w:val="000000" w:themeColor="text1"/>
                <w:sz w:val="16"/>
                <w:szCs w:val="16"/>
              </w:rPr>
              <w:t>i alkoholowe oraz wyroby tytoniowe</w:t>
            </w:r>
          </w:p>
        </w:tc>
        <w:tc>
          <w:tcPr>
            <w:tcW w:w="2251" w:type="dxa"/>
            <w:vAlign w:val="center"/>
          </w:tcPr>
          <w:p w:rsidR="00685123" w:rsidRPr="00FA5128" w:rsidRDefault="00685123" w:rsidP="0068512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512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FA512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246" w:type="dxa"/>
            <w:vAlign w:val="center"/>
          </w:tcPr>
          <w:p w:rsidR="00685123" w:rsidRPr="00FA5128" w:rsidRDefault="00685123" w:rsidP="0068512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512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FA512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85123" w:rsidRPr="00296068" w:rsidTr="00685123">
        <w:trPr>
          <w:trHeight w:val="57"/>
        </w:trPr>
        <w:tc>
          <w:tcPr>
            <w:tcW w:w="3571" w:type="dxa"/>
            <w:gridSpan w:val="2"/>
            <w:vAlign w:val="center"/>
          </w:tcPr>
          <w:p w:rsidR="00685123" w:rsidRPr="006761A7" w:rsidRDefault="00685123" w:rsidP="0068512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96068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2251" w:type="dxa"/>
            <w:vAlign w:val="center"/>
          </w:tcPr>
          <w:p w:rsidR="00685123" w:rsidRPr="00296068" w:rsidRDefault="00685123" w:rsidP="0068512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96068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</w:t>
            </w:r>
            <w:r w:rsidRPr="00296068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2246" w:type="dxa"/>
            <w:vAlign w:val="center"/>
          </w:tcPr>
          <w:p w:rsidR="00685123" w:rsidRPr="00296068" w:rsidRDefault="00685123" w:rsidP="0068512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761A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6761A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</w:tr>
      <w:tr w:rsidR="00685123" w:rsidRPr="00296068" w:rsidTr="00685123">
        <w:trPr>
          <w:trHeight w:val="57"/>
        </w:trPr>
        <w:tc>
          <w:tcPr>
            <w:tcW w:w="3571" w:type="dxa"/>
            <w:gridSpan w:val="2"/>
            <w:vAlign w:val="center"/>
          </w:tcPr>
          <w:p w:rsidR="00685123" w:rsidRPr="00296068" w:rsidRDefault="00685123" w:rsidP="0068512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296068">
              <w:rPr>
                <w:rFonts w:cstheme="majorBidi"/>
                <w:bCs/>
                <w:color w:val="000000" w:themeColor="text1"/>
                <w:sz w:val="16"/>
                <w:szCs w:val="16"/>
              </w:rPr>
              <w:t>Mieszkanie</w:t>
            </w:r>
          </w:p>
        </w:tc>
        <w:tc>
          <w:tcPr>
            <w:tcW w:w="2251" w:type="dxa"/>
            <w:vAlign w:val="center"/>
          </w:tcPr>
          <w:p w:rsidR="00685123" w:rsidRPr="00296068" w:rsidRDefault="00685123" w:rsidP="0068512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96068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</w:t>
            </w: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2246" w:type="dxa"/>
            <w:vAlign w:val="center"/>
          </w:tcPr>
          <w:p w:rsidR="00685123" w:rsidRPr="00296068" w:rsidRDefault="00685123" w:rsidP="0068512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96068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</w:t>
            </w: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</w:tr>
      <w:tr w:rsidR="00685123" w:rsidRPr="00FA5128" w:rsidTr="00685123">
        <w:trPr>
          <w:trHeight w:val="57"/>
        </w:trPr>
        <w:tc>
          <w:tcPr>
            <w:tcW w:w="3571" w:type="dxa"/>
            <w:gridSpan w:val="2"/>
            <w:vAlign w:val="center"/>
          </w:tcPr>
          <w:p w:rsidR="00685123" w:rsidRPr="00A4450E" w:rsidRDefault="00685123" w:rsidP="0068512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296068">
              <w:rPr>
                <w:rFonts w:ascii="Fira Sans" w:hAnsi="Fira Sans"/>
                <w:color w:val="000000" w:themeColor="text1"/>
                <w:sz w:val="16"/>
                <w:szCs w:val="16"/>
              </w:rPr>
              <w:t>Zdrowie</w:t>
            </w:r>
          </w:p>
        </w:tc>
        <w:tc>
          <w:tcPr>
            <w:tcW w:w="2251" w:type="dxa"/>
            <w:vAlign w:val="center"/>
          </w:tcPr>
          <w:p w:rsidR="00685123" w:rsidRPr="00FA5128" w:rsidRDefault="00685123" w:rsidP="0068512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512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FA512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246" w:type="dxa"/>
            <w:vAlign w:val="center"/>
          </w:tcPr>
          <w:p w:rsidR="00685123" w:rsidRPr="00FA5128" w:rsidRDefault="00685123" w:rsidP="0068512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512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685123" w:rsidRPr="00FA5128" w:rsidTr="00685123">
        <w:trPr>
          <w:trHeight w:val="57"/>
        </w:trPr>
        <w:tc>
          <w:tcPr>
            <w:tcW w:w="3571" w:type="dxa"/>
            <w:gridSpan w:val="2"/>
            <w:vAlign w:val="center"/>
          </w:tcPr>
          <w:p w:rsidR="00685123" w:rsidRPr="00660093" w:rsidRDefault="00685123" w:rsidP="00685123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anchor distT="0" distB="0" distL="114300" distR="114300" simplePos="0" relativeHeight="251738112" behindDoc="1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286385</wp:posOffset>
                  </wp:positionV>
                  <wp:extent cx="5124450" cy="2771775"/>
                  <wp:effectExtent l="0" t="0" r="0" b="0"/>
                  <wp:wrapNone/>
                  <wp:docPr id="2" name="Wykres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anchor>
              </w:drawing>
            </w:r>
            <w:r w:rsidRPr="00660093">
              <w:rPr>
                <w:rFonts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2251" w:type="dxa"/>
            <w:vAlign w:val="center"/>
          </w:tcPr>
          <w:p w:rsidR="00685123" w:rsidRPr="00660093" w:rsidRDefault="00685123" w:rsidP="0068512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60093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2246" w:type="dxa"/>
            <w:vAlign w:val="center"/>
          </w:tcPr>
          <w:p w:rsidR="00685123" w:rsidRPr="00660093" w:rsidRDefault="00685123" w:rsidP="0068512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60093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</w:tbl>
    <w:p w:rsidR="00685123" w:rsidRDefault="00685123" w:rsidP="00685123">
      <w:pPr>
        <w:pStyle w:val="LID"/>
        <w:spacing w:before="0" w:after="0"/>
        <w:rPr>
          <w:shd w:val="clear" w:color="auto" w:fill="FFFFFF"/>
        </w:rPr>
      </w:pPr>
      <w:r>
        <w:t>Tablica</w:t>
      </w:r>
      <w:r w:rsidRPr="00967A32">
        <w:t xml:space="preserve"> 1</w:t>
      </w:r>
      <w:r>
        <w:t>.</w:t>
      </w:r>
      <w:r w:rsidRPr="00967A32">
        <w:rPr>
          <w:shd w:val="clear" w:color="auto" w:fill="FFFFFF"/>
        </w:rPr>
        <w:t xml:space="preserve"> </w:t>
      </w:r>
      <w:r>
        <w:rPr>
          <w:bCs/>
          <w:shd w:val="clear" w:color="auto" w:fill="FFFFFF"/>
        </w:rPr>
        <w:t>Wskaźniki cen towarów i usług konsumpcyjnych w styczniu 2018 r.</w:t>
      </w:r>
    </w:p>
    <w:p w:rsidR="00685123" w:rsidRPr="004C6939" w:rsidRDefault="00A34C24" w:rsidP="00685123">
      <w:pPr>
        <w:pStyle w:val="tytuwykresu"/>
        <w:spacing w:before="0" w:after="0"/>
        <w:rPr>
          <w:sz w:val="12"/>
        </w:rPr>
      </w:pPr>
      <w:r w:rsidRPr="00A34C24">
        <w:pict>
          <v:shape id="Pole tekstowe 2" o:spid="_x0000_s1035" type="#_x0000_t202" style="position:absolute;margin-left:414.4pt;margin-top:138.9pt;width:135.85pt;height:140.7pt;z-index:-251579392;visibility:visible;mso-wrap-distance-top:3.6pt;mso-wrap-distance-bottom:3.6pt;mso-position-vertical:absolute;mso-width-relative:margin;mso-height-relative:margin" wrapcoords="0 0" filled="f" stroked="f">
            <v:textbox style="mso-next-textbox:#Pole tekstowe 2">
              <w:txbxContent>
                <w:p w:rsidR="00685123" w:rsidRPr="00BF2F65" w:rsidRDefault="00685123" w:rsidP="0068512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Według wstępnych danych w styczniu 2018 r. w stosunku do poprzedniego miesiąca najbardziej podrożały ży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ność, napoje bezalkoholowe i alkoholowe oraz wyroby tytoniowe, średnio o 1,1%. W stosunku do stycznia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poprzedniego roku wzrost ten wyniósł 4,1%</w:t>
                  </w:r>
                </w:p>
              </w:txbxContent>
            </v:textbox>
          </v:shape>
        </w:pict>
      </w:r>
    </w:p>
    <w:p w:rsidR="00685123" w:rsidRPr="00316DF3" w:rsidRDefault="00685123" w:rsidP="00685123">
      <w:pPr>
        <w:pStyle w:val="tytuwykresu"/>
        <w:spacing w:before="0"/>
        <w:rPr>
          <w:b w:val="0"/>
          <w:shd w:val="clear" w:color="auto" w:fill="FFFFFF"/>
        </w:rPr>
      </w:pPr>
      <w:r w:rsidRPr="00967A32">
        <w:t>Wykres 1</w:t>
      </w:r>
      <w:r>
        <w:t>.</w:t>
      </w:r>
      <w:r w:rsidRPr="00967A32">
        <w:rPr>
          <w:shd w:val="clear" w:color="auto" w:fill="FFFFFF"/>
        </w:rPr>
        <w:t xml:space="preserve"> </w:t>
      </w:r>
      <w:r>
        <w:rPr>
          <w:shd w:val="clear" w:color="auto" w:fill="FFFFFF"/>
        </w:rPr>
        <w:t>C</w:t>
      </w:r>
      <w:r>
        <w:rPr>
          <w:bCs/>
          <w:shd w:val="clear" w:color="auto" w:fill="FFFFFF"/>
        </w:rPr>
        <w:t>eny</w:t>
      </w:r>
      <w:r w:rsidRPr="00967A32">
        <w:rPr>
          <w:bCs/>
          <w:shd w:val="clear" w:color="auto" w:fill="FFFFFF"/>
        </w:rPr>
        <w:t xml:space="preserve"> towarów i usług </w:t>
      </w:r>
      <w:r w:rsidRPr="007D5668">
        <w:rPr>
          <w:bCs/>
          <w:shd w:val="clear" w:color="auto" w:fill="FFFFFF"/>
        </w:rPr>
        <w:t xml:space="preserve">konsumpcyjnych </w:t>
      </w:r>
      <w:r w:rsidRPr="007D5668">
        <w:rPr>
          <w:shd w:val="clear" w:color="auto" w:fill="FFFFFF"/>
        </w:rPr>
        <w:t>(zmiana w % do okresu poprzedniego)</w:t>
      </w:r>
      <w:r w:rsidRPr="00316DF3">
        <w:rPr>
          <w:b w:val="0"/>
          <w:noProof/>
          <w:shd w:val="clear" w:color="auto" w:fill="FFFFFF"/>
          <w:lang w:eastAsia="pl-PL"/>
        </w:rPr>
        <w:t xml:space="preserve"> </w:t>
      </w:r>
    </w:p>
    <w:p w:rsidR="00685123" w:rsidRDefault="00685123" w:rsidP="00685123">
      <w:pPr>
        <w:pStyle w:val="LID"/>
      </w:pPr>
    </w:p>
    <w:p w:rsidR="00685123" w:rsidRDefault="00685123">
      <w:pPr>
        <w:spacing w:before="0" w:after="160" w:line="259" w:lineRule="auto"/>
        <w:rPr>
          <w:b/>
          <w:noProof/>
          <w:szCs w:val="19"/>
          <w:lang w:eastAsia="pl-PL"/>
        </w:rPr>
      </w:pPr>
      <w:r>
        <w:br w:type="page"/>
      </w:r>
    </w:p>
    <w:p w:rsidR="00883763" w:rsidRPr="007D5668" w:rsidRDefault="00883763" w:rsidP="00883763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5124450" cy="2771775"/>
            <wp:effectExtent l="0" t="0" r="0" b="0"/>
            <wp:wrapNone/>
            <wp:docPr id="1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967A32">
        <w:t>Wykres 2</w:t>
      </w:r>
      <w:r>
        <w:t>.</w:t>
      </w:r>
      <w:r w:rsidRPr="00967A32">
        <w:rPr>
          <w:shd w:val="clear" w:color="auto" w:fill="FFFFFF"/>
        </w:rPr>
        <w:t xml:space="preserve"> </w:t>
      </w:r>
      <w:r>
        <w:rPr>
          <w:shd w:val="clear" w:color="auto" w:fill="FFFFFF"/>
        </w:rPr>
        <w:t>C</w:t>
      </w:r>
      <w:r>
        <w:rPr>
          <w:bCs/>
          <w:shd w:val="clear" w:color="auto" w:fill="FFFFFF"/>
        </w:rPr>
        <w:t>eny</w:t>
      </w:r>
      <w:r w:rsidRPr="00967A32">
        <w:rPr>
          <w:bCs/>
          <w:shd w:val="clear" w:color="auto" w:fill="FFFFFF"/>
        </w:rPr>
        <w:t xml:space="preserve"> towarów i usług konsumpcyjnych </w:t>
      </w:r>
      <w:r w:rsidRPr="007D5668">
        <w:rPr>
          <w:shd w:val="clear" w:color="auto" w:fill="FFFFFF"/>
        </w:rPr>
        <w:t xml:space="preserve">(zmiana w % do analogicznego okresu </w:t>
      </w:r>
      <w:r>
        <w:rPr>
          <w:shd w:val="clear" w:color="auto" w:fill="FFFFFF"/>
        </w:rPr>
        <w:br/>
      </w:r>
      <w:r w:rsidRPr="007D5668">
        <w:rPr>
          <w:shd w:val="clear" w:color="auto" w:fill="FFFFFF"/>
        </w:rPr>
        <w:t>roku poprzedniego)</w:t>
      </w:r>
    </w:p>
    <w:p w:rsidR="00883763" w:rsidRDefault="00A34C24" w:rsidP="00883763">
      <w:pPr>
        <w:spacing w:before="0" w:after="160" w:line="259" w:lineRule="auto"/>
      </w:pPr>
      <w:r>
        <w:rPr>
          <w:noProof/>
          <w:lang w:eastAsia="pl-PL"/>
        </w:rPr>
        <w:pict>
          <v:shape id="_x0000_s1038" type="#_x0000_t202" style="position:absolute;margin-left:414.75pt;margin-top:4.25pt;width:135.85pt;height:95.25pt;z-index:-251574272;visibility:visible;mso-wrap-distance-top:3.6pt;mso-wrap-distance-bottom:3.6pt;mso-position-vertical:absolute;mso-width-relative:margin;mso-height-relative:margin" wrapcoords="0 0" filled="f" stroked="f">
            <v:textbox style="mso-next-textbox:#_x0000_s1038">
              <w:txbxContent>
                <w:p w:rsidR="00883763" w:rsidRPr="00BF2F65" w:rsidRDefault="00883763" w:rsidP="00883763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styczniu 2018 r. wskaźnik cen towarów i usług ko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sumpcyjnych znajdował się w granicach odchyleń od celu inflacyjnego określonego przez Radę Polityki Pienię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ż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nej (2,5% +/- 1 p. proc.)</w:t>
                  </w:r>
                </w:p>
                <w:p w:rsidR="00883763" w:rsidRPr="00BF2F65" w:rsidRDefault="00883763" w:rsidP="0088376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</w:p>
    <w:p w:rsidR="00883763" w:rsidRDefault="00883763" w:rsidP="00883763">
      <w:pPr>
        <w:spacing w:before="0" w:after="160" w:line="259" w:lineRule="auto"/>
      </w:pPr>
    </w:p>
    <w:p w:rsidR="00883763" w:rsidRDefault="00883763" w:rsidP="00883763">
      <w:pPr>
        <w:spacing w:before="0" w:after="160" w:line="259" w:lineRule="auto"/>
      </w:pPr>
    </w:p>
    <w:p w:rsidR="00883763" w:rsidRDefault="00883763" w:rsidP="00883763">
      <w:pPr>
        <w:spacing w:before="0" w:after="160" w:line="259" w:lineRule="auto"/>
      </w:pPr>
    </w:p>
    <w:p w:rsidR="00883763" w:rsidRDefault="00883763" w:rsidP="00883763">
      <w:pPr>
        <w:spacing w:before="0" w:after="160" w:line="259" w:lineRule="auto"/>
      </w:pPr>
    </w:p>
    <w:p w:rsidR="00883763" w:rsidRDefault="00883763" w:rsidP="00883763">
      <w:pPr>
        <w:spacing w:before="0" w:after="160" w:line="259" w:lineRule="auto"/>
      </w:pPr>
    </w:p>
    <w:p w:rsidR="00883763" w:rsidRDefault="00883763" w:rsidP="00883763">
      <w:pPr>
        <w:spacing w:before="0" w:after="160" w:line="259" w:lineRule="auto"/>
      </w:pPr>
    </w:p>
    <w:p w:rsidR="00883763" w:rsidRDefault="00883763" w:rsidP="00883763">
      <w:pPr>
        <w:spacing w:before="0" w:after="160" w:line="259" w:lineRule="auto"/>
      </w:pPr>
    </w:p>
    <w:p w:rsidR="00883763" w:rsidRDefault="00883763" w:rsidP="00883763">
      <w:pPr>
        <w:spacing w:before="0" w:after="160" w:line="259" w:lineRule="auto"/>
      </w:pPr>
    </w:p>
    <w:p w:rsidR="00883763" w:rsidRDefault="00883763" w:rsidP="00883763">
      <w:pPr>
        <w:spacing w:before="0" w:after="0" w:line="240" w:lineRule="auto"/>
      </w:pPr>
    </w:p>
    <w:p w:rsidR="00883763" w:rsidRPr="008B0E29" w:rsidRDefault="00883763" w:rsidP="00883763">
      <w:pPr>
        <w:pStyle w:val="tytuwykresu"/>
        <w:rPr>
          <w:shd w:val="clear" w:color="auto" w:fill="FFFFFF"/>
        </w:rPr>
      </w:pPr>
      <w:r w:rsidRPr="00774620">
        <w:t>Wykres 3</w:t>
      </w:r>
      <w:r>
        <w:t>.</w:t>
      </w:r>
      <w:r w:rsidRPr="00774620">
        <w:rPr>
          <w:shd w:val="clear" w:color="auto" w:fill="FFFFFF"/>
        </w:rPr>
        <w:t xml:space="preserve"> </w:t>
      </w:r>
      <w:r w:rsidRPr="00774620">
        <w:rPr>
          <w:bCs/>
          <w:shd w:val="clear" w:color="auto" w:fill="FFFFFF"/>
        </w:rPr>
        <w:t xml:space="preserve">System wag stosowany w obliczeniach wskaźników cen towarów </w:t>
      </w:r>
      <w:r w:rsidRPr="00774620">
        <w:rPr>
          <w:bCs/>
          <w:shd w:val="clear" w:color="auto" w:fill="FFFFFF"/>
        </w:rPr>
        <w:br/>
        <w:t>i usług konsumpcyjnych w 201</w:t>
      </w:r>
      <w:r>
        <w:rPr>
          <w:bCs/>
          <w:shd w:val="clear" w:color="auto" w:fill="FFFFFF"/>
        </w:rPr>
        <w:t>7</w:t>
      </w:r>
      <w:r w:rsidRPr="00774620">
        <w:rPr>
          <w:bCs/>
          <w:shd w:val="clear" w:color="auto" w:fill="FFFFFF"/>
        </w:rPr>
        <w:t xml:space="preserve"> r</w:t>
      </w:r>
      <w:r w:rsidRPr="00774620">
        <w:rPr>
          <w:bCs/>
          <w:i/>
          <w:iCs/>
          <w:shd w:val="clear" w:color="auto" w:fill="FFFFFF"/>
        </w:rPr>
        <w:t>.</w:t>
      </w:r>
    </w:p>
    <w:p w:rsidR="00883763" w:rsidRDefault="00A34C24" w:rsidP="00883763">
      <w:pPr>
        <w:spacing w:before="0" w:after="160" w:line="259" w:lineRule="auto"/>
      </w:pPr>
      <w:r>
        <w:rPr>
          <w:noProof/>
          <w:lang w:eastAsia="pl-PL"/>
        </w:rPr>
        <w:pict>
          <v:shape id="_x0000_s1037" type="#_x0000_t202" style="position:absolute;margin-left:414.75pt;margin-top:4pt;width:135.85pt;height:127.95pt;z-index:-25157529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" filled="f" stroked="f">
            <v:textbox style="mso-next-textbox:#_x0000_s1037">
              <w:txbxContent>
                <w:p w:rsidR="00883763" w:rsidRPr="00BF2F65" w:rsidRDefault="00883763" w:rsidP="00883763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2017 r. największy udział w obliczeniach wskaźników cen towarów i usług ko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sumpcyjnych miały żywność i napoje bezalkoholowe (24,28%) oraz użytkowanie mieszkania lub domu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i nośniki energii (20,53%)</w:t>
                  </w:r>
                </w:p>
                <w:p w:rsidR="00883763" w:rsidRPr="00BF2F65" w:rsidRDefault="00883763" w:rsidP="0088376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  <w:r w:rsidR="00883763" w:rsidRPr="00E3174E">
        <w:rPr>
          <w:noProof/>
          <w:lang w:eastAsia="pl-PL"/>
        </w:rPr>
        <w:drawing>
          <wp:inline distT="0" distB="0" distL="0" distR="0">
            <wp:extent cx="5124450" cy="4680000"/>
            <wp:effectExtent l="0" t="0" r="0" b="0"/>
            <wp:docPr id="6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83763" w:rsidRDefault="00883763" w:rsidP="00883763">
      <w:pPr>
        <w:spacing w:before="0" w:after="160" w:line="259" w:lineRule="auto"/>
      </w:pPr>
    </w:p>
    <w:p w:rsidR="00883763" w:rsidRDefault="00883763" w:rsidP="00883763">
      <w:pPr>
        <w:spacing w:before="0" w:after="160" w:line="259" w:lineRule="auto"/>
      </w:pPr>
    </w:p>
    <w:p w:rsidR="00883763" w:rsidRDefault="00883763" w:rsidP="00883763">
      <w:pPr>
        <w:spacing w:before="0" w:after="160" w:line="259" w:lineRule="auto"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3B18B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8"/>
        <w:gridCol w:w="3925"/>
      </w:tblGrid>
      <w:tr w:rsidR="00883763" w:rsidRPr="00F739B3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3A5CC6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19" w:history="1">
              <w:r w:rsidRPr="0029606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85123">
              <w:rPr>
                <w:b/>
                <w:sz w:val="20"/>
                <w:lang w:val="en-US"/>
              </w:rPr>
              <w:t>faks</w:t>
            </w:r>
            <w:proofErr w:type="spellEnd"/>
            <w:r w:rsidRPr="00685123">
              <w:rPr>
                <w:b/>
                <w:sz w:val="20"/>
                <w:lang w:val="en-US"/>
              </w:rPr>
              <w:t>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1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34C24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9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883763" w:rsidRDefault="00883763" w:rsidP="00883763">
                  <w:pPr>
                    <w:rPr>
                      <w:b/>
                    </w:rPr>
                  </w:pPr>
                </w:p>
                <w:p w:rsidR="00883763" w:rsidRPr="006761A7" w:rsidRDefault="00883763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883763" w:rsidRPr="006761A7" w:rsidRDefault="00A34C2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5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883763" w:rsidRPr="006761A7" w:rsidRDefault="00A34C2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883763" w:rsidRPr="00E233EA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83763" w:rsidRPr="00E233EA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883763" w:rsidRPr="006761A7" w:rsidRDefault="00A34C2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883763" w:rsidRPr="006761A7" w:rsidRDefault="00A34C2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883763" w:rsidRPr="006761A7" w:rsidRDefault="00A34C2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883763" w:rsidRPr="006761A7" w:rsidRDefault="00A34C2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883763" w:rsidRPr="006761A7" w:rsidRDefault="00A34C2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883763" w:rsidRPr="006761A7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83763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883763" w:rsidRPr="006761A7" w:rsidRDefault="00A34C2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883763" w:rsidRPr="00E233EA" w:rsidRDefault="00A34C24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3" w:history="1">
                    <w:r w:rsidR="00883763" w:rsidRPr="00E233EA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685123">
      <w:headerReference w:type="default" r:id="rId34"/>
      <w:footerReference w:type="default" r:id="rId3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123" w:rsidRDefault="00685123" w:rsidP="000662E2">
      <w:pPr>
        <w:spacing w:after="0" w:line="240" w:lineRule="auto"/>
      </w:pPr>
      <w:r>
        <w:separator/>
      </w:r>
    </w:p>
  </w:endnote>
  <w:endnote w:type="continuationSeparator" w:id="0">
    <w:p w:rsidR="00685123" w:rsidRDefault="006851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08B7C9A-4A41-4303-A91B-8C34A9DB0B06}"/>
    <w:embedBold r:id="rId2" w:fontKey="{21FE8BF8-24CF-47B2-A3AD-E22955DBB486}"/>
    <w:embedBoldItalic r:id="rId3" w:fontKey="{183A28D4-22BD-4E16-A1C4-B058848D78CD}"/>
  </w:font>
  <w:font w:name="Fira Sans">
    <w:altName w:val="DejaVu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0DF27C2-14A1-49DA-ACD8-C0F3363A084E}"/>
    <w:embedBold r:id="rId5" w:fontKey="{F4E147E8-AB0E-4DC5-9E45-E3145D463434}"/>
    <w:embedBoldItalic r:id="rId6" w:fontKey="{798DC7E4-439F-4D01-81AE-F654DDA6F6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5356228-3155-4ACD-B157-C06EBB0208E3}"/>
    <w:embedBold r:id="rId8" w:fontKey="{317E130C-17CB-4E1C-8867-5635A8F4E55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300EAE0-B6FC-4A55-AE75-5F3F721498B4}"/>
    <w:embedItalic r:id="rId10" w:fontKey="{5D7EA98F-EF1E-4E32-8E53-593ABE47467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2A028A8-6C99-45CC-98CB-49F60CF936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E26C3F0-9938-4CD5-B63E-1C68E6827CA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0487"/>
      <w:docPartObj>
        <w:docPartGallery w:val="Page Numbers (Bottom of Page)"/>
        <w:docPartUnique/>
      </w:docPartObj>
    </w:sdtPr>
    <w:sdtContent>
      <w:p w:rsidR="00685123" w:rsidRDefault="00A34C24" w:rsidP="003B18B6">
        <w:pPr>
          <w:pStyle w:val="Stopka"/>
          <w:jc w:val="center"/>
        </w:pPr>
        <w:fldSimple w:instr="PAGE   \* MERGEFORMAT">
          <w:r w:rsidR="00F739B3">
            <w:rPr>
              <w:noProof/>
            </w:rPr>
            <w:t>2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0488"/>
      <w:docPartObj>
        <w:docPartGallery w:val="Page Numbers (Bottom of Page)"/>
        <w:docPartUnique/>
      </w:docPartObj>
    </w:sdtPr>
    <w:sdtContent>
      <w:p w:rsidR="00685123" w:rsidRDefault="00A34C24" w:rsidP="003B18B6">
        <w:pPr>
          <w:pStyle w:val="Stopka"/>
          <w:jc w:val="center"/>
        </w:pPr>
        <w:fldSimple w:instr="PAGE   \* MERGEFORMAT">
          <w:r w:rsidR="00F739B3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5636839"/>
      <w:docPartObj>
        <w:docPartGallery w:val="Page Numbers (Bottom of Page)"/>
        <w:docPartUnique/>
      </w:docPartObj>
    </w:sdtPr>
    <w:sdtContent>
      <w:p w:rsidR="00685123" w:rsidRDefault="00A34C24" w:rsidP="003B18B6">
        <w:pPr>
          <w:pStyle w:val="Stopka"/>
          <w:jc w:val="center"/>
        </w:pPr>
        <w:fldSimple w:instr="PAGE   \* MERGEFORMAT">
          <w:r w:rsidR="00F739B3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123" w:rsidRDefault="00685123" w:rsidP="000662E2">
      <w:pPr>
        <w:spacing w:after="0" w:line="240" w:lineRule="auto"/>
      </w:pPr>
      <w:r>
        <w:separator/>
      </w:r>
    </w:p>
  </w:footnote>
  <w:footnote w:type="continuationSeparator" w:id="0">
    <w:p w:rsidR="00685123" w:rsidRDefault="00685123" w:rsidP="000662E2">
      <w:pPr>
        <w:spacing w:after="0" w:line="240" w:lineRule="auto"/>
      </w:pPr>
      <w:r>
        <w:continuationSeparator/>
      </w:r>
    </w:p>
  </w:footnote>
  <w:footnote w:id="1">
    <w:p w:rsidR="00685123" w:rsidRPr="00B07101" w:rsidRDefault="00685123" w:rsidP="00685123">
      <w:pPr>
        <w:pStyle w:val="Tekstprzypisudolnego"/>
        <w:spacing w:before="0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B07101">
        <w:rPr>
          <w:bCs/>
          <w:sz w:val="16"/>
          <w:szCs w:val="16"/>
        </w:rPr>
        <w:t xml:space="preserve">Dane </w:t>
      </w:r>
      <w:r>
        <w:rPr>
          <w:bCs/>
          <w:sz w:val="16"/>
          <w:szCs w:val="16"/>
        </w:rPr>
        <w:t xml:space="preserve">mają charakter wstępny i </w:t>
      </w:r>
      <w:r w:rsidRPr="00B07101">
        <w:rPr>
          <w:bCs/>
          <w:sz w:val="16"/>
          <w:szCs w:val="16"/>
        </w:rPr>
        <w:t xml:space="preserve">prezentowane </w:t>
      </w:r>
      <w:r>
        <w:rPr>
          <w:bCs/>
          <w:sz w:val="16"/>
          <w:szCs w:val="16"/>
        </w:rPr>
        <w:t xml:space="preserve">są </w:t>
      </w:r>
      <w:r w:rsidRPr="00B07101">
        <w:rPr>
          <w:bCs/>
          <w:sz w:val="16"/>
          <w:szCs w:val="16"/>
        </w:rPr>
        <w:t>w zawężonym zakresie</w:t>
      </w:r>
      <w:r>
        <w:rPr>
          <w:bCs/>
          <w:sz w:val="16"/>
          <w:szCs w:val="16"/>
        </w:rPr>
        <w:t>.</w:t>
      </w:r>
      <w:r w:rsidRPr="00B07101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O</w:t>
      </w:r>
      <w:r w:rsidRPr="00B07101">
        <w:rPr>
          <w:bCs/>
          <w:sz w:val="16"/>
          <w:szCs w:val="16"/>
        </w:rPr>
        <w:t>bliczone są na strukturze wyda</w:t>
      </w:r>
      <w:r w:rsidRPr="00B07101">
        <w:rPr>
          <w:bCs/>
          <w:sz w:val="16"/>
          <w:szCs w:val="16"/>
        </w:rPr>
        <w:t>t</w:t>
      </w:r>
      <w:r w:rsidRPr="00B07101">
        <w:rPr>
          <w:bCs/>
          <w:sz w:val="16"/>
          <w:szCs w:val="16"/>
        </w:rPr>
        <w:t xml:space="preserve">ków gospodarstw domowych (bez spożycia naturalnego) z 2016 r. Dane obliczone na strukturze wydatków gospodarstw domowych (bez spożycia naturalnego) z 2017 r. zostaną ogłoszone 15.03.2018 r.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123" w:rsidRDefault="00A34C24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685123" w:rsidRDefault="0068512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123" w:rsidRDefault="00A34C24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685123" w:rsidRPr="003C6C8D" w:rsidRDefault="00685123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685123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A34C24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685123" w:rsidRPr="00C97596" w:rsidRDefault="00685123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15.02.2018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5.2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/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CA1"/>
    <w:rsid w:val="000662E2"/>
    <w:rsid w:val="00066883"/>
    <w:rsid w:val="00074DD8"/>
    <w:rsid w:val="000806F7"/>
    <w:rsid w:val="00097840"/>
    <w:rsid w:val="000B0727"/>
    <w:rsid w:val="000C135D"/>
    <w:rsid w:val="000D1D43"/>
    <w:rsid w:val="000D225C"/>
    <w:rsid w:val="000D2A5C"/>
    <w:rsid w:val="000E0918"/>
    <w:rsid w:val="001011C3"/>
    <w:rsid w:val="00110D87"/>
    <w:rsid w:val="00114DB9"/>
    <w:rsid w:val="00116087"/>
    <w:rsid w:val="00130296"/>
    <w:rsid w:val="001423B6"/>
    <w:rsid w:val="001448A7"/>
    <w:rsid w:val="00146621"/>
    <w:rsid w:val="00162325"/>
    <w:rsid w:val="001951DA"/>
    <w:rsid w:val="001C3269"/>
    <w:rsid w:val="001D1DB4"/>
    <w:rsid w:val="002574F9"/>
    <w:rsid w:val="00262B61"/>
    <w:rsid w:val="00276811"/>
    <w:rsid w:val="00282699"/>
    <w:rsid w:val="002926DF"/>
    <w:rsid w:val="00296697"/>
    <w:rsid w:val="002B0472"/>
    <w:rsid w:val="002B6B12"/>
    <w:rsid w:val="002E6140"/>
    <w:rsid w:val="002E6985"/>
    <w:rsid w:val="002E71B6"/>
    <w:rsid w:val="002F77C8"/>
    <w:rsid w:val="00304F22"/>
    <w:rsid w:val="00306C7C"/>
    <w:rsid w:val="00322EDD"/>
    <w:rsid w:val="00332320"/>
    <w:rsid w:val="00347D72"/>
    <w:rsid w:val="00357611"/>
    <w:rsid w:val="00367237"/>
    <w:rsid w:val="0037077F"/>
    <w:rsid w:val="00372411"/>
    <w:rsid w:val="00373882"/>
    <w:rsid w:val="003843DB"/>
    <w:rsid w:val="00393761"/>
    <w:rsid w:val="00397D18"/>
    <w:rsid w:val="003A1B36"/>
    <w:rsid w:val="003B1454"/>
    <w:rsid w:val="003B18B6"/>
    <w:rsid w:val="003C59E0"/>
    <w:rsid w:val="003C6C8D"/>
    <w:rsid w:val="003D4F95"/>
    <w:rsid w:val="003D5F42"/>
    <w:rsid w:val="003D60A9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C1895"/>
    <w:rsid w:val="004C6D40"/>
    <w:rsid w:val="004F0C3C"/>
    <w:rsid w:val="004F63FC"/>
    <w:rsid w:val="00505A92"/>
    <w:rsid w:val="005203F1"/>
    <w:rsid w:val="00521BC3"/>
    <w:rsid w:val="00533632"/>
    <w:rsid w:val="00541E6E"/>
    <w:rsid w:val="0054251F"/>
    <w:rsid w:val="005520D8"/>
    <w:rsid w:val="00556CF1"/>
    <w:rsid w:val="005762A7"/>
    <w:rsid w:val="005916D7"/>
    <w:rsid w:val="005A698C"/>
    <w:rsid w:val="005E0799"/>
    <w:rsid w:val="005F5A80"/>
    <w:rsid w:val="006044FF"/>
    <w:rsid w:val="00607CC5"/>
    <w:rsid w:val="00633014"/>
    <w:rsid w:val="0063437B"/>
    <w:rsid w:val="006673CA"/>
    <w:rsid w:val="00673C26"/>
    <w:rsid w:val="006812AF"/>
    <w:rsid w:val="0068327D"/>
    <w:rsid w:val="00685123"/>
    <w:rsid w:val="00694AF0"/>
    <w:rsid w:val="006A4686"/>
    <w:rsid w:val="006B0E9E"/>
    <w:rsid w:val="006B5AE4"/>
    <w:rsid w:val="006D1507"/>
    <w:rsid w:val="006D4054"/>
    <w:rsid w:val="006E02EC"/>
    <w:rsid w:val="007211B1"/>
    <w:rsid w:val="00746187"/>
    <w:rsid w:val="0076254F"/>
    <w:rsid w:val="007801F5"/>
    <w:rsid w:val="00783CA4"/>
    <w:rsid w:val="007842FB"/>
    <w:rsid w:val="00786124"/>
    <w:rsid w:val="0079514B"/>
    <w:rsid w:val="007A2DC1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3795"/>
    <w:rsid w:val="00847F0F"/>
    <w:rsid w:val="00852448"/>
    <w:rsid w:val="0088258A"/>
    <w:rsid w:val="00883763"/>
    <w:rsid w:val="00886332"/>
    <w:rsid w:val="008A26D9"/>
    <w:rsid w:val="008C0C29"/>
    <w:rsid w:val="008F3638"/>
    <w:rsid w:val="008F4441"/>
    <w:rsid w:val="008F6F31"/>
    <w:rsid w:val="008F74DF"/>
    <w:rsid w:val="009127BA"/>
    <w:rsid w:val="009227A6"/>
    <w:rsid w:val="00933EC1"/>
    <w:rsid w:val="009530DB"/>
    <w:rsid w:val="00953676"/>
    <w:rsid w:val="009705EE"/>
    <w:rsid w:val="00977927"/>
    <w:rsid w:val="0098135C"/>
    <w:rsid w:val="0098156A"/>
    <w:rsid w:val="00991BAC"/>
    <w:rsid w:val="009A6EA0"/>
    <w:rsid w:val="009C1335"/>
    <w:rsid w:val="009C1AB2"/>
    <w:rsid w:val="009C7251"/>
    <w:rsid w:val="009E2E91"/>
    <w:rsid w:val="00A139F5"/>
    <w:rsid w:val="00A34C24"/>
    <w:rsid w:val="00A365F4"/>
    <w:rsid w:val="00A47D80"/>
    <w:rsid w:val="00A53132"/>
    <w:rsid w:val="00A563F2"/>
    <w:rsid w:val="00A566E8"/>
    <w:rsid w:val="00A810F9"/>
    <w:rsid w:val="00A86ECC"/>
    <w:rsid w:val="00A86FCC"/>
    <w:rsid w:val="00AA710D"/>
    <w:rsid w:val="00AB6D25"/>
    <w:rsid w:val="00AE2D4B"/>
    <w:rsid w:val="00AE4F99"/>
    <w:rsid w:val="00B11B69"/>
    <w:rsid w:val="00B14952"/>
    <w:rsid w:val="00B31E5A"/>
    <w:rsid w:val="00B653AB"/>
    <w:rsid w:val="00B65F9E"/>
    <w:rsid w:val="00B66B19"/>
    <w:rsid w:val="00B914E9"/>
    <w:rsid w:val="00B956EE"/>
    <w:rsid w:val="00BA2BA1"/>
    <w:rsid w:val="00BA3562"/>
    <w:rsid w:val="00BB4F09"/>
    <w:rsid w:val="00BD4E33"/>
    <w:rsid w:val="00C030DE"/>
    <w:rsid w:val="00C22105"/>
    <w:rsid w:val="00C244B6"/>
    <w:rsid w:val="00C3702F"/>
    <w:rsid w:val="00C4500A"/>
    <w:rsid w:val="00C64A37"/>
    <w:rsid w:val="00C7158E"/>
    <w:rsid w:val="00C7250B"/>
    <w:rsid w:val="00C7346B"/>
    <w:rsid w:val="00C77C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58B7"/>
    <w:rsid w:val="00CF4099"/>
    <w:rsid w:val="00D00796"/>
    <w:rsid w:val="00D261A2"/>
    <w:rsid w:val="00D616D2"/>
    <w:rsid w:val="00D63B5F"/>
    <w:rsid w:val="00D70EF7"/>
    <w:rsid w:val="00D8397C"/>
    <w:rsid w:val="00D94EED"/>
    <w:rsid w:val="00D96026"/>
    <w:rsid w:val="00DA7C1C"/>
    <w:rsid w:val="00DB147A"/>
    <w:rsid w:val="00DB1B7A"/>
    <w:rsid w:val="00DC6708"/>
    <w:rsid w:val="00E01436"/>
    <w:rsid w:val="00E045BD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27C8F"/>
    <w:rsid w:val="00F32749"/>
    <w:rsid w:val="00F37172"/>
    <w:rsid w:val="00F4477E"/>
    <w:rsid w:val="00F67D8F"/>
    <w:rsid w:val="00F739B3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">
    <w:name w:val="Siatka tabeli — jasna1"/>
    <w:basedOn w:val="Standardowy"/>
    <w:uiPriority w:val="40"/>
    <w:rsid w:val="0068512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sygnalne/informacje-sygnaln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a.bobel@stat.gov.pl" TargetMode="External"/><Relationship Id="rId31" Type="http://schemas.openxmlformats.org/officeDocument/2006/relationships/hyperlink" Target="http://stat.gov.pl/obszary-tematyczne/ceny-handel/ce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Win7\Documents\_BARTEK\GUS\WSTEPNA%202018\01_2017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Win7\Documents\_BARTEK\GUS\WSTEPNA%202018\01_2017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Win7\Documents\_BARTEK\GUS\WSTEPNA%202018\01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4328494807714906"/>
          <c:y val="0.19001312335958009"/>
          <c:w val="0.78186100650462165"/>
          <c:h val="0.63063095731459262"/>
        </c:manualLayout>
      </c:layout>
      <c:barChart>
        <c:barDir val="col"/>
        <c:grouping val="clustered"/>
        <c:ser>
          <c:idx val="0"/>
          <c:order val="0"/>
          <c:tx>
            <c:v>2016 r.</c:v>
          </c:tx>
          <c:spPr>
            <a:solidFill>
              <a:srgbClr val="001D77"/>
            </a:solidFill>
          </c:spPr>
          <c:cat>
            <c:strRef>
              <c:f>'97doXII'!$A$6:$A$17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'97doXII'!$AH$6:$AH$17</c:f>
              <c:numCache>
                <c:formatCode>0.0</c:formatCode>
                <c:ptCount val="12"/>
                <c:pt idx="0">
                  <c:v>-0.5</c:v>
                </c:pt>
                <c:pt idx="1">
                  <c:v>-9.9999999999994635E-2</c:v>
                </c:pt>
                <c:pt idx="2">
                  <c:v>9.9999999999994635E-2</c:v>
                </c:pt>
                <c:pt idx="3">
                  <c:v>0.29999999999999827</c:v>
                </c:pt>
                <c:pt idx="4">
                  <c:v>9.9999999999994635E-2</c:v>
                </c:pt>
                <c:pt idx="5">
                  <c:v>0.20000000000000284</c:v>
                </c:pt>
                <c:pt idx="6">
                  <c:v>-0.29999999999999827</c:v>
                </c:pt>
                <c:pt idx="7">
                  <c:v>-0.20000000000000284</c:v>
                </c:pt>
                <c:pt idx="8">
                  <c:v>0</c:v>
                </c:pt>
                <c:pt idx="9">
                  <c:v>0.5</c:v>
                </c:pt>
                <c:pt idx="10">
                  <c:v>9.9999999999994635E-2</c:v>
                </c:pt>
                <c:pt idx="11">
                  <c:v>0.70000000000000284</c:v>
                </c:pt>
              </c:numCache>
            </c:numRef>
          </c:val>
        </c:ser>
        <c:ser>
          <c:idx val="2"/>
          <c:order val="1"/>
          <c:tx>
            <c:v>2017 r.</c:v>
          </c:tx>
          <c:spPr>
            <a:solidFill>
              <a:srgbClr val="007AC9"/>
            </a:solidFill>
            <a:ln>
              <a:noFill/>
            </a:ln>
          </c:spPr>
          <c:cat>
            <c:strRef>
              <c:f>'97doXII'!$A$6:$A$17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'97doXII'!$AJ$6:$AJ$17</c:f>
              <c:numCache>
                <c:formatCode>0.0</c:formatCode>
                <c:ptCount val="12"/>
                <c:pt idx="0">
                  <c:v>0.40000000000000568</c:v>
                </c:pt>
                <c:pt idx="1">
                  <c:v>0.29999999999999827</c:v>
                </c:pt>
                <c:pt idx="2">
                  <c:v>-9.9999999999994635E-2</c:v>
                </c:pt>
                <c:pt idx="3">
                  <c:v>0.29999999999999827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-9.9999999999994635E-2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</c:numCache>
            </c:numRef>
          </c:val>
        </c:ser>
        <c:ser>
          <c:idx val="3"/>
          <c:order val="2"/>
          <c:tx>
            <c:strRef>
              <c:f>'97doXII'!$R$5</c:f>
              <c:strCache>
                <c:ptCount val="1"/>
                <c:pt idx="0">
                  <c:v>2018 r. </c:v>
                </c:pt>
              </c:strCache>
            </c:strRef>
          </c:tx>
          <c:spPr>
            <a:solidFill>
              <a:srgbClr val="008542"/>
            </a:solidFill>
          </c:spPr>
          <c:cat>
            <c:strRef>
              <c:f>'97doXII'!$A$6:$A$17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'97doXII'!$AL$6</c:f>
              <c:numCache>
                <c:formatCode>0.0</c:formatCode>
                <c:ptCount val="1"/>
                <c:pt idx="0">
                  <c:v>0.29999999999999827</c:v>
                </c:pt>
              </c:numCache>
            </c:numRef>
          </c:val>
        </c:ser>
        <c:gapWidth val="30"/>
        <c:axId val="100365056"/>
        <c:axId val="100366592"/>
      </c:barChart>
      <c:catAx>
        <c:axId val="100365056"/>
        <c:scaling>
          <c:orientation val="minMax"/>
        </c:scaling>
        <c:axPos val="b"/>
        <c:numFmt formatCode="d/mm" sourceLinked="0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00366592"/>
        <c:crossesAt val="0"/>
        <c:lblAlgn val="ctr"/>
        <c:lblOffset val="100"/>
        <c:tickLblSkip val="1"/>
        <c:tickMarkSkip val="1"/>
      </c:catAx>
      <c:valAx>
        <c:axId val="100366592"/>
        <c:scaling>
          <c:orientation val="minMax"/>
          <c:max val="0.8"/>
          <c:min val="-0.60000000000000064"/>
        </c:scaling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00365056"/>
        <c:crosses val="autoZero"/>
        <c:crossBetween val="between"/>
        <c:majorUnit val="0.2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8.9566481649570748E-2"/>
          <c:y val="0.89132189511884974"/>
          <c:w val="0.86618868989765085"/>
          <c:h val="8.2780517265228129E-2"/>
        </c:manualLayout>
      </c:layout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dispBlanksAs val="gap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hart>
    <c:autoTitleDeleted val="1"/>
    <c:plotArea>
      <c:layout>
        <c:manualLayout>
          <c:layoutTarget val="inner"/>
          <c:xMode val="edge"/>
          <c:yMode val="edge"/>
          <c:x val="0.13917858207363468"/>
          <c:y val="0.18751205118968325"/>
          <c:w val="0.77452127018042571"/>
          <c:h val="0.63739385517989089"/>
        </c:manualLayout>
      </c:layout>
      <c:barChart>
        <c:barDir val="col"/>
        <c:grouping val="clustered"/>
        <c:ser>
          <c:idx val="0"/>
          <c:order val="0"/>
          <c:tx>
            <c:strRef>
              <c:f>'97doXII'!$X$5</c:f>
              <c:strCache>
                <c:ptCount val="1"/>
                <c:pt idx="0">
                  <c:v>2016 r. </c:v>
                </c:pt>
              </c:strCache>
            </c:strRef>
          </c:tx>
          <c:spPr>
            <a:solidFill>
              <a:srgbClr val="001D77"/>
            </a:solidFill>
          </c:spPr>
          <c:dLbls>
            <c:delete val="1"/>
          </c:dLbls>
          <c:cat>
            <c:strRef>
              <c:f>'97doXII'!$A$6:$A$17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'97doXII'!$Y$6:$Y$17</c:f>
              <c:numCache>
                <c:formatCode>0.0</c:formatCode>
                <c:ptCount val="12"/>
                <c:pt idx="0">
                  <c:v>-0.90000000000000568</c:v>
                </c:pt>
                <c:pt idx="1">
                  <c:v>-0.7999999999999976</c:v>
                </c:pt>
                <c:pt idx="2">
                  <c:v>-0.90000000000000568</c:v>
                </c:pt>
                <c:pt idx="3">
                  <c:v>-1.0999999999999921</c:v>
                </c:pt>
                <c:pt idx="4">
                  <c:v>-0.90000000000000568</c:v>
                </c:pt>
                <c:pt idx="5">
                  <c:v>-0.7999999999999976</c:v>
                </c:pt>
                <c:pt idx="6">
                  <c:v>-0.90000000000000568</c:v>
                </c:pt>
                <c:pt idx="7">
                  <c:v>-0.7999999999999976</c:v>
                </c:pt>
                <c:pt idx="8">
                  <c:v>-0.5</c:v>
                </c:pt>
                <c:pt idx="9">
                  <c:v>-0.20000000000000284</c:v>
                </c:pt>
                <c:pt idx="10">
                  <c:v>0</c:v>
                </c:pt>
                <c:pt idx="11">
                  <c:v>0.7999999999999976</c:v>
                </c:pt>
              </c:numCache>
            </c:numRef>
          </c:val>
        </c:ser>
        <c:ser>
          <c:idx val="1"/>
          <c:order val="1"/>
          <c:tx>
            <c:strRef>
              <c:f>'97doXII'!$Z$5</c:f>
              <c:strCache>
                <c:ptCount val="1"/>
                <c:pt idx="0">
                  <c:v>2017 r. </c:v>
                </c:pt>
              </c:strCache>
            </c:strRef>
          </c:tx>
          <c:spPr>
            <a:solidFill>
              <a:srgbClr val="007AC9"/>
            </a:solidFill>
          </c:spPr>
          <c:dLbls>
            <c:delete val="1"/>
          </c:dLbls>
          <c:cat>
            <c:strRef>
              <c:f>'97doXII'!$A$6:$A$17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'97doXII'!$AA$6:$AA$17</c:f>
              <c:numCache>
                <c:formatCode>0.0</c:formatCode>
                <c:ptCount val="12"/>
                <c:pt idx="0">
                  <c:v>1.7000000000000028</c:v>
                </c:pt>
                <c:pt idx="1">
                  <c:v>2.2000000000000042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1.7999999999999945</c:v>
                </c:pt>
                <c:pt idx="8">
                  <c:v>2.2000000000000042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</c:numCache>
            </c:numRef>
          </c:val>
        </c:ser>
        <c:ser>
          <c:idx val="2"/>
          <c:order val="2"/>
          <c:tx>
            <c:strRef>
              <c:f>'97doXII'!$AB$5</c:f>
              <c:strCache>
                <c:ptCount val="1"/>
                <c:pt idx="0">
                  <c:v>2018 r. </c:v>
                </c:pt>
              </c:strCache>
            </c:strRef>
          </c:tx>
          <c:spPr>
            <a:solidFill>
              <a:srgbClr val="008542"/>
            </a:solidFill>
          </c:spPr>
          <c:dLbls>
            <c:dLbl>
              <c:idx val="0"/>
              <c:delete val="1"/>
            </c:dLbl>
            <c:showVal val="1"/>
          </c:dLbls>
          <c:cat>
            <c:strRef>
              <c:f>'97doXII'!$A$6:$A$17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'97doXII'!$AC$6</c:f>
              <c:numCache>
                <c:formatCode>0.0</c:formatCode>
                <c:ptCount val="1"/>
                <c:pt idx="0">
                  <c:v>1.9000000000000061</c:v>
                </c:pt>
              </c:numCache>
            </c:numRef>
          </c:val>
        </c:ser>
        <c:dLbls>
          <c:showVal val="1"/>
        </c:dLbls>
        <c:gapWidth val="90"/>
        <c:axId val="95351168"/>
        <c:axId val="95353088"/>
      </c:barChart>
      <c:catAx>
        <c:axId val="953511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  <a:cs typeface="Arial" pitchFamily="34" charset="0"/>
                  </a:defRPr>
                </a:pPr>
                <a:r>
                  <a:rPr lang="en-US" sz="800">
                    <a:latin typeface="Fira Sans" pitchFamily="34" charset="0"/>
                    <a:ea typeface="Fira Sans" pitchFamily="34" charset="0"/>
                    <a:cs typeface="Arial" pitchFamily="34" charset="0"/>
                  </a:rPr>
                  <a:t>m-ce</a:t>
                </a:r>
              </a:p>
            </c:rich>
          </c:tx>
          <c:layout>
            <c:manualLayout>
              <c:xMode val="edge"/>
              <c:yMode val="edge"/>
              <c:x val="0.91555356455715231"/>
              <c:y val="0.84275264611531464"/>
            </c:manualLayout>
          </c:layout>
        </c:title>
        <c:numFmt formatCode="d/mm" sourceLinked="0"/>
        <c:maj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95353088"/>
        <c:crossesAt val="0"/>
        <c:auto val="1"/>
        <c:lblAlgn val="ctr"/>
        <c:lblOffset val="100"/>
        <c:tickLblSkip val="1"/>
        <c:tickMarkSkip val="1"/>
      </c:catAx>
      <c:valAx>
        <c:axId val="95353088"/>
        <c:scaling>
          <c:orientation val="minMax"/>
          <c:max val="3.8"/>
          <c:min val="-2"/>
        </c:scaling>
        <c:axPos val="l"/>
        <c:majorGridlines>
          <c:spPr>
            <a:ln w="6350" cap="flat" cmpd="sng" algn="ctr">
              <a:solidFill>
                <a:schemeClr val="bg1">
                  <a:lumMod val="65000"/>
                </a:schemeClr>
              </a:solidFill>
              <a:prstDash val="sysDot"/>
            </a:ln>
            <a:effectLst/>
          </c:spPr>
        </c:majorGridlines>
        <c:numFmt formatCode="0.0" sourceLinked="0"/>
        <c:tickLblPos val="low"/>
        <c:spPr>
          <a:noFill/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95351168"/>
        <c:crosses val="autoZero"/>
        <c:crossBetween val="between"/>
        <c:majorUnit val="0.5"/>
        <c:minorUnit val="0.5"/>
      </c:valAx>
      <c:spPr>
        <a:noFill/>
        <a:ln w="15875" cap="rnd" cmpd="sng">
          <a:noFill/>
        </a:ln>
      </c:spPr>
    </c:plotArea>
    <c:legend>
      <c:legendPos val="b"/>
      <c:layout>
        <c:manualLayout>
          <c:xMode val="edge"/>
          <c:yMode val="edge"/>
          <c:x val="9.2008187253389009E-2"/>
          <c:y val="0.89507076321342194"/>
          <c:w val="0.85794098893889381"/>
          <c:h val="6.3665302563745807E-2"/>
        </c:manualLayout>
      </c:layout>
      <c:spPr>
        <a:noFill/>
        <a:ln>
          <a:noFill/>
        </a:ln>
      </c:spPr>
      <c:txPr>
        <a:bodyPr/>
        <a:lstStyle/>
        <a:p>
          <a:pPr>
            <a:defRPr sz="800">
              <a:latin typeface="Fira Sans" pitchFamily="34" charset="0"/>
              <a:ea typeface="Fira Sans" pitchFamily="34" charset="0"/>
              <a:cs typeface="Arial" pitchFamily="34" charset="0"/>
            </a:defRPr>
          </a:pPr>
          <a:endParaRPr lang="pl-PL"/>
        </a:p>
      </c:txPr>
    </c:legend>
    <c:dispBlanksAs val="gap"/>
  </c:chart>
  <c:spPr>
    <a:noFill/>
    <a:ln w="12700" cap="rnd">
      <a:noFill/>
      <a:prstDash val="solid"/>
    </a:ln>
    <a:effectLst>
      <a:innerShdw blurRad="63500" dist="50800" dir="2700000">
        <a:prstClr val="black">
          <a:alpha val="50000"/>
        </a:prstClr>
      </a:inn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0.39505312765272382"/>
          <c:y val="4.3117283950617556E-2"/>
          <c:w val="0.54529773926958103"/>
          <c:h val="0.85868641975308846"/>
        </c:manualLayout>
      </c:layout>
      <c:barChart>
        <c:barDir val="bar"/>
        <c:grouping val="clustered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800" b="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Val val="1"/>
          </c:dLbls>
          <c:cat>
            <c:strRef>
              <c:f>Arkusz2!$B$2:$B$13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Arkusz2!$C$2:$C$13</c:f>
              <c:numCache>
                <c:formatCode>0.00</c:formatCode>
                <c:ptCount val="12"/>
                <c:pt idx="0">
                  <c:v>5.51</c:v>
                </c:pt>
                <c:pt idx="1">
                  <c:v>5.23</c:v>
                </c:pt>
                <c:pt idx="2">
                  <c:v>0.97000000000000064</c:v>
                </c:pt>
                <c:pt idx="3">
                  <c:v>6.89</c:v>
                </c:pt>
                <c:pt idx="4">
                  <c:v>5.2</c:v>
                </c:pt>
                <c:pt idx="5">
                  <c:v>8.6300000000000008</c:v>
                </c:pt>
                <c:pt idx="6">
                  <c:v>5.56</c:v>
                </c:pt>
                <c:pt idx="7">
                  <c:v>5.14</c:v>
                </c:pt>
                <c:pt idx="8">
                  <c:v>20.53</c:v>
                </c:pt>
                <c:pt idx="9">
                  <c:v>5.68</c:v>
                </c:pt>
                <c:pt idx="10">
                  <c:v>6.38</c:v>
                </c:pt>
                <c:pt idx="11">
                  <c:v>24.279999999999987</c:v>
                </c:pt>
              </c:numCache>
            </c:numRef>
          </c:val>
        </c:ser>
        <c:axId val="100967552"/>
        <c:axId val="100969088"/>
      </c:barChart>
      <c:catAx>
        <c:axId val="100967552"/>
        <c:scaling>
          <c:orientation val="minMax"/>
        </c:scaling>
        <c:axPos val="l"/>
        <c:numFmt formatCode="General" sourceLinked="1"/>
        <c:tickLblPos val="nextTo"/>
        <c:txPr>
          <a:bodyPr rot="0" vert="horz" anchor="ctr" anchorCtr="1"/>
          <a:lstStyle/>
          <a:p>
            <a:pPr algn="r">
              <a:defRPr sz="800" baseline="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0969088"/>
        <c:crosses val="autoZero"/>
        <c:lblAlgn val="ctr"/>
        <c:lblOffset val="100"/>
      </c:catAx>
      <c:valAx>
        <c:axId val="100969088"/>
        <c:scaling>
          <c:orientation val="minMax"/>
          <c:max val="30"/>
        </c:scaling>
        <c:axPos val="b"/>
        <c:majorGridlines>
          <c:spPr>
            <a:ln w="3175" cmpd="sng">
              <a:solidFill>
                <a:srgbClr val="C0C0C0"/>
              </a:solidFill>
              <a:prstDash val="sysDot"/>
            </a:ln>
          </c:spPr>
        </c:majorGridlines>
        <c:numFmt formatCode="General" sourceLinked="0"/>
        <c:tickLblPos val="nextTo"/>
        <c:spPr>
          <a:noFill/>
          <a:ln>
            <a:solidFill>
              <a:schemeClr val="tx1"/>
            </a:solidFill>
          </a:ln>
        </c:spPr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0967552"/>
        <c:crosses val="autoZero"/>
        <c:crossBetween val="between"/>
        <c:majorUnit val="5"/>
      </c:valAx>
      <c:spPr>
        <a:noFill/>
        <a:ln>
          <a:noFill/>
        </a:ln>
      </c:spPr>
    </c:plotArea>
    <c:plotVisOnly val="1"/>
  </c:chart>
  <c:spPr>
    <a:noFill/>
    <a:ln>
      <a:noFill/>
    </a:ln>
  </c:spPr>
  <c:externalData r:id="rId1"/>
  <c:userShapes r:id="rId2"/>
</c:chartSpac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0.90435</cdr:x>
      <cdr:y>0.80592</cdr:y>
    </cdr:from>
    <cdr:to>
      <cdr:x>0.99783</cdr:x>
      <cdr:y>0.92105</cdr:y>
    </cdr:to>
    <cdr:sp macro="" textlink="">
      <cdr:nvSpPr>
        <cdr:cNvPr id="135168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62410" y="2333622"/>
          <a:ext cx="409582" cy="3333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rPr>
            <a:t>m-ce</a:t>
          </a: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0.66957</cdr:x>
      <cdr:y>0.55098</cdr:y>
    </cdr:from>
    <cdr:to>
      <cdr:x>0.68741</cdr:x>
      <cdr:y>0.55098</cdr:y>
    </cdr:to>
    <cdr:cxnSp macro="">
      <cdr:nvCxnSpPr>
        <cdr:cNvPr id="5" name="Łącznik prosty 4"/>
        <cdr:cNvCxnSpPr/>
      </cdr:nvCxnSpPr>
      <cdr:spPr bwMode="auto">
        <a:xfrm xmlns:a="http://schemas.openxmlformats.org/drawingml/2006/main">
          <a:off x="3431185" y="1427486"/>
          <a:ext cx="91420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28575" cap="flat" cmpd="sng" algn="ctr">
          <a:solidFill>
            <a:srgbClr val="001D77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0.42689</cdr:x>
      <cdr:y>0.55098</cdr:y>
    </cdr:from>
    <cdr:to>
      <cdr:x>0.44473</cdr:x>
      <cdr:y>0.55098</cdr:y>
    </cdr:to>
    <cdr:cxnSp macro="">
      <cdr:nvCxnSpPr>
        <cdr:cNvPr id="6" name="Łącznik prosty 5"/>
        <cdr:cNvCxnSpPr/>
      </cdr:nvCxnSpPr>
      <cdr:spPr bwMode="auto">
        <a:xfrm xmlns:a="http://schemas.openxmlformats.org/drawingml/2006/main">
          <a:off x="2187601" y="1427486"/>
          <a:ext cx="91420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28575" cap="flat" cmpd="sng" algn="ctr">
          <a:solidFill>
            <a:srgbClr val="007AC9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0.05699</cdr:x>
      <cdr:y>0.13104</cdr:y>
    </cdr:from>
    <cdr:to>
      <cdr:x>0.12605</cdr:x>
      <cdr:y>0.2018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7513" y="378956"/>
          <a:ext cx="299961" cy="2046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0.47432</cdr:x>
      <cdr:y>0.46915</cdr:y>
    </cdr:from>
    <cdr:to>
      <cdr:x>0.48942</cdr:x>
      <cdr:y>0.52227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55631" y="1367396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0.15053</cdr:x>
      <cdr:y>0.21665</cdr:y>
    </cdr:from>
    <cdr:to>
      <cdr:x>0.41845</cdr:x>
      <cdr:y>0.30803</cdr:y>
    </cdr:to>
    <cdr:sp macro="" textlink="">
      <cdr:nvSpPr>
        <cdr:cNvPr id="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30" y="640429"/>
          <a:ext cx="1168700" cy="27012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0.25941</cdr:x>
      <cdr:y>0.28521</cdr:y>
    </cdr:from>
    <cdr:to>
      <cdr:x>0.29415</cdr:x>
      <cdr:y>0.31695</cdr:y>
    </cdr:to>
    <cdr:sp macro="" textlink="">
      <cdr:nvSpPr>
        <cdr:cNvPr id="199168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131578" y="843077"/>
          <a:ext cx="151540" cy="9382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0.51818</cdr:x>
      <cdr:y>0.27491</cdr:y>
    </cdr:from>
    <cdr:to>
      <cdr:x>0.6696</cdr:x>
      <cdr:y>0.43602</cdr:y>
    </cdr:to>
    <cdr:sp macro="" textlink="">
      <cdr:nvSpPr>
        <cdr:cNvPr id="8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2267626" y="819716"/>
          <a:ext cx="662608" cy="48039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0.51521</cdr:x>
      <cdr:y>0.23091</cdr:y>
    </cdr:from>
    <cdr:to>
      <cdr:x>0.66581</cdr:x>
      <cdr:y>0.27491</cdr:y>
    </cdr:to>
    <cdr:sp macro="" textlink="">
      <cdr:nvSpPr>
        <cdr:cNvPr id="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2254597" y="688514"/>
          <a:ext cx="659074" cy="13120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</cdr:x>
      <cdr:y>0</cdr:y>
    </cdr:from>
    <cdr:to>
      <cdr:x>0.00265</cdr:x>
      <cdr:y>0.00434</cdr:y>
    </cdr:to>
    <cdr:pic>
      <cdr:nvPicPr>
        <cdr:cNvPr id="10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</cdr:y>
    </cdr:from>
    <cdr:to>
      <cdr:x>0.00265</cdr:x>
      <cdr:y>0.00434</cdr:y>
    </cdr:to>
    <cdr:pic>
      <cdr:nvPicPr>
        <cdr:cNvPr id="11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</cdr:y>
    </cdr:from>
    <cdr:to>
      <cdr:x>0.00265</cdr:x>
      <cdr:y>0.00434</cdr:y>
    </cdr:to>
    <cdr:pic>
      <cdr:nvPicPr>
        <cdr:cNvPr id="1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</cdr:y>
    </cdr:from>
    <cdr:to>
      <cdr:x>0.00265</cdr:x>
      <cdr:y>0.00434</cdr:y>
    </cdr:to>
    <cdr:pic>
      <cdr:nvPicPr>
        <cdr:cNvPr id="1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1</cdr:x>
      <cdr:y>0.7795</cdr:y>
    </cdr:from>
    <cdr:to>
      <cdr:x>1</cdr:x>
      <cdr:y>0.7795</cdr:y>
    </cdr:to>
    <cdr:sp macro="" textlink="">
      <cdr:nvSpPr>
        <cdr:cNvPr id="15" name="pole tekstowe 14"/>
        <cdr:cNvSpPr txBox="1"/>
      </cdr:nvSpPr>
      <cdr:spPr>
        <a:xfrm xmlns:a="http://schemas.openxmlformats.org/drawingml/2006/main">
          <a:off x="8572500" y="30480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0.65742</cdr:x>
      <cdr:y>0.21796</cdr:y>
    </cdr:from>
    <cdr:to>
      <cdr:x>0.91012</cdr:x>
      <cdr:y>0.35614</cdr:y>
    </cdr:to>
    <cdr:sp macro="" textlink="">
      <cdr:nvSpPr>
        <cdr:cNvPr id="16" name="pole tekstowe 15"/>
        <cdr:cNvSpPr txBox="1"/>
      </cdr:nvSpPr>
      <cdr:spPr>
        <a:xfrm xmlns:a="http://schemas.openxmlformats.org/drawingml/2006/main">
          <a:off x="2876946" y="649893"/>
          <a:ext cx="1105845" cy="4120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0.14303</cdr:x>
      <cdr:y>0.22097</cdr:y>
    </cdr:from>
    <cdr:to>
      <cdr:x>0.91492</cdr:x>
      <cdr:y>0.22098</cdr:y>
    </cdr:to>
    <cdr:sp macro="" textlink="">
      <cdr:nvSpPr>
        <cdr:cNvPr id="18" name="Łącznik prosty 17"/>
        <cdr:cNvSpPr/>
      </cdr:nvSpPr>
      <cdr:spPr bwMode="auto">
        <a:xfrm xmlns:a="http://schemas.openxmlformats.org/drawingml/2006/main">
          <a:off x="622061" y="637489"/>
          <a:ext cx="3357010" cy="29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9525" cap="flat" cmpd="sng" algn="ctr">
          <a:solidFill>
            <a:sysClr val="windowText" lastClr="000000"/>
          </a:solidFill>
          <a:prstDash val="dash"/>
          <a:round/>
          <a:headEnd type="none" w="med" len="med"/>
          <a:tailEnd type="none" w="med" len="med"/>
        </a:ln>
        <a:effectLst xmlns:a="http://schemas.openxmlformats.org/drawingml/2006/main"/>
      </cdr:spPr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0.1417</cdr:x>
      <cdr:y>0.32836</cdr:y>
    </cdr:from>
    <cdr:to>
      <cdr:x>0.9117</cdr:x>
      <cdr:y>0.33083</cdr:y>
    </cdr:to>
    <cdr:sp macro="" textlink="">
      <cdr:nvSpPr>
        <cdr:cNvPr id="22" name="Łącznik prosty 21"/>
        <cdr:cNvSpPr/>
      </cdr:nvSpPr>
      <cdr:spPr bwMode="auto">
        <a:xfrm xmlns:a="http://schemas.openxmlformats.org/drawingml/2006/main" flipV="1">
          <a:off x="614469" y="950016"/>
          <a:ext cx="3338895" cy="713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0.14499</cdr:x>
      <cdr:y>0.44031</cdr:y>
    </cdr:from>
    <cdr:to>
      <cdr:x>0.91581</cdr:x>
      <cdr:y>0.44084</cdr:y>
    </cdr:to>
    <cdr:sp macro="" textlink="">
      <cdr:nvSpPr>
        <cdr:cNvPr id="26" name="Łącznik prosty 25"/>
        <cdr:cNvSpPr/>
      </cdr:nvSpPr>
      <cdr:spPr bwMode="auto">
        <a:xfrm xmlns:a="http://schemas.openxmlformats.org/drawingml/2006/main">
          <a:off x="634493" y="1312890"/>
          <a:ext cx="3373198" cy="158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9525" cap="flat" cmpd="sng" algn="ctr">
          <a:solidFill>
            <a:sysClr val="windowText" lastClr="000000"/>
          </a:solidFill>
          <a:prstDash val="dash"/>
          <a:round/>
          <a:headEnd type="none" w="med" len="med"/>
          <a:tailEnd type="none" w="med" len="med"/>
        </a:ln>
        <a:effectLst xmlns:a="http://schemas.openxmlformats.org/drawingml/2006/main"/>
      </cdr:spPr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0.88654</cdr:x>
      <cdr:y>0.60488</cdr:y>
    </cdr:from>
    <cdr:to>
      <cdr:x>0.897</cdr:x>
      <cdr:y>0.62044</cdr:y>
    </cdr:to>
    <cdr:sp macro="" textlink="">
      <cdr:nvSpPr>
        <cdr:cNvPr id="19" name="Minus 18"/>
        <cdr:cNvSpPr/>
      </cdr:nvSpPr>
      <cdr:spPr bwMode="auto">
        <a:xfrm xmlns:a="http://schemas.openxmlformats.org/drawingml/2006/main">
          <a:off x="3875932" y="1777836"/>
          <a:ext cx="45719" cy="45719"/>
        </a:xfrm>
        <a:prstGeom xmlns:a="http://schemas.openxmlformats.org/drawingml/2006/main" prst="mathMinus">
          <a:avLst/>
        </a:prstGeom>
        <a:solidFill xmlns:a="http://schemas.openxmlformats.org/drawingml/2006/main">
          <a:srgbClr val="FFFFFF"/>
        </a:solidFill>
        <a:ln xmlns:a="http://schemas.openxmlformats.org/drawingml/2006/main" w="9525" cap="flat" cmpd="sng" algn="ctr">
          <a:solidFill>
            <a:srgbClr val="FFFFFF"/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0.79091</cdr:x>
      <cdr:y>0.60474</cdr:y>
    </cdr:from>
    <cdr:to>
      <cdr:x>0.80875</cdr:x>
      <cdr:y>0.60474</cdr:y>
    </cdr:to>
    <cdr:cxnSp macro="">
      <cdr:nvCxnSpPr>
        <cdr:cNvPr id="20" name="Łącznik prosty 19"/>
        <cdr:cNvCxnSpPr/>
      </cdr:nvCxnSpPr>
      <cdr:spPr bwMode="auto">
        <a:xfrm xmlns:a="http://schemas.openxmlformats.org/drawingml/2006/main">
          <a:off x="4052977" y="1676203"/>
          <a:ext cx="91420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28575" cap="flat" cmpd="sng" algn="ctr">
          <a:solidFill>
            <a:srgbClr val="001D77"/>
          </a:solidFill>
          <a:prstDash val="solid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0.94695</cdr:x>
      <cdr:y>0.90772</cdr:y>
    </cdr:from>
    <cdr:to>
      <cdr:x>1</cdr:x>
      <cdr:y>0.98079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852598" y="4248143"/>
          <a:ext cx="271852" cy="3419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latin typeface="Fira Sans" pitchFamily="34" charset="0"/>
              <a:ea typeface="Fira Sans" pitchFamily="34" charset="0"/>
            </a:rPr>
            <a:t>%</a:t>
          </a:r>
          <a:endParaRPr lang="pl-PL" sz="11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30d47203-49ec-4c8c-a442-62231931aabb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72BF1B-8101-4B1C-834F-1CB0D777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kunowskib</cp:lastModifiedBy>
  <cp:revision>2</cp:revision>
  <cp:lastPrinted>2018-02-14T10:13:00Z</cp:lastPrinted>
  <dcterms:created xsi:type="dcterms:W3CDTF">2018-02-14T11:39:00Z</dcterms:created>
  <dcterms:modified xsi:type="dcterms:W3CDTF">2018-02-14T11:39:00Z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