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B81262">
        <w:rPr>
          <w:shd w:val="clear" w:color="auto" w:fill="FFFFFF"/>
        </w:rPr>
        <w:t>marzec</w:t>
      </w:r>
      <w:r w:rsidRPr="00530074">
        <w:rPr>
          <w:shd w:val="clear" w:color="auto" w:fill="FFFFFF"/>
        </w:rPr>
        <w:t xml:space="preserve"> 2018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245745</wp:posOffset>
                </wp:positionV>
                <wp:extent cx="1725295" cy="1209675"/>
                <wp:effectExtent l="0" t="0" r="0" b="0"/>
                <wp:wrapTight wrapText="bothSides">
                  <wp:wrapPolygon edited="0">
                    <wp:start x="715" y="0"/>
                    <wp:lineTo x="715" y="21090"/>
                    <wp:lineTo x="20749" y="2109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4E4" w:rsidRPr="00074DD8" w:rsidRDefault="00BC44E4" w:rsidP="00074DD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7B7753">
                              <w:t>marcu</w:t>
                            </w:r>
                            <w:r w:rsidRPr="00AE6789">
                              <w:t xml:space="preserve"> 2018</w:t>
                            </w:r>
                            <w:r>
                              <w:t xml:space="preserve"> r.</w:t>
                            </w:r>
                            <w:r w:rsidR="007B7753">
                              <w:t xml:space="preserve"> odnotowano pogorszenie obecnych</w:t>
                            </w:r>
                            <w:r>
                              <w:t xml:space="preserve"> i </w:t>
                            </w:r>
                            <w:r w:rsidR="007B7753">
                              <w:t>przyszłych</w:t>
                            </w:r>
                            <w:r>
                              <w:t xml:space="preserve"> nastroj</w:t>
                            </w:r>
                            <w:r w:rsidR="007B7753">
                              <w:t>ów konsumenckich</w:t>
                            </w:r>
                            <w:r>
                              <w:t xml:space="preserve"> </w:t>
                            </w:r>
                            <w:r w:rsidR="007B7753">
                              <w:t>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35pt;width:135.85pt;height:95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" filled="f" stroked="f">
                <v:textbox>
                  <w:txbxContent>
                    <w:p w:rsidR="00BC44E4" w:rsidRPr="00074DD8" w:rsidRDefault="00BC44E4" w:rsidP="00074DD8">
                      <w:pPr>
                        <w:pStyle w:val="tekstzboku"/>
                      </w:pPr>
                      <w:r>
                        <w:t xml:space="preserve">W </w:t>
                      </w:r>
                      <w:r w:rsidR="007B7753">
                        <w:t>marcu</w:t>
                      </w:r>
                      <w:r w:rsidRPr="00AE6789">
                        <w:t xml:space="preserve"> 2018</w:t>
                      </w:r>
                      <w:r>
                        <w:t xml:space="preserve"> r.</w:t>
                      </w:r>
                      <w:r w:rsidR="007B7753">
                        <w:t xml:space="preserve"> odnotowano pogorszenie obecnych</w:t>
                      </w:r>
                      <w:r>
                        <w:t xml:space="preserve"> i </w:t>
                      </w:r>
                      <w:r w:rsidR="007B7753">
                        <w:t>przyszłych</w:t>
                      </w:r>
                      <w:r>
                        <w:t xml:space="preserve"> nastroj</w:t>
                      </w:r>
                      <w:r w:rsidR="007B7753">
                        <w:t>ów konsumenckich</w:t>
                      </w:r>
                      <w:r>
                        <w:t xml:space="preserve"> </w:t>
                      </w:r>
                      <w:r w:rsidR="007B7753">
                        <w:t>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A3169" w:rsidRPr="003A3169" w:rsidRDefault="00003437" w:rsidP="003A3169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4E4" w:rsidRPr="00BC44E4" w:rsidRDefault="00BC44E4" w:rsidP="00BC44E4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4010" cy="334010"/>
                                  <wp:effectExtent l="0" t="0" r="8890" b="889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C433F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5C43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5,4</w:t>
                            </w:r>
                          </w:p>
                          <w:p w:rsidR="00BC44E4" w:rsidRPr="00DD7916" w:rsidRDefault="00BC44E4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BC44E4" w:rsidRPr="00BC44E4" w:rsidRDefault="00BC44E4" w:rsidP="00BC44E4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010" cy="334010"/>
                            <wp:effectExtent l="0" t="0" r="8890" b="889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C433F"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5C43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5,4</w:t>
                      </w:r>
                    </w:p>
                    <w:p w:rsidR="00BC44E4" w:rsidRPr="00DD7916" w:rsidRDefault="00BC44E4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3169" w:rsidRPr="003A3169">
        <w:t xml:space="preserve">Bieżący wskaźnik ufności konsumenckiej (BWUK), syntetycznie opisujący obecne tendencje konsumpcji indywidualnej ukształtował się na poziomie </w:t>
      </w:r>
      <w:r w:rsidR="00672418">
        <w:t>5,4</w:t>
      </w:r>
      <w:r w:rsidR="00210F89">
        <w:rPr>
          <w:rStyle w:val="Odwoanieprzypisudolnego"/>
          <w:shd w:val="clear" w:color="auto" w:fill="FFFFFF"/>
        </w:rPr>
        <w:footnoteReference w:id="1"/>
      </w:r>
      <w:r w:rsidR="003A3169">
        <w:t>.</w:t>
      </w:r>
    </w:p>
    <w:p w:rsidR="009A5A6D" w:rsidRDefault="009A5A6D" w:rsidP="00074DD8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4E4" w:rsidRPr="00380DFD" w:rsidRDefault="00BC44E4" w:rsidP="00380DFD">
                            <w:pPr>
                              <w:pStyle w:val="tekstzboku"/>
                            </w:pPr>
                            <w:r>
                              <w:t xml:space="preserve">Bieżący wskaźnik ufności konsumenckiej (BWUK) </w:t>
                            </w:r>
                            <w:r w:rsidR="007B7753">
                              <w:t xml:space="preserve">był niższy o 0,8 p. proc. w </w:t>
                            </w:r>
                            <w:r>
                              <w:t>stosunku do poprzedniego miesiąca</w:t>
                            </w:r>
                          </w:p>
                          <w:p w:rsidR="00BC44E4" w:rsidRPr="00D616D2" w:rsidRDefault="00BC44E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BC44E4" w:rsidRPr="00380DFD" w:rsidRDefault="00BC44E4" w:rsidP="00380DFD">
                      <w:pPr>
                        <w:pStyle w:val="tekstzboku"/>
                      </w:pPr>
                      <w:r>
                        <w:t xml:space="preserve">Bieżący wskaźnik ufności konsumenckiej (BWUK) </w:t>
                      </w:r>
                      <w:r w:rsidR="007B7753">
                        <w:t xml:space="preserve">był niższy o 0,8 p. proc. w </w:t>
                      </w:r>
                      <w:r>
                        <w:t>stosunku do poprzedniego miesiąca</w:t>
                      </w:r>
                    </w:p>
                    <w:p w:rsidR="00BC44E4" w:rsidRPr="00D616D2" w:rsidRDefault="00BC44E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0B5253">
        <w:t>marcu</w:t>
      </w:r>
      <w:r w:rsidR="009A5A6D" w:rsidRPr="009A5A6D">
        <w:t xml:space="preserve"> 2018 r.</w:t>
      </w:r>
    </w:p>
    <w:p w:rsidR="009A5A6D" w:rsidRPr="009A5A6D" w:rsidRDefault="009A5A6D" w:rsidP="002F512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>był niższy o 0,8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7B7753">
        <w:rPr>
          <w:shd w:val="clear" w:color="auto" w:fill="FFFFFF"/>
        </w:rPr>
        <w:t>ukształtował się na poziomie 5,4</w:t>
      </w:r>
      <w:r w:rsidR="00210F89" w:rsidRPr="00210F89">
        <w:rPr>
          <w:shd w:val="clear" w:color="auto" w:fill="FFFFFF"/>
          <w:vertAlign w:val="superscript"/>
        </w:rPr>
        <w:t>*</w:t>
      </w:r>
      <w:r w:rsidRPr="009A5A6D">
        <w:rPr>
          <w:shd w:val="clear" w:color="auto" w:fill="FFFFFF"/>
        </w:rPr>
        <w:t xml:space="preserve">. </w:t>
      </w:r>
    </w:p>
    <w:p w:rsidR="009A5A6D" w:rsidRPr="00396FC5" w:rsidRDefault="009A5A6D" w:rsidP="009A5A6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F6684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 w:rsidR="00483BB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tość BWU</w:t>
      </w:r>
      <w:r w:rsidR="005A653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K </w:t>
      </w:r>
      <w:r w:rsidR="00F6684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 wyższa o 7,4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98156A" w:rsidRPr="009A5A6D" w:rsidRDefault="00E832ED" w:rsidP="002F5124">
      <w:pPr>
        <w:spacing w:before="0"/>
      </w:pPr>
      <w:r>
        <w:rPr>
          <w:shd w:val="clear" w:color="auto" w:fill="FFFFFF"/>
        </w:rPr>
        <w:t xml:space="preserve">Wśród </w:t>
      </w:r>
      <w:r w:rsidR="00891FF7">
        <w:rPr>
          <w:shd w:val="clear" w:color="auto" w:fill="FFFFFF"/>
        </w:rPr>
        <w:t>składowych</w:t>
      </w:r>
      <w:r w:rsidR="009A5A6D" w:rsidRPr="00655E7E">
        <w:rPr>
          <w:shd w:val="clear" w:color="auto" w:fill="FFFFFF"/>
        </w:rPr>
        <w:t xml:space="preserve"> wskaźnika</w:t>
      </w:r>
      <w:r w:rsidR="00891FF7">
        <w:rPr>
          <w:shd w:val="clear" w:color="auto" w:fill="FFFFFF"/>
        </w:rPr>
        <w:t xml:space="preserve">, </w:t>
      </w:r>
      <w:r>
        <w:rPr>
          <w:shd w:val="clear" w:color="auto" w:fill="FFFFFF"/>
        </w:rPr>
        <w:t>niższą wartość odnotowano przede wszystkim dla</w:t>
      </w:r>
      <w:r w:rsidR="00891FF7">
        <w:rPr>
          <w:shd w:val="clear" w:color="auto" w:fill="FFFFFF"/>
        </w:rPr>
        <w:t xml:space="preserve"> ocen </w:t>
      </w:r>
      <w:r>
        <w:rPr>
          <w:shd w:val="clear" w:color="auto" w:fill="FFFFFF"/>
        </w:rPr>
        <w:t>przyszłej</w:t>
      </w:r>
      <w:r w:rsidR="00891FF7">
        <w:rPr>
          <w:shd w:val="clear" w:color="auto" w:fill="FFFFFF"/>
        </w:rPr>
        <w:t xml:space="preserve"> sytuacji ekonomicznej kraju oraz</w:t>
      </w:r>
      <w:r>
        <w:rPr>
          <w:shd w:val="clear" w:color="auto" w:fill="FFFFFF"/>
        </w:rPr>
        <w:t xml:space="preserve"> obecnej</w:t>
      </w:r>
      <w:r w:rsidRPr="009A5A6D">
        <w:rPr>
          <w:shd w:val="clear" w:color="auto" w:fill="FFFFFF"/>
        </w:rPr>
        <w:t xml:space="preserve"> sytuacji f</w:t>
      </w:r>
      <w:r>
        <w:rPr>
          <w:shd w:val="clear" w:color="auto" w:fill="FFFFFF"/>
        </w:rPr>
        <w:t>inansowej gospodarstwa domowego</w:t>
      </w:r>
      <w:r w:rsidR="00891FF7">
        <w:rPr>
          <w:shd w:val="clear" w:color="auto" w:fill="FFFFFF"/>
        </w:rPr>
        <w:t xml:space="preserve"> (</w:t>
      </w:r>
      <w:r>
        <w:rPr>
          <w:shd w:val="clear" w:color="auto" w:fill="FFFFFF"/>
        </w:rPr>
        <w:t>spadki odpowiednio o 3,1 i 3,0</w:t>
      </w:r>
      <w:r w:rsidR="00891FF7">
        <w:rPr>
          <w:shd w:val="clear" w:color="auto" w:fill="FFFFFF"/>
        </w:rPr>
        <w:t xml:space="preserve"> p. proc.)</w:t>
      </w:r>
      <w:r w:rsidR="009A5A6D" w:rsidRPr="00655E7E">
        <w:rPr>
          <w:shd w:val="clear" w:color="auto" w:fill="FFFFFF"/>
        </w:rPr>
        <w:t xml:space="preserve">. </w:t>
      </w:r>
      <w:r w:rsidR="00891FF7">
        <w:rPr>
          <w:shd w:val="clear" w:color="auto" w:fill="FFFFFF"/>
        </w:rPr>
        <w:t xml:space="preserve">Natomiast </w:t>
      </w:r>
      <w:r>
        <w:rPr>
          <w:shd w:val="clear" w:color="auto" w:fill="FFFFFF"/>
        </w:rPr>
        <w:t>poprawiły</w:t>
      </w:r>
      <w:r w:rsidR="00891FF7">
        <w:rPr>
          <w:shd w:val="clear" w:color="auto" w:fill="FFFFFF"/>
        </w:rPr>
        <w:t xml:space="preserve"> się oceny</w:t>
      </w:r>
      <w:r w:rsidR="009A5A6D" w:rsidRPr="009A5A6D">
        <w:rPr>
          <w:shd w:val="clear" w:color="auto" w:fill="FFFFFF"/>
        </w:rPr>
        <w:t xml:space="preserve"> przyszłej</w:t>
      </w:r>
      <w:r>
        <w:rPr>
          <w:shd w:val="clear" w:color="auto" w:fill="FFFFFF"/>
        </w:rPr>
        <w:t xml:space="preserve"> </w:t>
      </w:r>
      <w:r w:rsidRPr="009A5A6D">
        <w:rPr>
          <w:shd w:val="clear" w:color="auto" w:fill="FFFFFF"/>
        </w:rPr>
        <w:t>sytuacji f</w:t>
      </w:r>
      <w:r>
        <w:rPr>
          <w:shd w:val="clear" w:color="auto" w:fill="FFFFFF"/>
        </w:rPr>
        <w:t>inansowej gospodarstwa domowego</w:t>
      </w:r>
      <w:r w:rsidR="00891FF7">
        <w:rPr>
          <w:shd w:val="clear" w:color="auto" w:fill="FFFFFF"/>
        </w:rPr>
        <w:t xml:space="preserve"> i </w:t>
      </w:r>
      <w:r>
        <w:rPr>
          <w:shd w:val="clear" w:color="auto" w:fill="FFFFFF"/>
        </w:rPr>
        <w:t>obecnej sytuacji ekonomicznej kraju</w:t>
      </w:r>
      <w:r w:rsidRPr="009A5A6D">
        <w:rPr>
          <w:shd w:val="clear" w:color="auto" w:fill="FFFFFF"/>
        </w:rPr>
        <w:t xml:space="preserve"> </w:t>
      </w:r>
      <w:r w:rsidR="009A5A6D" w:rsidRPr="009A5A6D">
        <w:rPr>
          <w:shd w:val="clear" w:color="auto" w:fill="FFFFFF"/>
        </w:rPr>
        <w:t>(</w:t>
      </w:r>
      <w:r>
        <w:rPr>
          <w:shd w:val="clear" w:color="auto" w:fill="FFFFFF"/>
        </w:rPr>
        <w:t>wzrosty</w:t>
      </w:r>
      <w:r w:rsidR="009A5A6D" w:rsidRPr="009A5A6D">
        <w:rPr>
          <w:shd w:val="clear" w:color="auto" w:fill="FFFFFF"/>
        </w:rPr>
        <w:t xml:space="preserve"> odp</w:t>
      </w:r>
      <w:r w:rsidR="00891FF7">
        <w:rPr>
          <w:shd w:val="clear" w:color="auto" w:fill="FFFFFF"/>
        </w:rPr>
        <w:t xml:space="preserve">owiednio o </w:t>
      </w:r>
      <w:r>
        <w:rPr>
          <w:shd w:val="clear" w:color="auto" w:fill="FFFFFF"/>
        </w:rPr>
        <w:t>1,4 i 0,5</w:t>
      </w:r>
      <w:r w:rsidR="009A5A6D" w:rsidRPr="009A5A6D">
        <w:rPr>
          <w:shd w:val="clear" w:color="auto" w:fill="FFFFFF"/>
        </w:rPr>
        <w:t xml:space="preserve"> p. proc.)</w:t>
      </w:r>
      <w:r w:rsidR="00074DD8" w:rsidRPr="009A5A6D">
        <w:rPr>
          <w:shd w:val="clear" w:color="auto" w:fill="FFFFFF"/>
        </w:rPr>
        <w:t>.</w:t>
      </w:r>
    </w:p>
    <w:p w:rsidR="00C074FD" w:rsidRDefault="00C074FD" w:rsidP="00C074FD">
      <w:pPr>
        <w:pStyle w:val="Nagwek1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4E4" w:rsidRPr="00380DFD" w:rsidRDefault="00BC44E4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7B7753">
                              <w:t>spadł o 1,3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BC44E4" w:rsidRPr="00380DFD" w:rsidRDefault="00BC44E4" w:rsidP="00C074FD">
                            <w:pPr>
                              <w:pStyle w:val="tekstzboku"/>
                            </w:pPr>
                          </w:p>
                          <w:p w:rsidR="00BC44E4" w:rsidRPr="00D616D2" w:rsidRDefault="00BC44E4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BC44E4" w:rsidRPr="00380DFD" w:rsidRDefault="00BC44E4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7B7753">
                        <w:t>spadł o 1,3</w:t>
                      </w:r>
                      <w:r>
                        <w:t xml:space="preserve"> p. proc. w stosunku do poprzedniego miesiąca</w:t>
                      </w:r>
                    </w:p>
                    <w:p w:rsidR="00BC44E4" w:rsidRPr="00380DFD" w:rsidRDefault="00BC44E4" w:rsidP="00C074FD">
                      <w:pPr>
                        <w:pStyle w:val="tekstzboku"/>
                      </w:pPr>
                    </w:p>
                    <w:p w:rsidR="00BC44E4" w:rsidRPr="00D616D2" w:rsidRDefault="00BC44E4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0B5253">
        <w:t>marcu</w:t>
      </w:r>
      <w:r w:rsidRPr="009A5A6D">
        <w:t xml:space="preserve"> 2018 r.</w:t>
      </w:r>
    </w:p>
    <w:p w:rsidR="00C074FD" w:rsidRPr="00396FC5" w:rsidRDefault="00C074FD" w:rsidP="002F512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 xml:space="preserve">Wyprzedzający wskaźnik ufności konsumenckiej (WWUK), syntetycznie opisujący oczekiwane w najbliższych miesiącach tendencje konsumpcji indywidualnej, </w:t>
      </w:r>
      <w:r w:rsidR="007B7753">
        <w:rPr>
          <w:shd w:val="clear" w:color="auto" w:fill="FFFFFF"/>
        </w:rPr>
        <w:t>spadł o 1,3</w:t>
      </w:r>
      <w:r w:rsidRPr="00396FC5">
        <w:rPr>
          <w:shd w:val="clear" w:color="auto" w:fill="FFFFFF"/>
        </w:rPr>
        <w:t xml:space="preserve"> p. proc. w stosunku do poprzedniego miesiąca </w:t>
      </w:r>
      <w:r w:rsidR="007B7753">
        <w:rPr>
          <w:shd w:val="clear" w:color="auto" w:fill="FFFFFF"/>
        </w:rPr>
        <w:t>i ukształtował się na poziomie 2</w:t>
      </w:r>
      <w:r w:rsidRPr="00396FC5">
        <w:rPr>
          <w:shd w:val="clear" w:color="auto" w:fill="FFFFFF"/>
        </w:rPr>
        <w:t>,</w:t>
      </w:r>
      <w:r w:rsidR="007B7753">
        <w:rPr>
          <w:shd w:val="clear" w:color="auto" w:fill="FFFFFF"/>
        </w:rPr>
        <w:t>9</w:t>
      </w:r>
      <w:r w:rsidR="00210F89" w:rsidRPr="00210F89">
        <w:rPr>
          <w:shd w:val="clear" w:color="auto" w:fill="FFFFFF"/>
          <w:vertAlign w:val="superscript"/>
        </w:rPr>
        <w:t>*</w:t>
      </w:r>
      <w:r w:rsidRPr="00396FC5">
        <w:rPr>
          <w:shd w:val="clear" w:color="auto" w:fill="FFFFFF"/>
        </w:rPr>
        <w:t xml:space="preserve">. </w:t>
      </w:r>
    </w:p>
    <w:p w:rsidR="00C074FD" w:rsidRPr="00655E7E" w:rsidRDefault="00C074FD" w:rsidP="00C074F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F6684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marcu br. WWUK osiągnął wartość o 7,1</w:t>
      </w:r>
      <w:r w:rsidR="00166A7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wyższą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w analogicznym miesiącu 2017</w:t>
      </w:r>
      <w:r w:rsidR="0019283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4E61ED" w:rsidRDefault="00B27B18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Na spadek wartości wskaźnika wpłynęły</w:t>
      </w:r>
      <w:r w:rsidR="00CD49BB">
        <w:rPr>
          <w:shd w:val="clear" w:color="auto" w:fill="FFFFFF"/>
        </w:rPr>
        <w:t xml:space="preserve"> głównie</w:t>
      </w:r>
      <w:r w:rsidR="00A35C72">
        <w:rPr>
          <w:shd w:val="clear" w:color="auto" w:fill="FFFFFF"/>
        </w:rPr>
        <w:t xml:space="preserve"> pogarszające się</w:t>
      </w:r>
      <w:r w:rsidR="00C074FD" w:rsidRPr="00655E7E">
        <w:rPr>
          <w:shd w:val="clear" w:color="auto" w:fill="FFFFFF"/>
        </w:rPr>
        <w:t xml:space="preserve"> ocen</w:t>
      </w:r>
      <w:r>
        <w:rPr>
          <w:shd w:val="clear" w:color="auto" w:fill="FFFFFF"/>
        </w:rPr>
        <w:t>y</w:t>
      </w:r>
      <w:r w:rsidR="00C074FD" w:rsidRPr="00655E7E">
        <w:rPr>
          <w:shd w:val="clear" w:color="auto" w:fill="FFFFFF"/>
        </w:rPr>
        <w:t xml:space="preserve"> </w:t>
      </w:r>
      <w:r w:rsidRPr="00655E7E">
        <w:rPr>
          <w:shd w:val="clear" w:color="auto" w:fill="FFFFFF"/>
        </w:rPr>
        <w:t xml:space="preserve">przyszłej sytuacji </w:t>
      </w:r>
      <w:r w:rsidR="00CD49BB">
        <w:rPr>
          <w:shd w:val="clear" w:color="auto" w:fill="FFFFFF"/>
        </w:rPr>
        <w:t>ekonomicznej</w:t>
      </w:r>
      <w:r w:rsidRPr="00655E7E">
        <w:rPr>
          <w:shd w:val="clear" w:color="auto" w:fill="FFFFFF"/>
        </w:rPr>
        <w:t xml:space="preserve"> </w:t>
      </w:r>
      <w:r w:rsidR="00CD49BB">
        <w:rPr>
          <w:shd w:val="clear" w:color="auto" w:fill="FFFFFF"/>
        </w:rPr>
        <w:t>kraju</w:t>
      </w:r>
      <w:r w:rsidRPr="00655E7E">
        <w:rPr>
          <w:shd w:val="clear" w:color="auto" w:fill="FFFFFF"/>
        </w:rPr>
        <w:t xml:space="preserve"> oraz </w:t>
      </w:r>
      <w:r w:rsidR="00C074FD" w:rsidRPr="00655E7E">
        <w:rPr>
          <w:shd w:val="clear" w:color="auto" w:fill="FFFFFF"/>
        </w:rPr>
        <w:t>możliwości przyszłego oszczędzania pieniędzy (</w:t>
      </w:r>
      <w:r w:rsidR="00CD49BB">
        <w:rPr>
          <w:shd w:val="clear" w:color="auto" w:fill="FFFFFF"/>
        </w:rPr>
        <w:t>spadki odpowiednio o 3,1 i 2,8</w:t>
      </w:r>
      <w:r w:rsidR="002F5124">
        <w:rPr>
          <w:shd w:val="clear" w:color="auto" w:fill="FFFFFF"/>
        </w:rPr>
        <w:t xml:space="preserve"> </w:t>
      </w:r>
      <w:r w:rsidR="00C074FD" w:rsidRPr="00655E7E">
        <w:rPr>
          <w:shd w:val="clear" w:color="auto" w:fill="FFFFFF"/>
        </w:rPr>
        <w:t xml:space="preserve">p. proc.). </w:t>
      </w:r>
      <w:r>
        <w:rPr>
          <w:shd w:val="clear" w:color="auto" w:fill="FFFFFF"/>
        </w:rPr>
        <w:t>Wyższ</w:t>
      </w:r>
      <w:r w:rsidR="00CD49BB">
        <w:rPr>
          <w:shd w:val="clear" w:color="auto" w:fill="FFFFFF"/>
        </w:rPr>
        <w:t>ą</w:t>
      </w:r>
      <w:r w:rsidR="00166A78">
        <w:rPr>
          <w:shd w:val="clear" w:color="auto" w:fill="FFFFFF"/>
        </w:rPr>
        <w:t xml:space="preserve"> wartość</w:t>
      </w:r>
      <w:r w:rsidR="002E489D">
        <w:rPr>
          <w:shd w:val="clear" w:color="auto" w:fill="FFFFFF"/>
        </w:rPr>
        <w:t xml:space="preserve"> niż przed miesiącem </w:t>
      </w:r>
      <w:r>
        <w:rPr>
          <w:shd w:val="clear" w:color="auto" w:fill="FFFFFF"/>
        </w:rPr>
        <w:t>odnotowano dla o</w:t>
      </w:r>
      <w:r w:rsidR="00C074FD" w:rsidRPr="00396FC5">
        <w:rPr>
          <w:shd w:val="clear" w:color="auto" w:fill="FFFFFF"/>
        </w:rPr>
        <w:t>cen</w:t>
      </w:r>
      <w:r w:rsidR="0021157D">
        <w:rPr>
          <w:shd w:val="clear" w:color="auto" w:fill="FFFFFF"/>
        </w:rPr>
        <w:t>y</w:t>
      </w:r>
      <w:r w:rsidR="00C074FD" w:rsidRPr="00396FC5">
        <w:rPr>
          <w:shd w:val="clear" w:color="auto" w:fill="FFFFFF"/>
        </w:rPr>
        <w:t xml:space="preserve"> przyszłej sytuacji </w:t>
      </w:r>
      <w:r w:rsidR="00CD49BB" w:rsidRPr="009A5A6D">
        <w:rPr>
          <w:shd w:val="clear" w:color="auto" w:fill="FFFFFF"/>
        </w:rPr>
        <w:t>f</w:t>
      </w:r>
      <w:r w:rsidR="00CD49BB">
        <w:rPr>
          <w:shd w:val="clear" w:color="auto" w:fill="FFFFFF"/>
        </w:rPr>
        <w:t>inansowej gospodarstwa domowego</w:t>
      </w:r>
      <w:r w:rsidR="00C074FD" w:rsidRPr="00396FC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(wzrost </w:t>
      </w:r>
      <w:r w:rsidR="00CD49BB">
        <w:rPr>
          <w:shd w:val="clear" w:color="auto" w:fill="FFFFFF"/>
        </w:rPr>
        <w:t>o 1</w:t>
      </w:r>
      <w:r w:rsidR="00C074FD" w:rsidRPr="00396FC5">
        <w:rPr>
          <w:shd w:val="clear" w:color="auto" w:fill="FFFFFF"/>
        </w:rPr>
        <w:t>,</w:t>
      </w:r>
      <w:r w:rsidR="00CD49BB">
        <w:rPr>
          <w:shd w:val="clear" w:color="auto" w:fill="FFFFFF"/>
        </w:rPr>
        <w:t xml:space="preserve">4 </w:t>
      </w:r>
      <w:r w:rsidR="00C074FD" w:rsidRPr="00396FC5">
        <w:rPr>
          <w:shd w:val="clear" w:color="auto" w:fill="FFFFFF"/>
        </w:rPr>
        <w:t>p. proc.</w:t>
      </w:r>
      <w:r>
        <w:rPr>
          <w:shd w:val="clear" w:color="auto" w:fill="FFFFFF"/>
        </w:rPr>
        <w:t>).</w:t>
      </w:r>
    </w:p>
    <w:p w:rsidR="002E489D" w:rsidRDefault="002E489D" w:rsidP="00B27B18">
      <w:pPr>
        <w:spacing w:before="0" w:after="160" w:line="259" w:lineRule="auto"/>
        <w:rPr>
          <w:shd w:val="clear" w:color="auto" w:fill="FFFFFF"/>
        </w:rPr>
      </w:pPr>
    </w:p>
    <w:p w:rsidR="002E489D" w:rsidRDefault="002E489D" w:rsidP="00B27B18">
      <w:pPr>
        <w:spacing w:before="0" w:after="160" w:line="259" w:lineRule="auto"/>
        <w:rPr>
          <w:shd w:val="clear" w:color="auto" w:fill="FFFFFF"/>
        </w:rPr>
      </w:pPr>
    </w:p>
    <w:p w:rsidR="002E489D" w:rsidRDefault="002E489D" w:rsidP="00B27B18">
      <w:pPr>
        <w:spacing w:before="0" w:after="160" w:line="259" w:lineRule="auto"/>
        <w:rPr>
          <w:shd w:val="clear" w:color="auto" w:fill="FFFFFF"/>
        </w:rPr>
      </w:pPr>
    </w:p>
    <w:p w:rsidR="002E489D" w:rsidRDefault="002E489D" w:rsidP="00B27B18">
      <w:pPr>
        <w:spacing w:before="0" w:after="160" w:line="259" w:lineRule="auto"/>
        <w:rPr>
          <w:shd w:val="clear" w:color="auto" w:fill="FFFFFF"/>
        </w:rPr>
      </w:pPr>
    </w:p>
    <w:p w:rsidR="00A217E6" w:rsidRDefault="00A217E6" w:rsidP="00B27B18">
      <w:pPr>
        <w:spacing w:before="0" w:after="160" w:line="259" w:lineRule="auto"/>
        <w:rPr>
          <w:rFonts w:cs="Arial"/>
          <w:i/>
          <w:spacing w:val="-2"/>
          <w:sz w:val="18"/>
          <w:szCs w:val="18"/>
        </w:rPr>
      </w:pPr>
    </w:p>
    <w:p w:rsidR="00441CAB" w:rsidRDefault="00441CAB" w:rsidP="00B27B18">
      <w:pPr>
        <w:spacing w:before="0" w:after="160" w:line="259" w:lineRule="auto"/>
        <w:rPr>
          <w:rFonts w:cs="Arial"/>
          <w:i/>
          <w:spacing w:val="-2"/>
          <w:sz w:val="18"/>
          <w:szCs w:val="18"/>
        </w:rPr>
      </w:pPr>
    </w:p>
    <w:p w:rsidR="00441CAB" w:rsidRPr="004E61ED" w:rsidRDefault="00441CAB" w:rsidP="00B27B18">
      <w:pPr>
        <w:spacing w:before="0" w:after="160" w:line="259" w:lineRule="auto"/>
        <w:rPr>
          <w:shd w:val="clear" w:color="auto" w:fill="FFFFFF"/>
        </w:rPr>
      </w:pPr>
      <w:bookmarkStart w:id="0" w:name="_GoBack"/>
      <w:bookmarkEnd w:id="0"/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-1,9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5,7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4E4" w:rsidRPr="0093660E" w:rsidRDefault="00BC44E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BC44E4" w:rsidRPr="0093660E" w:rsidRDefault="00BC44E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E41497" w:rsidRDefault="00E41497" w:rsidP="00E41497">
      <w:pPr>
        <w:pStyle w:val="tytuwykresu"/>
        <w:jc w:val="both"/>
        <w:rPr>
          <w:b w:val="0"/>
          <w:color w:val="000000" w:themeColor="text1"/>
          <w:sz w:val="16"/>
          <w:szCs w:val="16"/>
        </w:rPr>
      </w:pPr>
    </w:p>
    <w:p w:rsidR="00FD7BD2" w:rsidRDefault="00F802BE" w:rsidP="00072F74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29920" behindDoc="0" locked="0" layoutInCell="1" allowOverlap="1" wp14:anchorId="76E67D22" wp14:editId="035B81B5">
            <wp:simplePos x="0" y="0"/>
            <wp:positionH relativeFrom="margin">
              <wp:align>right</wp:align>
            </wp:positionH>
            <wp:positionV relativeFrom="paragraph">
              <wp:posOffset>325120</wp:posOffset>
            </wp:positionV>
            <wp:extent cx="5120640" cy="3999230"/>
            <wp:effectExtent l="0" t="0" r="3810" b="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</w:p>
    <w:p w:rsidR="00FD7BD2" w:rsidRPr="00FD7BD2" w:rsidRDefault="00FD7BD2" w:rsidP="00FD7BD2"/>
    <w:p w:rsidR="00053B77" w:rsidRDefault="00053B77" w:rsidP="00053B77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39136" behindDoc="0" locked="0" layoutInCell="1" allowOverlap="1" wp14:anchorId="6E70427C" wp14:editId="63B37C37">
            <wp:simplePos x="0" y="0"/>
            <wp:positionH relativeFrom="margin">
              <wp:align>right</wp:align>
            </wp:positionH>
            <wp:positionV relativeFrom="paragraph">
              <wp:posOffset>325120</wp:posOffset>
            </wp:positionV>
            <wp:extent cx="5120640" cy="3999230"/>
            <wp:effectExtent l="0" t="0" r="381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4E4" w:rsidRPr="0093660E" w:rsidRDefault="00BC44E4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BC44E4" w:rsidRPr="0093660E" w:rsidRDefault="00BC44E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BC44E4" w:rsidRPr="0093660E" w:rsidRDefault="00BC44E4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BC44E4" w:rsidRPr="0093660E" w:rsidRDefault="00BC44E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E41497" w:rsidRPr="00BA3562" w:rsidRDefault="00E41497" w:rsidP="00A866F2">
      <w:pPr>
        <w:ind w:left="851" w:hanging="851"/>
        <w:rPr>
          <w:b/>
          <w:spacing w:val="-2"/>
          <w:sz w:val="18"/>
          <w:shd w:val="clear" w:color="auto" w:fill="FFFFFF"/>
        </w:rPr>
      </w:pPr>
    </w:p>
    <w:p w:rsidR="00C562B2" w:rsidRDefault="00C562B2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41184" behindDoc="0" locked="0" layoutInCell="1" allowOverlap="1" wp14:anchorId="57D61D84" wp14:editId="4C372EB0">
            <wp:simplePos x="0" y="0"/>
            <wp:positionH relativeFrom="margin">
              <wp:align>right</wp:align>
            </wp:positionH>
            <wp:positionV relativeFrom="paragraph">
              <wp:posOffset>325120</wp:posOffset>
            </wp:positionV>
            <wp:extent cx="5120640" cy="3999230"/>
            <wp:effectExtent l="0" t="0" r="3810" b="0"/>
            <wp:wrapTopAndBottom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C562B2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2208" behindDoc="0" locked="0" layoutInCell="1" allowOverlap="1" wp14:anchorId="7C06F8B1" wp14:editId="327F8794">
            <wp:simplePos x="0" y="0"/>
            <wp:positionH relativeFrom="margin">
              <wp:align>right</wp:align>
            </wp:positionH>
            <wp:positionV relativeFrom="paragraph">
              <wp:posOffset>325120</wp:posOffset>
            </wp:positionV>
            <wp:extent cx="5120640" cy="3999230"/>
            <wp:effectExtent l="0" t="0" r="3810" b="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FD7BD2" w:rsidRPr="00FD7BD2" w:rsidRDefault="00FD7BD2" w:rsidP="00FD7BD2"/>
    <w:p w:rsidR="00FD7BD2" w:rsidRPr="00FD7BD2" w:rsidRDefault="00FD7BD2" w:rsidP="00FD7BD2"/>
    <w:p w:rsidR="00F802BE" w:rsidRPr="00C15772" w:rsidRDefault="00F802BE" w:rsidP="00F802BE">
      <w:pPr>
        <w:pStyle w:val="Nagwek1"/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441CAB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faks: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4E4" w:rsidRDefault="00BC44E4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C44E4" w:rsidRPr="00C51D06" w:rsidRDefault="00BC44E4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C44E4" w:rsidRPr="00F65B91" w:rsidRDefault="00D04A93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C44E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lutym 2018 roku</w:t>
                              </w:r>
                            </w:hyperlink>
                          </w:p>
                          <w:p w:rsidR="00BC44E4" w:rsidRPr="00C51D06" w:rsidRDefault="00D04A93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BC44E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1/2018</w:t>
                              </w:r>
                            </w:hyperlink>
                          </w:p>
                          <w:p w:rsidR="00BC44E4" w:rsidRPr="00C51D06" w:rsidRDefault="00BC44E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C44E4" w:rsidRPr="00655E7E" w:rsidRDefault="00BC44E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C44E4" w:rsidRPr="00E827EF" w:rsidRDefault="00D04A9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C44E4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BC44E4" w:rsidRPr="00C267CA" w:rsidRDefault="00BC44E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BC44E4" w:rsidRDefault="00BC44E4" w:rsidP="00AB6D25">
                      <w:pPr>
                        <w:rPr>
                          <w:b/>
                        </w:rPr>
                      </w:pPr>
                    </w:p>
                    <w:p w:rsidR="00BC44E4" w:rsidRPr="00C51D06" w:rsidRDefault="00BC44E4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BC44E4" w:rsidRPr="00F65B91" w:rsidRDefault="00BC44E4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wnictwie, handlu i usługach w lutym 2018 roku</w:t>
                        </w:r>
                      </w:hyperlink>
                    </w:p>
                    <w:p w:rsidR="00BC44E4" w:rsidRPr="00C51D06" w:rsidRDefault="00BC44E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1/2018</w:t>
                        </w:r>
                      </w:hyperlink>
                    </w:p>
                    <w:p w:rsidR="00BC44E4" w:rsidRPr="00C51D06" w:rsidRDefault="00BC44E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C44E4" w:rsidRPr="00655E7E" w:rsidRDefault="00BC44E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C44E4" w:rsidRPr="00E827EF" w:rsidRDefault="00BC44E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BC44E4" w:rsidRPr="00C267CA" w:rsidRDefault="00BC44E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A93" w:rsidRDefault="00D04A93" w:rsidP="000662E2">
      <w:pPr>
        <w:spacing w:after="0" w:line="240" w:lineRule="auto"/>
      </w:pPr>
      <w:r>
        <w:separator/>
      </w:r>
    </w:p>
  </w:endnote>
  <w:endnote w:type="continuationSeparator" w:id="0">
    <w:p w:rsidR="00D04A93" w:rsidRDefault="00D04A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69EDCBA-0FD4-4671-9B76-E9373DEF92C3}"/>
    <w:embedBold r:id="rId2" w:fontKey="{B10719D3-AB77-48CF-82A5-0CBA923A57BB}"/>
    <w:embedItalic r:id="rId3" w:fontKey="{F072932B-D7E7-4CDD-AE45-419BCC1ACD1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603E738-D54D-4EDD-9A0B-744B5C5C7C7C}"/>
    <w:embedBold r:id="rId5" w:fontKey="{D12B1A87-2743-4FEE-A02A-783BC4F37F1B}"/>
    <w:embedItalic r:id="rId6" w:fontKey="{4688FE2F-57AD-42F1-B3C6-2408128C05C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D45644D-8028-4D12-81A4-B3AE5228304F}"/>
    <w:embedBold r:id="rId8" w:fontKey="{C4C042F8-EB7F-4408-AD21-F4F75AA8CCC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6F54F00-B32F-4DD2-AE79-1189CA41C710}"/>
    <w:embedItalic r:id="rId10" w:fontKey="{F4EAA0BD-4BBE-4738-80E6-2DFDFDEBB3D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7C41725-B905-452C-B944-32B681DBF80D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B2C69DA9-965A-429C-8641-8DBF670D5B0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BC44E4" w:rsidRDefault="00BC44E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CA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BC44E4" w:rsidRDefault="00BC44E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CA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BC44E4" w:rsidRDefault="00BC44E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CA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A93" w:rsidRDefault="00D04A93" w:rsidP="000662E2">
      <w:pPr>
        <w:spacing w:after="0" w:line="240" w:lineRule="auto"/>
      </w:pPr>
      <w:r>
        <w:separator/>
      </w:r>
    </w:p>
  </w:footnote>
  <w:footnote w:type="continuationSeparator" w:id="0">
    <w:p w:rsidR="00D04A93" w:rsidRDefault="00D04A93" w:rsidP="000662E2">
      <w:pPr>
        <w:spacing w:after="0" w:line="240" w:lineRule="auto"/>
      </w:pPr>
      <w:r>
        <w:continuationSeparator/>
      </w:r>
    </w:p>
  </w:footnote>
  <w:footnote w:id="1">
    <w:p w:rsidR="00BC44E4" w:rsidRPr="00EC6435" w:rsidRDefault="00BC44E4" w:rsidP="00210F89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marcu 2018 r. przeprowadzono 1362 wywiady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05-14.03.2018 r. (w tym 88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4E4" w:rsidRDefault="00BC44E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BC44E4" w:rsidRDefault="00BC44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4E4" w:rsidRDefault="00BC44E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44E4" w:rsidRPr="003C6C8D" w:rsidRDefault="00BC44E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C44E4" w:rsidRPr="003C6C8D" w:rsidRDefault="00BC44E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44E4" w:rsidRDefault="00BC44E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44E4" w:rsidRPr="00C97596" w:rsidRDefault="00BC44E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C44E4" w:rsidRPr="00C97596" w:rsidRDefault="00BC44E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4E4" w:rsidRDefault="00BC44E4">
    <w:pPr>
      <w:pStyle w:val="Nagwek"/>
    </w:pPr>
  </w:p>
  <w:p w:rsidR="00BC44E4" w:rsidRDefault="00BC44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47B35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97840"/>
    <w:rsid w:val="000B0727"/>
    <w:rsid w:val="000B5253"/>
    <w:rsid w:val="000C135D"/>
    <w:rsid w:val="000C5F1F"/>
    <w:rsid w:val="000D1D43"/>
    <w:rsid w:val="000D225C"/>
    <w:rsid w:val="000D2A5C"/>
    <w:rsid w:val="000E0918"/>
    <w:rsid w:val="000E60B4"/>
    <w:rsid w:val="000E615F"/>
    <w:rsid w:val="001011C3"/>
    <w:rsid w:val="00107A73"/>
    <w:rsid w:val="00110D87"/>
    <w:rsid w:val="00114DB9"/>
    <w:rsid w:val="0011502A"/>
    <w:rsid w:val="00116087"/>
    <w:rsid w:val="001174F6"/>
    <w:rsid w:val="00130296"/>
    <w:rsid w:val="00131F96"/>
    <w:rsid w:val="00133BFC"/>
    <w:rsid w:val="001423B6"/>
    <w:rsid w:val="001448A7"/>
    <w:rsid w:val="00146621"/>
    <w:rsid w:val="00162325"/>
    <w:rsid w:val="00166A78"/>
    <w:rsid w:val="00181035"/>
    <w:rsid w:val="00192832"/>
    <w:rsid w:val="001951DA"/>
    <w:rsid w:val="00197987"/>
    <w:rsid w:val="00197B94"/>
    <w:rsid w:val="001C3269"/>
    <w:rsid w:val="001D1DB4"/>
    <w:rsid w:val="001D2AA0"/>
    <w:rsid w:val="001D7E17"/>
    <w:rsid w:val="00210F89"/>
    <w:rsid w:val="0021157D"/>
    <w:rsid w:val="00255158"/>
    <w:rsid w:val="002574F9"/>
    <w:rsid w:val="00262B61"/>
    <w:rsid w:val="00276811"/>
    <w:rsid w:val="00282699"/>
    <w:rsid w:val="002926DF"/>
    <w:rsid w:val="00296697"/>
    <w:rsid w:val="002971E7"/>
    <w:rsid w:val="002A3665"/>
    <w:rsid w:val="002B0472"/>
    <w:rsid w:val="002B6B12"/>
    <w:rsid w:val="002D5918"/>
    <w:rsid w:val="002E489D"/>
    <w:rsid w:val="002E6140"/>
    <w:rsid w:val="002E6985"/>
    <w:rsid w:val="002E71B6"/>
    <w:rsid w:val="002F5124"/>
    <w:rsid w:val="002F77C8"/>
    <w:rsid w:val="00304F22"/>
    <w:rsid w:val="00306C7C"/>
    <w:rsid w:val="00320B84"/>
    <w:rsid w:val="00322EDD"/>
    <w:rsid w:val="00332320"/>
    <w:rsid w:val="003346B1"/>
    <w:rsid w:val="00347D72"/>
    <w:rsid w:val="00351316"/>
    <w:rsid w:val="00357611"/>
    <w:rsid w:val="00367237"/>
    <w:rsid w:val="0037077F"/>
    <w:rsid w:val="00372411"/>
    <w:rsid w:val="00373882"/>
    <w:rsid w:val="00380DFD"/>
    <w:rsid w:val="003843DB"/>
    <w:rsid w:val="00393761"/>
    <w:rsid w:val="00396FC5"/>
    <w:rsid w:val="00397D18"/>
    <w:rsid w:val="003A1B36"/>
    <w:rsid w:val="003A3169"/>
    <w:rsid w:val="003B1454"/>
    <w:rsid w:val="003B18B6"/>
    <w:rsid w:val="003C59E0"/>
    <w:rsid w:val="003C6C8D"/>
    <w:rsid w:val="003D4F95"/>
    <w:rsid w:val="003D5F42"/>
    <w:rsid w:val="003D60A9"/>
    <w:rsid w:val="003F450F"/>
    <w:rsid w:val="003F4C97"/>
    <w:rsid w:val="003F514B"/>
    <w:rsid w:val="003F7FE6"/>
    <w:rsid w:val="00400193"/>
    <w:rsid w:val="00401F1A"/>
    <w:rsid w:val="004212E7"/>
    <w:rsid w:val="0042446D"/>
    <w:rsid w:val="004266E2"/>
    <w:rsid w:val="0042761A"/>
    <w:rsid w:val="00427BF8"/>
    <w:rsid w:val="00431318"/>
    <w:rsid w:val="00431C02"/>
    <w:rsid w:val="00437395"/>
    <w:rsid w:val="00441CAB"/>
    <w:rsid w:val="00445047"/>
    <w:rsid w:val="00463E39"/>
    <w:rsid w:val="004657FC"/>
    <w:rsid w:val="00465D66"/>
    <w:rsid w:val="004733F6"/>
    <w:rsid w:val="00474E69"/>
    <w:rsid w:val="00483BB4"/>
    <w:rsid w:val="0049621B"/>
    <w:rsid w:val="00496F49"/>
    <w:rsid w:val="0049754B"/>
    <w:rsid w:val="004B2FF7"/>
    <w:rsid w:val="004B7496"/>
    <w:rsid w:val="004C1895"/>
    <w:rsid w:val="004C6D40"/>
    <w:rsid w:val="004D268C"/>
    <w:rsid w:val="004E312A"/>
    <w:rsid w:val="004E61ED"/>
    <w:rsid w:val="004F0C3C"/>
    <w:rsid w:val="004F63FC"/>
    <w:rsid w:val="00505A92"/>
    <w:rsid w:val="005203F1"/>
    <w:rsid w:val="00521BC3"/>
    <w:rsid w:val="0052620B"/>
    <w:rsid w:val="00530074"/>
    <w:rsid w:val="00533632"/>
    <w:rsid w:val="005336B5"/>
    <w:rsid w:val="00534B5E"/>
    <w:rsid w:val="005357E1"/>
    <w:rsid w:val="00541E6E"/>
    <w:rsid w:val="0054251F"/>
    <w:rsid w:val="005520D8"/>
    <w:rsid w:val="00555E43"/>
    <w:rsid w:val="00556CF1"/>
    <w:rsid w:val="0057036A"/>
    <w:rsid w:val="005762A7"/>
    <w:rsid w:val="005916D7"/>
    <w:rsid w:val="005930D9"/>
    <w:rsid w:val="005A36AA"/>
    <w:rsid w:val="005A653B"/>
    <w:rsid w:val="005A698C"/>
    <w:rsid w:val="005C433F"/>
    <w:rsid w:val="005E0799"/>
    <w:rsid w:val="005E0B91"/>
    <w:rsid w:val="005F0D73"/>
    <w:rsid w:val="005F5A80"/>
    <w:rsid w:val="00600F7B"/>
    <w:rsid w:val="006044FF"/>
    <w:rsid w:val="00607CC5"/>
    <w:rsid w:val="00633014"/>
    <w:rsid w:val="0063437B"/>
    <w:rsid w:val="006404CD"/>
    <w:rsid w:val="00655E7E"/>
    <w:rsid w:val="006673CA"/>
    <w:rsid w:val="00672418"/>
    <w:rsid w:val="00673C26"/>
    <w:rsid w:val="00676474"/>
    <w:rsid w:val="006812AF"/>
    <w:rsid w:val="0068327D"/>
    <w:rsid w:val="00694AF0"/>
    <w:rsid w:val="00695B50"/>
    <w:rsid w:val="006A4686"/>
    <w:rsid w:val="006B0E9E"/>
    <w:rsid w:val="006B5AE4"/>
    <w:rsid w:val="006C154F"/>
    <w:rsid w:val="006D1507"/>
    <w:rsid w:val="006D4054"/>
    <w:rsid w:val="006E02EC"/>
    <w:rsid w:val="007211B1"/>
    <w:rsid w:val="007443DC"/>
    <w:rsid w:val="00744F8A"/>
    <w:rsid w:val="00746187"/>
    <w:rsid w:val="0076254F"/>
    <w:rsid w:val="007801F5"/>
    <w:rsid w:val="00780EB6"/>
    <w:rsid w:val="00781AED"/>
    <w:rsid w:val="00783CA4"/>
    <w:rsid w:val="007842FB"/>
    <w:rsid w:val="00786124"/>
    <w:rsid w:val="0079514B"/>
    <w:rsid w:val="007A2DC1"/>
    <w:rsid w:val="007B7753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3795"/>
    <w:rsid w:val="00847F0F"/>
    <w:rsid w:val="0085237B"/>
    <w:rsid w:val="00852448"/>
    <w:rsid w:val="0088258A"/>
    <w:rsid w:val="00886332"/>
    <w:rsid w:val="00886CAB"/>
    <w:rsid w:val="008908A3"/>
    <w:rsid w:val="00891FF7"/>
    <w:rsid w:val="008A26D9"/>
    <w:rsid w:val="008A2F86"/>
    <w:rsid w:val="008C0C29"/>
    <w:rsid w:val="008F3638"/>
    <w:rsid w:val="008F4441"/>
    <w:rsid w:val="008F6F31"/>
    <w:rsid w:val="008F74DF"/>
    <w:rsid w:val="009127BA"/>
    <w:rsid w:val="00914E6D"/>
    <w:rsid w:val="009227A6"/>
    <w:rsid w:val="00931755"/>
    <w:rsid w:val="00933EC1"/>
    <w:rsid w:val="0093660E"/>
    <w:rsid w:val="009508AE"/>
    <w:rsid w:val="009530DB"/>
    <w:rsid w:val="00953676"/>
    <w:rsid w:val="009705EE"/>
    <w:rsid w:val="00977927"/>
    <w:rsid w:val="0098135C"/>
    <w:rsid w:val="0098156A"/>
    <w:rsid w:val="00991BAC"/>
    <w:rsid w:val="009942D1"/>
    <w:rsid w:val="00997879"/>
    <w:rsid w:val="009A5A6D"/>
    <w:rsid w:val="009A6EA0"/>
    <w:rsid w:val="009C1335"/>
    <w:rsid w:val="009C1AB2"/>
    <w:rsid w:val="009C7251"/>
    <w:rsid w:val="009E2E91"/>
    <w:rsid w:val="009F7114"/>
    <w:rsid w:val="00A139F5"/>
    <w:rsid w:val="00A201E6"/>
    <w:rsid w:val="00A217E6"/>
    <w:rsid w:val="00A2214D"/>
    <w:rsid w:val="00A35C72"/>
    <w:rsid w:val="00A365F4"/>
    <w:rsid w:val="00A47D80"/>
    <w:rsid w:val="00A53132"/>
    <w:rsid w:val="00A563F2"/>
    <w:rsid w:val="00A566E8"/>
    <w:rsid w:val="00A810F9"/>
    <w:rsid w:val="00A866F2"/>
    <w:rsid w:val="00A86ECC"/>
    <w:rsid w:val="00A86FCC"/>
    <w:rsid w:val="00AA5262"/>
    <w:rsid w:val="00AA710D"/>
    <w:rsid w:val="00AB6D25"/>
    <w:rsid w:val="00AC2AC4"/>
    <w:rsid w:val="00AE2D4B"/>
    <w:rsid w:val="00AE4F99"/>
    <w:rsid w:val="00AE6789"/>
    <w:rsid w:val="00AF2F1E"/>
    <w:rsid w:val="00B00C09"/>
    <w:rsid w:val="00B11B69"/>
    <w:rsid w:val="00B14952"/>
    <w:rsid w:val="00B27B18"/>
    <w:rsid w:val="00B27B58"/>
    <w:rsid w:val="00B31E5A"/>
    <w:rsid w:val="00B35A63"/>
    <w:rsid w:val="00B653AB"/>
    <w:rsid w:val="00B65F9E"/>
    <w:rsid w:val="00B66B19"/>
    <w:rsid w:val="00B733EE"/>
    <w:rsid w:val="00B81262"/>
    <w:rsid w:val="00B81EBE"/>
    <w:rsid w:val="00B86BCA"/>
    <w:rsid w:val="00B914E9"/>
    <w:rsid w:val="00B9163F"/>
    <w:rsid w:val="00B956EE"/>
    <w:rsid w:val="00BA2BA1"/>
    <w:rsid w:val="00BA3562"/>
    <w:rsid w:val="00BB4F09"/>
    <w:rsid w:val="00BC44E4"/>
    <w:rsid w:val="00BD1E7E"/>
    <w:rsid w:val="00BD4E33"/>
    <w:rsid w:val="00BF0508"/>
    <w:rsid w:val="00C030DE"/>
    <w:rsid w:val="00C074FD"/>
    <w:rsid w:val="00C15772"/>
    <w:rsid w:val="00C22105"/>
    <w:rsid w:val="00C244B6"/>
    <w:rsid w:val="00C25087"/>
    <w:rsid w:val="00C267CA"/>
    <w:rsid w:val="00C3702F"/>
    <w:rsid w:val="00C4500A"/>
    <w:rsid w:val="00C51D06"/>
    <w:rsid w:val="00C562B2"/>
    <w:rsid w:val="00C62895"/>
    <w:rsid w:val="00C63004"/>
    <w:rsid w:val="00C63B7B"/>
    <w:rsid w:val="00C64240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95C"/>
    <w:rsid w:val="00CA4FB6"/>
    <w:rsid w:val="00CC28D0"/>
    <w:rsid w:val="00CC739E"/>
    <w:rsid w:val="00CD178A"/>
    <w:rsid w:val="00CD49BB"/>
    <w:rsid w:val="00CD58B7"/>
    <w:rsid w:val="00CF4099"/>
    <w:rsid w:val="00D00796"/>
    <w:rsid w:val="00D04A93"/>
    <w:rsid w:val="00D261A2"/>
    <w:rsid w:val="00D60211"/>
    <w:rsid w:val="00D616D2"/>
    <w:rsid w:val="00D63B5F"/>
    <w:rsid w:val="00D70EF7"/>
    <w:rsid w:val="00D8397C"/>
    <w:rsid w:val="00D90CB4"/>
    <w:rsid w:val="00D94EED"/>
    <w:rsid w:val="00D96026"/>
    <w:rsid w:val="00DA0438"/>
    <w:rsid w:val="00DA7C1C"/>
    <w:rsid w:val="00DB147A"/>
    <w:rsid w:val="00DB1B7A"/>
    <w:rsid w:val="00DC6708"/>
    <w:rsid w:val="00DD7916"/>
    <w:rsid w:val="00E01436"/>
    <w:rsid w:val="00E045BD"/>
    <w:rsid w:val="00E135B1"/>
    <w:rsid w:val="00E165BE"/>
    <w:rsid w:val="00E17B77"/>
    <w:rsid w:val="00E23337"/>
    <w:rsid w:val="00E2483C"/>
    <w:rsid w:val="00E259EA"/>
    <w:rsid w:val="00E32061"/>
    <w:rsid w:val="00E37334"/>
    <w:rsid w:val="00E41497"/>
    <w:rsid w:val="00E42FF9"/>
    <w:rsid w:val="00E4714C"/>
    <w:rsid w:val="00E51AEB"/>
    <w:rsid w:val="00E522A7"/>
    <w:rsid w:val="00E54452"/>
    <w:rsid w:val="00E664C5"/>
    <w:rsid w:val="00E671A2"/>
    <w:rsid w:val="00E76D26"/>
    <w:rsid w:val="00E827EF"/>
    <w:rsid w:val="00E832ED"/>
    <w:rsid w:val="00EB1390"/>
    <w:rsid w:val="00EB2C71"/>
    <w:rsid w:val="00EB4340"/>
    <w:rsid w:val="00EB556D"/>
    <w:rsid w:val="00EB5A7D"/>
    <w:rsid w:val="00EC6435"/>
    <w:rsid w:val="00EC76B9"/>
    <w:rsid w:val="00ED55C0"/>
    <w:rsid w:val="00ED682B"/>
    <w:rsid w:val="00EE41D5"/>
    <w:rsid w:val="00F037A4"/>
    <w:rsid w:val="00F27C8F"/>
    <w:rsid w:val="00F32749"/>
    <w:rsid w:val="00F359FA"/>
    <w:rsid w:val="00F37172"/>
    <w:rsid w:val="00F4477E"/>
    <w:rsid w:val="00F478EF"/>
    <w:rsid w:val="00F65B91"/>
    <w:rsid w:val="00F6684A"/>
    <w:rsid w:val="00F67D8F"/>
    <w:rsid w:val="00F726A7"/>
    <w:rsid w:val="00F802BE"/>
    <w:rsid w:val="00F80E93"/>
    <w:rsid w:val="00F86024"/>
    <w:rsid w:val="00F8611A"/>
    <w:rsid w:val="00F87A89"/>
    <w:rsid w:val="00FA0634"/>
    <w:rsid w:val="00FA5128"/>
    <w:rsid w:val="00FA5F62"/>
    <w:rsid w:val="00FB42D4"/>
    <w:rsid w:val="00FB5906"/>
    <w:rsid w:val="00FB762F"/>
    <w:rsid w:val="00FC2AED"/>
    <w:rsid w:val="00FC64E0"/>
    <w:rsid w:val="00FD4F5A"/>
    <w:rsid w:val="00FD5EA7"/>
    <w:rsid w:val="00FD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koniunktura/koniunktura/koniunktura-w-przemysle-budownictwie-handlu-i-uslugach-w-lutym-2018-roku,3,63.html" TargetMode="External"/><Relationship Id="rId30" Type="http://schemas.openxmlformats.org/officeDocument/2006/relationships/hyperlink" Target="http://stat.gov.pl/obszary-tematyczne/koniunktura/koniunktura/koniunktura-w-przemysle-budownictwie-handlu-i-uslugach-w-lutym-2018-roku,3,63.html" TargetMode="External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upisr\Documents\Inne%20zadania\KGD%20notatka\2018\2\Wykres1-BWU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upisr\Documents\Inne%20zadania\KGD%20notatka\2018\2\Wykres1-BWUK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upisr\Documents\Inne%20zadania\KGD%20notatka\2018\2\Wykres1-BWUK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upisr\Documents\Inne%20zadania\KGD%20notatka\2018\2\Wykres1-BWUK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4901887264087E-2"/>
          <c:y val="0.10373845916319284"/>
          <c:w val="0.93047763560804897"/>
          <c:h val="0.61742985524713512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BWUK!$C$2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BWUK!$A$135:$B$173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BWUK!$C$135:$C$173</c:f>
              <c:numCache>
                <c:formatCode>0.0</c:formatCode>
                <c:ptCount val="39"/>
                <c:pt idx="0">
                  <c:v>-11.7</c:v>
                </c:pt>
                <c:pt idx="1">
                  <c:v>-16.600000000000001</c:v>
                </c:pt>
                <c:pt idx="2">
                  <c:v>-16.399999999999999</c:v>
                </c:pt>
                <c:pt idx="3">
                  <c:v>-10.9</c:v>
                </c:pt>
                <c:pt idx="4">
                  <c:v>-13.6</c:v>
                </c:pt>
                <c:pt idx="5">
                  <c:v>-10.4</c:v>
                </c:pt>
                <c:pt idx="6">
                  <c:v>-10.9</c:v>
                </c:pt>
                <c:pt idx="7">
                  <c:v>-7.9</c:v>
                </c:pt>
                <c:pt idx="8">
                  <c:v>-9.9</c:v>
                </c:pt>
                <c:pt idx="9">
                  <c:v>-9.4</c:v>
                </c:pt>
                <c:pt idx="10">
                  <c:v>-3.9</c:v>
                </c:pt>
                <c:pt idx="11">
                  <c:v>-9.3000000000000007</c:v>
                </c:pt>
                <c:pt idx="12">
                  <c:v>-7</c:v>
                </c:pt>
                <c:pt idx="13">
                  <c:v>-6.2</c:v>
                </c:pt>
                <c:pt idx="14">
                  <c:v>-9.3000000000000007</c:v>
                </c:pt>
                <c:pt idx="15">
                  <c:v>-4.7</c:v>
                </c:pt>
                <c:pt idx="16">
                  <c:v>-6.7</c:v>
                </c:pt>
                <c:pt idx="17">
                  <c:v>-6.5</c:v>
                </c:pt>
                <c:pt idx="18">
                  <c:v>-5.6</c:v>
                </c:pt>
                <c:pt idx="19">
                  <c:v>-3.8</c:v>
                </c:pt>
                <c:pt idx="20">
                  <c:v>-2.4</c:v>
                </c:pt>
                <c:pt idx="21">
                  <c:v>-3.7</c:v>
                </c:pt>
                <c:pt idx="22">
                  <c:v>-2.4</c:v>
                </c:pt>
                <c:pt idx="23">
                  <c:v>-3.7</c:v>
                </c:pt>
                <c:pt idx="24">
                  <c:v>-1.2</c:v>
                </c:pt>
                <c:pt idx="25">
                  <c:v>-1.9</c:v>
                </c:pt>
                <c:pt idx="26">
                  <c:v>-2</c:v>
                </c:pt>
                <c:pt idx="27">
                  <c:v>-0.8</c:v>
                </c:pt>
                <c:pt idx="28">
                  <c:v>3.1</c:v>
                </c:pt>
                <c:pt idx="29">
                  <c:v>4.8</c:v>
                </c:pt>
                <c:pt idx="30">
                  <c:v>4</c:v>
                </c:pt>
                <c:pt idx="31">
                  <c:v>5.7</c:v>
                </c:pt>
                <c:pt idx="32">
                  <c:v>5</c:v>
                </c:pt>
                <c:pt idx="33">
                  <c:v>4.5999999999999996</c:v>
                </c:pt>
                <c:pt idx="34">
                  <c:v>5.4</c:v>
                </c:pt>
                <c:pt idx="35">
                  <c:v>2.1</c:v>
                </c:pt>
                <c:pt idx="36">
                  <c:v>6.2</c:v>
                </c:pt>
                <c:pt idx="37">
                  <c:v>6.2</c:v>
                </c:pt>
                <c:pt idx="38" formatCode="0.0_)">
                  <c:v>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4595336"/>
        <c:axId val="544588672"/>
      </c:barChart>
      <c:lineChart>
        <c:grouping val="standard"/>
        <c:varyColors val="0"/>
        <c:ser>
          <c:idx val="0"/>
          <c:order val="1"/>
          <c:tx>
            <c:strRef>
              <c:f>BWUK!$E$2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BWUK!$E$135:$E$173</c:f>
              <c:numCache>
                <c:formatCode>0.0</c:formatCode>
                <c:ptCount val="39"/>
                <c:pt idx="0">
                  <c:v>-11.4</c:v>
                </c:pt>
                <c:pt idx="1">
                  <c:v>-14.3</c:v>
                </c:pt>
                <c:pt idx="2">
                  <c:v>-14.2</c:v>
                </c:pt>
                <c:pt idx="3">
                  <c:v>-9</c:v>
                </c:pt>
                <c:pt idx="4">
                  <c:v>-13</c:v>
                </c:pt>
                <c:pt idx="5">
                  <c:v>-11.6</c:v>
                </c:pt>
                <c:pt idx="6">
                  <c:v>-11.8</c:v>
                </c:pt>
                <c:pt idx="7">
                  <c:v>-8.1999999999999993</c:v>
                </c:pt>
                <c:pt idx="8">
                  <c:v>-10.6</c:v>
                </c:pt>
                <c:pt idx="9">
                  <c:v>-9.1999999999999993</c:v>
                </c:pt>
                <c:pt idx="10">
                  <c:v>-6.9</c:v>
                </c:pt>
                <c:pt idx="11">
                  <c:v>-8.1</c:v>
                </c:pt>
                <c:pt idx="12">
                  <c:v>-6.2</c:v>
                </c:pt>
                <c:pt idx="13">
                  <c:v>-5</c:v>
                </c:pt>
                <c:pt idx="14">
                  <c:v>-7.5</c:v>
                </c:pt>
                <c:pt idx="15">
                  <c:v>-5.6</c:v>
                </c:pt>
                <c:pt idx="16">
                  <c:v>-5</c:v>
                </c:pt>
                <c:pt idx="17">
                  <c:v>-2.4</c:v>
                </c:pt>
                <c:pt idx="18">
                  <c:v>-3.8</c:v>
                </c:pt>
                <c:pt idx="19">
                  <c:v>-4</c:v>
                </c:pt>
                <c:pt idx="20">
                  <c:v>-1.8</c:v>
                </c:pt>
                <c:pt idx="21">
                  <c:v>-2.7</c:v>
                </c:pt>
                <c:pt idx="22">
                  <c:v>0.4</c:v>
                </c:pt>
                <c:pt idx="23">
                  <c:v>-3.1</c:v>
                </c:pt>
                <c:pt idx="24">
                  <c:v>-1.2</c:v>
                </c:pt>
                <c:pt idx="25">
                  <c:v>-0.9</c:v>
                </c:pt>
                <c:pt idx="26">
                  <c:v>-0.2</c:v>
                </c:pt>
                <c:pt idx="27">
                  <c:v>0.5</c:v>
                </c:pt>
                <c:pt idx="28">
                  <c:v>0.8</c:v>
                </c:pt>
                <c:pt idx="29">
                  <c:v>2.2999999999999998</c:v>
                </c:pt>
                <c:pt idx="30">
                  <c:v>-0.3</c:v>
                </c:pt>
                <c:pt idx="31">
                  <c:v>2</c:v>
                </c:pt>
                <c:pt idx="32">
                  <c:v>0.6</c:v>
                </c:pt>
                <c:pt idx="33">
                  <c:v>-0.3</c:v>
                </c:pt>
                <c:pt idx="34">
                  <c:v>0.2</c:v>
                </c:pt>
                <c:pt idx="35">
                  <c:v>-2.4</c:v>
                </c:pt>
                <c:pt idx="36">
                  <c:v>1.5</c:v>
                </c:pt>
                <c:pt idx="37">
                  <c:v>0.1</c:v>
                </c:pt>
                <c:pt idx="38" formatCode="0.0_)">
                  <c:v>-2.9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BWUK!$F$2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BWUK!$F$135:$F$173</c:f>
              <c:numCache>
                <c:formatCode>0.0</c:formatCode>
                <c:ptCount val="39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 formatCode="0.0_)">
                  <c:v>4.2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BWUK!$G$2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BWUK!$G$135:$G$173</c:f>
              <c:numCache>
                <c:formatCode>0.0</c:formatCode>
                <c:ptCount val="39"/>
                <c:pt idx="0">
                  <c:v>-23.2</c:v>
                </c:pt>
                <c:pt idx="1">
                  <c:v>-31.6</c:v>
                </c:pt>
                <c:pt idx="2">
                  <c:v>-28.8</c:v>
                </c:pt>
                <c:pt idx="3">
                  <c:v>-23.8</c:v>
                </c:pt>
                <c:pt idx="4">
                  <c:v>-24.9</c:v>
                </c:pt>
                <c:pt idx="5">
                  <c:v>-21.4</c:v>
                </c:pt>
                <c:pt idx="6">
                  <c:v>-22.2</c:v>
                </c:pt>
                <c:pt idx="7">
                  <c:v>-17.8</c:v>
                </c:pt>
                <c:pt idx="8">
                  <c:v>-18.8</c:v>
                </c:pt>
                <c:pt idx="9">
                  <c:v>-19.100000000000001</c:v>
                </c:pt>
                <c:pt idx="10">
                  <c:v>-10.4</c:v>
                </c:pt>
                <c:pt idx="11">
                  <c:v>-15.6</c:v>
                </c:pt>
                <c:pt idx="12">
                  <c:v>-14.4</c:v>
                </c:pt>
                <c:pt idx="13">
                  <c:v>-14.9</c:v>
                </c:pt>
                <c:pt idx="14">
                  <c:v>-16.7</c:v>
                </c:pt>
                <c:pt idx="15">
                  <c:v>-11.2</c:v>
                </c:pt>
                <c:pt idx="16">
                  <c:v>-15.4</c:v>
                </c:pt>
                <c:pt idx="17">
                  <c:v>-11.7</c:v>
                </c:pt>
                <c:pt idx="18">
                  <c:v>-9.6</c:v>
                </c:pt>
                <c:pt idx="19">
                  <c:v>-8.4</c:v>
                </c:pt>
                <c:pt idx="20">
                  <c:v>-5.9</c:v>
                </c:pt>
                <c:pt idx="21">
                  <c:v>-7.9</c:v>
                </c:pt>
                <c:pt idx="22">
                  <c:v>-6.9</c:v>
                </c:pt>
                <c:pt idx="23">
                  <c:v>-8.8000000000000007</c:v>
                </c:pt>
                <c:pt idx="24">
                  <c:v>-4.2</c:v>
                </c:pt>
                <c:pt idx="25">
                  <c:v>-4.8</c:v>
                </c:pt>
                <c:pt idx="26">
                  <c:v>-6.4</c:v>
                </c:pt>
                <c:pt idx="27">
                  <c:v>-3.8</c:v>
                </c:pt>
                <c:pt idx="28">
                  <c:v>0.2</c:v>
                </c:pt>
                <c:pt idx="29">
                  <c:v>3.8</c:v>
                </c:pt>
                <c:pt idx="30">
                  <c:v>4.5999999999999996</c:v>
                </c:pt>
                <c:pt idx="31">
                  <c:v>6.3</c:v>
                </c:pt>
                <c:pt idx="32">
                  <c:v>6.2</c:v>
                </c:pt>
                <c:pt idx="33">
                  <c:v>8.5</c:v>
                </c:pt>
                <c:pt idx="34">
                  <c:v>6.9</c:v>
                </c:pt>
                <c:pt idx="35">
                  <c:v>4</c:v>
                </c:pt>
                <c:pt idx="36">
                  <c:v>8.9</c:v>
                </c:pt>
                <c:pt idx="37">
                  <c:v>9</c:v>
                </c:pt>
                <c:pt idx="38" formatCode="0.0_)">
                  <c:v>9.5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BWUK!$H$2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BWUK!$H$135:$H$173</c:f>
              <c:numCache>
                <c:formatCode>0.0</c:formatCode>
                <c:ptCount val="39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 formatCode="0.0_)">
                  <c:v>3.2</c:v>
                </c:pt>
              </c:numCache>
            </c:numRef>
          </c:val>
          <c:smooth val="0"/>
        </c:ser>
        <c:ser>
          <c:idx val="6"/>
          <c:order val="5"/>
          <c:tx>
            <c:strRef>
              <c:f>BWUK!$I$2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BWUK!$I$135:$I$173</c:f>
              <c:numCache>
                <c:formatCode>0.0</c:formatCode>
                <c:ptCount val="39"/>
                <c:pt idx="0">
                  <c:v>-8.3000000000000007</c:v>
                </c:pt>
                <c:pt idx="1">
                  <c:v>-11.6</c:v>
                </c:pt>
                <c:pt idx="2">
                  <c:v>-14.8</c:v>
                </c:pt>
                <c:pt idx="3">
                  <c:v>-7.4</c:v>
                </c:pt>
                <c:pt idx="4">
                  <c:v>-10.9</c:v>
                </c:pt>
                <c:pt idx="5">
                  <c:v>-11.5</c:v>
                </c:pt>
                <c:pt idx="6">
                  <c:v>-9.1</c:v>
                </c:pt>
                <c:pt idx="7">
                  <c:v>-8.1999999999999993</c:v>
                </c:pt>
                <c:pt idx="8">
                  <c:v>-3.9</c:v>
                </c:pt>
                <c:pt idx="9">
                  <c:v>-3.3</c:v>
                </c:pt>
                <c:pt idx="10">
                  <c:v>-4</c:v>
                </c:pt>
                <c:pt idx="11">
                  <c:v>-5.4</c:v>
                </c:pt>
                <c:pt idx="12">
                  <c:v>-5.7</c:v>
                </c:pt>
                <c:pt idx="13">
                  <c:v>-5.9</c:v>
                </c:pt>
                <c:pt idx="14">
                  <c:v>-8.6</c:v>
                </c:pt>
                <c:pt idx="15">
                  <c:v>-4.5</c:v>
                </c:pt>
                <c:pt idx="16">
                  <c:v>-2.6</c:v>
                </c:pt>
                <c:pt idx="17">
                  <c:v>-5.6</c:v>
                </c:pt>
                <c:pt idx="18">
                  <c:v>-5.0999999999999996</c:v>
                </c:pt>
                <c:pt idx="19">
                  <c:v>-0.3</c:v>
                </c:pt>
                <c:pt idx="20">
                  <c:v>2.2999999999999998</c:v>
                </c:pt>
                <c:pt idx="21">
                  <c:v>2.7</c:v>
                </c:pt>
                <c:pt idx="22">
                  <c:v>1.3</c:v>
                </c:pt>
                <c:pt idx="23">
                  <c:v>1.5</c:v>
                </c:pt>
                <c:pt idx="24">
                  <c:v>6.6</c:v>
                </c:pt>
                <c:pt idx="25">
                  <c:v>3.4</c:v>
                </c:pt>
                <c:pt idx="26">
                  <c:v>3.3</c:v>
                </c:pt>
                <c:pt idx="27">
                  <c:v>4.7</c:v>
                </c:pt>
                <c:pt idx="28">
                  <c:v>12.9</c:v>
                </c:pt>
                <c:pt idx="29">
                  <c:v>13.2</c:v>
                </c:pt>
                <c:pt idx="30">
                  <c:v>10.3</c:v>
                </c:pt>
                <c:pt idx="31">
                  <c:v>13</c:v>
                </c:pt>
                <c:pt idx="32">
                  <c:v>13.2</c:v>
                </c:pt>
                <c:pt idx="33">
                  <c:v>10</c:v>
                </c:pt>
                <c:pt idx="34">
                  <c:v>11</c:v>
                </c:pt>
                <c:pt idx="35">
                  <c:v>8.4</c:v>
                </c:pt>
                <c:pt idx="36">
                  <c:v>11.4</c:v>
                </c:pt>
                <c:pt idx="37">
                  <c:v>13</c:v>
                </c:pt>
                <c:pt idx="38" formatCode="0.0_)">
                  <c:v>12.7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4595336"/>
        <c:axId val="544588672"/>
      </c:lineChart>
      <c:catAx>
        <c:axId val="5445953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4588672"/>
        <c:crossesAt val="0"/>
        <c:auto val="0"/>
        <c:lblAlgn val="ctr"/>
        <c:lblOffset val="100"/>
        <c:tickLblSkip val="1"/>
        <c:noMultiLvlLbl val="0"/>
      </c:catAx>
      <c:valAx>
        <c:axId val="544588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4595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5618481557699855"/>
          <c:w val="1"/>
          <c:h val="0.143815184423001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4901887264087E-2"/>
          <c:y val="0.10373845916319284"/>
          <c:w val="0.93047763560804897"/>
          <c:h val="0.60472741002643005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'BWUK-rok'!$C$4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'BWUK-rok'!$C$5:$C$25</c:f>
              <c:numCache>
                <c:formatCode>0.0_)</c:formatCode>
                <c:ptCount val="21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4594160"/>
        <c:axId val="544591808"/>
      </c:barChart>
      <c:lineChart>
        <c:grouping val="standard"/>
        <c:varyColors val="0"/>
        <c:ser>
          <c:idx val="2"/>
          <c:order val="1"/>
          <c:tx>
            <c:strRef>
              <c:f>'BWUK-rok'!$E$3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'BWUK-rok'!$E$5:$E$25</c:f>
              <c:numCache>
                <c:formatCode>0.0_)</c:formatCode>
                <c:ptCount val="21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'BWUK-rok'!$F$3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'BWUK-rok'!$F$5:$F$25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'BWUK-rok'!$G$3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'BWUK-rok'!$G$5:$G$25</c:f>
              <c:numCache>
                <c:formatCode>0.0_)</c:formatCode>
                <c:ptCount val="21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</c:numCache>
            </c:numRef>
          </c:val>
          <c:smooth val="0"/>
        </c:ser>
        <c:ser>
          <c:idx val="3"/>
          <c:order val="4"/>
          <c:tx>
            <c:strRef>
              <c:f>'BWUK-rok'!$H$3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'BWUK-rok'!$H$5:$H$25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'BWUK-rok'!$I$3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'BWUK-rok'!$I$5:$I$25</c:f>
              <c:numCache>
                <c:formatCode>0.0_)</c:formatCode>
                <c:ptCount val="21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4594160"/>
        <c:axId val="544591808"/>
      </c:lineChart>
      <c:catAx>
        <c:axId val="5445941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sz="700"/>
                  <a:t>** kwiecień, lipiec, październik</a:t>
                </a:r>
              </a:p>
            </c:rich>
          </c:tx>
          <c:layout>
            <c:manualLayout>
              <c:xMode val="edge"/>
              <c:yMode val="edge"/>
              <c:x val="5.4138154605674289E-2"/>
              <c:y val="0.769638905489306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4591808"/>
        <c:crossesAt val="0"/>
        <c:auto val="0"/>
        <c:lblAlgn val="ctr"/>
        <c:lblOffset val="100"/>
        <c:tickLblSkip val="1"/>
        <c:noMultiLvlLbl val="0"/>
      </c:catAx>
      <c:valAx>
        <c:axId val="54459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459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688872607977034"/>
          <c:w val="1"/>
          <c:h val="0.128655562667142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4901887264087E-2"/>
          <c:y val="0.10373845916319284"/>
          <c:w val="0.93047763560804897"/>
          <c:h val="0.63965913438336874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WWUK!$C$2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WWUK!$A$135:$B$173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WWUK!$C$135:$C$173</c:f>
              <c:numCache>
                <c:formatCode>0.0</c:formatCode>
                <c:ptCount val="39"/>
                <c:pt idx="0">
                  <c:v>-16.5</c:v>
                </c:pt>
                <c:pt idx="1">
                  <c:v>-21.7</c:v>
                </c:pt>
                <c:pt idx="2">
                  <c:v>-19.5</c:v>
                </c:pt>
                <c:pt idx="3">
                  <c:v>-14.2</c:v>
                </c:pt>
                <c:pt idx="4">
                  <c:v>-17.2</c:v>
                </c:pt>
                <c:pt idx="5">
                  <c:v>-11.7</c:v>
                </c:pt>
                <c:pt idx="6">
                  <c:v>-14.3</c:v>
                </c:pt>
                <c:pt idx="7">
                  <c:v>-13.2</c:v>
                </c:pt>
                <c:pt idx="8">
                  <c:v>-15.3</c:v>
                </c:pt>
                <c:pt idx="9">
                  <c:v>-15</c:v>
                </c:pt>
                <c:pt idx="10">
                  <c:v>-8.3000000000000007</c:v>
                </c:pt>
                <c:pt idx="11">
                  <c:v>-13.7</c:v>
                </c:pt>
                <c:pt idx="12">
                  <c:v>-10.9</c:v>
                </c:pt>
                <c:pt idx="13">
                  <c:v>-8.1999999999999993</c:v>
                </c:pt>
                <c:pt idx="14">
                  <c:v>-11.5</c:v>
                </c:pt>
                <c:pt idx="15">
                  <c:v>-7.2</c:v>
                </c:pt>
                <c:pt idx="16">
                  <c:v>-7.7</c:v>
                </c:pt>
                <c:pt idx="17">
                  <c:v>-9.6999999999999993</c:v>
                </c:pt>
                <c:pt idx="18">
                  <c:v>-10.6</c:v>
                </c:pt>
                <c:pt idx="19">
                  <c:v>-7.3</c:v>
                </c:pt>
                <c:pt idx="20">
                  <c:v>-7.5</c:v>
                </c:pt>
                <c:pt idx="21">
                  <c:v>-10.3</c:v>
                </c:pt>
                <c:pt idx="22">
                  <c:v>-5.4</c:v>
                </c:pt>
                <c:pt idx="23">
                  <c:v>-6.7</c:v>
                </c:pt>
                <c:pt idx="24">
                  <c:v>-4.4000000000000004</c:v>
                </c:pt>
                <c:pt idx="25">
                  <c:v>-3.6</c:v>
                </c:pt>
                <c:pt idx="26">
                  <c:v>-4.2</c:v>
                </c:pt>
                <c:pt idx="27">
                  <c:v>-3.1</c:v>
                </c:pt>
                <c:pt idx="28">
                  <c:v>0.6</c:v>
                </c:pt>
                <c:pt idx="29">
                  <c:v>1.8</c:v>
                </c:pt>
                <c:pt idx="30">
                  <c:v>1.3</c:v>
                </c:pt>
                <c:pt idx="31">
                  <c:v>2.7</c:v>
                </c:pt>
                <c:pt idx="32">
                  <c:v>0.8</c:v>
                </c:pt>
                <c:pt idx="33">
                  <c:v>1.6</c:v>
                </c:pt>
                <c:pt idx="34">
                  <c:v>3.4</c:v>
                </c:pt>
                <c:pt idx="35">
                  <c:v>-0.2</c:v>
                </c:pt>
                <c:pt idx="36">
                  <c:v>4.3</c:v>
                </c:pt>
                <c:pt idx="37">
                  <c:v>4.2</c:v>
                </c:pt>
                <c:pt idx="38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4589848"/>
        <c:axId val="544591024"/>
      </c:barChart>
      <c:lineChart>
        <c:grouping val="standard"/>
        <c:varyColors val="0"/>
        <c:ser>
          <c:idx val="2"/>
          <c:order val="1"/>
          <c:tx>
            <c:strRef>
              <c:f>WWUK!$D$2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/>
              </a:solidFill>
              <a:ln w="9525">
                <a:noFill/>
              </a:ln>
              <a:effectLst/>
            </c:spPr>
          </c:marker>
          <c:cat>
            <c:multiLvlStrRef>
              <c:f>WWUK!$A$135:$B$173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WWUK!$D$135:$D$173</c:f>
              <c:numCache>
                <c:formatCode>0.0</c:formatCode>
                <c:ptCount val="39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>
                  <c:v>4.2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WWUK!$E$2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WWUK!$A$135:$B$173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WWUK!$E$135:$E$173</c:f>
              <c:numCache>
                <c:formatCode>0.0</c:formatCode>
                <c:ptCount val="39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>
                  <c:v>3.2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WWUK!$F$2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WWUK!$A$135:$B$173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WWUK!$F$135:$F$173</c:f>
              <c:numCache>
                <c:formatCode>0.0</c:formatCode>
                <c:ptCount val="39"/>
                <c:pt idx="0">
                  <c:v>-27.2</c:v>
                </c:pt>
                <c:pt idx="1">
                  <c:v>-31</c:v>
                </c:pt>
                <c:pt idx="2">
                  <c:v>-26.5</c:v>
                </c:pt>
                <c:pt idx="3">
                  <c:v>-16.8</c:v>
                </c:pt>
                <c:pt idx="4">
                  <c:v>-20.8</c:v>
                </c:pt>
                <c:pt idx="5">
                  <c:v>-11.4</c:v>
                </c:pt>
                <c:pt idx="6">
                  <c:v>-16.2</c:v>
                </c:pt>
                <c:pt idx="7">
                  <c:v>-20.100000000000001</c:v>
                </c:pt>
                <c:pt idx="8">
                  <c:v>-20.3</c:v>
                </c:pt>
                <c:pt idx="9">
                  <c:v>-20.100000000000001</c:v>
                </c:pt>
                <c:pt idx="10">
                  <c:v>-10</c:v>
                </c:pt>
                <c:pt idx="11">
                  <c:v>-16</c:v>
                </c:pt>
                <c:pt idx="12">
                  <c:v>-13.9</c:v>
                </c:pt>
                <c:pt idx="13">
                  <c:v>-9.6</c:v>
                </c:pt>
                <c:pt idx="14">
                  <c:v>-9.1</c:v>
                </c:pt>
                <c:pt idx="15">
                  <c:v>-7.7</c:v>
                </c:pt>
                <c:pt idx="16">
                  <c:v>-3.9</c:v>
                </c:pt>
                <c:pt idx="17">
                  <c:v>-5.3</c:v>
                </c:pt>
                <c:pt idx="18">
                  <c:v>-13.5</c:v>
                </c:pt>
                <c:pt idx="19">
                  <c:v>-7.1</c:v>
                </c:pt>
                <c:pt idx="20">
                  <c:v>-6.6</c:v>
                </c:pt>
                <c:pt idx="21">
                  <c:v>-11.7</c:v>
                </c:pt>
                <c:pt idx="22">
                  <c:v>-1.1000000000000001</c:v>
                </c:pt>
                <c:pt idx="23">
                  <c:v>-4.0999999999999996</c:v>
                </c:pt>
                <c:pt idx="24">
                  <c:v>-0.1</c:v>
                </c:pt>
                <c:pt idx="25">
                  <c:v>4.4000000000000004</c:v>
                </c:pt>
                <c:pt idx="26">
                  <c:v>4.9000000000000004</c:v>
                </c:pt>
                <c:pt idx="27">
                  <c:v>5.9</c:v>
                </c:pt>
                <c:pt idx="28">
                  <c:v>11</c:v>
                </c:pt>
                <c:pt idx="29">
                  <c:v>11.7</c:v>
                </c:pt>
                <c:pt idx="30">
                  <c:v>10.1</c:v>
                </c:pt>
                <c:pt idx="31">
                  <c:v>11</c:v>
                </c:pt>
                <c:pt idx="32">
                  <c:v>10.199999999999999</c:v>
                </c:pt>
                <c:pt idx="33">
                  <c:v>9.1999999999999993</c:v>
                </c:pt>
                <c:pt idx="34">
                  <c:v>13.5</c:v>
                </c:pt>
                <c:pt idx="35">
                  <c:v>10.8</c:v>
                </c:pt>
                <c:pt idx="36">
                  <c:v>13.6</c:v>
                </c:pt>
                <c:pt idx="37">
                  <c:v>14.1</c:v>
                </c:pt>
                <c:pt idx="38">
                  <c:v>13.4</c:v>
                </c:pt>
              </c:numCache>
            </c:numRef>
          </c:val>
          <c:smooth val="0"/>
        </c:ser>
        <c:ser>
          <c:idx val="3"/>
          <c:order val="4"/>
          <c:tx>
            <c:strRef>
              <c:f>WWUK!$G$2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WWUK!$A$135:$B$173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WWUK!$G$135:$G$173</c:f>
              <c:numCache>
                <c:formatCode>0.0</c:formatCode>
                <c:ptCount val="39"/>
                <c:pt idx="0">
                  <c:v>-22.8</c:v>
                </c:pt>
                <c:pt idx="1">
                  <c:v>-30.2</c:v>
                </c:pt>
                <c:pt idx="2">
                  <c:v>-27.3</c:v>
                </c:pt>
                <c:pt idx="3">
                  <c:v>-25.9</c:v>
                </c:pt>
                <c:pt idx="4">
                  <c:v>-28.7</c:v>
                </c:pt>
                <c:pt idx="5">
                  <c:v>-27.9</c:v>
                </c:pt>
                <c:pt idx="6">
                  <c:v>-29.6</c:v>
                </c:pt>
                <c:pt idx="7">
                  <c:v>-27.4</c:v>
                </c:pt>
                <c:pt idx="8">
                  <c:v>-24.3</c:v>
                </c:pt>
                <c:pt idx="9">
                  <c:v>-24.7</c:v>
                </c:pt>
                <c:pt idx="10">
                  <c:v>-25</c:v>
                </c:pt>
                <c:pt idx="11">
                  <c:v>-21.6</c:v>
                </c:pt>
                <c:pt idx="12">
                  <c:v>-20.8</c:v>
                </c:pt>
                <c:pt idx="13">
                  <c:v>-17.7</c:v>
                </c:pt>
                <c:pt idx="14">
                  <c:v>-22.9</c:v>
                </c:pt>
                <c:pt idx="15">
                  <c:v>-18.5</c:v>
                </c:pt>
                <c:pt idx="16">
                  <c:v>-16.399999999999999</c:v>
                </c:pt>
                <c:pt idx="17">
                  <c:v>-20.2</c:v>
                </c:pt>
                <c:pt idx="18">
                  <c:v>-19.2</c:v>
                </c:pt>
                <c:pt idx="19">
                  <c:v>-15.6</c:v>
                </c:pt>
                <c:pt idx="20">
                  <c:v>-16.8</c:v>
                </c:pt>
                <c:pt idx="21">
                  <c:v>-18.8</c:v>
                </c:pt>
                <c:pt idx="22">
                  <c:v>-13.8</c:v>
                </c:pt>
                <c:pt idx="23">
                  <c:v>-14.6</c:v>
                </c:pt>
                <c:pt idx="24">
                  <c:v>-10.1</c:v>
                </c:pt>
                <c:pt idx="25">
                  <c:v>-11.8</c:v>
                </c:pt>
                <c:pt idx="26">
                  <c:v>-15</c:v>
                </c:pt>
                <c:pt idx="27">
                  <c:v>-12.9</c:v>
                </c:pt>
                <c:pt idx="28">
                  <c:v>-10</c:v>
                </c:pt>
                <c:pt idx="29">
                  <c:v>-9.4</c:v>
                </c:pt>
                <c:pt idx="30">
                  <c:v>-10.5</c:v>
                </c:pt>
                <c:pt idx="31">
                  <c:v>-7.3</c:v>
                </c:pt>
                <c:pt idx="32">
                  <c:v>-11.7</c:v>
                </c:pt>
                <c:pt idx="33">
                  <c:v>-8</c:v>
                </c:pt>
                <c:pt idx="34">
                  <c:v>-8.8000000000000007</c:v>
                </c:pt>
                <c:pt idx="35">
                  <c:v>-12</c:v>
                </c:pt>
                <c:pt idx="36">
                  <c:v>-5.8</c:v>
                </c:pt>
                <c:pt idx="37">
                  <c:v>-6.4</c:v>
                </c:pt>
                <c:pt idx="38">
                  <c:v>-9.1999999999999993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4589848"/>
        <c:axId val="544591024"/>
      </c:lineChart>
      <c:catAx>
        <c:axId val="5445898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4591024"/>
        <c:crossesAt val="0"/>
        <c:auto val="0"/>
        <c:lblAlgn val="ctr"/>
        <c:lblOffset val="100"/>
        <c:tickLblSkip val="1"/>
        <c:noMultiLvlLbl val="0"/>
      </c:catAx>
      <c:valAx>
        <c:axId val="544591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4589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688872607977034"/>
          <c:w val="0.99796822272215968"/>
          <c:h val="0.131112739202296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4901887264087E-2"/>
          <c:y val="0.10373845916319284"/>
          <c:w val="0.93047763560804897"/>
          <c:h val="0.61107863263678253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'WWUK-rok'!$C$5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solidFill>
                <a:srgbClr val="009AA6"/>
              </a:solidFill>
            </a:ln>
            <a:effectLst/>
          </c:spPr>
          <c:invertIfNegative val="0"/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'WWUK-rok'!$C$6:$C$26</c:f>
              <c:numCache>
                <c:formatCode>0.0_)</c:formatCode>
                <c:ptCount val="21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4592984"/>
        <c:axId val="544591416"/>
      </c:barChart>
      <c:lineChart>
        <c:grouping val="standard"/>
        <c:varyColors val="0"/>
        <c:ser>
          <c:idx val="3"/>
          <c:order val="1"/>
          <c:tx>
            <c:strRef>
              <c:f>'WWUK-rok'!$E$4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'WWUK-rok'!$E$6:$E$26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'WWUK-rok'!$F$4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'WWUK-rok'!$F$6:$F$26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0"/>
          <c:order val="3"/>
          <c:tx>
            <c:strRef>
              <c:f>'WWUK-rok'!$G$4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'WWUK-rok'!$G$6:$G$26</c:f>
              <c:numCache>
                <c:formatCode>0.0_)</c:formatCode>
                <c:ptCount val="21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'WWUK-rok'!$H$4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'WWUK-rok'!$H$6:$H$26</c:f>
              <c:numCache>
                <c:formatCode>0.0_)</c:formatCode>
                <c:ptCount val="21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4592984"/>
        <c:axId val="544591416"/>
      </c:lineChart>
      <c:catAx>
        <c:axId val="544592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sz="700"/>
                  <a:t>**</a:t>
                </a:r>
                <a:r>
                  <a:rPr lang="pl-PL" sz="700" baseline="0"/>
                  <a:t> kwiecień, lipiec, październik</a:t>
                </a:r>
                <a:endParaRPr lang="pl-PL" sz="700"/>
              </a:p>
            </c:rich>
          </c:tx>
          <c:layout>
            <c:manualLayout>
              <c:xMode val="edge"/>
              <c:yMode val="edge"/>
              <c:x val="5.9064882514685661E-2"/>
              <c:y val="0.779165739404835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4591416"/>
        <c:crossesAt val="0"/>
        <c:auto val="0"/>
        <c:lblAlgn val="ctr"/>
        <c:lblOffset val="100"/>
        <c:tickLblSkip val="1"/>
        <c:noMultiLvlLbl val="0"/>
      </c:catAx>
      <c:valAx>
        <c:axId val="544591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4592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688872607977034"/>
          <c:w val="0.99796822272215968"/>
          <c:h val="0.131112739202296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48AF7-701B-4C45-96E6-AFA11A26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828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konsumencka. Marzec 2018 roku</dc:title>
  <dc:subject>Koniunktura konsumencka. Marzec 2018 roku</dc:subject>
  <dc:creator>Główny Urząd Statystyczny</dc:creator>
  <cp:keywords>koniunktura konsumencka; badanie koniunktury konsumenckiej; nastroje konsumenckie; badanie kondycji gospodarstw domowych; wskaźnik ufności konsumenckiej</cp:keywords>
  <dc:description>Koniunktura konsumencka. Marzec 2018 roku</dc:description>
  <cp:lastModifiedBy>Kupis Rafał</cp:lastModifiedBy>
  <cp:revision>2</cp:revision>
  <cp:lastPrinted>2018-03-19T06:32:00Z</cp:lastPrinted>
  <dcterms:created xsi:type="dcterms:W3CDTF">2018-03-20T13:15:00Z</dcterms:created>
  <dcterms:modified xsi:type="dcterms:W3CDTF">2018-03-20T13:15:00Z</dcterms:modified>
  <cp:category>Koniunktura; Koniunktura konsumencka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