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801BC" w14:textId="77777777" w:rsidR="000C7EF0" w:rsidRDefault="000C7EF0" w:rsidP="00B76F68">
      <w:pPr>
        <w:pStyle w:val="tytuinformacji"/>
        <w:spacing w:before="0"/>
        <w:rPr>
          <w:rFonts w:cs="Arial"/>
          <w:b/>
          <w:szCs w:val="40"/>
        </w:rPr>
      </w:pPr>
    </w:p>
    <w:p w14:paraId="288CE176" w14:textId="3FD5C018" w:rsidR="00B76F68" w:rsidRDefault="00B76F68" w:rsidP="00B76F68">
      <w:pPr>
        <w:pStyle w:val="tytuinformacji"/>
        <w:spacing w:before="0"/>
        <w:rPr>
          <w:sz w:val="32"/>
        </w:rPr>
      </w:pPr>
      <w:r w:rsidRPr="00400FD5">
        <w:rPr>
          <w:rFonts w:cs="Arial"/>
          <w:b/>
          <w:szCs w:val="40"/>
        </w:rPr>
        <w:t xml:space="preserve">Wstępny szacunek produktu krajowego brutto </w:t>
      </w:r>
      <w:r>
        <w:rPr>
          <w:rFonts w:cs="Arial"/>
          <w:b/>
          <w:szCs w:val="40"/>
        </w:rPr>
        <w:br/>
      </w:r>
      <w:r w:rsidRPr="00400FD5">
        <w:rPr>
          <w:rFonts w:cs="Arial"/>
          <w:b/>
          <w:szCs w:val="40"/>
        </w:rPr>
        <w:t>w I kwartale 201</w:t>
      </w:r>
      <w:r>
        <w:rPr>
          <w:rFonts w:cs="Arial"/>
          <w:b/>
          <w:szCs w:val="40"/>
        </w:rPr>
        <w:t>8</w:t>
      </w:r>
      <w:r w:rsidRPr="00400FD5">
        <w:rPr>
          <w:rFonts w:cs="Arial"/>
          <w:b/>
          <w:szCs w:val="40"/>
        </w:rPr>
        <w:t xml:space="preserve"> r.</w:t>
      </w:r>
    </w:p>
    <w:p w14:paraId="2801E00F" w14:textId="7864B2C0" w:rsidR="00D22FD2" w:rsidRDefault="00D22FD2" w:rsidP="00587A72">
      <w:pPr>
        <w:pStyle w:val="tytuinformacji"/>
        <w:spacing w:before="0"/>
        <w:rPr>
          <w:sz w:val="32"/>
        </w:rPr>
      </w:pPr>
    </w:p>
    <w:p w14:paraId="5F87F154" w14:textId="12579121" w:rsidR="00393761" w:rsidRPr="0038292F" w:rsidRDefault="009C113C" w:rsidP="00587A72">
      <w:pPr>
        <w:pStyle w:val="tytuinformacji"/>
        <w:spacing w:before="0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4CB09B6F">
                <wp:simplePos x="0" y="0"/>
                <wp:positionH relativeFrom="column">
                  <wp:posOffset>5246737</wp:posOffset>
                </wp:positionH>
                <wp:positionV relativeFrom="paragraph">
                  <wp:posOffset>320523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248AA" w14:textId="77777777" w:rsidR="00A86A84" w:rsidRPr="001036E7" w:rsidRDefault="00A86A84" w:rsidP="00A86A8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I kwartale tego roku gospodarka Polski rozwijała się w tempie 5,2 % </w:t>
                            </w:r>
                          </w:p>
                          <w:p w14:paraId="5F87F21E" w14:textId="521BA653"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15pt;margin-top:25.25pt;width:135.85pt;height:7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" filled="f" stroked="f">
                <v:textbox>
                  <w:txbxContent>
                    <w:p w14:paraId="20E248AA" w14:textId="77777777" w:rsidR="00A86A84" w:rsidRPr="001036E7" w:rsidRDefault="00A86A84" w:rsidP="00A86A8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I kwartale tego roku gospodarka Polski rozwijała się w tempie 5,2 % </w:t>
                      </w:r>
                    </w:p>
                    <w:p w14:paraId="5F87F21E" w14:textId="521BA653" w:rsidR="00D616D2" w:rsidRPr="001036E7" w:rsidRDefault="00D616D2" w:rsidP="009C113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EEA7FF" w14:textId="7B60A3EE" w:rsidR="000F4A56" w:rsidRPr="000F4A56" w:rsidRDefault="00003437" w:rsidP="00D43E5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95287F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0405" cy="10109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405" cy="101099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B32BF" w14:textId="77777777" w:rsidR="00B76F68" w:rsidRPr="00B66B19" w:rsidRDefault="003E4086" w:rsidP="00B76F6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1pt;height:29.1pt;visibility:visible" o:bullet="t">
                                  <v:imagedata r:id="rId11" o:title=""/>
                                </v:shape>
                              </w:pict>
                            </w:r>
                            <w:r w:rsidR="00B76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105,2</w:t>
                            </w:r>
                          </w:p>
                          <w:p w14:paraId="3EE6B270" w14:textId="77777777" w:rsidR="00B76F68" w:rsidRPr="0038292F" w:rsidRDefault="00B76F68" w:rsidP="00B76F6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Dynamika PKB w I kw.</w:t>
                            </w:r>
                            <w:r w:rsidRPr="00DD6553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2018 roku</w:t>
                            </w:r>
                          </w:p>
                          <w:p w14:paraId="5F87F21C" w14:textId="55710149" w:rsidR="00933EC1" w:rsidRPr="00074DD8" w:rsidRDefault="00933EC1" w:rsidP="00B76F6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55.15pt;height:79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" fillcolor="#001d77" stroked="f">
                <v:textbox>
                  <w:txbxContent>
                    <w:p w14:paraId="6B4B32BF" w14:textId="77777777" w:rsidR="00B76F68" w:rsidRPr="00B66B19" w:rsidRDefault="003E4086" w:rsidP="00B76F6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1pt;height:29.1pt;visibility:visible" o:bullet="t">
                            <v:imagedata r:id="rId11" o:title=""/>
                          </v:shape>
                        </w:pict>
                      </w:r>
                      <w:r w:rsidR="00B76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105,2</w:t>
                      </w:r>
                    </w:p>
                    <w:p w14:paraId="3EE6B270" w14:textId="77777777" w:rsidR="00B76F68" w:rsidRPr="0038292F" w:rsidRDefault="00B76F68" w:rsidP="00B76F68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>
                        <w:rPr>
                          <w:color w:val="FFFFFF" w:themeColor="background1"/>
                          <w:sz w:val="19"/>
                          <w:szCs w:val="19"/>
                        </w:rPr>
                        <w:t>Dynamika PKB w I kw.</w:t>
                      </w:r>
                      <w:r w:rsidRPr="00DD6553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9"/>
                          <w:szCs w:val="19"/>
                        </w:rPr>
                        <w:t>2018 roku</w:t>
                      </w:r>
                    </w:p>
                    <w:p w14:paraId="5F87F21C" w14:textId="55710149" w:rsidR="00933EC1" w:rsidRPr="00074DD8" w:rsidRDefault="00933EC1" w:rsidP="00B76F68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6A84" w:rsidRPr="002638C3">
        <w:t>Produkt krajowy brutto (PKB) w I</w:t>
      </w:r>
      <w:r w:rsidR="00A86A84">
        <w:t xml:space="preserve"> </w:t>
      </w:r>
      <w:r w:rsidR="00A86A84" w:rsidRPr="002638C3">
        <w:t>kw. 201</w:t>
      </w:r>
      <w:r w:rsidR="00A86A84">
        <w:t>8</w:t>
      </w:r>
      <w:r w:rsidR="00A86A84" w:rsidRPr="002638C3">
        <w:t xml:space="preserve"> roku był realnie wyższy o </w:t>
      </w:r>
      <w:r w:rsidR="00A86A84">
        <w:t>5,2</w:t>
      </w:r>
      <w:r w:rsidR="00A86A84" w:rsidRPr="002638C3">
        <w:t>% w porównaniu z 201</w:t>
      </w:r>
      <w:r w:rsidR="00A86A84">
        <w:t>7</w:t>
      </w:r>
      <w:r w:rsidR="00A86A84" w:rsidRPr="002638C3">
        <w:t xml:space="preserve"> r., wobec </w:t>
      </w:r>
      <w:r w:rsidR="00A86A84">
        <w:t>4,4</w:t>
      </w:r>
      <w:r w:rsidR="00A86A84" w:rsidRPr="002638C3">
        <w:t xml:space="preserve">% w </w:t>
      </w:r>
      <w:r w:rsidR="009E6A52">
        <w:t xml:space="preserve"> analogicznym okresie </w:t>
      </w:r>
      <w:r w:rsidR="00A86A84" w:rsidRPr="002638C3">
        <w:t>201</w:t>
      </w:r>
      <w:r w:rsidR="00A86A84">
        <w:t>7 r.</w:t>
      </w:r>
      <w:r w:rsidR="00A86A84" w:rsidRPr="002638C3">
        <w:t xml:space="preserve"> (w cenach stałych średniorocznych roku poprzedniego).</w:t>
      </w:r>
    </w:p>
    <w:p w14:paraId="5F87F155" w14:textId="432F0D32" w:rsidR="005916D7" w:rsidRPr="0038292F" w:rsidRDefault="005916D7" w:rsidP="00633014">
      <w:pPr>
        <w:pStyle w:val="LID"/>
      </w:pPr>
    </w:p>
    <w:p w14:paraId="11D22DDE" w14:textId="050E4B13" w:rsidR="00B76F68" w:rsidRDefault="00B76F68" w:rsidP="00D43E5E">
      <w:pPr>
        <w:pStyle w:val="LID"/>
        <w:spacing w:before="360"/>
        <w:rPr>
          <w:b w:val="0"/>
        </w:rPr>
      </w:pPr>
    </w:p>
    <w:p w14:paraId="29B899E2" w14:textId="3496C103" w:rsidR="00A86A84" w:rsidRDefault="00A86A84" w:rsidP="00A86A84">
      <w:pPr>
        <w:tabs>
          <w:tab w:val="left" w:pos="284"/>
        </w:tabs>
        <w:spacing w:before="0" w:line="300" w:lineRule="exact"/>
        <w:rPr>
          <w:b/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>W I kwartale 201</w:t>
      </w:r>
      <w:r>
        <w:rPr>
          <w:noProof/>
          <w:szCs w:val="19"/>
          <w:lang w:eastAsia="pl-PL"/>
        </w:rPr>
        <w:t>8</w:t>
      </w:r>
      <w:r w:rsidRPr="002638C3">
        <w:rPr>
          <w:noProof/>
          <w:szCs w:val="19"/>
          <w:lang w:eastAsia="pl-PL"/>
        </w:rPr>
        <w:t xml:space="preserve"> r. produkt krajowy brutto (PKB) wyrównany sezonowo (w cenach stałych przy roku odniesienia 2010) wzrósł realnie o </w:t>
      </w:r>
      <w:r>
        <w:rPr>
          <w:b/>
          <w:noProof/>
          <w:szCs w:val="19"/>
          <w:lang w:eastAsia="pl-PL"/>
        </w:rPr>
        <w:t>1,6</w:t>
      </w:r>
      <w:r w:rsidRPr="002638C3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poprzednim kwartałem, i był wyższy niż przed rokiem o </w:t>
      </w:r>
      <w:r>
        <w:rPr>
          <w:b/>
          <w:noProof/>
          <w:szCs w:val="19"/>
          <w:lang w:eastAsia="pl-PL"/>
        </w:rPr>
        <w:t>5,0</w:t>
      </w:r>
      <w:r w:rsidRPr="002638C3">
        <w:rPr>
          <w:b/>
          <w:noProof/>
          <w:szCs w:val="19"/>
          <w:lang w:eastAsia="pl-PL"/>
        </w:rPr>
        <w:t>%.</w:t>
      </w:r>
    </w:p>
    <w:p w14:paraId="22B7A388" w14:textId="095ADB9E" w:rsidR="00B76F68" w:rsidRDefault="00A86A84" w:rsidP="00A86A84">
      <w:pPr>
        <w:rPr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Pr="00DF3F5D">
        <w:rPr>
          <w:b/>
          <w:noProof/>
          <w:szCs w:val="19"/>
          <w:lang w:eastAsia="pl-PL"/>
        </w:rPr>
        <w:t>5,2%</w:t>
      </w:r>
      <w:r w:rsidRPr="002638C3">
        <w:rPr>
          <w:noProof/>
          <w:szCs w:val="19"/>
          <w:lang w:eastAsia="pl-PL"/>
        </w:rPr>
        <w:t xml:space="preserve"> w porównaniu z I kwartałem ub. </w:t>
      </w:r>
      <w:r>
        <w:rPr>
          <w:noProof/>
          <w:szCs w:val="19"/>
          <w:lang w:eastAsia="pl-PL"/>
        </w:rPr>
        <w:t>r</w:t>
      </w:r>
      <w:r w:rsidRPr="002638C3">
        <w:rPr>
          <w:noProof/>
          <w:szCs w:val="19"/>
          <w:lang w:eastAsia="pl-PL"/>
        </w:rPr>
        <w:t>oku.</w:t>
      </w:r>
    </w:p>
    <w:p w14:paraId="19D166E7" w14:textId="6C75BD3B" w:rsidR="00A86A84" w:rsidRDefault="00A86A84" w:rsidP="00A86A84">
      <w:pPr>
        <w:rPr>
          <w:b/>
          <w:color w:val="001D77"/>
          <w:sz w:val="18"/>
          <w:szCs w:val="18"/>
          <w:lang w:eastAsia="pl-PL"/>
        </w:rPr>
      </w:pPr>
    </w:p>
    <w:p w14:paraId="7A09691A" w14:textId="21969CF4" w:rsidR="00B76F68" w:rsidRDefault="00B76F68" w:rsidP="00B76F68">
      <w:pPr>
        <w:rPr>
          <w:b/>
          <w:noProof/>
          <w:color w:val="001D77"/>
          <w:spacing w:val="-2"/>
          <w:szCs w:val="19"/>
        </w:rPr>
      </w:pPr>
      <w:r w:rsidRPr="00FB456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1</w:t>
      </w:r>
      <w:r w:rsidRPr="00FB4568">
        <w:rPr>
          <w:b/>
          <w:noProof/>
          <w:color w:val="001D77"/>
          <w:spacing w:val="-2"/>
          <w:szCs w:val="19"/>
        </w:rPr>
        <w:t>. PKB wyrównany sezonowo, ceny stałe przy roku odniesienia 2010</w:t>
      </w:r>
      <w:r>
        <w:rPr>
          <w:b/>
          <w:noProof/>
          <w:color w:val="001D77"/>
          <w:spacing w:val="-2"/>
          <w:szCs w:val="19"/>
        </w:rPr>
        <w:t>; zmiany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654"/>
        <w:gridCol w:w="654"/>
        <w:gridCol w:w="654"/>
        <w:gridCol w:w="663"/>
        <w:gridCol w:w="654"/>
        <w:gridCol w:w="654"/>
        <w:gridCol w:w="654"/>
        <w:gridCol w:w="663"/>
        <w:gridCol w:w="651"/>
      </w:tblGrid>
      <w:tr w:rsidR="00B76F68" w:rsidRPr="00F978DA" w14:paraId="6D171ABE" w14:textId="77777777" w:rsidTr="00BD04C3">
        <w:trPr>
          <w:trHeight w:val="207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FC56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4CAE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7618" w14:textId="4680065A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4A1D" w14:textId="0932741F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B76F68" w:rsidRPr="006A28D7" w14:paraId="6D3AF1AB" w14:textId="77777777" w:rsidTr="00BD04C3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9CD8E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9508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2294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7D54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D922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AA1F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26A7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A1C5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D8E2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3988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</w:tr>
      <w:tr w:rsidR="00B76F68" w:rsidRPr="00F978DA" w14:paraId="3A9EF88E" w14:textId="77777777" w:rsidTr="00BD04C3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6101B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48D56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poprzedni kwartał = 100</w:t>
            </w:r>
          </w:p>
        </w:tc>
      </w:tr>
      <w:tr w:rsidR="00B76F68" w:rsidRPr="006A28D7" w14:paraId="4249D760" w14:textId="77777777" w:rsidTr="00BD04C3">
        <w:trPr>
          <w:trHeight w:val="49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3108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EAC0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99,8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C8D9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2BD7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8603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EFB0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101,1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2188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C24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101,4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13D5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101,0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BBA8" w14:textId="77777777" w:rsidR="00B76F68" w:rsidRPr="00E24F2E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color w:val="000000"/>
                <w:szCs w:val="19"/>
                <w:lang w:eastAsia="pl-PL"/>
              </w:rPr>
              <w:t>101,6</w:t>
            </w:r>
          </w:p>
        </w:tc>
      </w:tr>
      <w:tr w:rsidR="00B76F68" w:rsidRPr="006A28D7" w14:paraId="371CCDAE" w14:textId="77777777" w:rsidTr="00BD04C3">
        <w:trPr>
          <w:trHeight w:val="48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5252" w14:textId="77777777" w:rsidR="00B76F68" w:rsidRPr="000C7EF0" w:rsidRDefault="00B76F68" w:rsidP="00BD04C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PKB, dane z 30.05.2018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E276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462EBE6E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99,8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5BA7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2E64D968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260C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70C18E32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100,2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0D79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5B06B7CB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C29C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5CC7A8AC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101,1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ABB1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4C2DA401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9A33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3B9D5638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101,4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64F5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368AD0D7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101,0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86AD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b/>
                <w:szCs w:val="19"/>
              </w:rPr>
            </w:pPr>
          </w:p>
          <w:p w14:paraId="258D41AA" w14:textId="77777777" w:rsidR="00B76F68" w:rsidRPr="000C7EF0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0C7EF0">
              <w:rPr>
                <w:b/>
                <w:szCs w:val="19"/>
              </w:rPr>
              <w:t>101,6</w:t>
            </w:r>
          </w:p>
        </w:tc>
      </w:tr>
      <w:tr w:rsidR="00B76F68" w:rsidRPr="006A28D7" w14:paraId="00EBEEFA" w14:textId="77777777" w:rsidTr="00BD04C3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6B85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A8F4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7819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40A7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4453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EF14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C4AE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2F23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2914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DC88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</w:tr>
      <w:tr w:rsidR="00B76F68" w:rsidRPr="00F978DA" w14:paraId="7980FB17" w14:textId="77777777" w:rsidTr="00BD04C3">
        <w:trPr>
          <w:trHeight w:val="22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AEAE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93C73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B76F68" w:rsidRPr="006A28D7" w14:paraId="71E22BC4" w14:textId="77777777" w:rsidTr="00BD04C3">
        <w:trPr>
          <w:trHeight w:val="47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D9019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FAE7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585F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EFEE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102,4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8E0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103,3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53ED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A108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AC5C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3A62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B046" w14:textId="77777777" w:rsidR="00B76F68" w:rsidRPr="00E24F2E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color w:val="000000"/>
                <w:szCs w:val="19"/>
                <w:lang w:eastAsia="pl-PL"/>
              </w:rPr>
              <w:t>104,9</w:t>
            </w:r>
          </w:p>
        </w:tc>
      </w:tr>
      <w:tr w:rsidR="00B76F68" w:rsidRPr="006A28D7" w14:paraId="36E993D4" w14:textId="77777777" w:rsidTr="00BD04C3">
        <w:trPr>
          <w:trHeight w:val="447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0334" w14:textId="77777777" w:rsidR="00B76F68" w:rsidRPr="00F86C71" w:rsidRDefault="00B76F68" w:rsidP="00BD04C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PKB, dane z  30.05.2018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A540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16C16D68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EA81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26C7016D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6CAB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61EBAD31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102,4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1F2C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6798A3D0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103,3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51AE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2A37685D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7DB2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1001DB33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104,2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FC95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4EE0BDCA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105,5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CA2C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3DA1C104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104,4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97CA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cs="Times New Roman CE"/>
                <w:b/>
                <w:szCs w:val="19"/>
              </w:rPr>
            </w:pPr>
          </w:p>
          <w:p w14:paraId="3DA9D1FC" w14:textId="77777777" w:rsidR="00B76F68" w:rsidRPr="00F86C71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86C71">
              <w:rPr>
                <w:rFonts w:cs="Times New Roman CE"/>
                <w:b/>
                <w:szCs w:val="19"/>
              </w:rPr>
              <w:t>105,0</w:t>
            </w:r>
          </w:p>
        </w:tc>
      </w:tr>
      <w:tr w:rsidR="00B76F68" w:rsidRPr="006A28D7" w14:paraId="3A0888F2" w14:textId="77777777" w:rsidTr="00BD04C3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04CE" w14:textId="77777777" w:rsidR="00B76F68" w:rsidRPr="00F978DA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360A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0A5B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0E09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6C52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8C22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E86A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248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4407" w14:textId="77777777" w:rsidR="00B76F68" w:rsidRPr="00F978DA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7B4A" w14:textId="77777777" w:rsidR="00B76F68" w:rsidRPr="00F978DA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</w:tr>
    </w:tbl>
    <w:p w14:paraId="747A7531" w14:textId="760AF7A0" w:rsidR="00B76F68" w:rsidRDefault="00B76F68" w:rsidP="00B76F68">
      <w:pPr>
        <w:rPr>
          <w:b/>
          <w:noProof/>
          <w:color w:val="001D77"/>
          <w:spacing w:val="-2"/>
          <w:szCs w:val="19"/>
        </w:rPr>
      </w:pPr>
    </w:p>
    <w:p w14:paraId="18EECB5E" w14:textId="7554C096" w:rsidR="00B76F68" w:rsidRDefault="00BE37FF" w:rsidP="00B76F68">
      <w:pPr>
        <w:rPr>
          <w:b/>
          <w:noProof/>
          <w:spacing w:val="-2"/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4E7F1DB" wp14:editId="2C2C9384">
                <wp:simplePos x="0" y="0"/>
                <wp:positionH relativeFrom="page">
                  <wp:posOffset>5713730</wp:posOffset>
                </wp:positionH>
                <wp:positionV relativeFrom="paragraph">
                  <wp:posOffset>235487</wp:posOffset>
                </wp:positionV>
                <wp:extent cx="1793240" cy="1477010"/>
                <wp:effectExtent l="0" t="0" r="0" b="0"/>
                <wp:wrapTight wrapText="bothSides">
                  <wp:wrapPolygon edited="0">
                    <wp:start x="688" y="0"/>
                    <wp:lineTo x="688" y="21173"/>
                    <wp:lineTo x="20881" y="21173"/>
                    <wp:lineTo x="20881" y="0"/>
                    <wp:lineTo x="688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477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C502" w14:textId="77777777" w:rsidR="00BE37FF" w:rsidRPr="00A86A84" w:rsidRDefault="00BE37FF" w:rsidP="00BE37FF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>Rewizja spowodowana jest uwzględnieniem pełniejszych informacji kwartalnych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do wstępnego szacunku PKB</w:t>
                            </w: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stosunku do opublikowanego w dniu 15 maja br. szybkiego szacunku dla I kwartał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</w:t>
                            </w: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2018 r.</w:t>
                            </w:r>
                          </w:p>
                          <w:p w14:paraId="24F976C6" w14:textId="2066D6D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14E547D" w14:textId="7777777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7F1DB" id="Pole tekstowe 6" o:spid="_x0000_s1028" type="#_x0000_t202" style="position:absolute;margin-left:449.9pt;margin-top:18.55pt;width:141.2pt;height:116.3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" filled="f" stroked="f">
                <v:textbox>
                  <w:txbxContent>
                    <w:p w14:paraId="244CC502" w14:textId="77777777" w:rsidR="00BE37FF" w:rsidRPr="00A86A84" w:rsidRDefault="00BE37FF" w:rsidP="00BE37FF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>Rewizja spowodowana jest uwzględnieniem pełniejszych informacji kwartalnych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do wstępnego szacunku PKB</w:t>
                      </w: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 xml:space="preserve"> w stosunku do opublikowanego w dniu 15 maja br. szybkiego szacunku dla I kwartał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</w:t>
                      </w: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 xml:space="preserve"> 2018 r.</w:t>
                      </w:r>
                    </w:p>
                    <w:p w14:paraId="24F976C6" w14:textId="2066D6D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14E547D" w14:textId="7777777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6F68">
        <w:rPr>
          <w:b/>
          <w:noProof/>
          <w:spacing w:val="-2"/>
          <w:szCs w:val="19"/>
        </w:rPr>
        <w:t xml:space="preserve"> </w:t>
      </w:r>
      <w:r w:rsidR="00B76F68" w:rsidRPr="002D58BF">
        <w:rPr>
          <w:b/>
          <w:color w:val="001D77"/>
          <w:sz w:val="18"/>
          <w:szCs w:val="18"/>
          <w:lang w:eastAsia="pl-PL"/>
        </w:rPr>
        <w:t>Tablica</w:t>
      </w:r>
      <w:r w:rsidR="00B76F68" w:rsidRPr="002D58BF">
        <w:rPr>
          <w:b/>
          <w:color w:val="001D77"/>
          <w:lang w:eastAsia="pl-PL"/>
        </w:rPr>
        <w:t xml:space="preserve"> 2. PKB niewyrównany sezonowo, ceny stałe średnioroczne roku poprzedniego; zmiany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16"/>
        <w:gridCol w:w="628"/>
        <w:gridCol w:w="659"/>
        <w:gridCol w:w="678"/>
        <w:gridCol w:w="628"/>
        <w:gridCol w:w="628"/>
        <w:gridCol w:w="659"/>
        <w:gridCol w:w="678"/>
        <w:gridCol w:w="680"/>
      </w:tblGrid>
      <w:tr w:rsidR="00B76F68" w:rsidRPr="006A28D7" w14:paraId="2772DD54" w14:textId="77777777" w:rsidTr="00BD04C3">
        <w:trPr>
          <w:trHeight w:val="26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A4A6" w14:textId="77777777" w:rsidR="00B76F68" w:rsidRPr="006A28D7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436E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A59B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290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B76F68" w:rsidRPr="006A28D7" w14:paraId="383287DC" w14:textId="77777777" w:rsidTr="00BD04C3">
        <w:trPr>
          <w:trHeight w:val="267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1B023" w14:textId="77777777" w:rsidR="00B76F68" w:rsidRPr="006A28D7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19A3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63D9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4950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2E80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8CF6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9680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A43C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75D5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0C5F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</w:tr>
      <w:tr w:rsidR="00B76F68" w:rsidRPr="006A28D7" w14:paraId="380B1C8F" w14:textId="77777777" w:rsidTr="00BD04C3">
        <w:trPr>
          <w:trHeight w:val="267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2C1A4" w14:textId="77777777" w:rsidR="00B76F68" w:rsidRPr="006A28D7" w:rsidRDefault="00B76F68" w:rsidP="00BD04C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B6553" w14:textId="77777777" w:rsidR="00B76F68" w:rsidRPr="006A28D7" w:rsidRDefault="00B76F68" w:rsidP="00BD04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B76F68" w:rsidRPr="006A28D7" w14:paraId="765C6232" w14:textId="77777777" w:rsidTr="00BD04C3">
        <w:trPr>
          <w:trHeight w:val="48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7A02" w14:textId="77777777" w:rsidR="00B76F68" w:rsidRPr="00B20D12" w:rsidRDefault="00B76F68" w:rsidP="00BD04C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B20D12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, dane z 15.05.2018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7353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103,1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ED67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4F61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03E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303F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C3CA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1399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105,2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87AE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104,9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19C4" w14:textId="556B0ACE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color w:val="000000"/>
                <w:szCs w:val="19"/>
                <w:lang w:eastAsia="pl-PL"/>
              </w:rPr>
              <w:t>105,1</w:t>
            </w:r>
          </w:p>
        </w:tc>
      </w:tr>
      <w:tr w:rsidR="00B76F68" w:rsidRPr="006A28D7" w14:paraId="50008515" w14:textId="77777777" w:rsidTr="00BD04C3">
        <w:trPr>
          <w:trHeight w:val="48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00AE1" w14:textId="77777777" w:rsidR="00B76F68" w:rsidRPr="00E24F2E" w:rsidRDefault="00B76F68" w:rsidP="00BD04C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PKB, dane z 30.05.2018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372D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1137803C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103,1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F2AD5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275AE73A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103,4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5583C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7BF6F087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591D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164580EF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102,7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00AAC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7C5624A6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104,4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EF0A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2A871A7E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104,0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0EAB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2F0F871F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105,2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714E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286A63ED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104,9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437C" w14:textId="77777777" w:rsidR="00B76F68" w:rsidRDefault="00B76F68" w:rsidP="00BD04C3">
            <w:pPr>
              <w:spacing w:before="0" w:after="0" w:line="240" w:lineRule="auto"/>
              <w:jc w:val="right"/>
              <w:rPr>
                <w:rFonts w:ascii="Times New Roman CE" w:hAnsi="Times New Roman CE" w:cs="Times New Roman CE"/>
                <w:b/>
                <w:sz w:val="20"/>
                <w:szCs w:val="20"/>
              </w:rPr>
            </w:pPr>
          </w:p>
          <w:p w14:paraId="4A91A1FF" w14:textId="77777777" w:rsidR="00B76F68" w:rsidRPr="00E24F2E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E24F2E">
              <w:rPr>
                <w:rFonts w:ascii="Times New Roman CE" w:hAnsi="Times New Roman CE" w:cs="Times New Roman CE"/>
                <w:b/>
                <w:sz w:val="20"/>
                <w:szCs w:val="20"/>
              </w:rPr>
              <w:t>105,2</w:t>
            </w:r>
          </w:p>
        </w:tc>
      </w:tr>
      <w:tr w:rsidR="00B76F68" w:rsidRPr="006A28D7" w14:paraId="6B1C3773" w14:textId="77777777" w:rsidTr="00BD04C3">
        <w:trPr>
          <w:trHeight w:val="30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617A" w14:textId="77777777" w:rsidR="00B76F68" w:rsidRPr="00B20D12" w:rsidRDefault="00B76F68" w:rsidP="00BD04C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B20D12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E5FE9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B20D12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23846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ABF9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416E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E7DC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8C708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24CC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86400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2F31" w14:textId="77777777" w:rsidR="00B76F68" w:rsidRPr="00B20D12" w:rsidRDefault="00B76F68" w:rsidP="00BD04C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</w:tr>
    </w:tbl>
    <w:p w14:paraId="29F512BA" w14:textId="77777777" w:rsidR="002D58BF" w:rsidRDefault="002D58BF" w:rsidP="00FB4568">
      <w:pPr>
        <w:rPr>
          <w:lang w:eastAsia="pl-PL"/>
        </w:rPr>
      </w:pPr>
    </w:p>
    <w:p w14:paraId="069CE050" w14:textId="77777777" w:rsidR="00B76F68" w:rsidRDefault="00B76F68" w:rsidP="0082112A">
      <w:pPr>
        <w:rPr>
          <w:b/>
          <w:noProof/>
          <w:spacing w:val="-2"/>
          <w:szCs w:val="19"/>
        </w:rPr>
      </w:pPr>
    </w:p>
    <w:p w14:paraId="3F7414EF" w14:textId="34239F6E" w:rsidR="00B76F68" w:rsidRDefault="003E4086" w:rsidP="00B76F68">
      <w:pPr>
        <w:spacing w:line="300" w:lineRule="exact"/>
        <w:rPr>
          <w:rFonts w:cs="Arial"/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A5B4ED6" wp14:editId="13B38793">
                <wp:simplePos x="0" y="0"/>
                <wp:positionH relativeFrom="page">
                  <wp:posOffset>5722718</wp:posOffset>
                </wp:positionH>
                <wp:positionV relativeFrom="paragraph">
                  <wp:posOffset>2703830</wp:posOffset>
                </wp:positionV>
                <wp:extent cx="1793240" cy="773430"/>
                <wp:effectExtent l="0" t="0" r="0" b="0"/>
                <wp:wrapTight wrapText="bothSides">
                  <wp:wrapPolygon edited="0">
                    <wp:start x="688" y="0"/>
                    <wp:lineTo x="688" y="20749"/>
                    <wp:lineTo x="20881" y="20749"/>
                    <wp:lineTo x="20881" y="0"/>
                    <wp:lineTo x="688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1296" w14:textId="77777777" w:rsidR="003E4086" w:rsidRPr="00A86A84" w:rsidRDefault="003E4086" w:rsidP="003E408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 miało negatywny wpływ na tempo wzrostu gospodarczego</w:t>
                            </w:r>
                          </w:p>
                          <w:p w14:paraId="670EEFB6" w14:textId="77777777" w:rsidR="003E4086" w:rsidRPr="00172253" w:rsidRDefault="003E4086" w:rsidP="003E408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26FB9372" w14:textId="77777777" w:rsidR="003E4086" w:rsidRPr="001036E7" w:rsidRDefault="003E4086" w:rsidP="003E408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B4ED6" id="Pole tekstowe 18" o:spid="_x0000_s1029" type="#_x0000_t202" style="position:absolute;margin-left:450.6pt;margin-top:212.9pt;width:141.2pt;height:60.9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" filled="f" stroked="f">
                <v:textbox>
                  <w:txbxContent>
                    <w:p w14:paraId="488D1296" w14:textId="77777777" w:rsidR="003E4086" w:rsidRPr="00A86A84" w:rsidRDefault="003E4086" w:rsidP="003E408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>Saldo handlu zagranicznego miało negatywny wpływ na tempo wzrostu gospodarczego</w:t>
                      </w:r>
                    </w:p>
                    <w:p w14:paraId="670EEFB6" w14:textId="77777777" w:rsidR="003E4086" w:rsidRPr="00172253" w:rsidRDefault="003E4086" w:rsidP="003E408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26FB9372" w14:textId="77777777" w:rsidR="003E4086" w:rsidRPr="001036E7" w:rsidRDefault="003E4086" w:rsidP="003E408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37FF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EC34AB5" wp14:editId="2CDFF123">
                <wp:simplePos x="0" y="0"/>
                <wp:positionH relativeFrom="page">
                  <wp:posOffset>5722718</wp:posOffset>
                </wp:positionH>
                <wp:positionV relativeFrom="paragraph">
                  <wp:posOffset>1030605</wp:posOffset>
                </wp:positionV>
                <wp:extent cx="1793240" cy="773430"/>
                <wp:effectExtent l="0" t="0" r="0" b="0"/>
                <wp:wrapTight wrapText="bothSides">
                  <wp:wrapPolygon edited="0">
                    <wp:start x="688" y="0"/>
                    <wp:lineTo x="688" y="20749"/>
                    <wp:lineTo x="20881" y="20749"/>
                    <wp:lineTo x="20881" y="0"/>
                    <wp:lineTo x="6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170D0" w14:textId="77777777" w:rsidR="00BE37FF" w:rsidRPr="00A86A84" w:rsidRDefault="00BE37FF" w:rsidP="00BE37FF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>Tempo wzrostu popytu inwestycyjnego było największe od I kwartału 2015 r., kiedy to zanotowano wzrost o 12,7 % r/r</w:t>
                            </w:r>
                          </w:p>
                          <w:p w14:paraId="36E21985" w14:textId="7777777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AF9E5C6" w14:textId="7777777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34AB5" id="Pole tekstowe 15" o:spid="_x0000_s1030" type="#_x0000_t202" style="position:absolute;margin-left:450.6pt;margin-top:81.15pt;width:141.2pt;height:60.9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" filled="f" stroked="f">
                <v:textbox>
                  <w:txbxContent>
                    <w:p w14:paraId="48D170D0" w14:textId="77777777" w:rsidR="00BE37FF" w:rsidRPr="00A86A84" w:rsidRDefault="00BE37FF" w:rsidP="00BE37FF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>Tempo wzrostu popytu inwestycyjnego było największe od I kwartału 2015 r., kiedy to zanotowano wzrost o 12,7 % r/r</w:t>
                      </w:r>
                    </w:p>
                    <w:p w14:paraId="36E21985" w14:textId="7777777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AF9E5C6" w14:textId="7777777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37FF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7EDE1EF" wp14:editId="19622DE3">
                <wp:simplePos x="0" y="0"/>
                <wp:positionH relativeFrom="page">
                  <wp:posOffset>5723206</wp:posOffset>
                </wp:positionH>
                <wp:positionV relativeFrom="paragraph">
                  <wp:posOffset>19490</wp:posOffset>
                </wp:positionV>
                <wp:extent cx="1793240" cy="773430"/>
                <wp:effectExtent l="0" t="0" r="0" b="0"/>
                <wp:wrapTight wrapText="bothSides">
                  <wp:wrapPolygon edited="0">
                    <wp:start x="688" y="0"/>
                    <wp:lineTo x="688" y="20749"/>
                    <wp:lineTo x="20881" y="20749"/>
                    <wp:lineTo x="20881" y="0"/>
                    <wp:lineTo x="688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2B57E" w14:textId="77777777" w:rsidR="00BE37FF" w:rsidRPr="00A86A84" w:rsidRDefault="00BE37FF" w:rsidP="00BE37F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86A84">
                              <w:rPr>
                                <w:color w:val="001D77"/>
                                <w:sz w:val="18"/>
                                <w:szCs w:val="18"/>
                              </w:rPr>
                              <w:t>W I kwartale 2018 r. czynnikiem wzrostu gospodarczego pozostawał popyt krajowy</w:t>
                            </w:r>
                          </w:p>
                          <w:p w14:paraId="1F83F96F" w14:textId="7777777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504DD3C" w14:textId="77777777" w:rsidR="00BE37FF" w:rsidRPr="001036E7" w:rsidRDefault="00BE37FF" w:rsidP="00BE37F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E1EF" id="Pole tekstowe 11" o:spid="_x0000_s1031" type="#_x0000_t202" style="position:absolute;margin-left:450.65pt;margin-top:1.55pt;width:141.2pt;height:60.9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" filled="f" stroked="f">
                <v:textbox>
                  <w:txbxContent>
                    <w:p w14:paraId="5762B57E" w14:textId="77777777" w:rsidR="00BE37FF" w:rsidRPr="00A86A84" w:rsidRDefault="00BE37FF" w:rsidP="00BE37F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86A84">
                        <w:rPr>
                          <w:color w:val="001D77"/>
                          <w:sz w:val="18"/>
                          <w:szCs w:val="18"/>
                        </w:rPr>
                        <w:t>W I kwartale 2018 r. czynnikiem wzrostu gospodarczego pozostawał popyt krajowy</w:t>
                      </w:r>
                    </w:p>
                    <w:p w14:paraId="1F83F96F" w14:textId="7777777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504DD3C" w14:textId="77777777" w:rsidR="00BE37FF" w:rsidRPr="001036E7" w:rsidRDefault="00BE37FF" w:rsidP="00BE37F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0" w:name="_GoBack"/>
      <w:bookmarkEnd w:id="0"/>
      <w:r w:rsidR="00A86A84" w:rsidRPr="00A86A84">
        <w:rPr>
          <w:rFonts w:cs="Arial"/>
          <w:szCs w:val="19"/>
        </w:rPr>
        <w:t xml:space="preserve"> </w:t>
      </w:r>
      <w:r w:rsidR="00A86A84" w:rsidRPr="007E7070">
        <w:rPr>
          <w:rFonts w:cs="Arial"/>
          <w:szCs w:val="19"/>
        </w:rPr>
        <w:t>W I kwartale 201</w:t>
      </w:r>
      <w:r w:rsidR="00A86A84">
        <w:rPr>
          <w:rFonts w:cs="Arial"/>
          <w:szCs w:val="19"/>
        </w:rPr>
        <w:t>8</w:t>
      </w:r>
      <w:r w:rsidR="00A86A84" w:rsidRPr="007E7070">
        <w:rPr>
          <w:rFonts w:cs="Arial"/>
          <w:szCs w:val="19"/>
        </w:rPr>
        <w:t xml:space="preserve"> r. </w:t>
      </w:r>
      <w:r w:rsidR="00A86A84">
        <w:rPr>
          <w:rFonts w:cs="Arial"/>
          <w:szCs w:val="19"/>
        </w:rPr>
        <w:t xml:space="preserve">czynnikiem </w:t>
      </w:r>
      <w:r w:rsidR="00A86A84" w:rsidRPr="007E7070">
        <w:rPr>
          <w:rFonts w:cs="Arial"/>
          <w:szCs w:val="19"/>
        </w:rPr>
        <w:t>wzrost</w:t>
      </w:r>
      <w:r w:rsidR="00A86A84">
        <w:rPr>
          <w:rFonts w:cs="Arial"/>
          <w:szCs w:val="19"/>
        </w:rPr>
        <w:t>u gospodarczego był popyt krajowy</w:t>
      </w:r>
      <w:r w:rsidR="00A86A84" w:rsidRPr="007E7070">
        <w:rPr>
          <w:rFonts w:cs="Arial"/>
          <w:szCs w:val="19"/>
        </w:rPr>
        <w:t xml:space="preserve">, </w:t>
      </w:r>
      <w:r w:rsidR="00A86A84">
        <w:rPr>
          <w:rFonts w:cs="Arial"/>
          <w:szCs w:val="19"/>
        </w:rPr>
        <w:t>którego wzrost w skali roku wyniósł 6,8</w:t>
      </w:r>
      <w:r w:rsidR="00A86A84" w:rsidRPr="007E7070">
        <w:rPr>
          <w:rFonts w:cs="Arial"/>
          <w:szCs w:val="19"/>
        </w:rPr>
        <w:t>% i był wyższy od notowanego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 (wzrost o </w:t>
      </w:r>
      <w:r w:rsidR="00A86A84">
        <w:rPr>
          <w:rFonts w:cs="Arial"/>
          <w:szCs w:val="19"/>
        </w:rPr>
        <w:t xml:space="preserve">5,1 </w:t>
      </w:r>
      <w:r w:rsidR="00A86A84" w:rsidRPr="007E7070">
        <w:rPr>
          <w:rFonts w:cs="Arial"/>
          <w:szCs w:val="19"/>
        </w:rPr>
        <w:t>%). Wpłynął na to</w:t>
      </w:r>
      <w:r w:rsidR="00A86A84">
        <w:rPr>
          <w:rFonts w:cs="Arial"/>
          <w:szCs w:val="19"/>
        </w:rPr>
        <w:t xml:space="preserve"> zdecydowanie </w:t>
      </w:r>
      <w:r w:rsidR="00A86A84" w:rsidRPr="007E7070">
        <w:rPr>
          <w:rFonts w:cs="Arial"/>
          <w:szCs w:val="19"/>
        </w:rPr>
        <w:t>wyższy niż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</w:t>
      </w:r>
      <w:r w:rsidR="00A86A84">
        <w:rPr>
          <w:rFonts w:cs="Arial"/>
          <w:szCs w:val="19"/>
        </w:rPr>
        <w:t xml:space="preserve">17 r. wzrost akumulacji brutto, który wyniósł 21,0 </w:t>
      </w:r>
      <w:r w:rsidR="00A86A84" w:rsidRPr="007E7070">
        <w:rPr>
          <w:rFonts w:cs="Arial"/>
          <w:szCs w:val="19"/>
        </w:rPr>
        <w:t xml:space="preserve">% (wobec </w:t>
      </w:r>
      <w:r w:rsidR="00A86A84">
        <w:rPr>
          <w:rFonts w:cs="Arial"/>
          <w:szCs w:val="19"/>
        </w:rPr>
        <w:t xml:space="preserve">5,5 </w:t>
      </w:r>
      <w:r w:rsidR="00A86A84" w:rsidRPr="007E7070">
        <w:rPr>
          <w:rFonts w:cs="Arial"/>
          <w:szCs w:val="19"/>
        </w:rPr>
        <w:t>%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</w:t>
      </w:r>
      <w:r w:rsidR="00A86A84">
        <w:rPr>
          <w:rFonts w:cs="Arial"/>
          <w:szCs w:val="19"/>
        </w:rPr>
        <w:t xml:space="preserve">ale 2017 r.). Wolniej niż w IV kwartale 2017 r. rosło spożycie ogółem. W I kwartale 2018 r. zwiększyło się ono o 4,5 % (wobec 4,9 % w IV kwartale 2017 r.). </w:t>
      </w:r>
      <w:r w:rsidR="00A86A84" w:rsidRPr="007E7070">
        <w:rPr>
          <w:rFonts w:cs="Arial"/>
          <w:szCs w:val="19"/>
        </w:rPr>
        <w:t xml:space="preserve">Spożycie w sektorze gospodarstw domowych </w:t>
      </w:r>
      <w:r w:rsidR="00A86A84">
        <w:rPr>
          <w:rFonts w:cs="Arial"/>
          <w:szCs w:val="19"/>
        </w:rPr>
        <w:t>zwiększyło się o 4,8 %</w:t>
      </w:r>
      <w:r w:rsidR="00A86A84" w:rsidRPr="007E7070">
        <w:rPr>
          <w:rFonts w:cs="Arial"/>
          <w:szCs w:val="19"/>
        </w:rPr>
        <w:t xml:space="preserve"> i było nie</w:t>
      </w:r>
      <w:r w:rsidR="00624B0F">
        <w:rPr>
          <w:rFonts w:cs="Arial"/>
          <w:szCs w:val="19"/>
        </w:rPr>
        <w:t>co</w:t>
      </w:r>
      <w:r w:rsidR="00A86A84" w:rsidRPr="007E7070">
        <w:rPr>
          <w:rFonts w:cs="Arial"/>
          <w:szCs w:val="19"/>
        </w:rPr>
        <w:t xml:space="preserve"> </w:t>
      </w:r>
      <w:r w:rsidR="00A86A84">
        <w:rPr>
          <w:rFonts w:cs="Arial"/>
          <w:szCs w:val="19"/>
        </w:rPr>
        <w:t>niższe</w:t>
      </w:r>
      <w:r w:rsidR="00A86A84" w:rsidRPr="007E7070">
        <w:rPr>
          <w:rFonts w:cs="Arial"/>
          <w:szCs w:val="19"/>
        </w:rPr>
        <w:t xml:space="preserve"> niż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 (wzrost o </w:t>
      </w:r>
      <w:r w:rsidR="00A86A84">
        <w:rPr>
          <w:rFonts w:cs="Arial"/>
          <w:szCs w:val="19"/>
        </w:rPr>
        <w:t xml:space="preserve">5,0 </w:t>
      </w:r>
      <w:r w:rsidR="00A86A84" w:rsidRPr="007E7070">
        <w:rPr>
          <w:rFonts w:cs="Arial"/>
          <w:szCs w:val="19"/>
        </w:rPr>
        <w:t xml:space="preserve">%). </w:t>
      </w:r>
      <w:r w:rsidR="00A86A84">
        <w:rPr>
          <w:rFonts w:cs="Arial"/>
          <w:szCs w:val="19"/>
        </w:rPr>
        <w:t xml:space="preserve">Zanotowano wysokie tempo wzrostu </w:t>
      </w:r>
      <w:r w:rsidR="00A86A84" w:rsidRPr="007E7070">
        <w:rPr>
          <w:rFonts w:cs="Arial"/>
          <w:szCs w:val="19"/>
        </w:rPr>
        <w:t xml:space="preserve">nakładów brutto na środki trwałe o </w:t>
      </w:r>
      <w:r w:rsidR="00A86A84">
        <w:rPr>
          <w:rFonts w:cs="Arial"/>
          <w:szCs w:val="19"/>
        </w:rPr>
        <w:t>8,1 %.</w:t>
      </w:r>
      <w:r w:rsidR="00A86A84" w:rsidRPr="007E7070">
        <w:rPr>
          <w:rFonts w:cs="Arial"/>
          <w:szCs w:val="19"/>
        </w:rPr>
        <w:t xml:space="preserve"> W efekcie wpływ popytu krajowego na tempo wzrostu gospodarczego wyniósł </w:t>
      </w:r>
      <w:r w:rsidR="00A86A84">
        <w:rPr>
          <w:rFonts w:cs="Arial"/>
          <w:szCs w:val="19"/>
        </w:rPr>
        <w:t>6,4</w:t>
      </w:r>
      <w:r w:rsidR="00A86A84" w:rsidRPr="007E7070">
        <w:rPr>
          <w:rFonts w:cs="Arial"/>
          <w:szCs w:val="19"/>
        </w:rPr>
        <w:t xml:space="preserve"> pkt. proc. (wobec </w:t>
      </w:r>
      <w:r w:rsidR="00A86A84">
        <w:rPr>
          <w:rFonts w:cs="Arial"/>
          <w:szCs w:val="19"/>
        </w:rPr>
        <w:t>4,9</w:t>
      </w:r>
      <w:r w:rsidR="00A86A84" w:rsidRPr="007E7070">
        <w:rPr>
          <w:rFonts w:cs="Arial"/>
          <w:szCs w:val="19"/>
        </w:rPr>
        <w:t xml:space="preserve"> pkt. proc.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r.). Złożył się na to pozytywny wpływ spożycia ogółem, który wyniósł </w:t>
      </w:r>
      <w:r w:rsidR="00A86A84">
        <w:rPr>
          <w:rFonts w:cs="Arial"/>
          <w:szCs w:val="19"/>
        </w:rPr>
        <w:t>+3,6</w:t>
      </w:r>
      <w:r w:rsidR="00A86A84" w:rsidRPr="007E7070">
        <w:rPr>
          <w:rFonts w:cs="Arial"/>
          <w:szCs w:val="19"/>
        </w:rPr>
        <w:t xml:space="preserve"> pkt. proc. (wobec </w:t>
      </w:r>
      <w:r w:rsidR="00A86A84">
        <w:rPr>
          <w:rFonts w:cs="Arial"/>
          <w:szCs w:val="19"/>
        </w:rPr>
        <w:t>+3,4</w:t>
      </w:r>
      <w:r w:rsidR="00A86A84" w:rsidRPr="007E7070">
        <w:rPr>
          <w:rFonts w:cs="Arial"/>
          <w:szCs w:val="19"/>
        </w:rPr>
        <w:t xml:space="preserve"> pkt. proc.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r.), z tego wpływ spożycia w sektorze gospodarstw domowych </w:t>
      </w:r>
      <w:r w:rsidR="00A86A84">
        <w:rPr>
          <w:rFonts w:cs="Arial"/>
          <w:szCs w:val="19"/>
        </w:rPr>
        <w:t>+3,0</w:t>
      </w:r>
      <w:r w:rsidR="00A86A84" w:rsidRPr="007E7070">
        <w:rPr>
          <w:rFonts w:cs="Arial"/>
          <w:szCs w:val="19"/>
        </w:rPr>
        <w:t xml:space="preserve"> pkt. proc. oraz spożycia publicznego </w:t>
      </w:r>
      <w:r w:rsidR="00A86A84">
        <w:rPr>
          <w:rFonts w:cs="Arial"/>
          <w:szCs w:val="19"/>
        </w:rPr>
        <w:t>+0,6</w:t>
      </w:r>
      <w:r w:rsidR="00A86A84" w:rsidRPr="007E7070">
        <w:rPr>
          <w:rFonts w:cs="Arial"/>
          <w:szCs w:val="19"/>
        </w:rPr>
        <w:t xml:space="preserve"> pkt. proc. (odpowiednio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r.: </w:t>
      </w:r>
      <w:r w:rsidR="00A86A84">
        <w:rPr>
          <w:rFonts w:cs="Arial"/>
          <w:szCs w:val="19"/>
        </w:rPr>
        <w:t xml:space="preserve">+2,5 </w:t>
      </w:r>
      <w:r w:rsidR="00A86A84" w:rsidRPr="007E7070">
        <w:rPr>
          <w:rFonts w:cs="Arial"/>
          <w:szCs w:val="19"/>
        </w:rPr>
        <w:t xml:space="preserve">pkt. proc. i </w:t>
      </w:r>
      <w:r w:rsidR="00A86A84">
        <w:rPr>
          <w:rFonts w:cs="Arial"/>
          <w:szCs w:val="19"/>
        </w:rPr>
        <w:t>+0,9</w:t>
      </w:r>
      <w:r w:rsidR="00A86A84" w:rsidRPr="007E7070">
        <w:rPr>
          <w:rFonts w:cs="Arial"/>
          <w:szCs w:val="19"/>
        </w:rPr>
        <w:t xml:space="preserve"> pkt. proc.). </w:t>
      </w:r>
      <w:r w:rsidR="00A86A84">
        <w:rPr>
          <w:rFonts w:cs="Arial"/>
          <w:szCs w:val="19"/>
        </w:rPr>
        <w:t>W</w:t>
      </w:r>
      <w:r w:rsidR="00A86A84" w:rsidRPr="007E7070">
        <w:rPr>
          <w:rFonts w:cs="Arial"/>
          <w:szCs w:val="19"/>
        </w:rPr>
        <w:t xml:space="preserve">pływ popytu inwestycyjnego na wzrost PKB </w:t>
      </w:r>
      <w:r w:rsidR="00A86A84">
        <w:rPr>
          <w:rFonts w:cs="Arial"/>
          <w:szCs w:val="19"/>
        </w:rPr>
        <w:t>wyniósł</w:t>
      </w:r>
      <w:r w:rsidR="00A86A84" w:rsidRPr="007E7070">
        <w:rPr>
          <w:rFonts w:cs="Arial"/>
          <w:szCs w:val="19"/>
        </w:rPr>
        <w:t xml:space="preserve"> (</w:t>
      </w:r>
      <w:r w:rsidR="00A86A84">
        <w:rPr>
          <w:rFonts w:cs="Arial"/>
          <w:szCs w:val="19"/>
        </w:rPr>
        <w:t>+0,9</w:t>
      </w:r>
      <w:r w:rsidR="00A86A84" w:rsidRPr="007E7070">
        <w:rPr>
          <w:rFonts w:cs="Arial"/>
          <w:szCs w:val="19"/>
        </w:rPr>
        <w:t xml:space="preserve"> pkt. proc.) co, przy </w:t>
      </w:r>
      <w:r w:rsidR="00A86A84">
        <w:rPr>
          <w:rFonts w:cs="Arial"/>
          <w:szCs w:val="19"/>
        </w:rPr>
        <w:t xml:space="preserve">pozytywnym </w:t>
      </w:r>
      <w:r w:rsidR="00A86A84" w:rsidRPr="007E7070">
        <w:rPr>
          <w:rFonts w:cs="Arial"/>
          <w:szCs w:val="19"/>
        </w:rPr>
        <w:t xml:space="preserve">wpływie przyrostu rzeczowych środków obrotowych </w:t>
      </w:r>
      <w:r w:rsidR="00A86A84">
        <w:rPr>
          <w:rFonts w:cs="Arial"/>
          <w:szCs w:val="19"/>
        </w:rPr>
        <w:t>(+1,9</w:t>
      </w:r>
      <w:r w:rsidR="00A86A84" w:rsidRPr="007E7070">
        <w:rPr>
          <w:rFonts w:cs="Arial"/>
          <w:szCs w:val="19"/>
        </w:rPr>
        <w:t xml:space="preserve"> pkt. proc.), przełożyło się na pozytywny wpływ akumulacji brutto</w:t>
      </w:r>
      <w:r w:rsidR="00A86A84">
        <w:rPr>
          <w:rFonts w:cs="Arial"/>
          <w:szCs w:val="19"/>
        </w:rPr>
        <w:t xml:space="preserve"> na wzrost PKB</w:t>
      </w:r>
      <w:r w:rsidR="00A86A84" w:rsidRPr="007E7070">
        <w:rPr>
          <w:rFonts w:cs="Arial"/>
          <w:szCs w:val="19"/>
        </w:rPr>
        <w:t xml:space="preserve">, który wyniósł </w:t>
      </w:r>
      <w:r w:rsidR="00A86A84">
        <w:rPr>
          <w:rFonts w:cs="Arial"/>
          <w:szCs w:val="19"/>
        </w:rPr>
        <w:t>2,8</w:t>
      </w:r>
      <w:r w:rsidR="00A86A84" w:rsidRPr="007E7070">
        <w:rPr>
          <w:rFonts w:cs="Arial"/>
          <w:szCs w:val="19"/>
        </w:rPr>
        <w:t xml:space="preserve"> pkt. proc. (wobec </w:t>
      </w:r>
      <w:r w:rsidR="00A86A84">
        <w:rPr>
          <w:rFonts w:cs="Arial"/>
          <w:szCs w:val="19"/>
        </w:rPr>
        <w:t>1,5</w:t>
      </w:r>
      <w:r w:rsidR="00A86A84" w:rsidRPr="007E7070">
        <w:rPr>
          <w:rFonts w:cs="Arial"/>
          <w:szCs w:val="19"/>
        </w:rPr>
        <w:t xml:space="preserve"> pkt. proc. 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r.). W I kwartale br. zanotowano negatywny wpływ eksportu netto na tempo wzrostu gospodarczego, który wyniósł </w:t>
      </w:r>
      <w:r w:rsidR="00A86A84">
        <w:rPr>
          <w:rFonts w:cs="Arial"/>
          <w:szCs w:val="19"/>
        </w:rPr>
        <w:t xml:space="preserve">-1,2 </w:t>
      </w:r>
      <w:r w:rsidR="00A86A84" w:rsidRPr="007E7070">
        <w:rPr>
          <w:rFonts w:cs="Arial"/>
          <w:szCs w:val="19"/>
        </w:rPr>
        <w:t xml:space="preserve">pkt. proc. wobec </w:t>
      </w:r>
      <w:r w:rsidR="00A86A84">
        <w:rPr>
          <w:rFonts w:cs="Arial"/>
          <w:szCs w:val="19"/>
        </w:rPr>
        <w:t xml:space="preserve">neutralnego wpływu </w:t>
      </w:r>
      <w:r w:rsidR="00A86A84" w:rsidRPr="007E7070">
        <w:rPr>
          <w:rFonts w:cs="Arial"/>
          <w:szCs w:val="19"/>
        </w:rPr>
        <w:t>w I</w:t>
      </w:r>
      <w:r w:rsidR="00A86A84">
        <w:rPr>
          <w:rFonts w:cs="Arial"/>
          <w:szCs w:val="19"/>
        </w:rPr>
        <w:t>V</w:t>
      </w:r>
      <w:r w:rsidR="00A86A84" w:rsidRPr="007E7070">
        <w:rPr>
          <w:rFonts w:cs="Arial"/>
          <w:szCs w:val="19"/>
        </w:rPr>
        <w:t xml:space="preserve"> kwartale 2017 r.</w:t>
      </w:r>
    </w:p>
    <w:p w14:paraId="69BCE683" w14:textId="77777777" w:rsidR="00B76F68" w:rsidRDefault="00B76F68" w:rsidP="0082112A">
      <w:pPr>
        <w:rPr>
          <w:b/>
          <w:noProof/>
          <w:spacing w:val="-2"/>
          <w:szCs w:val="19"/>
        </w:rPr>
      </w:pPr>
    </w:p>
    <w:p w14:paraId="437EFA73" w14:textId="77777777" w:rsidR="00F86C71" w:rsidRDefault="00F86C71" w:rsidP="00B76F68">
      <w:pPr>
        <w:rPr>
          <w:b/>
          <w:color w:val="001D77"/>
          <w:szCs w:val="19"/>
        </w:rPr>
      </w:pPr>
    </w:p>
    <w:p w14:paraId="0D949FD3" w14:textId="5CBF623B" w:rsidR="00B76F68" w:rsidRPr="00D61F3E" w:rsidRDefault="00D10765" w:rsidP="00B76F68">
      <w:pPr>
        <w:rPr>
          <w:b/>
          <w:color w:val="001D77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6174831" wp14:editId="03A1B23B">
            <wp:simplePos x="0" y="0"/>
            <wp:positionH relativeFrom="column">
              <wp:posOffset>52705</wp:posOffset>
            </wp:positionH>
            <wp:positionV relativeFrom="paragraph">
              <wp:posOffset>285750</wp:posOffset>
            </wp:positionV>
            <wp:extent cx="5055235" cy="3463925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F68" w:rsidRPr="00D61F3E">
        <w:rPr>
          <w:b/>
          <w:color w:val="001D77"/>
          <w:szCs w:val="19"/>
        </w:rPr>
        <w:t>Wykres 1.</w:t>
      </w:r>
      <w:r w:rsidR="00B76F68" w:rsidRPr="00D61F3E">
        <w:rPr>
          <w:b/>
          <w:color w:val="001D77"/>
          <w:szCs w:val="19"/>
          <w:shd w:val="clear" w:color="auto" w:fill="FFFFFF"/>
        </w:rPr>
        <w:t xml:space="preserve"> Dynamika realna produktu krajowego brutto </w:t>
      </w:r>
      <w:r w:rsidR="00B76F68" w:rsidRPr="00D61F3E">
        <w:rPr>
          <w:b/>
          <w:color w:val="001D77"/>
          <w:szCs w:val="19"/>
          <w:shd w:val="clear" w:color="auto" w:fill="FFFFFF"/>
        </w:rPr>
        <w:br/>
      </w:r>
    </w:p>
    <w:p w14:paraId="2B8BAE3B" w14:textId="77777777" w:rsidR="00A86A84" w:rsidRDefault="00A86A84" w:rsidP="00B76F68">
      <w:pPr>
        <w:pStyle w:val="tytuwykresu"/>
        <w:spacing w:before="240"/>
        <w:rPr>
          <w:color w:val="001D77"/>
          <w:sz w:val="19"/>
          <w:szCs w:val="19"/>
        </w:rPr>
      </w:pPr>
    </w:p>
    <w:p w14:paraId="28A7CF26" w14:textId="77777777" w:rsidR="00A86A84" w:rsidRDefault="00A86A84" w:rsidP="00B76F68">
      <w:pPr>
        <w:pStyle w:val="tytuwykresu"/>
        <w:spacing w:before="240"/>
        <w:rPr>
          <w:color w:val="001D77"/>
          <w:sz w:val="19"/>
          <w:szCs w:val="19"/>
        </w:rPr>
      </w:pPr>
    </w:p>
    <w:p w14:paraId="48C2A3BF" w14:textId="77777777" w:rsidR="00A86A84" w:rsidRDefault="00A86A84" w:rsidP="00B76F68">
      <w:pPr>
        <w:pStyle w:val="tytuwykresu"/>
        <w:spacing w:before="240"/>
        <w:rPr>
          <w:color w:val="001D77"/>
          <w:sz w:val="19"/>
          <w:szCs w:val="19"/>
        </w:rPr>
      </w:pPr>
    </w:p>
    <w:p w14:paraId="6E10A00A" w14:textId="77777777" w:rsidR="00A86A84" w:rsidRDefault="00A86A84" w:rsidP="00B76F68">
      <w:pPr>
        <w:pStyle w:val="tytuwykresu"/>
        <w:spacing w:before="240"/>
        <w:rPr>
          <w:color w:val="001D77"/>
          <w:sz w:val="19"/>
          <w:szCs w:val="19"/>
        </w:rPr>
      </w:pPr>
    </w:p>
    <w:p w14:paraId="0ED88EAE" w14:textId="77777777" w:rsidR="00A86A84" w:rsidRDefault="00A86A84" w:rsidP="00B76F68">
      <w:pPr>
        <w:pStyle w:val="tytuwykresu"/>
        <w:spacing w:before="240"/>
        <w:rPr>
          <w:color w:val="001D77"/>
          <w:sz w:val="19"/>
          <w:szCs w:val="19"/>
        </w:rPr>
      </w:pPr>
    </w:p>
    <w:p w14:paraId="2EB85B7C" w14:textId="53B27073" w:rsidR="00B76F68" w:rsidRDefault="007E1EF1" w:rsidP="00B76F68">
      <w:pPr>
        <w:pStyle w:val="tytuwykresu"/>
        <w:spacing w:before="240"/>
        <w:rPr>
          <w:color w:val="001D7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9E7379B" wp14:editId="11CFE48B">
            <wp:simplePos x="0" y="0"/>
            <wp:positionH relativeFrom="margin">
              <wp:align>right</wp:align>
            </wp:positionH>
            <wp:positionV relativeFrom="paragraph">
              <wp:posOffset>454660</wp:posOffset>
            </wp:positionV>
            <wp:extent cx="5064125" cy="3463925"/>
            <wp:effectExtent l="0" t="0" r="3175" b="3175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F68" w:rsidRPr="00892FAD">
        <w:rPr>
          <w:color w:val="001D77"/>
          <w:sz w:val="19"/>
          <w:szCs w:val="19"/>
        </w:rPr>
        <w:t>Wykres 2.</w:t>
      </w:r>
      <w:r w:rsidR="00B76F68" w:rsidRPr="00892FAD">
        <w:rPr>
          <w:color w:val="001D77"/>
          <w:sz w:val="19"/>
          <w:szCs w:val="19"/>
          <w:shd w:val="clear" w:color="auto" w:fill="FFFFFF"/>
        </w:rPr>
        <w:t xml:space="preserve"> Dynamika realna produktu krajowego brutto wyrównanego sezonowo</w:t>
      </w:r>
      <w:r w:rsidR="00B76F68">
        <w:rPr>
          <w:sz w:val="19"/>
          <w:szCs w:val="19"/>
          <w:shd w:val="clear" w:color="auto" w:fill="FFFFFF"/>
        </w:rPr>
        <w:t xml:space="preserve"> </w:t>
      </w:r>
      <w:r w:rsidR="00B76F68">
        <w:rPr>
          <w:sz w:val="19"/>
          <w:szCs w:val="19"/>
          <w:shd w:val="clear" w:color="auto" w:fill="FFFFFF"/>
        </w:rPr>
        <w:br/>
      </w:r>
      <w:r w:rsidR="00B76F68" w:rsidRPr="00DE52D9">
        <w:rPr>
          <w:color w:val="001D77"/>
          <w:shd w:val="clear" w:color="auto" w:fill="FFFFFF"/>
        </w:rPr>
        <w:t>(kwartał poprzedni = 100)</w:t>
      </w:r>
    </w:p>
    <w:p w14:paraId="0BB2B9C6" w14:textId="4958188B" w:rsidR="00D10765" w:rsidRDefault="00D10765" w:rsidP="00624B0F">
      <w:pPr>
        <w:pStyle w:val="tytuwykresu"/>
        <w:spacing w:before="240"/>
        <w:rPr>
          <w:lang w:eastAsia="pl-PL"/>
        </w:rPr>
      </w:pPr>
    </w:p>
    <w:p w14:paraId="4469D623" w14:textId="77777777" w:rsidR="00B76F68" w:rsidRPr="008D34C9" w:rsidRDefault="00B76F68" w:rsidP="00B76F68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wyrównany sezonowo (kwartał poprzedni = 100, ceny stałe przy roku odniesienia 2010)</w:t>
      </w:r>
    </w:p>
    <w:p w14:paraId="2ADCBE5F" w14:textId="77777777" w:rsidR="00A86A84" w:rsidRPr="00F06B8D" w:rsidRDefault="00A86A84" w:rsidP="00A86A84">
      <w:pPr>
        <w:tabs>
          <w:tab w:val="left" w:pos="284"/>
        </w:tabs>
        <w:spacing w:before="360" w:line="264" w:lineRule="auto"/>
        <w:jc w:val="both"/>
        <w:rPr>
          <w:rFonts w:cs="Arial"/>
          <w:i/>
          <w:szCs w:val="19"/>
        </w:rPr>
      </w:pPr>
      <w:r w:rsidRPr="00F06B8D">
        <w:rPr>
          <w:rFonts w:cs="Arial"/>
          <w:szCs w:val="19"/>
        </w:rPr>
        <w:t>W porównaniu z poprzednim kwartałem, w I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PKB wyrównany sezonowo zwiększył się realnie o </w:t>
      </w:r>
      <w:r>
        <w:rPr>
          <w:rFonts w:cs="Arial"/>
          <w:szCs w:val="19"/>
        </w:rPr>
        <w:t>1,6</w:t>
      </w:r>
      <w:r w:rsidRPr="00F06B8D">
        <w:rPr>
          <w:rFonts w:cs="Arial"/>
          <w:szCs w:val="19"/>
        </w:rPr>
        <w:t>%.</w:t>
      </w:r>
    </w:p>
    <w:p w14:paraId="717FFAC8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Wartość dodana brutto w gospodarce narodowej 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</w:t>
      </w:r>
      <w:r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14:paraId="55C4B44E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 przemyśle wartość dodana brutto 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realnie o </w:t>
      </w:r>
      <w:r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14:paraId="7645F2AB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Wartość dodana brutto w budownictwie 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>
        <w:rPr>
          <w:rFonts w:cs="Arial"/>
          <w:szCs w:val="19"/>
        </w:rPr>
        <w:t>5,7</w:t>
      </w:r>
      <w:r w:rsidRPr="00F06B8D">
        <w:rPr>
          <w:rFonts w:cs="Arial"/>
          <w:szCs w:val="19"/>
        </w:rPr>
        <w:t>%.</w:t>
      </w:r>
    </w:p>
    <w:p w14:paraId="747B7E42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wzrosła realnie o </w:t>
      </w:r>
      <w:r>
        <w:rPr>
          <w:rFonts w:cs="Arial"/>
          <w:szCs w:val="19"/>
        </w:rPr>
        <w:t>2,0</w:t>
      </w:r>
      <w:r w:rsidRPr="00F06B8D">
        <w:rPr>
          <w:rFonts w:cs="Arial"/>
          <w:szCs w:val="19"/>
        </w:rPr>
        <w:t xml:space="preserve">%, w transporcie o </w:t>
      </w:r>
      <w:r>
        <w:rPr>
          <w:rFonts w:cs="Arial"/>
          <w:szCs w:val="19"/>
        </w:rPr>
        <w:t>0,9</w:t>
      </w:r>
      <w:r w:rsidRPr="00F06B8D">
        <w:rPr>
          <w:rFonts w:cs="Arial"/>
          <w:szCs w:val="19"/>
        </w:rPr>
        <w:t xml:space="preserve">%, </w:t>
      </w:r>
      <w:r w:rsidRPr="00F06B8D">
        <w:rPr>
          <w:rFonts w:cs="Arial"/>
          <w:szCs w:val="19"/>
        </w:rPr>
        <w:br/>
        <w:t xml:space="preserve">a w działalności finansowej i ubezpieczeniowej </w:t>
      </w:r>
      <w:r>
        <w:rPr>
          <w:rFonts w:cs="Arial"/>
          <w:szCs w:val="19"/>
        </w:rPr>
        <w:t>wzrost</w:t>
      </w:r>
      <w:r w:rsidRPr="00F06B8D">
        <w:rPr>
          <w:rFonts w:cs="Arial"/>
          <w:szCs w:val="19"/>
        </w:rPr>
        <w:t xml:space="preserve"> wartości dodanej </w:t>
      </w:r>
      <w:r>
        <w:rPr>
          <w:rFonts w:cs="Arial"/>
          <w:szCs w:val="19"/>
        </w:rPr>
        <w:t>brutto zmniejszyła się o 0,7</w:t>
      </w:r>
      <w:r w:rsidRPr="00F06B8D">
        <w:rPr>
          <w:rFonts w:cs="Arial"/>
          <w:szCs w:val="19"/>
        </w:rPr>
        <w:t>%.</w:t>
      </w:r>
    </w:p>
    <w:p w14:paraId="40A798CC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>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wzrosła o </w:t>
      </w:r>
      <w:r>
        <w:rPr>
          <w:rFonts w:cs="Arial"/>
          <w:szCs w:val="19"/>
        </w:rPr>
        <w:t>0,1</w:t>
      </w:r>
      <w:r w:rsidRPr="00F06B8D">
        <w:rPr>
          <w:rFonts w:cs="Arial"/>
          <w:szCs w:val="19"/>
        </w:rPr>
        <w:t>%.</w:t>
      </w:r>
    </w:p>
    <w:p w14:paraId="789D9675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wzrósł realnie o </w:t>
      </w:r>
      <w:r>
        <w:rPr>
          <w:rFonts w:cs="Arial"/>
          <w:szCs w:val="19"/>
        </w:rPr>
        <w:t>2,6</w:t>
      </w:r>
      <w:r w:rsidRPr="00F06B8D">
        <w:rPr>
          <w:rFonts w:cs="Arial"/>
          <w:szCs w:val="19"/>
        </w:rPr>
        <w:t>%.</w:t>
      </w:r>
    </w:p>
    <w:p w14:paraId="50A20A3A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Spożycie ogółem 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wzrosło realnie o </w:t>
      </w:r>
      <w:r>
        <w:rPr>
          <w:rFonts w:cs="Arial"/>
          <w:szCs w:val="19"/>
        </w:rPr>
        <w:t>0,9</w:t>
      </w:r>
      <w:r w:rsidRPr="00F06B8D">
        <w:rPr>
          <w:rFonts w:cs="Arial"/>
          <w:szCs w:val="19"/>
        </w:rPr>
        <w:t>%, wzrost spożycia</w:t>
      </w:r>
      <w:r w:rsidRPr="00F06B8D">
        <w:rPr>
          <w:rFonts w:cs="Arial"/>
          <w:szCs w:val="19"/>
        </w:rPr>
        <w:br/>
        <w:t xml:space="preserve"> w sektorze gospodarstw domowych wyniósł realnie </w:t>
      </w:r>
      <w:r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14:paraId="736F397F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>Akumulacja w I kwartale 201</w:t>
      </w:r>
      <w:r>
        <w:rPr>
          <w:rFonts w:cs="Arial"/>
          <w:szCs w:val="19"/>
        </w:rPr>
        <w:t>8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>
        <w:rPr>
          <w:rFonts w:cs="Arial"/>
          <w:szCs w:val="19"/>
        </w:rPr>
        <w:t>13,7</w:t>
      </w:r>
      <w:r w:rsidRPr="00F06B8D">
        <w:rPr>
          <w:rFonts w:cs="Arial"/>
          <w:szCs w:val="19"/>
        </w:rPr>
        <w:t>%.</w:t>
      </w:r>
    </w:p>
    <w:p w14:paraId="0CFDA298" w14:textId="77777777" w:rsidR="00A86A84" w:rsidRPr="00F06B8D" w:rsidRDefault="00A86A84" w:rsidP="00A86A84">
      <w:pPr>
        <w:tabs>
          <w:tab w:val="left" w:pos="284"/>
        </w:tabs>
        <w:spacing w:line="264" w:lineRule="auto"/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lastRenderedPageBreak/>
        <w:t>Nakłady brutto na środki trwałe w I kwartale 201</w:t>
      </w:r>
      <w:r>
        <w:rPr>
          <w:rFonts w:cs="Arial"/>
          <w:szCs w:val="19"/>
        </w:rPr>
        <w:t>7</w:t>
      </w:r>
      <w:r w:rsidRPr="00F06B8D">
        <w:rPr>
          <w:rFonts w:cs="Arial"/>
          <w:szCs w:val="19"/>
        </w:rPr>
        <w:t xml:space="preserve"> r. zwiększyły się realnie o </w:t>
      </w:r>
      <w:r>
        <w:rPr>
          <w:rFonts w:cs="Arial"/>
          <w:szCs w:val="19"/>
        </w:rPr>
        <w:t>2,0</w:t>
      </w:r>
      <w:r w:rsidRPr="00F06B8D">
        <w:rPr>
          <w:rFonts w:cs="Arial"/>
          <w:szCs w:val="19"/>
        </w:rPr>
        <w:t xml:space="preserve">%. </w:t>
      </w:r>
    </w:p>
    <w:p w14:paraId="2B083EF9" w14:textId="77777777" w:rsidR="007E1EF1" w:rsidRDefault="007E1EF1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79535298" w14:textId="77777777" w:rsidR="00A86A84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14:paraId="0C9485F6" w14:textId="77777777" w:rsidR="00A86A84" w:rsidRPr="00F06B8D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4045AD42" w14:textId="72311AC5" w:rsidR="00B76F68" w:rsidRPr="008D34C9" w:rsidRDefault="00B76F68" w:rsidP="00B76F68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195BED25" w14:textId="77777777" w:rsidR="00A86A84" w:rsidRPr="00BD4289" w:rsidRDefault="00A86A84" w:rsidP="00A86A84">
      <w:pPr>
        <w:spacing w:before="360" w:after="360"/>
        <w:rPr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produkt krajowy brutto (PKB)</w:t>
      </w:r>
      <w:r w:rsidRPr="00BD4289">
        <w:rPr>
          <w:rFonts w:cs="Arial"/>
          <w:szCs w:val="19"/>
        </w:rPr>
        <w:t xml:space="preserve"> w I kwartale 201</w:t>
      </w:r>
      <w:r>
        <w:rPr>
          <w:rFonts w:cs="Arial"/>
          <w:szCs w:val="19"/>
        </w:rPr>
        <w:t>8</w:t>
      </w:r>
      <w:r w:rsidRPr="00BD4289">
        <w:rPr>
          <w:rFonts w:cs="Arial"/>
          <w:szCs w:val="19"/>
        </w:rPr>
        <w:t xml:space="preserve"> r. był realnie wyższy o </w:t>
      </w:r>
      <w:r>
        <w:rPr>
          <w:rFonts w:cs="Arial"/>
          <w:szCs w:val="19"/>
        </w:rPr>
        <w:t>5,2</w:t>
      </w:r>
      <w:r w:rsidRPr="00BD4289">
        <w:rPr>
          <w:rFonts w:cs="Arial"/>
          <w:b/>
          <w:szCs w:val="19"/>
        </w:rPr>
        <w:t xml:space="preserve">%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14:paraId="719A6395" w14:textId="69524FEB" w:rsidR="00B76F68" w:rsidRDefault="006C240C" w:rsidP="00B76F68">
      <w:pPr>
        <w:tabs>
          <w:tab w:val="left" w:pos="284"/>
        </w:tabs>
        <w:jc w:val="both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4146244A" wp14:editId="65F469FB">
            <wp:simplePos x="0" y="0"/>
            <wp:positionH relativeFrom="margin">
              <wp:align>right</wp:align>
            </wp:positionH>
            <wp:positionV relativeFrom="paragraph">
              <wp:posOffset>447040</wp:posOffset>
            </wp:positionV>
            <wp:extent cx="5183505" cy="3331845"/>
            <wp:effectExtent l="0" t="0" r="0" b="190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49E">
        <w:rPr>
          <w:b/>
          <w:color w:val="001D77"/>
        </w:rPr>
        <w:t>Wykres 3.</w:t>
      </w:r>
      <w:r w:rsidRPr="00F0349E">
        <w:rPr>
          <w:b/>
          <w:color w:val="001D77"/>
          <w:shd w:val="clear" w:color="auto" w:fill="FFFFFF"/>
        </w:rPr>
        <w:t xml:space="preserve"> Dynamika realna produktu krajowego brutto (analogiczny okres roku poprzedniego = 100, ceny stałe roku poprzedniego)</w:t>
      </w:r>
    </w:p>
    <w:p w14:paraId="4C71E707" w14:textId="39396130" w:rsidR="00B76F68" w:rsidRDefault="00B76F68" w:rsidP="00B76F68">
      <w:pPr>
        <w:tabs>
          <w:tab w:val="left" w:pos="284"/>
        </w:tabs>
        <w:jc w:val="both"/>
        <w:rPr>
          <w:rFonts w:cs="Arial"/>
          <w:szCs w:val="19"/>
        </w:rPr>
      </w:pPr>
    </w:p>
    <w:p w14:paraId="235AA18B" w14:textId="77777777" w:rsidR="00A86A84" w:rsidRPr="00CD493A" w:rsidRDefault="00A86A84" w:rsidP="00A86A84">
      <w:pPr>
        <w:tabs>
          <w:tab w:val="left" w:pos="284"/>
        </w:tabs>
        <w:spacing w:before="240"/>
        <w:jc w:val="both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EF51145" wp14:editId="1AA4798E">
                <wp:simplePos x="0" y="0"/>
                <wp:positionH relativeFrom="page">
                  <wp:posOffset>5685790</wp:posOffset>
                </wp:positionH>
                <wp:positionV relativeFrom="paragraph">
                  <wp:posOffset>1905</wp:posOffset>
                </wp:positionV>
                <wp:extent cx="1802765" cy="1062355"/>
                <wp:effectExtent l="0" t="0" r="0" b="4445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9BFAA" w14:textId="77777777" w:rsidR="00A86A84" w:rsidRPr="00BE2DE5" w:rsidRDefault="00A86A84" w:rsidP="00A86A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Szybsze tempo wzrostu niż przeciętnie w gospodarce narodowej zanotowano w kluczowych segmentach gospodarki tj. przemyśle, budownictwie, handlu i transporcie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51145" id="_x0000_s1034" type="#_x0000_t202" style="position:absolute;left:0;text-align:left;margin-left:447.7pt;margin-top:.15pt;width:141.95pt;height:83.6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" filled="f" stroked="f">
                <v:textbox>
                  <w:txbxContent>
                    <w:p w14:paraId="1699BFAA" w14:textId="77777777" w:rsidR="00A86A84" w:rsidRPr="00BE2DE5" w:rsidRDefault="00A86A84" w:rsidP="00A86A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Szybsze tempo wzrostu niż przeciętnie w gospodarce narodowej zanotowano w kluczowych segmentach gospodarki tj. przemyśle, budownictwie, handlu i transporcie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D493A">
        <w:rPr>
          <w:rFonts w:cs="Arial"/>
          <w:szCs w:val="19"/>
        </w:rPr>
        <w:t>Wartość dodana brutto w gospodarce narodowej w 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porównaniu </w:t>
      </w:r>
      <w:r w:rsidRPr="00CD493A">
        <w:rPr>
          <w:rFonts w:cs="Arial"/>
          <w:szCs w:val="19"/>
        </w:rPr>
        <w:br/>
        <w:t>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była wyższa o </w:t>
      </w:r>
      <w:r>
        <w:rPr>
          <w:rFonts w:cs="Arial"/>
          <w:szCs w:val="19"/>
        </w:rPr>
        <w:t>5,2</w:t>
      </w:r>
      <w:r w:rsidRPr="00CD493A">
        <w:rPr>
          <w:rFonts w:cs="Arial"/>
          <w:szCs w:val="19"/>
        </w:rPr>
        <w:t>%.</w:t>
      </w:r>
    </w:p>
    <w:p w14:paraId="66F42198" w14:textId="77777777" w:rsidR="00A86A84" w:rsidRPr="00CD493A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>
        <w:rPr>
          <w:rFonts w:cs="Arial"/>
          <w:szCs w:val="19"/>
        </w:rPr>
        <w:t>5,3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natomiast w budownictwie była wyższa odpowiednio o </w:t>
      </w:r>
      <w:r>
        <w:rPr>
          <w:rFonts w:cs="Arial"/>
          <w:szCs w:val="19"/>
        </w:rPr>
        <w:t>24,4</w:t>
      </w:r>
      <w:r w:rsidRPr="00CD493A">
        <w:rPr>
          <w:rFonts w:cs="Arial"/>
          <w:szCs w:val="19"/>
        </w:rPr>
        <w:t>%.</w:t>
      </w:r>
    </w:p>
    <w:p w14:paraId="3EB9A4BA" w14:textId="77777777" w:rsidR="00A86A84" w:rsidRPr="00CD493A" w:rsidRDefault="00A86A84" w:rsidP="00A86A84">
      <w:pPr>
        <w:tabs>
          <w:tab w:val="left" w:pos="284"/>
          <w:tab w:val="left" w:pos="6195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>
        <w:rPr>
          <w:rFonts w:cs="Arial"/>
          <w:szCs w:val="19"/>
        </w:rPr>
        <w:t>6,6</w:t>
      </w:r>
      <w:r w:rsidRPr="00CD493A">
        <w:rPr>
          <w:rFonts w:cs="Arial"/>
          <w:szCs w:val="19"/>
        </w:rPr>
        <w:t xml:space="preserve">%, a w transporcie i gospodarce magazynowej  wzrosła o </w:t>
      </w:r>
      <w:r>
        <w:rPr>
          <w:rFonts w:cs="Arial"/>
          <w:szCs w:val="19"/>
        </w:rPr>
        <w:t>7,4</w:t>
      </w:r>
      <w:r w:rsidRPr="00CD493A">
        <w:rPr>
          <w:rFonts w:cs="Arial"/>
          <w:szCs w:val="19"/>
        </w:rPr>
        <w:t>% w porównaniu z analogicznym kwartałem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14:paraId="72F14B9C" w14:textId="77777777" w:rsidR="00A86A84" w:rsidRPr="00CD493A" w:rsidRDefault="00A86A84" w:rsidP="00A86A84">
      <w:pPr>
        <w:tabs>
          <w:tab w:val="left" w:pos="284"/>
          <w:tab w:val="left" w:pos="6195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14,9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</w:t>
      </w:r>
    </w:p>
    <w:p w14:paraId="2DEE89EC" w14:textId="77777777" w:rsidR="00A86A84" w:rsidRPr="00CD493A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>w I kwartale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>
        <w:rPr>
          <w:rFonts w:cs="Arial"/>
          <w:szCs w:val="19"/>
        </w:rPr>
        <w:t>0,7</w:t>
      </w:r>
      <w:r w:rsidRPr="00CD493A">
        <w:rPr>
          <w:rFonts w:cs="Arial"/>
          <w:szCs w:val="19"/>
        </w:rPr>
        <w:t>%.</w:t>
      </w:r>
    </w:p>
    <w:p w14:paraId="332DEC17" w14:textId="77777777" w:rsidR="00A86A84" w:rsidRPr="00CD493A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>Popyt krajowy w 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był wyższy </w:t>
      </w:r>
      <w:r w:rsidRPr="00CD493A">
        <w:rPr>
          <w:rFonts w:cs="Arial"/>
          <w:szCs w:val="19"/>
        </w:rPr>
        <w:br/>
        <w:t xml:space="preserve">o </w:t>
      </w:r>
      <w:r>
        <w:rPr>
          <w:rFonts w:cs="Arial"/>
          <w:szCs w:val="19"/>
        </w:rPr>
        <w:t>6,8</w:t>
      </w:r>
      <w:r w:rsidRPr="00CD493A">
        <w:rPr>
          <w:rFonts w:cs="Arial"/>
          <w:szCs w:val="19"/>
        </w:rPr>
        <w:t>%.</w:t>
      </w:r>
    </w:p>
    <w:p w14:paraId="03C70188" w14:textId="77777777" w:rsidR="00A86A84" w:rsidRPr="00CD493A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t>Spożycie ogółem w 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było wyższe niż przed rokiem o </w:t>
      </w:r>
      <w:r>
        <w:rPr>
          <w:rFonts w:cs="Arial"/>
          <w:szCs w:val="19"/>
        </w:rPr>
        <w:t>4,5</w:t>
      </w:r>
      <w:r w:rsidRPr="00CD493A">
        <w:rPr>
          <w:rFonts w:cs="Arial"/>
          <w:szCs w:val="19"/>
        </w:rPr>
        <w:t xml:space="preserve">%, w tym wzrost spożycia w sektorze gospodarstw domowych wyniósł </w:t>
      </w:r>
      <w:r>
        <w:rPr>
          <w:rFonts w:cs="Arial"/>
          <w:szCs w:val="19"/>
        </w:rPr>
        <w:t>4,8</w:t>
      </w:r>
      <w:r w:rsidRPr="00CD493A">
        <w:rPr>
          <w:rFonts w:cs="Arial"/>
          <w:szCs w:val="19"/>
        </w:rPr>
        <w:t xml:space="preserve">%, a wzrost spożycia publicznego wyniósł </w:t>
      </w:r>
      <w:r>
        <w:rPr>
          <w:rFonts w:cs="Arial"/>
          <w:szCs w:val="19"/>
        </w:rPr>
        <w:t>3,6</w:t>
      </w:r>
      <w:r w:rsidRPr="00CD493A">
        <w:rPr>
          <w:rFonts w:cs="Arial"/>
          <w:szCs w:val="19"/>
        </w:rPr>
        <w:t xml:space="preserve">%. </w:t>
      </w:r>
    </w:p>
    <w:p w14:paraId="0492635A" w14:textId="77777777" w:rsidR="00A86A84" w:rsidRPr="00CD493A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CD493A">
        <w:rPr>
          <w:rFonts w:cs="Arial"/>
          <w:szCs w:val="19"/>
        </w:rPr>
        <w:lastRenderedPageBreak/>
        <w:t>Akumulacja brutto w I kwartale 201</w:t>
      </w:r>
      <w:r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 wzrosła o </w:t>
      </w:r>
      <w:r>
        <w:rPr>
          <w:rFonts w:cs="Arial"/>
          <w:szCs w:val="19"/>
        </w:rPr>
        <w:t>21,0</w:t>
      </w:r>
      <w:r w:rsidRPr="00CD493A">
        <w:rPr>
          <w:rFonts w:cs="Arial"/>
          <w:szCs w:val="19"/>
        </w:rPr>
        <w:t>% w porównaniu z analogicznym okresem 201</w:t>
      </w:r>
      <w:r>
        <w:rPr>
          <w:rFonts w:cs="Arial"/>
          <w:szCs w:val="19"/>
        </w:rPr>
        <w:t>7</w:t>
      </w:r>
      <w:r w:rsidRPr="00CD493A">
        <w:rPr>
          <w:rFonts w:cs="Arial"/>
          <w:szCs w:val="19"/>
        </w:rPr>
        <w:t xml:space="preserve"> r., w tym nakłady brutto na środki trwałe wzrosły o </w:t>
      </w:r>
      <w:r>
        <w:rPr>
          <w:rFonts w:cs="Arial"/>
          <w:szCs w:val="19"/>
        </w:rPr>
        <w:t>8,1</w:t>
      </w:r>
      <w:r w:rsidRPr="00CD493A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>
        <w:rPr>
          <w:rFonts w:cs="Arial"/>
          <w:szCs w:val="19"/>
        </w:rPr>
        <w:t>12,2</w:t>
      </w:r>
      <w:r w:rsidRPr="00CD493A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11,8</w:t>
      </w:r>
      <w:r w:rsidRPr="00CD493A">
        <w:rPr>
          <w:rFonts w:cs="Arial"/>
          <w:szCs w:val="19"/>
        </w:rPr>
        <w:t xml:space="preserve">% przed rokiem. </w:t>
      </w:r>
    </w:p>
    <w:p w14:paraId="7EFA15DC" w14:textId="77777777" w:rsidR="00A86A84" w:rsidRPr="00572E91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32D80F3C" w14:textId="77777777" w:rsidR="00A86A84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25CD31B0" w14:textId="77777777" w:rsidR="00A86A84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5B259287" w14:textId="77777777" w:rsidR="00A86A84" w:rsidRPr="00572E91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</w:t>
      </w:r>
      <w:r w:rsidRPr="00572E91">
        <w:rPr>
          <w:rFonts w:cs="Arial"/>
          <w:szCs w:val="19"/>
        </w:rPr>
        <w:br/>
        <w:t xml:space="preserve">w cenach stałych średniorocznych roku poprzedniego) zawierają tablice 3 i 4. Tablica 5 zawiera wskaźniki skali wpływu poszczególnych kategorii na wzrost realny PKB. </w:t>
      </w:r>
    </w:p>
    <w:p w14:paraId="4B733DC1" w14:textId="77777777" w:rsidR="00A86A84" w:rsidRPr="00572E91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</w:p>
    <w:p w14:paraId="2B349938" w14:textId="1F14E07E" w:rsidR="006C240C" w:rsidRDefault="00A86A84" w:rsidP="00A86A84">
      <w:pPr>
        <w:tabs>
          <w:tab w:val="left" w:pos="284"/>
        </w:tabs>
        <w:jc w:val="both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14:paraId="44B2EEB4" w14:textId="77777777" w:rsidR="00B76F68" w:rsidRDefault="00B76F68" w:rsidP="0082112A">
      <w:pPr>
        <w:rPr>
          <w:b/>
          <w:noProof/>
          <w:spacing w:val="-2"/>
          <w:szCs w:val="19"/>
        </w:rPr>
      </w:pPr>
    </w:p>
    <w:p w14:paraId="0FE7DE26" w14:textId="77777777" w:rsidR="00572E91" w:rsidRPr="00BD4289" w:rsidRDefault="00572E91" w:rsidP="00BD4289">
      <w:pPr>
        <w:spacing w:before="360" w:after="360"/>
        <w:rPr>
          <w:szCs w:val="19"/>
        </w:rPr>
        <w:sectPr w:rsidR="00572E91" w:rsidRPr="00BD4289" w:rsidSect="00FF1FB2">
          <w:headerReference w:type="default" r:id="rId15"/>
          <w:head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A2B0022" w14:textId="6875171D" w:rsidR="00FD37CD" w:rsidRDefault="00FD37CD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F75026" w:rsidRPr="00BE37FF" w14:paraId="3250BD7C" w14:textId="77777777" w:rsidTr="00942DF3">
        <w:trPr>
          <w:trHeight w:val="1912"/>
        </w:trPr>
        <w:tc>
          <w:tcPr>
            <w:tcW w:w="4379" w:type="dxa"/>
          </w:tcPr>
          <w:p w14:paraId="361D9B2A" w14:textId="2C82018A" w:rsidR="00F75026" w:rsidRPr="008F3638" w:rsidRDefault="00F75026" w:rsidP="00F7502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D6687C" w14:textId="77777777" w:rsidR="00F75026" w:rsidRPr="008F3638" w:rsidRDefault="00F75026" w:rsidP="00F750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47328CD" w14:textId="77777777" w:rsidR="00F75026" w:rsidRPr="00BB4F09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14:paraId="10F10C74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0A7778AA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45CBFEA" w14:textId="77777777" w:rsidR="00F75026" w:rsidRPr="008F3638" w:rsidRDefault="00F75026" w:rsidP="00F7502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53B49A7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E8556C0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C5DB75F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E820F31" w14:textId="2C644DC8" w:rsidR="00F75026" w:rsidRPr="0038292F" w:rsidRDefault="00F75026" w:rsidP="00F75026">
      <w:pPr>
        <w:rPr>
          <w:sz w:val="20"/>
          <w:lang w:val="en-US"/>
        </w:rPr>
      </w:pPr>
    </w:p>
    <w:p w14:paraId="3E8DC024" w14:textId="5C12B68B" w:rsidR="00F75026" w:rsidRPr="0038292F" w:rsidRDefault="00F75026" w:rsidP="00F7502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75026" w14:paraId="62D91182" w14:textId="77777777" w:rsidTr="00942DF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10E9C9" w14:textId="77777777" w:rsidR="00F75026" w:rsidRPr="00C91687" w:rsidRDefault="00F75026" w:rsidP="00F750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6E5B384" w14:textId="77777777" w:rsidR="00F75026" w:rsidRPr="00C91687" w:rsidRDefault="00F75026" w:rsidP="00F7502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55248D38" w14:textId="77777777" w:rsidR="00F75026" w:rsidRPr="0081140D" w:rsidRDefault="00F75026" w:rsidP="00F75026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14:paraId="764A7502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hyperlink r:id="rId19" w:history="1">
              <w:r w:rsidRPr="0038292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177BB80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38ECDEFE" wp14:editId="723391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960D507" w14:textId="083A3322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75026" w14:paraId="6EF32165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3C818942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07B8B6F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F579844" wp14:editId="1E7951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EA0EEBA" w14:textId="57C85F97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75026" w14:paraId="1D5A68B3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00551901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BACF1D6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F284714" wp14:editId="373BA9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4C67A9C" w14:textId="076C09D2" w:rsidR="00F75026" w:rsidRDefault="00F75026" w:rsidP="00F7502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06F4D15" w14:textId="28B8F5B0" w:rsidR="00F75026" w:rsidRPr="00001C5B" w:rsidRDefault="00F75026" w:rsidP="00F750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6EDE7A8" wp14:editId="6FDCC4C3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963A" w14:textId="77777777" w:rsidR="00F75026" w:rsidRDefault="00F75026" w:rsidP="00F75026">
                            <w:pPr>
                              <w:rPr>
                                <w:b/>
                              </w:rPr>
                            </w:pPr>
                          </w:p>
                          <w:p w14:paraId="1FA52F33" w14:textId="77777777" w:rsidR="00F75026" w:rsidRPr="00094689" w:rsidRDefault="00F75026" w:rsidP="00F75026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F108262" w14:textId="77777777" w:rsidR="00F75026" w:rsidRPr="007C2125" w:rsidRDefault="00F75026" w:rsidP="00F750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2015-2016</w:t>
                            </w:r>
                          </w:p>
                          <w:p w14:paraId="5766AEAF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9485B8C" w14:textId="77777777" w:rsidR="00F75026" w:rsidRPr="00FD0C1E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7ECD9E3" w14:textId="77777777" w:rsidR="00F75026" w:rsidRPr="00A07A97" w:rsidRDefault="003E4086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246F8CA5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6734BBD" w14:textId="77777777" w:rsidR="00F75026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02D7B88" w14:textId="77777777" w:rsidR="00F75026" w:rsidRPr="00673C26" w:rsidRDefault="003E4086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1BE90380" w14:textId="77777777" w:rsidR="00F75026" w:rsidRDefault="003E4086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14:paraId="5537F8FA" w14:textId="77777777" w:rsidR="00F75026" w:rsidRPr="00685457" w:rsidRDefault="003E4086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14:paraId="5F57607E" w14:textId="77777777" w:rsidR="00F75026" w:rsidRPr="0038292F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E7A8" id="_x0000_s1029" type="#_x0000_t202" style="position:absolute;margin-left:1.5pt;margin-top:33.5pt;width:516.5pt;height:349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7B19963A" w14:textId="77777777" w:rsidR="00F75026" w:rsidRDefault="00F75026" w:rsidP="00F75026">
                      <w:pPr>
                        <w:rPr>
                          <w:b/>
                        </w:rPr>
                      </w:pPr>
                    </w:p>
                    <w:p w14:paraId="1FA52F33" w14:textId="77777777" w:rsidR="00F75026" w:rsidRPr="00094689" w:rsidRDefault="00F75026" w:rsidP="00F75026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14:paraId="1F108262" w14:textId="77777777" w:rsidR="00F75026" w:rsidRPr="007C2125" w:rsidRDefault="00F75026" w:rsidP="00F750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 Głównego Urzędu Statystycznego w sprawie zaktualizowanego szacunku PKB według kwartałów za lata 2015-2016</w:t>
                      </w:r>
                    </w:p>
                    <w:p w14:paraId="5766AEAF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9485B8C" w14:textId="77777777" w:rsidR="00F75026" w:rsidRPr="00FD0C1E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7ECD9E3" w14:textId="77777777" w:rsidR="00F75026" w:rsidRPr="00A07A97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14:paraId="246F8CA5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6734BBD" w14:textId="77777777" w:rsidR="00F75026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02D7B88" w14:textId="77777777" w:rsidR="00F75026" w:rsidRPr="00673C26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14:paraId="1BE90380" w14:textId="77777777" w:rsidR="00F75026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14:paraId="5537F8FA" w14:textId="77777777" w:rsidR="00F75026" w:rsidRPr="00685457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14:paraId="5F57607E" w14:textId="77777777" w:rsidR="00F75026" w:rsidRPr="0038292F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40684486" w:rsidR="00D261A2" w:rsidRPr="00001C5B" w:rsidRDefault="00D261A2" w:rsidP="00E76D26">
      <w:pPr>
        <w:rPr>
          <w:sz w:val="18"/>
        </w:rPr>
      </w:pPr>
    </w:p>
    <w:sectPr w:rsidR="00D261A2" w:rsidRPr="00001C5B" w:rsidSect="00FF1FB2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44AF2" w14:textId="77777777" w:rsidR="00BC66B3" w:rsidRDefault="00BC66B3" w:rsidP="000662E2">
      <w:pPr>
        <w:spacing w:after="0" w:line="240" w:lineRule="auto"/>
      </w:pPr>
      <w:r>
        <w:separator/>
      </w:r>
    </w:p>
  </w:endnote>
  <w:endnote w:type="continuationSeparator" w:id="0">
    <w:p w14:paraId="1CC4C982" w14:textId="77777777" w:rsidR="00BC66B3" w:rsidRDefault="00BC66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C02156-3EED-4A3C-AA20-AB537045D788}"/>
    <w:embedBold r:id="rId2" w:fontKey="{C13A1B01-B1EB-4BCD-BE1C-4B06ADA587BF}"/>
    <w:embedItalic r:id="rId3" w:fontKey="{FEB77E39-372C-42C8-8464-42690392647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C7CAA3E-252C-48E6-9130-4BA7EDDD2BE6}"/>
    <w:embedBold r:id="rId5" w:fontKey="{3D06C926-9FD0-418A-8B33-4A9B7361F841}"/>
    <w:embedItalic r:id="rId6" w:fontKey="{B68ABEDC-4AC1-4CA7-AFE5-5874454F12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606183-D9AA-44D4-AF88-EEB4C7BB3B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5ED64DA-F406-4624-B4B5-186F4FC2432D}"/>
    <w:embedItalic r:id="rId9" w:fontKey="{A4D3A234-72B6-4974-8D80-07DBE23B96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AF20051-B44D-4D11-9B1F-75F5AFF132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148FFB8-7969-479C-9FA2-A9D4C9432371}"/>
    <w:embedBold r:id="rId12" w:fontKey="{903A564D-5CD7-4FDF-9E19-9E8C9046BD7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F5314146-340B-4116-9B02-E1546FE967A4}"/>
    <w:embedBold r:id="rId14" w:fontKey="{32D7198A-7DFB-4F39-84A5-C14DDEC112E2}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5" w:fontKey="{35BE90B1-00F0-4F03-A754-0FD663FC0511}"/>
    <w:embedBold r:id="rId16" w:fontKey="{AD132448-B063-4C8C-A96C-620C41FF2C5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51471" w14:textId="77777777" w:rsidR="00BC66B3" w:rsidRDefault="00BC66B3" w:rsidP="000662E2">
      <w:pPr>
        <w:spacing w:after="0" w:line="240" w:lineRule="auto"/>
      </w:pPr>
      <w:r>
        <w:separator/>
      </w:r>
    </w:p>
  </w:footnote>
  <w:footnote w:type="continuationSeparator" w:id="0">
    <w:p w14:paraId="1F538C3C" w14:textId="77777777" w:rsidR="00BC66B3" w:rsidRDefault="00BC66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D34825D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0510F06C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83BE6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" fillcolor="#d8d8d8 [2732]" stroked="f" strokeweight="1pt">
              <w10:wrap anchorx="page"/>
            </v:rect>
          </w:pict>
        </mc:Fallback>
      </mc:AlternateContent>
    </w:r>
  </w:p>
  <w:p w14:paraId="5F87F20B" w14:textId="25C1949C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89E719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7EE1DA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2060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" fillcolor="#d8d8d8 [2732]" stroked="f" strokeweight="1pt">
              <w10:wrap type="tight"/>
            </v:rect>
          </w:pict>
        </mc:Fallback>
      </mc:AlternateContent>
    </w:r>
    <w:r w:rsidR="00CE5FBF" w:rsidRPr="00CE5FBF">
      <w:rPr>
        <w:noProof/>
        <w:lang w:eastAsia="pl-PL"/>
      </w:rPr>
      <w:drawing>
        <wp:inline distT="0" distB="0" distL="0" distR="0" wp14:anchorId="089A0609" wp14:editId="1847841B">
          <wp:extent cx="2357500" cy="589085"/>
          <wp:effectExtent l="0" t="0" r="5080" b="1905"/>
          <wp:docPr id="7" name="Obraz 7" descr="C:\Users\KonieckiK\AppData\Local\Microsoft\Windows\INetCache\Content.Outlook\5QLG601Y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nieckiK\AppData\Local\Microsoft\Windows\INetCache\Content.Outlook\5QLG601Y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1872" cy="60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7A5469C5" w:rsidR="00F37172" w:rsidRPr="00C97596" w:rsidRDefault="000C7E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885D7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7A5469C5" w:rsidR="00F37172" w:rsidRPr="00C97596" w:rsidRDefault="000C7E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885D71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" o:bullet="t">
        <v:imagedata r:id="rId1" o:title=""/>
      </v:shape>
    </w:pict>
  </w:numPicBullet>
  <w:numPicBullet w:numPicBulletId="1">
    <w:pict>
      <v:shape id="_x0000_i1027" type="#_x0000_t75" style="width:122.55pt;height:122.55pt;visibility:visibl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2F5B93"/>
    <w:multiLevelType w:val="hybridMultilevel"/>
    <w:tmpl w:val="9F3EA9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6E0"/>
    <w:rsid w:val="00031ED0"/>
    <w:rsid w:val="00040776"/>
    <w:rsid w:val="0004582E"/>
    <w:rsid w:val="000470AA"/>
    <w:rsid w:val="00052F16"/>
    <w:rsid w:val="00057B03"/>
    <w:rsid w:val="00057CA1"/>
    <w:rsid w:val="00062FB3"/>
    <w:rsid w:val="000662E2"/>
    <w:rsid w:val="00066883"/>
    <w:rsid w:val="00067B92"/>
    <w:rsid w:val="00074DD8"/>
    <w:rsid w:val="000806F7"/>
    <w:rsid w:val="00087CDB"/>
    <w:rsid w:val="0009213C"/>
    <w:rsid w:val="00094689"/>
    <w:rsid w:val="000B0727"/>
    <w:rsid w:val="000B52CE"/>
    <w:rsid w:val="000C135D"/>
    <w:rsid w:val="000C7EF0"/>
    <w:rsid w:val="000D13D0"/>
    <w:rsid w:val="000D1D43"/>
    <w:rsid w:val="000D225C"/>
    <w:rsid w:val="000D2A5C"/>
    <w:rsid w:val="000D422A"/>
    <w:rsid w:val="000E0918"/>
    <w:rsid w:val="000E6618"/>
    <w:rsid w:val="000F4A56"/>
    <w:rsid w:val="001006D4"/>
    <w:rsid w:val="001011C3"/>
    <w:rsid w:val="001036E7"/>
    <w:rsid w:val="00110D87"/>
    <w:rsid w:val="00113349"/>
    <w:rsid w:val="00114DB9"/>
    <w:rsid w:val="00116087"/>
    <w:rsid w:val="0011642E"/>
    <w:rsid w:val="00130296"/>
    <w:rsid w:val="00131434"/>
    <w:rsid w:val="001423B6"/>
    <w:rsid w:val="00142CA9"/>
    <w:rsid w:val="001448A7"/>
    <w:rsid w:val="00146621"/>
    <w:rsid w:val="00152273"/>
    <w:rsid w:val="001542BB"/>
    <w:rsid w:val="00162325"/>
    <w:rsid w:val="00172253"/>
    <w:rsid w:val="001951DA"/>
    <w:rsid w:val="001B0D9D"/>
    <w:rsid w:val="001B6F2F"/>
    <w:rsid w:val="001C3269"/>
    <w:rsid w:val="001D1DB4"/>
    <w:rsid w:val="001F0374"/>
    <w:rsid w:val="0023016F"/>
    <w:rsid w:val="0023558F"/>
    <w:rsid w:val="00247067"/>
    <w:rsid w:val="00257081"/>
    <w:rsid w:val="002574F9"/>
    <w:rsid w:val="00262883"/>
    <w:rsid w:val="00276811"/>
    <w:rsid w:val="00280C0E"/>
    <w:rsid w:val="00282699"/>
    <w:rsid w:val="002926DF"/>
    <w:rsid w:val="0029469C"/>
    <w:rsid w:val="00296697"/>
    <w:rsid w:val="002A5804"/>
    <w:rsid w:val="002B0472"/>
    <w:rsid w:val="002B6B12"/>
    <w:rsid w:val="002C7705"/>
    <w:rsid w:val="002D4E21"/>
    <w:rsid w:val="002D58BF"/>
    <w:rsid w:val="002E0BB7"/>
    <w:rsid w:val="002E0C25"/>
    <w:rsid w:val="002E6140"/>
    <w:rsid w:val="002E6985"/>
    <w:rsid w:val="002E71B6"/>
    <w:rsid w:val="002F77C8"/>
    <w:rsid w:val="00304F22"/>
    <w:rsid w:val="00306C7C"/>
    <w:rsid w:val="00322EDD"/>
    <w:rsid w:val="00332320"/>
    <w:rsid w:val="003344B0"/>
    <w:rsid w:val="003407F9"/>
    <w:rsid w:val="00347D72"/>
    <w:rsid w:val="003533AD"/>
    <w:rsid w:val="00357611"/>
    <w:rsid w:val="00367237"/>
    <w:rsid w:val="0037077F"/>
    <w:rsid w:val="00373882"/>
    <w:rsid w:val="0038292F"/>
    <w:rsid w:val="003831E2"/>
    <w:rsid w:val="003843DB"/>
    <w:rsid w:val="00393761"/>
    <w:rsid w:val="00394D32"/>
    <w:rsid w:val="00397D18"/>
    <w:rsid w:val="003A1B36"/>
    <w:rsid w:val="003A35BE"/>
    <w:rsid w:val="003B1454"/>
    <w:rsid w:val="003C59E0"/>
    <w:rsid w:val="003C6C8D"/>
    <w:rsid w:val="003D4F95"/>
    <w:rsid w:val="003D5F42"/>
    <w:rsid w:val="003D60A9"/>
    <w:rsid w:val="003D75F2"/>
    <w:rsid w:val="003E4086"/>
    <w:rsid w:val="003E4FD0"/>
    <w:rsid w:val="003F4C97"/>
    <w:rsid w:val="003F7FE6"/>
    <w:rsid w:val="00400193"/>
    <w:rsid w:val="00402C0B"/>
    <w:rsid w:val="0040611C"/>
    <w:rsid w:val="00417F49"/>
    <w:rsid w:val="004212E7"/>
    <w:rsid w:val="0042254A"/>
    <w:rsid w:val="0042446D"/>
    <w:rsid w:val="00427BF8"/>
    <w:rsid w:val="00431C02"/>
    <w:rsid w:val="00434936"/>
    <w:rsid w:val="00437395"/>
    <w:rsid w:val="00445047"/>
    <w:rsid w:val="00463E39"/>
    <w:rsid w:val="00464CB6"/>
    <w:rsid w:val="004657FC"/>
    <w:rsid w:val="004733F6"/>
    <w:rsid w:val="00474E69"/>
    <w:rsid w:val="00483687"/>
    <w:rsid w:val="00491468"/>
    <w:rsid w:val="0049158F"/>
    <w:rsid w:val="004916D2"/>
    <w:rsid w:val="0049621B"/>
    <w:rsid w:val="004B259D"/>
    <w:rsid w:val="004C1895"/>
    <w:rsid w:val="004C6D40"/>
    <w:rsid w:val="004D37DF"/>
    <w:rsid w:val="004D5717"/>
    <w:rsid w:val="004E36D9"/>
    <w:rsid w:val="004E5344"/>
    <w:rsid w:val="004F0C3C"/>
    <w:rsid w:val="004F63FC"/>
    <w:rsid w:val="005026F8"/>
    <w:rsid w:val="00505A92"/>
    <w:rsid w:val="005203F1"/>
    <w:rsid w:val="00521BC3"/>
    <w:rsid w:val="00530DD6"/>
    <w:rsid w:val="00533632"/>
    <w:rsid w:val="0054251F"/>
    <w:rsid w:val="00550618"/>
    <w:rsid w:val="005520D8"/>
    <w:rsid w:val="00556CF1"/>
    <w:rsid w:val="00561C59"/>
    <w:rsid w:val="00572E91"/>
    <w:rsid w:val="005762A7"/>
    <w:rsid w:val="00581CC0"/>
    <w:rsid w:val="00587A72"/>
    <w:rsid w:val="005916D7"/>
    <w:rsid w:val="00596141"/>
    <w:rsid w:val="005A698C"/>
    <w:rsid w:val="005C49AF"/>
    <w:rsid w:val="005D0DDF"/>
    <w:rsid w:val="005D2A63"/>
    <w:rsid w:val="005E0799"/>
    <w:rsid w:val="005F5A80"/>
    <w:rsid w:val="00602518"/>
    <w:rsid w:val="006044FF"/>
    <w:rsid w:val="00607CC5"/>
    <w:rsid w:val="00610CB1"/>
    <w:rsid w:val="00616189"/>
    <w:rsid w:val="0062361C"/>
    <w:rsid w:val="00624080"/>
    <w:rsid w:val="00624B0F"/>
    <w:rsid w:val="00624E07"/>
    <w:rsid w:val="00633014"/>
    <w:rsid w:val="0063437B"/>
    <w:rsid w:val="006364CD"/>
    <w:rsid w:val="0065389A"/>
    <w:rsid w:val="00665892"/>
    <w:rsid w:val="006673CA"/>
    <w:rsid w:val="00673C26"/>
    <w:rsid w:val="006812AF"/>
    <w:rsid w:val="0068327D"/>
    <w:rsid w:val="00690893"/>
    <w:rsid w:val="00694AF0"/>
    <w:rsid w:val="00695E23"/>
    <w:rsid w:val="006A3F3E"/>
    <w:rsid w:val="006B0E9E"/>
    <w:rsid w:val="006B5AE4"/>
    <w:rsid w:val="006C240C"/>
    <w:rsid w:val="006C513B"/>
    <w:rsid w:val="006D3E99"/>
    <w:rsid w:val="006D4054"/>
    <w:rsid w:val="006D49AB"/>
    <w:rsid w:val="006E02EC"/>
    <w:rsid w:val="00720CA9"/>
    <w:rsid w:val="007211B1"/>
    <w:rsid w:val="00736350"/>
    <w:rsid w:val="00746187"/>
    <w:rsid w:val="00747BF9"/>
    <w:rsid w:val="0076254F"/>
    <w:rsid w:val="00764366"/>
    <w:rsid w:val="007801F5"/>
    <w:rsid w:val="00783CA4"/>
    <w:rsid w:val="007842FB"/>
    <w:rsid w:val="00786124"/>
    <w:rsid w:val="0079514B"/>
    <w:rsid w:val="007A2DC1"/>
    <w:rsid w:val="007A4EF4"/>
    <w:rsid w:val="007C2125"/>
    <w:rsid w:val="007C411D"/>
    <w:rsid w:val="007C4F0E"/>
    <w:rsid w:val="007C5AEF"/>
    <w:rsid w:val="007D3319"/>
    <w:rsid w:val="007D335D"/>
    <w:rsid w:val="007D544C"/>
    <w:rsid w:val="007D6DAE"/>
    <w:rsid w:val="007E1968"/>
    <w:rsid w:val="007E1EF1"/>
    <w:rsid w:val="007E3314"/>
    <w:rsid w:val="007E4B03"/>
    <w:rsid w:val="007E7070"/>
    <w:rsid w:val="007F120D"/>
    <w:rsid w:val="007F324B"/>
    <w:rsid w:val="0080553C"/>
    <w:rsid w:val="00805B46"/>
    <w:rsid w:val="00807A5D"/>
    <w:rsid w:val="00811514"/>
    <w:rsid w:val="00812042"/>
    <w:rsid w:val="0082112A"/>
    <w:rsid w:val="008235B4"/>
    <w:rsid w:val="00825DC2"/>
    <w:rsid w:val="00834AD3"/>
    <w:rsid w:val="00843795"/>
    <w:rsid w:val="00847F0F"/>
    <w:rsid w:val="00852448"/>
    <w:rsid w:val="0088258A"/>
    <w:rsid w:val="00885D71"/>
    <w:rsid w:val="00886332"/>
    <w:rsid w:val="00892FAD"/>
    <w:rsid w:val="008A05A9"/>
    <w:rsid w:val="008A26D9"/>
    <w:rsid w:val="008B0038"/>
    <w:rsid w:val="008B1E16"/>
    <w:rsid w:val="008B3A55"/>
    <w:rsid w:val="008B5A4B"/>
    <w:rsid w:val="008C0C29"/>
    <w:rsid w:val="008F3638"/>
    <w:rsid w:val="008F6F31"/>
    <w:rsid w:val="008F74DF"/>
    <w:rsid w:val="009127BA"/>
    <w:rsid w:val="00912F84"/>
    <w:rsid w:val="009227A6"/>
    <w:rsid w:val="00933EC1"/>
    <w:rsid w:val="009358AD"/>
    <w:rsid w:val="00935FAD"/>
    <w:rsid w:val="009530DB"/>
    <w:rsid w:val="00953676"/>
    <w:rsid w:val="00964667"/>
    <w:rsid w:val="009705EE"/>
    <w:rsid w:val="00977927"/>
    <w:rsid w:val="0098135C"/>
    <w:rsid w:val="0098156A"/>
    <w:rsid w:val="009864B7"/>
    <w:rsid w:val="00991BAC"/>
    <w:rsid w:val="00996CD1"/>
    <w:rsid w:val="009A0715"/>
    <w:rsid w:val="009A3017"/>
    <w:rsid w:val="009A6EA0"/>
    <w:rsid w:val="009C113C"/>
    <w:rsid w:val="009C1335"/>
    <w:rsid w:val="009C1AB2"/>
    <w:rsid w:val="009C7251"/>
    <w:rsid w:val="009D4E60"/>
    <w:rsid w:val="009D66EA"/>
    <w:rsid w:val="009E2955"/>
    <w:rsid w:val="009E2E91"/>
    <w:rsid w:val="009E6A52"/>
    <w:rsid w:val="00A075F1"/>
    <w:rsid w:val="00A139F5"/>
    <w:rsid w:val="00A32A01"/>
    <w:rsid w:val="00A32D05"/>
    <w:rsid w:val="00A334DB"/>
    <w:rsid w:val="00A337E2"/>
    <w:rsid w:val="00A365F4"/>
    <w:rsid w:val="00A43F05"/>
    <w:rsid w:val="00A47723"/>
    <w:rsid w:val="00A47D80"/>
    <w:rsid w:val="00A53132"/>
    <w:rsid w:val="00A563F2"/>
    <w:rsid w:val="00A566E8"/>
    <w:rsid w:val="00A67688"/>
    <w:rsid w:val="00A810F9"/>
    <w:rsid w:val="00A86394"/>
    <w:rsid w:val="00A86A84"/>
    <w:rsid w:val="00A86ECC"/>
    <w:rsid w:val="00A86FCC"/>
    <w:rsid w:val="00AA710D"/>
    <w:rsid w:val="00AB317B"/>
    <w:rsid w:val="00AB6D25"/>
    <w:rsid w:val="00AC1CA4"/>
    <w:rsid w:val="00AC6A4B"/>
    <w:rsid w:val="00AE2D4B"/>
    <w:rsid w:val="00AE4F99"/>
    <w:rsid w:val="00AE7699"/>
    <w:rsid w:val="00AF0A5D"/>
    <w:rsid w:val="00AF3F5B"/>
    <w:rsid w:val="00AF7583"/>
    <w:rsid w:val="00B119FA"/>
    <w:rsid w:val="00B14952"/>
    <w:rsid w:val="00B170D5"/>
    <w:rsid w:val="00B258CC"/>
    <w:rsid w:val="00B310DA"/>
    <w:rsid w:val="00B31E5A"/>
    <w:rsid w:val="00B53025"/>
    <w:rsid w:val="00B63DC1"/>
    <w:rsid w:val="00B653AB"/>
    <w:rsid w:val="00B65F9E"/>
    <w:rsid w:val="00B66B19"/>
    <w:rsid w:val="00B76F68"/>
    <w:rsid w:val="00B914E9"/>
    <w:rsid w:val="00B956EE"/>
    <w:rsid w:val="00BA2BA1"/>
    <w:rsid w:val="00BB0128"/>
    <w:rsid w:val="00BB0169"/>
    <w:rsid w:val="00BB18E8"/>
    <w:rsid w:val="00BB4F09"/>
    <w:rsid w:val="00BB52BF"/>
    <w:rsid w:val="00BC66B3"/>
    <w:rsid w:val="00BC6DC1"/>
    <w:rsid w:val="00BD3D40"/>
    <w:rsid w:val="00BD4289"/>
    <w:rsid w:val="00BD4E33"/>
    <w:rsid w:val="00BE2DE5"/>
    <w:rsid w:val="00BE37FF"/>
    <w:rsid w:val="00BF0AE7"/>
    <w:rsid w:val="00C030DE"/>
    <w:rsid w:val="00C04CF9"/>
    <w:rsid w:val="00C10066"/>
    <w:rsid w:val="00C1519D"/>
    <w:rsid w:val="00C22105"/>
    <w:rsid w:val="00C244B6"/>
    <w:rsid w:val="00C26E54"/>
    <w:rsid w:val="00C3702F"/>
    <w:rsid w:val="00C441D6"/>
    <w:rsid w:val="00C46339"/>
    <w:rsid w:val="00C5122A"/>
    <w:rsid w:val="00C5160D"/>
    <w:rsid w:val="00C6453E"/>
    <w:rsid w:val="00C64A37"/>
    <w:rsid w:val="00C7158E"/>
    <w:rsid w:val="00C7250B"/>
    <w:rsid w:val="00C7346B"/>
    <w:rsid w:val="00C77C0E"/>
    <w:rsid w:val="00C85C79"/>
    <w:rsid w:val="00C91687"/>
    <w:rsid w:val="00C924A8"/>
    <w:rsid w:val="00C945FE"/>
    <w:rsid w:val="00C96FAA"/>
    <w:rsid w:val="00C97A04"/>
    <w:rsid w:val="00CA107B"/>
    <w:rsid w:val="00CA484D"/>
    <w:rsid w:val="00CA6CF2"/>
    <w:rsid w:val="00CC5264"/>
    <w:rsid w:val="00CC739E"/>
    <w:rsid w:val="00CD493A"/>
    <w:rsid w:val="00CD58B7"/>
    <w:rsid w:val="00CD6928"/>
    <w:rsid w:val="00CE5FBF"/>
    <w:rsid w:val="00CF4099"/>
    <w:rsid w:val="00CF49E5"/>
    <w:rsid w:val="00D00796"/>
    <w:rsid w:val="00D067B7"/>
    <w:rsid w:val="00D10765"/>
    <w:rsid w:val="00D22FD2"/>
    <w:rsid w:val="00D24BA1"/>
    <w:rsid w:val="00D261A2"/>
    <w:rsid w:val="00D43E5E"/>
    <w:rsid w:val="00D54A72"/>
    <w:rsid w:val="00D616D2"/>
    <w:rsid w:val="00D63B5F"/>
    <w:rsid w:val="00D70EF7"/>
    <w:rsid w:val="00D8397C"/>
    <w:rsid w:val="00D94EED"/>
    <w:rsid w:val="00D96026"/>
    <w:rsid w:val="00DA0B30"/>
    <w:rsid w:val="00DA12B4"/>
    <w:rsid w:val="00DA7C1C"/>
    <w:rsid w:val="00DB147A"/>
    <w:rsid w:val="00DB1B7A"/>
    <w:rsid w:val="00DB24F1"/>
    <w:rsid w:val="00DB42D7"/>
    <w:rsid w:val="00DB562E"/>
    <w:rsid w:val="00DC6708"/>
    <w:rsid w:val="00DD244D"/>
    <w:rsid w:val="00DD6553"/>
    <w:rsid w:val="00DE52D9"/>
    <w:rsid w:val="00E01436"/>
    <w:rsid w:val="00E045BD"/>
    <w:rsid w:val="00E11664"/>
    <w:rsid w:val="00E11AEE"/>
    <w:rsid w:val="00E17B77"/>
    <w:rsid w:val="00E23337"/>
    <w:rsid w:val="00E259EA"/>
    <w:rsid w:val="00E25FC7"/>
    <w:rsid w:val="00E32061"/>
    <w:rsid w:val="00E33141"/>
    <w:rsid w:val="00E42FF9"/>
    <w:rsid w:val="00E4714C"/>
    <w:rsid w:val="00E51AEB"/>
    <w:rsid w:val="00E522A7"/>
    <w:rsid w:val="00E536A0"/>
    <w:rsid w:val="00E54452"/>
    <w:rsid w:val="00E664C5"/>
    <w:rsid w:val="00E671A2"/>
    <w:rsid w:val="00E76D26"/>
    <w:rsid w:val="00E816C9"/>
    <w:rsid w:val="00E82CD8"/>
    <w:rsid w:val="00E876FC"/>
    <w:rsid w:val="00EA61A9"/>
    <w:rsid w:val="00EB1390"/>
    <w:rsid w:val="00EB2C71"/>
    <w:rsid w:val="00EB4340"/>
    <w:rsid w:val="00EB556D"/>
    <w:rsid w:val="00EB5A7D"/>
    <w:rsid w:val="00ED3432"/>
    <w:rsid w:val="00ED55C0"/>
    <w:rsid w:val="00ED682B"/>
    <w:rsid w:val="00ED73E7"/>
    <w:rsid w:val="00EE41D5"/>
    <w:rsid w:val="00F037A4"/>
    <w:rsid w:val="00F06B8D"/>
    <w:rsid w:val="00F12AFF"/>
    <w:rsid w:val="00F17DA1"/>
    <w:rsid w:val="00F27C8F"/>
    <w:rsid w:val="00F32749"/>
    <w:rsid w:val="00F37172"/>
    <w:rsid w:val="00F379E3"/>
    <w:rsid w:val="00F4477E"/>
    <w:rsid w:val="00F53584"/>
    <w:rsid w:val="00F67D8F"/>
    <w:rsid w:val="00F728FF"/>
    <w:rsid w:val="00F75026"/>
    <w:rsid w:val="00F802BE"/>
    <w:rsid w:val="00F806AA"/>
    <w:rsid w:val="00F86024"/>
    <w:rsid w:val="00F8611A"/>
    <w:rsid w:val="00F86C71"/>
    <w:rsid w:val="00F92945"/>
    <w:rsid w:val="00FA049A"/>
    <w:rsid w:val="00FA5128"/>
    <w:rsid w:val="00FB42D4"/>
    <w:rsid w:val="00FB4568"/>
    <w:rsid w:val="00FB5906"/>
    <w:rsid w:val="00FB762F"/>
    <w:rsid w:val="00FC2AED"/>
    <w:rsid w:val="00FD0C1E"/>
    <w:rsid w:val="00FD37CD"/>
    <w:rsid w:val="00FD5EA7"/>
    <w:rsid w:val="00FF1FB2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29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hyperlink" Target="http://stat.gov.pl/metainformacje/slownik-pojec/pojecia-stosowane-w-statystyce-publicznej/6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30" Type="http://schemas.openxmlformats.org/officeDocument/2006/relationships/hyperlink" Target="http://stat.gov.pl/metainformacje/slownik-pojec/pojecia-stosowane-w-statystyce-publicznej/364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Rok%202018\I%20kwarta&#322;\Komuikaty\wykres%20i%20dane_I%20kw%202018_polski%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Rok%202018\I%20kwarta&#322;\Komuikaty\wykres%20i%20dane_I%20kw%202018_polski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9\W6\Rok%202018\I%20kwarta&#322;\Komuikaty\wykres%20i%20dane2_%20I%20kw%20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55584959235491"/>
          <c:y val="0.11671887379692374"/>
          <c:w val="0.85440485076479156"/>
          <c:h val="0.62434193200183796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Produkt krajowy brutto wyrównany sezonowo</c:v>
                </c:pt>
              </c:strCache>
            </c:strRef>
          </c:tx>
          <c:spPr>
            <a:ln w="38100">
              <a:solidFill>
                <a:srgbClr val="009AA6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'PKB1'!$B$3:$J$3</c:f>
              <c:numCache>
                <c:formatCode>0.0</c:formatCode>
                <c:ptCount val="9"/>
                <c:pt idx="0">
                  <c:v>102.9</c:v>
                </c:pt>
                <c:pt idx="1">
                  <c:v>103.4</c:v>
                </c:pt>
                <c:pt idx="2">
                  <c:v>102.4</c:v>
                </c:pt>
                <c:pt idx="3">
                  <c:v>103.3</c:v>
                </c:pt>
                <c:pt idx="4">
                  <c:v>104.6</c:v>
                </c:pt>
                <c:pt idx="5">
                  <c:v>104.2</c:v>
                </c:pt>
                <c:pt idx="6">
                  <c:v>105.5</c:v>
                </c:pt>
                <c:pt idx="7">
                  <c:v>104.4</c:v>
                </c:pt>
                <c:pt idx="8">
                  <c:v>105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Produkt krajowy brutto niewyrównany sezonowo</c:v>
                </c:pt>
              </c:strCache>
            </c:strRef>
          </c:tx>
          <c:spPr>
            <a:ln w="3810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'PKB1'!$B$4:$J$4</c:f>
              <c:numCache>
                <c:formatCode>0.0</c:formatCode>
                <c:ptCount val="9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>
                  <c:v>104.4</c:v>
                </c:pt>
                <c:pt idx="5">
                  <c:v>104</c:v>
                </c:pt>
                <c:pt idx="6">
                  <c:v>105.2</c:v>
                </c:pt>
                <c:pt idx="7">
                  <c:v>104.9</c:v>
                </c:pt>
                <c:pt idx="8">
                  <c:v>105.2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47760144"/>
        <c:axId val="-847757968"/>
      </c:lineChart>
      <c:catAx>
        <c:axId val="-84776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-847757968"/>
        <c:crosses val="autoZero"/>
        <c:auto val="1"/>
        <c:lblAlgn val="ctr"/>
        <c:lblOffset val="100"/>
        <c:noMultiLvlLbl val="0"/>
      </c:catAx>
      <c:valAx>
        <c:axId val="-847757968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-847760144"/>
        <c:crosses val="autoZero"/>
        <c:crossBetween val="midCat"/>
        <c:majorUnit val="1"/>
      </c:valAx>
    </c:plotArea>
    <c:legend>
      <c:legendPos val="b"/>
      <c:legendEntry>
        <c:idx val="0"/>
        <c:txPr>
          <a:bodyPr/>
          <a:lstStyle/>
          <a:p>
            <a:pPr>
              <a:defRPr sz="84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4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</c:legendEntry>
      <c:layout>
        <c:manualLayout>
          <c:xMode val="edge"/>
          <c:yMode val="edge"/>
          <c:x val="1.9539888568878172E-2"/>
          <c:y val="0.90587078558823186"/>
          <c:w val="0.97028431911127389"/>
          <c:h val="5.3576050518437612E-2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041902978910849E-2"/>
          <c:y val="0.10428949323725614"/>
          <c:w val="0.88986856487928556"/>
          <c:h val="0.708182464275018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Produkt krajowy brutto wyrównany sezonowo</c:v>
                </c:pt>
              </c:strCache>
            </c:strRef>
          </c:tx>
          <c:spPr>
            <a:solidFill>
              <a:srgbClr val="009AA6"/>
            </a:solidFill>
            <a:ln w="15875">
              <a:noFill/>
            </a:ln>
          </c:spPr>
          <c:invertIfNegative val="0"/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'PKB1'!$B$5:$J$5</c:f>
              <c:numCache>
                <c:formatCode>0.0</c:formatCode>
                <c:ptCount val="9"/>
                <c:pt idx="0">
                  <c:v>99.8</c:v>
                </c:pt>
                <c:pt idx="1">
                  <c:v>101.2</c:v>
                </c:pt>
                <c:pt idx="2">
                  <c:v>100.2</c:v>
                </c:pt>
                <c:pt idx="3">
                  <c:v>102</c:v>
                </c:pt>
                <c:pt idx="4">
                  <c:v>101.1</c:v>
                </c:pt>
                <c:pt idx="5">
                  <c:v>100.9</c:v>
                </c:pt>
                <c:pt idx="6">
                  <c:v>101.4</c:v>
                </c:pt>
                <c:pt idx="7">
                  <c:v>101</c:v>
                </c:pt>
                <c:pt idx="8">
                  <c:v>101.6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47756880"/>
        <c:axId val="-777840192"/>
      </c:barChart>
      <c:catAx>
        <c:axId val="-847756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-777840192"/>
        <c:crossesAt val="100"/>
        <c:auto val="1"/>
        <c:lblAlgn val="ctr"/>
        <c:lblOffset val="200"/>
        <c:noMultiLvlLbl val="0"/>
      </c:catAx>
      <c:valAx>
        <c:axId val="-777840192"/>
        <c:scaling>
          <c:orientation val="minMax"/>
          <c:max val="102.5"/>
          <c:min val="99.5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/>
              </a:defRPr>
            </a:pPr>
            <a:endParaRPr lang="pl-PL"/>
          </a:p>
        </c:txPr>
        <c:crossAx val="-847756880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844600785848513E-2"/>
          <c:y val="5.1318161888802803E-2"/>
          <c:w val="0.86898131669594203"/>
          <c:h val="0.68024681752941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'DANE DO WYKRESU'!$A$3</c:f>
              <c:strCache>
                <c:ptCount val="1"/>
                <c:pt idx="0">
                  <c:v>Spożycie w sektorze gospodarstw domowych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'DANE DO WYKRESU'!$B$2:$J$2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'DANE DO WYKRESU'!$B$3:$J$3</c:f>
              <c:numCache>
                <c:formatCode>#\ ##0.0</c:formatCode>
                <c:ptCount val="9"/>
                <c:pt idx="0">
                  <c:v>103.4</c:v>
                </c:pt>
                <c:pt idx="1">
                  <c:v>103.3</c:v>
                </c:pt>
                <c:pt idx="2">
                  <c:v>104</c:v>
                </c:pt>
                <c:pt idx="3">
                  <c:v>104.7</c:v>
                </c:pt>
                <c:pt idx="4">
                  <c:v>104.5</c:v>
                </c:pt>
                <c:pt idx="5">
                  <c:v>104.9</c:v>
                </c:pt>
                <c:pt idx="6">
                  <c:v>104.7</c:v>
                </c:pt>
                <c:pt idx="7">
                  <c:v>105</c:v>
                </c:pt>
                <c:pt idx="8">
                  <c:v>104.8</c:v>
                </c:pt>
              </c:numCache>
            </c:numRef>
          </c:val>
        </c:ser>
        <c:ser>
          <c:idx val="1"/>
          <c:order val="1"/>
          <c:tx>
            <c:strRef>
              <c:f>'DANE DO WYKRESU'!$A$4</c:f>
              <c:strCache>
                <c:ptCount val="1"/>
                <c:pt idx="0">
                  <c:v>Nakłady brutto na środki trwałe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'DANE DO WYKRESU'!$B$2:$J$2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'DANE DO WYKRESU'!$B$4:$J$4</c:f>
              <c:numCache>
                <c:formatCode>0.0</c:formatCode>
                <c:ptCount val="9"/>
                <c:pt idx="0">
                  <c:v>90.3</c:v>
                </c:pt>
                <c:pt idx="1">
                  <c:v>95.3</c:v>
                </c:pt>
                <c:pt idx="2">
                  <c:v>93.1</c:v>
                </c:pt>
                <c:pt idx="3">
                  <c:v>89.8</c:v>
                </c:pt>
                <c:pt idx="4" formatCode="General">
                  <c:v>101.4</c:v>
                </c:pt>
                <c:pt idx="5" formatCode="General">
                  <c:v>101.3</c:v>
                </c:pt>
                <c:pt idx="6" formatCode="General">
                  <c:v>103.6</c:v>
                </c:pt>
                <c:pt idx="7" formatCode="General">
                  <c:v>105.4</c:v>
                </c:pt>
                <c:pt idx="8">
                  <c:v>108.1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4"/>
        <c:axId val="-777835840"/>
        <c:axId val="-777839648"/>
      </c:barChart>
      <c:lineChart>
        <c:grouping val="standard"/>
        <c:varyColors val="0"/>
        <c:ser>
          <c:idx val="2"/>
          <c:order val="2"/>
          <c:tx>
            <c:strRef>
              <c:f>'DANE DO WYKRESU'!$A$5</c:f>
              <c:strCache>
                <c:ptCount val="1"/>
                <c:pt idx="0">
                  <c:v>Produkt krajowy brutto</c:v>
                </c:pt>
              </c:strCache>
            </c:strRef>
          </c:tx>
          <c:spPr>
            <a:ln w="63500" cap="rnd">
              <a:solidFill>
                <a:srgbClr val="708B39"/>
              </a:solidFill>
              <a:round/>
            </a:ln>
            <a:effectLst/>
          </c:spPr>
          <c:marker>
            <c:symbol val="none"/>
          </c:marker>
          <c:cat>
            <c:strRef>
              <c:f>'DANE DO WYKRESU'!$B$2:$J$2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'DANE DO WYKRESU'!$B$5:$J$5</c:f>
              <c:numCache>
                <c:formatCode>0.0</c:formatCode>
                <c:ptCount val="9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 formatCode="General">
                  <c:v>104.4</c:v>
                </c:pt>
                <c:pt idx="5" formatCode="General">
                  <c:v>104</c:v>
                </c:pt>
                <c:pt idx="6" formatCode="General">
                  <c:v>105.2</c:v>
                </c:pt>
                <c:pt idx="7" formatCode="General">
                  <c:v>104.9</c:v>
                </c:pt>
                <c:pt idx="8">
                  <c:v>105.2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77835840"/>
        <c:axId val="-777839648"/>
      </c:lineChart>
      <c:catAx>
        <c:axId val="-77783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7839648"/>
        <c:crossesAt val="100"/>
        <c:auto val="1"/>
        <c:lblAlgn val="ctr"/>
        <c:lblOffset val="100"/>
        <c:noMultiLvlLbl val="0"/>
      </c:catAx>
      <c:valAx>
        <c:axId val="-777839648"/>
        <c:scaling>
          <c:orientation val="minMax"/>
          <c:max val="110"/>
          <c:min val="8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7835840"/>
        <c:crosses val="autoZero"/>
        <c:crossBetween val="between"/>
        <c:majorUnit val="2"/>
        <c:minorUnit val="0.4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1914457438382335E-3"/>
          <c:y val="0.85453912082499983"/>
          <c:w val="0.93944757644939347"/>
          <c:h val="0.13415571375725685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F62BD6A-1C30-4BC1-BA0C-E65A809A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1140</Words>
  <Characters>6846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Koniecki Krzysztof</cp:lastModifiedBy>
  <cp:revision>2</cp:revision>
  <cp:lastPrinted>2018-05-30T05:44:00Z</cp:lastPrinted>
  <dcterms:created xsi:type="dcterms:W3CDTF">2018-05-30T05:55:00Z</dcterms:created>
  <dcterms:modified xsi:type="dcterms:W3CDTF">2018-05-30T05:55:00Z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