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Look w:val="04A0" w:firstRow="1" w:lastRow="0" w:firstColumn="1" w:lastColumn="0" w:noHBand="0" w:noVBand="1"/>
      </w:tblPr>
      <w:tblGrid>
        <w:gridCol w:w="1214"/>
        <w:gridCol w:w="5698"/>
        <w:gridCol w:w="3543"/>
      </w:tblGrid>
      <w:tr w:rsidR="00010C45" w:rsidRPr="00D90892" w:rsidTr="001C0FB9">
        <w:tc>
          <w:tcPr>
            <w:tcW w:w="1214" w:type="dxa"/>
          </w:tcPr>
          <w:p w:rsidR="00010C45" w:rsidRPr="00D90892" w:rsidRDefault="00010C45" w:rsidP="006843ED">
            <w:pPr>
              <w:spacing w:before="200" w:after="0" w:line="288" w:lineRule="auto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598805" cy="50419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98" w:type="dxa"/>
          </w:tcPr>
          <w:p w:rsidR="00010C45" w:rsidRPr="00D90892" w:rsidRDefault="00010C45" w:rsidP="006843ED">
            <w:pPr>
              <w:spacing w:before="120" w:after="0" w:line="288" w:lineRule="auto"/>
              <w:ind w:left="62"/>
              <w:jc w:val="both"/>
              <w:rPr>
                <w:rFonts w:ascii="Arial" w:hAnsi="Arial" w:cs="Arial"/>
                <w:b/>
                <w:sz w:val="32"/>
                <w:szCs w:val="28"/>
              </w:rPr>
            </w:pPr>
            <w:r w:rsidRPr="00D90892">
              <w:rPr>
                <w:rFonts w:ascii="Arial" w:hAnsi="Arial" w:cs="Arial"/>
                <w:b/>
                <w:sz w:val="32"/>
                <w:szCs w:val="28"/>
              </w:rPr>
              <w:t xml:space="preserve">GŁÓWNY URZĄD STATYSTYCZNY </w:t>
            </w:r>
          </w:p>
          <w:p w:rsidR="00010C45" w:rsidRPr="00D90892" w:rsidRDefault="006843ED" w:rsidP="006843ED">
            <w:pPr>
              <w:spacing w:before="120" w:after="0" w:line="288" w:lineRule="auto"/>
              <w:ind w:left="62"/>
              <w:rPr>
                <w:rFonts w:ascii="Arial" w:hAnsi="Arial" w:cs="Arial"/>
                <w:b/>
              </w:rPr>
            </w:pPr>
            <w:r w:rsidRPr="00D90892">
              <w:rPr>
                <w:rFonts w:ascii="Arial" w:hAnsi="Arial" w:cs="Arial"/>
                <w:sz w:val="28"/>
                <w:szCs w:val="24"/>
              </w:rPr>
              <w:t xml:space="preserve">Opracowanie sygnalne </w:t>
            </w:r>
          </w:p>
        </w:tc>
        <w:tc>
          <w:tcPr>
            <w:tcW w:w="3543" w:type="dxa"/>
          </w:tcPr>
          <w:p w:rsidR="00010C45" w:rsidRPr="00D90892" w:rsidRDefault="00010C45" w:rsidP="00D1026C">
            <w:pPr>
              <w:spacing w:before="120" w:after="0" w:line="288" w:lineRule="auto"/>
              <w:ind w:left="-125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D90892">
              <w:rPr>
                <w:rFonts w:ascii="Arial" w:hAnsi="Arial" w:cs="Arial"/>
                <w:sz w:val="24"/>
                <w:szCs w:val="24"/>
              </w:rPr>
              <w:t>Warszawa,</w:t>
            </w:r>
            <w:r w:rsidR="00824A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76263">
              <w:rPr>
                <w:rFonts w:ascii="Arial" w:hAnsi="Arial" w:cs="Arial"/>
                <w:sz w:val="24"/>
                <w:szCs w:val="24"/>
              </w:rPr>
              <w:t>2</w:t>
            </w:r>
            <w:r w:rsidR="00D1026C">
              <w:rPr>
                <w:rFonts w:ascii="Arial" w:hAnsi="Arial" w:cs="Arial"/>
                <w:sz w:val="24"/>
                <w:szCs w:val="24"/>
              </w:rPr>
              <w:t>5</w:t>
            </w:r>
            <w:bookmarkStart w:id="0" w:name="_GoBack"/>
            <w:bookmarkEnd w:id="0"/>
            <w:r w:rsidR="006843ED" w:rsidRPr="00D90892">
              <w:rPr>
                <w:rFonts w:ascii="Arial" w:hAnsi="Arial" w:cs="Arial"/>
                <w:sz w:val="24"/>
                <w:szCs w:val="24"/>
              </w:rPr>
              <w:t>.</w:t>
            </w:r>
            <w:r w:rsidR="000A14C0">
              <w:rPr>
                <w:rFonts w:ascii="Arial" w:hAnsi="Arial" w:cs="Arial"/>
                <w:sz w:val="24"/>
                <w:szCs w:val="24"/>
              </w:rPr>
              <w:t>0</w:t>
            </w:r>
            <w:r w:rsidR="00B2710C">
              <w:rPr>
                <w:rFonts w:ascii="Arial" w:hAnsi="Arial" w:cs="Arial"/>
                <w:sz w:val="24"/>
                <w:szCs w:val="24"/>
              </w:rPr>
              <w:t>7</w:t>
            </w:r>
            <w:r w:rsidR="000412FB">
              <w:rPr>
                <w:rFonts w:ascii="Arial" w:hAnsi="Arial" w:cs="Arial"/>
                <w:sz w:val="24"/>
                <w:szCs w:val="24"/>
              </w:rPr>
              <w:t>.201</w:t>
            </w:r>
            <w:r w:rsidR="000A14C0">
              <w:rPr>
                <w:rFonts w:ascii="Arial" w:hAnsi="Arial" w:cs="Arial"/>
                <w:sz w:val="24"/>
                <w:szCs w:val="24"/>
              </w:rPr>
              <w:t>7</w:t>
            </w:r>
            <w:r w:rsidR="00497ADD">
              <w:rPr>
                <w:rFonts w:ascii="Arial" w:hAnsi="Arial" w:cs="Arial"/>
                <w:sz w:val="24"/>
                <w:szCs w:val="24"/>
              </w:rPr>
              <w:t xml:space="preserve"> r.</w:t>
            </w:r>
          </w:p>
        </w:tc>
      </w:tr>
    </w:tbl>
    <w:p w:rsidR="006843ED" w:rsidRPr="00D90892" w:rsidRDefault="006843ED" w:rsidP="00710E85">
      <w:pPr>
        <w:spacing w:after="0" w:line="288" w:lineRule="auto"/>
        <w:ind w:left="142" w:right="96"/>
        <w:jc w:val="center"/>
        <w:rPr>
          <w:rFonts w:ascii="Arial" w:hAnsi="Arial" w:cs="Arial"/>
          <w:b/>
          <w:sz w:val="28"/>
          <w:szCs w:val="24"/>
        </w:rPr>
      </w:pPr>
    </w:p>
    <w:p w:rsidR="00865E3C" w:rsidRPr="0098197B" w:rsidRDefault="00865E3C" w:rsidP="00865E3C">
      <w:pPr>
        <w:pStyle w:val="Nagwek2"/>
        <w:spacing w:line="36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D90892">
        <w:rPr>
          <w:rFonts w:ascii="Arial" w:hAnsi="Arial" w:cs="Arial"/>
          <w:color w:val="auto"/>
          <w:sz w:val="28"/>
          <w:szCs w:val="28"/>
        </w:rPr>
        <w:t xml:space="preserve">Obroty </w:t>
      </w:r>
      <w:r w:rsidR="00FE58B3">
        <w:rPr>
          <w:rFonts w:ascii="Arial" w:hAnsi="Arial" w:cs="Arial"/>
          <w:color w:val="auto"/>
          <w:sz w:val="28"/>
          <w:szCs w:val="28"/>
        </w:rPr>
        <w:t xml:space="preserve">towarowe </w:t>
      </w:r>
      <w:r w:rsidRPr="00D90892">
        <w:rPr>
          <w:rFonts w:ascii="Arial" w:hAnsi="Arial" w:cs="Arial"/>
          <w:color w:val="auto"/>
          <w:sz w:val="28"/>
          <w:szCs w:val="28"/>
        </w:rPr>
        <w:t>handlu zagranicznego ogółem i według krajów</w:t>
      </w:r>
      <w:r w:rsidR="00BE42F6" w:rsidRPr="00D90892">
        <w:rPr>
          <w:rFonts w:ascii="Arial" w:hAnsi="Arial" w:cs="Arial"/>
          <w:color w:val="auto"/>
          <w:sz w:val="28"/>
          <w:szCs w:val="28"/>
        </w:rPr>
        <w:t xml:space="preserve"> </w:t>
      </w:r>
      <w:r w:rsidR="00BE42F6" w:rsidRPr="00D90892">
        <w:rPr>
          <w:rFonts w:ascii="Arial" w:hAnsi="Arial" w:cs="Arial"/>
          <w:color w:val="auto"/>
          <w:sz w:val="28"/>
          <w:szCs w:val="28"/>
        </w:rPr>
        <w:br/>
        <w:t xml:space="preserve">w </w:t>
      </w:r>
      <w:r w:rsidR="00497ADD">
        <w:rPr>
          <w:rFonts w:ascii="Arial" w:hAnsi="Arial" w:cs="Arial"/>
          <w:color w:val="auto"/>
          <w:sz w:val="28"/>
          <w:szCs w:val="28"/>
        </w:rPr>
        <w:t>201</w:t>
      </w:r>
      <w:r w:rsidR="000412FB">
        <w:rPr>
          <w:rFonts w:ascii="Arial" w:hAnsi="Arial" w:cs="Arial"/>
          <w:color w:val="auto"/>
          <w:sz w:val="28"/>
          <w:szCs w:val="28"/>
        </w:rPr>
        <w:t>6</w:t>
      </w:r>
      <w:r w:rsidR="00497ADD">
        <w:rPr>
          <w:rFonts w:ascii="Arial" w:hAnsi="Arial" w:cs="Arial"/>
          <w:color w:val="auto"/>
          <w:sz w:val="28"/>
          <w:szCs w:val="28"/>
        </w:rPr>
        <w:t xml:space="preserve"> r.</w:t>
      </w:r>
    </w:p>
    <w:p w:rsidR="00010C45" w:rsidRDefault="00E85CCD" w:rsidP="00AB4203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865E3C" w:rsidRPr="0098197B">
        <w:rPr>
          <w:rFonts w:ascii="Arial" w:hAnsi="Arial" w:cs="Arial"/>
          <w:b/>
          <w:sz w:val="24"/>
          <w:szCs w:val="24"/>
        </w:rPr>
        <w:t>201</w:t>
      </w:r>
      <w:r w:rsidR="00ED7381" w:rsidRPr="0098197B">
        <w:rPr>
          <w:rFonts w:ascii="Arial" w:hAnsi="Arial" w:cs="Arial"/>
          <w:b/>
          <w:sz w:val="24"/>
          <w:szCs w:val="24"/>
        </w:rPr>
        <w:t>6</w:t>
      </w:r>
      <w:r w:rsidR="00865E3C" w:rsidRPr="0098197B">
        <w:rPr>
          <w:rFonts w:ascii="Arial" w:hAnsi="Arial" w:cs="Arial"/>
          <w:b/>
          <w:sz w:val="24"/>
          <w:szCs w:val="24"/>
        </w:rPr>
        <w:t xml:space="preserve"> r. </w:t>
      </w:r>
      <w:r w:rsidR="008C3CF1">
        <w:rPr>
          <w:rFonts w:ascii="Arial" w:hAnsi="Arial" w:cs="Arial"/>
          <w:b/>
          <w:sz w:val="24"/>
          <w:szCs w:val="24"/>
        </w:rPr>
        <w:t xml:space="preserve">(według danych </w:t>
      </w:r>
      <w:r w:rsidR="00EA3FB6">
        <w:rPr>
          <w:rFonts w:ascii="Arial" w:hAnsi="Arial" w:cs="Arial"/>
          <w:b/>
          <w:sz w:val="24"/>
          <w:szCs w:val="24"/>
        </w:rPr>
        <w:t>ostatecznych</w:t>
      </w:r>
      <w:r w:rsidR="008C3CF1">
        <w:rPr>
          <w:rFonts w:ascii="Arial" w:hAnsi="Arial" w:cs="Arial"/>
          <w:b/>
          <w:sz w:val="24"/>
          <w:szCs w:val="24"/>
        </w:rPr>
        <w:t xml:space="preserve">) </w:t>
      </w:r>
      <w:r w:rsidR="00865E3C" w:rsidRPr="0098197B">
        <w:rPr>
          <w:rFonts w:ascii="Arial" w:hAnsi="Arial" w:cs="Arial"/>
          <w:b/>
          <w:sz w:val="24"/>
          <w:szCs w:val="24"/>
        </w:rPr>
        <w:t xml:space="preserve">eksport w cenach bieżących wyniósł </w:t>
      </w:r>
      <w:r w:rsidR="003A0A07">
        <w:rPr>
          <w:rFonts w:ascii="Arial" w:hAnsi="Arial" w:cs="Arial"/>
          <w:b/>
          <w:sz w:val="24"/>
          <w:szCs w:val="24"/>
        </w:rPr>
        <w:t xml:space="preserve">      </w:t>
      </w:r>
      <w:r w:rsidR="003A0A07" w:rsidRPr="003A0A07">
        <w:rPr>
          <w:rFonts w:ascii="Arial" w:hAnsi="Arial" w:cs="Arial"/>
          <w:b/>
          <w:bCs/>
          <w:color w:val="000000"/>
          <w:sz w:val="24"/>
          <w:szCs w:val="24"/>
        </w:rPr>
        <w:t>803</w:t>
      </w:r>
      <w:r w:rsidR="003A0A0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3A0A07" w:rsidRPr="003A0A07">
        <w:rPr>
          <w:rFonts w:ascii="Arial" w:hAnsi="Arial" w:cs="Arial"/>
          <w:b/>
          <w:bCs/>
          <w:color w:val="000000"/>
          <w:sz w:val="24"/>
          <w:szCs w:val="24"/>
        </w:rPr>
        <w:t>477,8</w:t>
      </w:r>
      <w:r w:rsidR="00865E3C" w:rsidRPr="003A0A07">
        <w:rPr>
          <w:rFonts w:ascii="Arial" w:hAnsi="Arial" w:cs="Arial"/>
          <w:b/>
          <w:sz w:val="24"/>
          <w:szCs w:val="24"/>
        </w:rPr>
        <w:t xml:space="preserve"> mln zł, a import </w:t>
      </w:r>
      <w:r w:rsidR="003A0A07" w:rsidRPr="003A0A07">
        <w:rPr>
          <w:rFonts w:ascii="Arial" w:hAnsi="Arial" w:cs="Arial"/>
          <w:b/>
          <w:bCs/>
          <w:color w:val="000000"/>
          <w:sz w:val="24"/>
          <w:szCs w:val="24"/>
        </w:rPr>
        <w:t>786 470,1</w:t>
      </w:r>
      <w:r w:rsidR="003873D7" w:rsidRPr="003A0A07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865E3C" w:rsidRPr="003A0A07">
        <w:rPr>
          <w:rFonts w:ascii="Arial" w:hAnsi="Arial" w:cs="Arial"/>
          <w:b/>
          <w:sz w:val="24"/>
          <w:szCs w:val="24"/>
        </w:rPr>
        <w:t xml:space="preserve">mln zł. </w:t>
      </w:r>
      <w:r w:rsidR="003873D7" w:rsidRPr="003A0A07">
        <w:rPr>
          <w:rFonts w:ascii="Arial" w:hAnsi="Arial" w:cs="Arial"/>
          <w:b/>
          <w:spacing w:val="-3"/>
          <w:sz w:val="24"/>
          <w:szCs w:val="24"/>
        </w:rPr>
        <w:t>Dodatnie</w:t>
      </w:r>
      <w:r w:rsidR="00865E3C" w:rsidRPr="003A0A07">
        <w:rPr>
          <w:rFonts w:ascii="Arial" w:hAnsi="Arial" w:cs="Arial"/>
          <w:b/>
          <w:spacing w:val="-3"/>
          <w:sz w:val="24"/>
          <w:szCs w:val="24"/>
        </w:rPr>
        <w:t xml:space="preserve"> saldo ukształtowało się </w:t>
      </w:r>
      <w:r w:rsidR="003A0A07">
        <w:rPr>
          <w:rFonts w:ascii="Arial" w:hAnsi="Arial" w:cs="Arial"/>
          <w:b/>
          <w:spacing w:val="-3"/>
          <w:sz w:val="24"/>
          <w:szCs w:val="24"/>
        </w:rPr>
        <w:t xml:space="preserve">             </w:t>
      </w:r>
      <w:r w:rsidR="00865E3C" w:rsidRPr="003A0A07">
        <w:rPr>
          <w:rFonts w:ascii="Arial" w:hAnsi="Arial" w:cs="Arial"/>
          <w:b/>
          <w:spacing w:val="-3"/>
          <w:sz w:val="24"/>
          <w:szCs w:val="24"/>
        </w:rPr>
        <w:t xml:space="preserve">na poziomie </w:t>
      </w:r>
      <w:r w:rsidR="003A0A07" w:rsidRPr="003A0A07">
        <w:rPr>
          <w:rFonts w:ascii="Arial" w:hAnsi="Arial" w:cs="Arial"/>
          <w:b/>
          <w:bCs/>
          <w:color w:val="000000"/>
          <w:sz w:val="24"/>
          <w:szCs w:val="24"/>
        </w:rPr>
        <w:t>17 007,7</w:t>
      </w:r>
      <w:r w:rsidR="003A0A07">
        <w:rPr>
          <w:rFonts w:ascii="Arial" w:hAnsi="Arial" w:cs="Arial"/>
          <w:b/>
          <w:bCs/>
          <w:color w:val="000000"/>
          <w:sz w:val="17"/>
          <w:szCs w:val="17"/>
        </w:rPr>
        <w:t xml:space="preserve"> </w:t>
      </w:r>
      <w:r w:rsidR="00865E3C" w:rsidRPr="003B3D5F">
        <w:rPr>
          <w:rFonts w:ascii="Arial" w:hAnsi="Arial" w:cs="Arial"/>
          <w:b/>
          <w:spacing w:val="-3"/>
          <w:sz w:val="24"/>
          <w:szCs w:val="24"/>
        </w:rPr>
        <w:t>mln zł</w:t>
      </w:r>
      <w:r w:rsidR="00B3331F" w:rsidRPr="003B3D5F">
        <w:rPr>
          <w:rFonts w:ascii="Arial" w:hAnsi="Arial" w:cs="Arial"/>
          <w:b/>
          <w:spacing w:val="-3"/>
          <w:sz w:val="24"/>
          <w:szCs w:val="24"/>
        </w:rPr>
        <w:t xml:space="preserve">, natomiast </w:t>
      </w:r>
      <w:r w:rsidR="003B3D5F" w:rsidRPr="003B3D5F">
        <w:rPr>
          <w:rFonts w:ascii="Arial" w:hAnsi="Arial" w:cs="Arial"/>
          <w:b/>
          <w:spacing w:val="-3"/>
          <w:sz w:val="24"/>
          <w:szCs w:val="24"/>
        </w:rPr>
        <w:t>w</w:t>
      </w:r>
      <w:r w:rsidR="0024539D" w:rsidRPr="003B3D5F">
        <w:rPr>
          <w:rFonts w:ascii="Arial" w:hAnsi="Arial" w:cs="Arial"/>
          <w:b/>
          <w:spacing w:val="-3"/>
          <w:sz w:val="24"/>
          <w:szCs w:val="24"/>
        </w:rPr>
        <w:t xml:space="preserve"> 2015 r.</w:t>
      </w:r>
      <w:r w:rsidR="00B3331F" w:rsidRPr="003B3D5F">
        <w:rPr>
          <w:rFonts w:ascii="Arial" w:hAnsi="Arial" w:cs="Arial"/>
          <w:b/>
          <w:spacing w:val="-3"/>
          <w:sz w:val="24"/>
          <w:szCs w:val="24"/>
        </w:rPr>
        <w:t xml:space="preserve"> wyniosło </w:t>
      </w:r>
      <w:r w:rsidR="003B3D5F" w:rsidRPr="003B3D5F">
        <w:rPr>
          <w:rFonts w:ascii="Arial CE" w:hAnsi="Arial CE" w:cs="Arial CE"/>
          <w:b/>
          <w:sz w:val="24"/>
          <w:szCs w:val="24"/>
        </w:rPr>
        <w:t>9862</w:t>
      </w:r>
      <w:r w:rsidR="003B3D5F">
        <w:rPr>
          <w:rFonts w:ascii="Arial CE" w:hAnsi="Arial CE" w:cs="Arial CE"/>
          <w:b/>
          <w:sz w:val="24"/>
          <w:szCs w:val="24"/>
        </w:rPr>
        <w:t>,5</w:t>
      </w:r>
      <w:r w:rsidR="00B3331F" w:rsidRPr="005F69F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B3331F" w:rsidRPr="00A94411">
        <w:rPr>
          <w:rFonts w:ascii="Arial" w:hAnsi="Arial" w:cs="Arial"/>
          <w:b/>
          <w:spacing w:val="-3"/>
          <w:sz w:val="24"/>
          <w:szCs w:val="24"/>
        </w:rPr>
        <w:t>mln</w:t>
      </w:r>
      <w:r w:rsidR="00B3331F" w:rsidRPr="0098197B">
        <w:rPr>
          <w:rFonts w:ascii="Arial" w:hAnsi="Arial" w:cs="Arial"/>
          <w:b/>
          <w:spacing w:val="-3"/>
          <w:sz w:val="24"/>
          <w:szCs w:val="24"/>
        </w:rPr>
        <w:t xml:space="preserve"> zł.</w:t>
      </w:r>
      <w:r w:rsidR="00865E3C" w:rsidRPr="0098197B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="00865E3C" w:rsidRPr="0098197B">
        <w:rPr>
          <w:rFonts w:ascii="Arial" w:hAnsi="Arial" w:cs="Arial"/>
          <w:b/>
          <w:sz w:val="24"/>
          <w:szCs w:val="24"/>
        </w:rPr>
        <w:t>W</w:t>
      </w:r>
      <w:r w:rsidR="001F2EC9" w:rsidRPr="0098197B">
        <w:rPr>
          <w:rFonts w:ascii="Arial" w:hAnsi="Arial" w:cs="Arial"/>
          <w:b/>
          <w:sz w:val="24"/>
          <w:szCs w:val="24"/>
        </w:rPr>
        <w:t> </w:t>
      </w:r>
      <w:r w:rsidR="00865E3C" w:rsidRPr="0098197B">
        <w:rPr>
          <w:rFonts w:ascii="Arial" w:hAnsi="Arial" w:cs="Arial"/>
          <w:b/>
          <w:sz w:val="24"/>
          <w:szCs w:val="24"/>
        </w:rPr>
        <w:t xml:space="preserve">porównaniu z </w:t>
      </w:r>
      <w:r w:rsidR="00865E3C" w:rsidRPr="00D90892">
        <w:rPr>
          <w:rFonts w:ascii="Arial" w:hAnsi="Arial" w:cs="Arial"/>
          <w:b/>
          <w:spacing w:val="-3"/>
          <w:sz w:val="24"/>
        </w:rPr>
        <w:t>201</w:t>
      </w:r>
      <w:r w:rsidR="00ED7381">
        <w:rPr>
          <w:rFonts w:ascii="Arial" w:hAnsi="Arial" w:cs="Arial"/>
          <w:b/>
          <w:spacing w:val="-3"/>
          <w:sz w:val="24"/>
        </w:rPr>
        <w:t>5</w:t>
      </w:r>
      <w:r w:rsidR="00865E3C" w:rsidRPr="00D90892">
        <w:rPr>
          <w:rFonts w:ascii="Arial" w:hAnsi="Arial" w:cs="Arial"/>
          <w:b/>
          <w:spacing w:val="-3"/>
          <w:sz w:val="24"/>
        </w:rPr>
        <w:t xml:space="preserve"> r.</w:t>
      </w:r>
      <w:r w:rsidR="00865E3C" w:rsidRPr="00D90892">
        <w:rPr>
          <w:rFonts w:ascii="Arial" w:hAnsi="Arial" w:cs="Arial"/>
          <w:b/>
          <w:sz w:val="24"/>
        </w:rPr>
        <w:t xml:space="preserve"> eksport </w:t>
      </w:r>
      <w:r w:rsidR="00C9324D">
        <w:rPr>
          <w:rFonts w:ascii="Arial" w:hAnsi="Arial" w:cs="Arial"/>
          <w:b/>
          <w:sz w:val="24"/>
        </w:rPr>
        <w:t>wzrósł</w:t>
      </w:r>
      <w:r w:rsidR="00865E3C" w:rsidRPr="00D90892">
        <w:rPr>
          <w:rFonts w:ascii="Arial" w:hAnsi="Arial" w:cs="Arial"/>
          <w:b/>
          <w:sz w:val="24"/>
        </w:rPr>
        <w:t xml:space="preserve"> o </w:t>
      </w:r>
      <w:r w:rsidR="003A0A07">
        <w:rPr>
          <w:rFonts w:ascii="Arial" w:hAnsi="Arial" w:cs="Arial"/>
          <w:b/>
          <w:sz w:val="24"/>
        </w:rPr>
        <w:t>7,0</w:t>
      </w:r>
      <w:r w:rsidR="00865E3C" w:rsidRPr="00D90892">
        <w:rPr>
          <w:rFonts w:ascii="Arial" w:hAnsi="Arial" w:cs="Arial"/>
          <w:b/>
          <w:sz w:val="24"/>
        </w:rPr>
        <w:t xml:space="preserve">%, </w:t>
      </w:r>
      <w:r w:rsidR="00B3331F">
        <w:rPr>
          <w:rFonts w:ascii="Arial" w:hAnsi="Arial" w:cs="Arial"/>
          <w:b/>
          <w:sz w:val="24"/>
        </w:rPr>
        <w:t xml:space="preserve">a </w:t>
      </w:r>
      <w:r w:rsidR="00865E3C" w:rsidRPr="00D90892">
        <w:rPr>
          <w:rFonts w:ascii="Arial" w:hAnsi="Arial" w:cs="Arial"/>
          <w:b/>
          <w:sz w:val="24"/>
        </w:rPr>
        <w:t xml:space="preserve">import </w:t>
      </w:r>
      <w:r w:rsidR="00987AFE">
        <w:rPr>
          <w:rFonts w:ascii="Arial" w:hAnsi="Arial" w:cs="Arial"/>
          <w:b/>
          <w:sz w:val="24"/>
        </w:rPr>
        <w:t>był wyższy</w:t>
      </w:r>
      <w:r w:rsidR="003873D7">
        <w:rPr>
          <w:rFonts w:ascii="Arial" w:hAnsi="Arial" w:cs="Arial"/>
          <w:b/>
          <w:sz w:val="24"/>
        </w:rPr>
        <w:t xml:space="preserve"> </w:t>
      </w:r>
      <w:r w:rsidR="00865E3C" w:rsidRPr="00D90892">
        <w:rPr>
          <w:rFonts w:ascii="Arial" w:hAnsi="Arial" w:cs="Arial"/>
          <w:b/>
          <w:sz w:val="24"/>
        </w:rPr>
        <w:t xml:space="preserve">o </w:t>
      </w:r>
      <w:r w:rsidR="003A0A07">
        <w:rPr>
          <w:rFonts w:ascii="Arial" w:hAnsi="Arial" w:cs="Arial"/>
          <w:b/>
          <w:sz w:val="24"/>
        </w:rPr>
        <w:t>6,1</w:t>
      </w:r>
      <w:r w:rsidR="00865E3C" w:rsidRPr="00D90892">
        <w:rPr>
          <w:rFonts w:ascii="Arial" w:hAnsi="Arial" w:cs="Arial"/>
          <w:b/>
          <w:sz w:val="24"/>
        </w:rPr>
        <w:t>%.</w:t>
      </w:r>
    </w:p>
    <w:p w:rsidR="00733AB7" w:rsidRPr="00A94411" w:rsidRDefault="00733AB7" w:rsidP="00AB4203">
      <w:pPr>
        <w:jc w:val="both"/>
        <w:rPr>
          <w:rFonts w:ascii="Arial CE" w:hAnsi="Arial CE" w:cs="Arial CE"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134"/>
        <w:gridCol w:w="992"/>
        <w:gridCol w:w="992"/>
        <w:gridCol w:w="709"/>
        <w:gridCol w:w="709"/>
        <w:gridCol w:w="708"/>
        <w:gridCol w:w="709"/>
        <w:gridCol w:w="709"/>
      </w:tblGrid>
      <w:tr w:rsidR="00EA3FB6" w:rsidRPr="00D90892" w:rsidTr="00C34A86">
        <w:tc>
          <w:tcPr>
            <w:tcW w:w="30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FB6" w:rsidRPr="00D90892" w:rsidRDefault="00EA3FB6" w:rsidP="00EA440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FB6" w:rsidRPr="00D90892" w:rsidRDefault="00EA3FB6" w:rsidP="00497AD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FB6" w:rsidRPr="00D90892" w:rsidRDefault="00EA3FB6" w:rsidP="00ED7381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EA3FB6" w:rsidRPr="00D90892" w:rsidTr="00C34A86">
        <w:tc>
          <w:tcPr>
            <w:tcW w:w="3085" w:type="dxa"/>
            <w:vMerge/>
            <w:tcBorders>
              <w:right w:val="single" w:sz="4" w:space="0" w:color="auto"/>
            </w:tcBorders>
          </w:tcPr>
          <w:p w:rsidR="00EA3FB6" w:rsidRPr="00D90892" w:rsidRDefault="00EA3FB6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ZŁ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USD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E97462">
            <w:pPr>
              <w:spacing w:after="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90892">
              <w:rPr>
                <w:rFonts w:ascii="Arial" w:hAnsi="Arial" w:cs="Arial"/>
                <w:b/>
                <w:sz w:val="17"/>
                <w:szCs w:val="17"/>
              </w:rPr>
              <w:t>w mln EUR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EA440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EA440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EA440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65E3C" w:rsidRPr="00D90892" w:rsidTr="00C34A86">
        <w:tc>
          <w:tcPr>
            <w:tcW w:w="308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D90892" w:rsidRDefault="00865E3C" w:rsidP="00E97462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D90892" w:rsidRDefault="00865E3C" w:rsidP="00E97462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C34A86" w:rsidRPr="00D90892" w:rsidTr="00C34A86">
        <w:tc>
          <w:tcPr>
            <w:tcW w:w="30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Eksport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803 477,8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205 047,7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184 842,9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693 533,8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177 049,1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159 573,6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85,7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86,3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 w:rsidRPr="00EA3FB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641 310,3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163 739,4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147 563,6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79,8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 w:rsidRPr="00EA3FB6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454 565,9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116 051,7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104 589,0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107,3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56,4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56,6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66 044,6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16 818,1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15 179,2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97,8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93,8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93,9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8,2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43 899,4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11 180,5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10 090,1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106,3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5,5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A73989" w:rsidRDefault="00A73989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40F79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786 470,1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200 672,4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180 924,6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101,5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100,0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536 594,2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136 997,6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123 453,5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66,9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68,2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w tym UE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140F79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481 666,6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122 994,2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110 818,7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61,2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385 550,8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98 458,1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88 708,2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103,9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47,9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49,0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193 118,7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49 199,5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44 404,3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101,6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24,5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24,6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140F79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40F79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40F7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0F79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56 757,2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14 475,3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13 066,8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89,3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85,2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7,2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A73989" w:rsidRDefault="00A73989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17 007,7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4 375,3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3 918,3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FA1BE0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156 939,6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40 051,5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36 120,1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159 643,7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40 745,2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36 744,9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69 015,1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17 593,6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15 880,8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-127 074,1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-32 381,4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-29 225,1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C34A86" w:rsidRPr="00D90892" w:rsidTr="00C34A86">
        <w:tc>
          <w:tcPr>
            <w:tcW w:w="3085" w:type="dxa"/>
            <w:tcBorders>
              <w:right w:val="single" w:sz="4" w:space="0" w:color="auto"/>
            </w:tcBorders>
            <w:vAlign w:val="center"/>
          </w:tcPr>
          <w:p w:rsidR="00C34A86" w:rsidRPr="00D90892" w:rsidRDefault="00C34A86" w:rsidP="00C34A8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-12 857,8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-3 294,8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A86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-2 976,7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vAlign w:val="bottom"/>
          </w:tcPr>
          <w:p w:rsidR="00C34A86" w:rsidRPr="00FA1BE0" w:rsidRDefault="00C34A86" w:rsidP="00C34A8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FA1BE0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9E4D13" w:rsidRDefault="009E4D13" w:rsidP="00A935C9">
      <w:pPr>
        <w:jc w:val="both"/>
        <w:rPr>
          <w:rFonts w:ascii="Arial" w:hAnsi="Arial" w:cs="Arial"/>
          <w:b/>
          <w:spacing w:val="-3"/>
        </w:rPr>
      </w:pPr>
    </w:p>
    <w:p w:rsidR="00E420F2" w:rsidRPr="00041D3F" w:rsidRDefault="00817E2F" w:rsidP="00041D3F">
      <w:pPr>
        <w:jc w:val="both"/>
        <w:rPr>
          <w:rFonts w:ascii="Arial CE" w:hAnsi="Arial CE" w:cs="Arial CE"/>
          <w:sz w:val="16"/>
          <w:szCs w:val="16"/>
        </w:rPr>
      </w:pPr>
      <w:r w:rsidRPr="00D90892">
        <w:rPr>
          <w:rFonts w:ascii="Arial" w:hAnsi="Arial" w:cs="Arial"/>
          <w:b/>
          <w:spacing w:val="-3"/>
        </w:rPr>
        <w:t>Eksport wyrażony w dolarach USA</w:t>
      </w:r>
      <w:r w:rsidRPr="00D90892">
        <w:rPr>
          <w:rFonts w:ascii="Arial" w:hAnsi="Arial" w:cs="Arial"/>
          <w:spacing w:val="-3"/>
        </w:rPr>
        <w:t xml:space="preserve"> </w:t>
      </w:r>
      <w:r w:rsidRPr="00256347">
        <w:rPr>
          <w:rFonts w:ascii="Arial" w:hAnsi="Arial" w:cs="Arial"/>
          <w:spacing w:val="-3"/>
        </w:rPr>
        <w:t xml:space="preserve">wyniósł </w:t>
      </w:r>
      <w:r w:rsidR="009A08AB" w:rsidRPr="009A08AB">
        <w:rPr>
          <w:rFonts w:ascii="Arial" w:hAnsi="Arial" w:cs="Arial"/>
          <w:bCs/>
          <w:color w:val="000000"/>
        </w:rPr>
        <w:t>205 047,7</w:t>
      </w:r>
      <w:r w:rsidR="0098197B" w:rsidRPr="009A08AB">
        <w:rPr>
          <w:rFonts w:ascii="Arial" w:hAnsi="Arial" w:cs="Arial"/>
          <w:bCs/>
        </w:rPr>
        <w:t xml:space="preserve"> </w:t>
      </w:r>
      <w:r w:rsidRPr="009A08AB">
        <w:rPr>
          <w:rFonts w:ascii="Arial" w:hAnsi="Arial" w:cs="Arial"/>
          <w:spacing w:val="-3"/>
        </w:rPr>
        <w:t xml:space="preserve">mln USD, a import </w:t>
      </w:r>
      <w:r w:rsidR="009A08AB" w:rsidRPr="009A08AB">
        <w:rPr>
          <w:rFonts w:ascii="Arial" w:hAnsi="Arial" w:cs="Arial"/>
          <w:bCs/>
          <w:color w:val="000000"/>
        </w:rPr>
        <w:t>200 672,4</w:t>
      </w:r>
      <w:r w:rsidRPr="009A08AB">
        <w:rPr>
          <w:rFonts w:ascii="Arial" w:hAnsi="Arial" w:cs="Arial"/>
          <w:spacing w:val="-3"/>
        </w:rPr>
        <w:t xml:space="preserve"> mln USD (</w:t>
      </w:r>
      <w:r w:rsidR="00EA7118" w:rsidRPr="009A08AB">
        <w:rPr>
          <w:rFonts w:ascii="Arial" w:hAnsi="Arial" w:cs="Arial"/>
          <w:spacing w:val="-3"/>
        </w:rPr>
        <w:t xml:space="preserve">eksport </w:t>
      </w:r>
      <w:r w:rsidR="0098197B" w:rsidRPr="009A08AB">
        <w:rPr>
          <w:rFonts w:ascii="Arial" w:hAnsi="Arial" w:cs="Arial"/>
          <w:spacing w:val="-3"/>
        </w:rPr>
        <w:t>wzrósł</w:t>
      </w:r>
      <w:r w:rsidR="009A29AE" w:rsidRPr="009A08AB">
        <w:rPr>
          <w:rFonts w:ascii="Arial" w:hAnsi="Arial" w:cs="Arial"/>
          <w:spacing w:val="-3"/>
        </w:rPr>
        <w:t xml:space="preserve"> o </w:t>
      </w:r>
      <w:r w:rsidR="009A08AB" w:rsidRPr="009A08AB">
        <w:rPr>
          <w:rFonts w:ascii="Arial" w:hAnsi="Arial" w:cs="Arial"/>
          <w:spacing w:val="-3"/>
        </w:rPr>
        <w:t>2,3</w:t>
      </w:r>
      <w:r w:rsidR="00EA7118" w:rsidRPr="009A08AB">
        <w:rPr>
          <w:rFonts w:ascii="Arial" w:hAnsi="Arial" w:cs="Arial"/>
          <w:spacing w:val="-3"/>
        </w:rPr>
        <w:t>%, a import</w:t>
      </w:r>
      <w:r w:rsidRPr="009A08AB">
        <w:rPr>
          <w:rFonts w:ascii="Arial" w:hAnsi="Arial" w:cs="Arial"/>
          <w:spacing w:val="-3"/>
        </w:rPr>
        <w:t> </w:t>
      </w:r>
      <w:r w:rsidR="009A08AB" w:rsidRPr="009A08AB">
        <w:rPr>
          <w:rFonts w:ascii="Arial" w:hAnsi="Arial" w:cs="Arial"/>
          <w:spacing w:val="-3"/>
        </w:rPr>
        <w:t>1,5</w:t>
      </w:r>
      <w:r w:rsidRPr="009A08AB">
        <w:rPr>
          <w:rFonts w:ascii="Arial" w:hAnsi="Arial" w:cs="Arial"/>
          <w:spacing w:val="-3"/>
        </w:rPr>
        <w:t xml:space="preserve">%). </w:t>
      </w:r>
      <w:r w:rsidR="00625994" w:rsidRPr="009A08AB">
        <w:rPr>
          <w:rFonts w:ascii="Arial" w:hAnsi="Arial" w:cs="Arial"/>
          <w:spacing w:val="-3"/>
        </w:rPr>
        <w:t>Dodatnie</w:t>
      </w:r>
      <w:r w:rsidRPr="009A08AB">
        <w:rPr>
          <w:rFonts w:ascii="Arial" w:hAnsi="Arial" w:cs="Arial"/>
          <w:spacing w:val="-3"/>
        </w:rPr>
        <w:t xml:space="preserve"> saldo ukształtowało się w wysokości </w:t>
      </w:r>
      <w:r w:rsidR="009A08AB">
        <w:rPr>
          <w:rFonts w:ascii="Arial" w:hAnsi="Arial" w:cs="Arial"/>
          <w:spacing w:val="-3"/>
        </w:rPr>
        <w:t xml:space="preserve">                        </w:t>
      </w:r>
      <w:r w:rsidR="009A08AB" w:rsidRPr="009A08AB">
        <w:rPr>
          <w:rFonts w:ascii="Arial" w:hAnsi="Arial" w:cs="Arial"/>
          <w:bCs/>
          <w:color w:val="000000"/>
        </w:rPr>
        <w:t>4 375,3</w:t>
      </w:r>
      <w:r w:rsidR="009A08AB">
        <w:rPr>
          <w:rFonts w:ascii="Arial" w:hAnsi="Arial" w:cs="Arial"/>
          <w:bCs/>
          <w:color w:val="000000"/>
        </w:rPr>
        <w:t> </w:t>
      </w:r>
      <w:r w:rsidRPr="0078270C">
        <w:rPr>
          <w:rFonts w:ascii="Arial" w:hAnsi="Arial" w:cs="Arial"/>
          <w:spacing w:val="-3"/>
        </w:rPr>
        <w:t>mln USD (w</w:t>
      </w:r>
      <w:r w:rsidR="00415CAE" w:rsidRPr="0078270C">
        <w:rPr>
          <w:rFonts w:ascii="Arial" w:hAnsi="Arial" w:cs="Arial"/>
          <w:spacing w:val="-3"/>
        </w:rPr>
        <w:t> </w:t>
      </w:r>
      <w:r w:rsidR="00D36ACE">
        <w:rPr>
          <w:rFonts w:ascii="Arial" w:hAnsi="Arial" w:cs="Arial"/>
          <w:spacing w:val="-3"/>
        </w:rPr>
        <w:t>2015</w:t>
      </w:r>
      <w:r w:rsidR="00C9324D" w:rsidRPr="0078270C">
        <w:rPr>
          <w:rFonts w:ascii="Arial" w:hAnsi="Arial" w:cs="Arial"/>
          <w:spacing w:val="-3"/>
        </w:rPr>
        <w:t xml:space="preserve"> </w:t>
      </w:r>
      <w:r w:rsidRPr="0078270C">
        <w:rPr>
          <w:rFonts w:ascii="Arial" w:hAnsi="Arial" w:cs="Arial"/>
          <w:spacing w:val="-3"/>
        </w:rPr>
        <w:t>r</w:t>
      </w:r>
      <w:r w:rsidR="00C9324D" w:rsidRPr="0078270C">
        <w:rPr>
          <w:rFonts w:ascii="Arial" w:hAnsi="Arial" w:cs="Arial"/>
          <w:spacing w:val="-3"/>
        </w:rPr>
        <w:t>oku</w:t>
      </w:r>
      <w:r w:rsidRPr="0078270C">
        <w:rPr>
          <w:rFonts w:ascii="Arial" w:hAnsi="Arial" w:cs="Arial"/>
          <w:spacing w:val="-3"/>
        </w:rPr>
        <w:t xml:space="preserve"> </w:t>
      </w:r>
      <w:r w:rsidR="00D36ACE">
        <w:rPr>
          <w:rFonts w:ascii="Arial CE" w:hAnsi="Arial CE" w:cs="Arial CE"/>
        </w:rPr>
        <w:t>2</w:t>
      </w:r>
      <w:r w:rsidR="009A08AB">
        <w:rPr>
          <w:rFonts w:ascii="Arial CE" w:hAnsi="Arial CE" w:cs="Arial CE"/>
        </w:rPr>
        <w:t xml:space="preserve"> </w:t>
      </w:r>
      <w:r w:rsidR="003B3D5F">
        <w:rPr>
          <w:rFonts w:ascii="Arial CE" w:hAnsi="Arial CE" w:cs="Arial CE"/>
        </w:rPr>
        <w:t>660,7</w:t>
      </w:r>
      <w:r w:rsidRPr="00041D3F">
        <w:rPr>
          <w:rFonts w:ascii="Arial" w:hAnsi="Arial" w:cs="Arial"/>
          <w:spacing w:val="-3"/>
        </w:rPr>
        <w:t xml:space="preserve"> ml</w:t>
      </w:r>
      <w:r w:rsidRPr="00D90892">
        <w:rPr>
          <w:rFonts w:ascii="Arial" w:hAnsi="Arial" w:cs="Arial"/>
          <w:spacing w:val="-3"/>
        </w:rPr>
        <w:t>n USD).</w:t>
      </w:r>
      <w:r w:rsidR="00DA3A89">
        <w:rPr>
          <w:rFonts w:ascii="Arial" w:hAnsi="Arial" w:cs="Arial"/>
          <w:spacing w:val="-3"/>
        </w:rPr>
        <w:t xml:space="preserve"> </w:t>
      </w:r>
    </w:p>
    <w:p w:rsidR="00817E2F" w:rsidRPr="00F06B72" w:rsidRDefault="00817E2F" w:rsidP="0060366A">
      <w:pPr>
        <w:jc w:val="both"/>
        <w:rPr>
          <w:rFonts w:ascii="Arial CE" w:hAnsi="Arial CE" w:cs="Arial CE"/>
          <w:sz w:val="16"/>
          <w:szCs w:val="16"/>
        </w:rPr>
      </w:pPr>
      <w:r w:rsidRPr="009E4D13">
        <w:rPr>
          <w:rFonts w:ascii="Arial" w:hAnsi="Arial" w:cs="Arial"/>
          <w:b/>
        </w:rPr>
        <w:t xml:space="preserve">Eksport wyrażony w euro </w:t>
      </w:r>
      <w:r w:rsidRPr="009E4D13">
        <w:rPr>
          <w:rFonts w:ascii="Arial" w:hAnsi="Arial" w:cs="Arial"/>
        </w:rPr>
        <w:t xml:space="preserve">wyniósł </w:t>
      </w:r>
      <w:r w:rsidR="009A08AB" w:rsidRPr="009A08AB">
        <w:rPr>
          <w:rFonts w:ascii="Arial" w:hAnsi="Arial" w:cs="Arial"/>
          <w:bCs/>
          <w:color w:val="000000"/>
        </w:rPr>
        <w:t>184 842,9</w:t>
      </w:r>
      <w:r w:rsidRPr="009A08AB">
        <w:rPr>
          <w:rFonts w:ascii="Arial" w:hAnsi="Arial" w:cs="Arial"/>
        </w:rPr>
        <w:t xml:space="preserve"> mln EUR, a import </w:t>
      </w:r>
      <w:r w:rsidR="009A08AB" w:rsidRPr="009A08AB">
        <w:rPr>
          <w:rFonts w:ascii="Arial" w:hAnsi="Arial" w:cs="Arial"/>
          <w:bCs/>
          <w:color w:val="000000"/>
        </w:rPr>
        <w:t>180 924,6</w:t>
      </w:r>
      <w:r w:rsidRPr="009A08AB">
        <w:rPr>
          <w:rFonts w:ascii="Arial" w:hAnsi="Arial" w:cs="Arial"/>
        </w:rPr>
        <w:t xml:space="preserve"> mln EUR (wzrost w</w:t>
      </w:r>
      <w:r w:rsidR="001F2EC9" w:rsidRPr="009A08AB">
        <w:rPr>
          <w:rFonts w:ascii="Arial" w:hAnsi="Arial" w:cs="Arial"/>
        </w:rPr>
        <w:t> </w:t>
      </w:r>
      <w:r w:rsidRPr="009A08AB">
        <w:rPr>
          <w:rFonts w:ascii="Arial" w:hAnsi="Arial" w:cs="Arial"/>
        </w:rPr>
        <w:t xml:space="preserve">eksporcie o </w:t>
      </w:r>
      <w:r w:rsidR="003B3D5F" w:rsidRPr="009A08AB">
        <w:rPr>
          <w:rFonts w:ascii="Arial" w:hAnsi="Arial" w:cs="Arial"/>
        </w:rPr>
        <w:t>2,</w:t>
      </w:r>
      <w:r w:rsidR="009A08AB" w:rsidRPr="009A08AB">
        <w:rPr>
          <w:rFonts w:ascii="Arial" w:hAnsi="Arial" w:cs="Arial"/>
        </w:rPr>
        <w:t>9</w:t>
      </w:r>
      <w:r w:rsidRPr="009A08AB">
        <w:rPr>
          <w:rFonts w:ascii="Arial" w:hAnsi="Arial" w:cs="Arial"/>
        </w:rPr>
        <w:t xml:space="preserve">%, a w imporcie </w:t>
      </w:r>
      <w:r w:rsidR="0098197B" w:rsidRPr="009A08AB">
        <w:rPr>
          <w:rFonts w:ascii="Arial" w:hAnsi="Arial" w:cs="Arial"/>
        </w:rPr>
        <w:t xml:space="preserve">o </w:t>
      </w:r>
      <w:r w:rsidR="009A08AB" w:rsidRPr="009A08AB">
        <w:rPr>
          <w:rFonts w:ascii="Arial" w:hAnsi="Arial" w:cs="Arial"/>
        </w:rPr>
        <w:t>2,1</w:t>
      </w:r>
      <w:r w:rsidR="0098197B" w:rsidRPr="009A08AB">
        <w:rPr>
          <w:rFonts w:ascii="Arial" w:hAnsi="Arial" w:cs="Arial"/>
        </w:rPr>
        <w:t>%</w:t>
      </w:r>
      <w:r w:rsidR="00755F31" w:rsidRPr="009A08AB">
        <w:rPr>
          <w:rFonts w:ascii="Arial" w:hAnsi="Arial" w:cs="Arial"/>
        </w:rPr>
        <w:t>). Dodatnie</w:t>
      </w:r>
      <w:r w:rsidRPr="009A08AB">
        <w:rPr>
          <w:rFonts w:ascii="Arial" w:hAnsi="Arial" w:cs="Arial"/>
        </w:rPr>
        <w:t xml:space="preserve"> saldo wyniosło </w:t>
      </w:r>
      <w:r w:rsidR="009A08AB" w:rsidRPr="009A08AB">
        <w:rPr>
          <w:rFonts w:ascii="Arial" w:hAnsi="Arial" w:cs="Arial"/>
          <w:bCs/>
          <w:color w:val="000000"/>
        </w:rPr>
        <w:t>3 918,3</w:t>
      </w:r>
      <w:r w:rsidR="009E4D13" w:rsidRPr="009A08AB">
        <w:rPr>
          <w:rFonts w:ascii="Arial" w:hAnsi="Arial" w:cs="Arial"/>
          <w:bCs/>
          <w:color w:val="000000"/>
        </w:rPr>
        <w:t xml:space="preserve"> </w:t>
      </w:r>
      <w:r w:rsidRPr="009A08AB">
        <w:rPr>
          <w:rFonts w:ascii="Arial" w:hAnsi="Arial" w:cs="Arial"/>
        </w:rPr>
        <w:t>mln</w:t>
      </w:r>
      <w:r w:rsidRPr="0078270C">
        <w:rPr>
          <w:rFonts w:ascii="Arial" w:hAnsi="Arial" w:cs="Arial"/>
        </w:rPr>
        <w:t xml:space="preserve"> EUR wobec </w:t>
      </w:r>
      <w:r w:rsidR="009A08AB">
        <w:rPr>
          <w:rFonts w:ascii="Arial" w:hAnsi="Arial" w:cs="Arial"/>
        </w:rPr>
        <w:t xml:space="preserve">          </w:t>
      </w:r>
      <w:r w:rsidR="0078270C" w:rsidRPr="0078270C">
        <w:rPr>
          <w:rFonts w:ascii="Arial CE" w:hAnsi="Arial CE" w:cs="Arial CE"/>
        </w:rPr>
        <w:t>2</w:t>
      </w:r>
      <w:r w:rsidR="009A08AB">
        <w:rPr>
          <w:rFonts w:ascii="Arial CE" w:hAnsi="Arial CE" w:cs="Arial CE"/>
        </w:rPr>
        <w:t xml:space="preserve"> </w:t>
      </w:r>
      <w:r w:rsidR="003B3D5F">
        <w:rPr>
          <w:rFonts w:ascii="Arial CE" w:hAnsi="Arial CE" w:cs="Arial CE"/>
        </w:rPr>
        <w:t>345,3</w:t>
      </w:r>
      <w:r w:rsidRPr="0078270C">
        <w:rPr>
          <w:rFonts w:ascii="Arial" w:hAnsi="Arial" w:cs="Arial"/>
        </w:rPr>
        <w:t xml:space="preserve"> </w:t>
      </w:r>
      <w:r w:rsidRPr="009E4D13">
        <w:rPr>
          <w:rFonts w:ascii="Arial" w:hAnsi="Arial" w:cs="Arial"/>
        </w:rPr>
        <w:t xml:space="preserve">mln EUR w </w:t>
      </w:r>
      <w:r w:rsidR="00E2168D">
        <w:rPr>
          <w:rFonts w:ascii="Arial" w:hAnsi="Arial" w:cs="Arial"/>
        </w:rPr>
        <w:t>2015</w:t>
      </w:r>
      <w:r w:rsidR="00755F31" w:rsidRPr="009E4D13">
        <w:rPr>
          <w:rFonts w:ascii="Arial" w:hAnsi="Arial" w:cs="Arial"/>
        </w:rPr>
        <w:t xml:space="preserve"> </w:t>
      </w:r>
      <w:r w:rsidRPr="009E4D13">
        <w:rPr>
          <w:rFonts w:ascii="Arial" w:hAnsi="Arial" w:cs="Arial"/>
        </w:rPr>
        <w:t>r</w:t>
      </w:r>
      <w:r w:rsidR="00755F31" w:rsidRPr="009E4D13">
        <w:rPr>
          <w:rFonts w:ascii="Arial" w:hAnsi="Arial" w:cs="Arial"/>
        </w:rPr>
        <w:t>oku</w:t>
      </w:r>
      <w:r w:rsidRPr="009E4D13">
        <w:rPr>
          <w:rFonts w:ascii="Arial" w:hAnsi="Arial" w:cs="Arial"/>
        </w:rPr>
        <w:t>.</w:t>
      </w:r>
    </w:p>
    <w:p w:rsidR="00817E2F" w:rsidRPr="00FC5FD4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80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F5767B">
        <w:rPr>
          <w:rFonts w:ascii="Arial" w:hAnsi="Arial" w:cs="Arial"/>
          <w:b/>
          <w:spacing w:val="-3"/>
        </w:rPr>
        <w:t xml:space="preserve">Ujemne salda </w:t>
      </w:r>
      <w:r w:rsidRPr="00F5767B">
        <w:rPr>
          <w:rFonts w:ascii="Arial" w:hAnsi="Arial" w:cs="Arial"/>
          <w:spacing w:val="-3"/>
        </w:rPr>
        <w:t xml:space="preserve">odnotowano z krajami rozwijającymi się – minus </w:t>
      </w:r>
      <w:r w:rsidR="00FC5FD4" w:rsidRPr="00FC5FD4">
        <w:rPr>
          <w:rFonts w:ascii="Arial" w:hAnsi="Arial" w:cs="Arial"/>
          <w:color w:val="000000"/>
        </w:rPr>
        <w:t>127 074,1</w:t>
      </w:r>
      <w:r w:rsidR="00C021F0" w:rsidRPr="00FC5FD4">
        <w:rPr>
          <w:rFonts w:ascii="Arial" w:hAnsi="Arial" w:cs="Arial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zł (minus </w:t>
      </w:r>
      <w:r w:rsidR="00FC5FD4" w:rsidRPr="00FC5FD4">
        <w:rPr>
          <w:rFonts w:ascii="Arial" w:hAnsi="Arial" w:cs="Arial"/>
          <w:color w:val="000000"/>
        </w:rPr>
        <w:t>32 381,4</w:t>
      </w:r>
      <w:r w:rsidRPr="00FC5FD4">
        <w:rPr>
          <w:rFonts w:ascii="Arial" w:hAnsi="Arial" w:cs="Arial"/>
          <w:spacing w:val="-3"/>
        </w:rPr>
        <w:t xml:space="preserve"> mln USD, minus </w:t>
      </w:r>
      <w:r w:rsidR="00FC5FD4" w:rsidRPr="00FC5FD4">
        <w:rPr>
          <w:rFonts w:ascii="Arial" w:hAnsi="Arial" w:cs="Arial"/>
          <w:color w:val="000000"/>
        </w:rPr>
        <w:t>29 225,1</w:t>
      </w:r>
      <w:r w:rsidR="00C021F0" w:rsidRPr="00FC5FD4">
        <w:rPr>
          <w:rFonts w:ascii="Arial" w:hAnsi="Arial" w:cs="Arial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EUR) i z krajami Europy Środkowo-Wschodniej – minus </w:t>
      </w:r>
      <w:r w:rsidR="00FC5FD4" w:rsidRPr="00FC5FD4">
        <w:rPr>
          <w:rFonts w:ascii="Arial" w:hAnsi="Arial" w:cs="Arial"/>
          <w:color w:val="000000"/>
        </w:rPr>
        <w:t>12 857,8</w:t>
      </w:r>
      <w:r w:rsidR="00C9324D" w:rsidRPr="00FC5FD4">
        <w:rPr>
          <w:rFonts w:ascii="Arial" w:hAnsi="Arial" w:cs="Arial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zł (minus </w:t>
      </w:r>
      <w:r w:rsidR="00FC5FD4" w:rsidRPr="00FC5FD4">
        <w:rPr>
          <w:rFonts w:ascii="Arial" w:hAnsi="Arial" w:cs="Arial"/>
          <w:color w:val="000000"/>
        </w:rPr>
        <w:t>3 294,8</w:t>
      </w:r>
      <w:r w:rsidR="00431A60" w:rsidRPr="00FC5FD4">
        <w:rPr>
          <w:rFonts w:ascii="Arial" w:hAnsi="Arial" w:cs="Arial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USD, minus </w:t>
      </w:r>
      <w:r w:rsidR="00FC5FD4" w:rsidRPr="00FC5FD4">
        <w:rPr>
          <w:rFonts w:ascii="Arial" w:hAnsi="Arial" w:cs="Arial"/>
          <w:color w:val="000000"/>
        </w:rPr>
        <w:t>2 976,7</w:t>
      </w:r>
      <w:r w:rsidR="003B3D5F" w:rsidRPr="00FC5FD4">
        <w:rPr>
          <w:rFonts w:ascii="Arial" w:hAnsi="Arial" w:cs="Arial"/>
          <w:color w:val="000000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EUR). Dodatnie saldo uzyskano w obrotach z krajami rozwiniętymi </w:t>
      </w:r>
      <w:r w:rsidR="00FC5FD4" w:rsidRPr="00FC5FD4">
        <w:rPr>
          <w:rFonts w:ascii="Arial" w:hAnsi="Arial" w:cs="Arial"/>
          <w:color w:val="000000"/>
        </w:rPr>
        <w:t>156 939,6</w:t>
      </w:r>
      <w:r w:rsidRPr="00FC5FD4">
        <w:rPr>
          <w:rFonts w:ascii="Arial" w:hAnsi="Arial" w:cs="Arial"/>
          <w:spacing w:val="-3"/>
        </w:rPr>
        <w:t xml:space="preserve"> mln zł (</w:t>
      </w:r>
      <w:r w:rsidR="00FC5FD4" w:rsidRPr="00FC5FD4">
        <w:rPr>
          <w:rFonts w:ascii="Arial" w:hAnsi="Arial" w:cs="Arial"/>
          <w:color w:val="000000"/>
        </w:rPr>
        <w:t>40 051,5</w:t>
      </w:r>
      <w:r w:rsidR="003B3D5F" w:rsidRPr="00FC5FD4">
        <w:rPr>
          <w:rFonts w:ascii="Arial" w:hAnsi="Arial" w:cs="Arial"/>
          <w:color w:val="000000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USD, </w:t>
      </w:r>
      <w:r w:rsidR="00FC5FD4" w:rsidRPr="00FC5FD4">
        <w:rPr>
          <w:rFonts w:ascii="Arial" w:hAnsi="Arial" w:cs="Arial"/>
          <w:color w:val="000000"/>
        </w:rPr>
        <w:t>36 120,1</w:t>
      </w:r>
      <w:r w:rsidRPr="00FC5FD4">
        <w:rPr>
          <w:rFonts w:ascii="Arial" w:hAnsi="Arial" w:cs="Arial"/>
          <w:spacing w:val="-3"/>
        </w:rPr>
        <w:t xml:space="preserve"> mln EUR), w  tym  z  krajami  UE saldo  osiągnęło poziom </w:t>
      </w:r>
      <w:r w:rsidR="00FC5FD4" w:rsidRPr="00FC5FD4">
        <w:rPr>
          <w:rFonts w:ascii="Arial" w:hAnsi="Arial" w:cs="Arial"/>
          <w:color w:val="000000"/>
        </w:rPr>
        <w:t>159 643,7</w:t>
      </w:r>
      <w:r w:rsidRPr="00FC5FD4">
        <w:rPr>
          <w:rFonts w:ascii="Arial" w:hAnsi="Arial" w:cs="Arial"/>
          <w:spacing w:val="-3"/>
        </w:rPr>
        <w:t xml:space="preserve"> mln zł (</w:t>
      </w:r>
      <w:r w:rsidR="00FC5FD4" w:rsidRPr="00FC5FD4">
        <w:rPr>
          <w:rFonts w:ascii="Arial" w:hAnsi="Arial" w:cs="Arial"/>
          <w:color w:val="000000"/>
        </w:rPr>
        <w:t>40 745,2</w:t>
      </w:r>
      <w:r w:rsidR="00431A60" w:rsidRPr="00FC5FD4">
        <w:rPr>
          <w:rFonts w:ascii="Arial" w:hAnsi="Arial" w:cs="Arial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USD, </w:t>
      </w:r>
      <w:r w:rsidR="00FC5FD4" w:rsidRPr="00FC5FD4">
        <w:rPr>
          <w:rFonts w:ascii="Arial" w:hAnsi="Arial" w:cs="Arial"/>
          <w:color w:val="000000"/>
        </w:rPr>
        <w:t xml:space="preserve">36 </w:t>
      </w:r>
      <w:r w:rsidR="00B2710C">
        <w:rPr>
          <w:rFonts w:ascii="Arial" w:hAnsi="Arial" w:cs="Arial"/>
          <w:color w:val="000000"/>
        </w:rPr>
        <w:t>744</w:t>
      </w:r>
      <w:r w:rsidR="00FC5FD4" w:rsidRPr="00FC5FD4">
        <w:rPr>
          <w:rFonts w:ascii="Arial" w:hAnsi="Arial" w:cs="Arial"/>
          <w:color w:val="000000"/>
        </w:rPr>
        <w:t>,</w:t>
      </w:r>
      <w:r w:rsidR="00B2710C">
        <w:rPr>
          <w:rFonts w:ascii="Arial" w:hAnsi="Arial" w:cs="Arial"/>
          <w:color w:val="000000"/>
        </w:rPr>
        <w:t>9</w:t>
      </w:r>
      <w:r w:rsidR="009E4D13" w:rsidRPr="00FC5FD4">
        <w:rPr>
          <w:rFonts w:ascii="Arial" w:hAnsi="Arial" w:cs="Arial"/>
          <w:color w:val="000000"/>
        </w:rPr>
        <w:t xml:space="preserve"> </w:t>
      </w:r>
      <w:r w:rsidRPr="00FC5FD4">
        <w:rPr>
          <w:rFonts w:ascii="Arial" w:hAnsi="Arial" w:cs="Arial"/>
          <w:spacing w:val="-3"/>
        </w:rPr>
        <w:t xml:space="preserve">mln EUR). </w:t>
      </w:r>
    </w:p>
    <w:p w:rsidR="00817E2F" w:rsidRDefault="00817E2F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  <w:b/>
          <w:spacing w:val="-3"/>
        </w:rPr>
        <w:t>Udział</w:t>
      </w:r>
      <w:r w:rsidRPr="00D90892">
        <w:rPr>
          <w:rFonts w:ascii="Arial" w:hAnsi="Arial" w:cs="Arial"/>
          <w:spacing w:val="-3"/>
        </w:rPr>
        <w:t xml:space="preserve"> krajów rozwiniętych w eksporcie ogółem wyniósł </w:t>
      </w:r>
      <w:r w:rsidR="00431A60">
        <w:rPr>
          <w:rFonts w:ascii="Arial" w:hAnsi="Arial" w:cs="Arial"/>
          <w:spacing w:val="-3"/>
        </w:rPr>
        <w:t>86,</w:t>
      </w:r>
      <w:r w:rsidR="00FC5FD4">
        <w:rPr>
          <w:rFonts w:ascii="Arial" w:hAnsi="Arial" w:cs="Arial"/>
          <w:spacing w:val="-3"/>
        </w:rPr>
        <w:t>3</w:t>
      </w:r>
      <w:r w:rsidRPr="00D90892">
        <w:rPr>
          <w:rFonts w:ascii="Arial" w:hAnsi="Arial" w:cs="Arial"/>
          <w:spacing w:val="-3"/>
        </w:rPr>
        <w:t xml:space="preserve">% (w tym UE </w:t>
      </w:r>
      <w:r w:rsidR="000C7DC3">
        <w:rPr>
          <w:rFonts w:ascii="Arial" w:hAnsi="Arial" w:cs="Arial"/>
          <w:spacing w:val="-3"/>
        </w:rPr>
        <w:t>79,</w:t>
      </w:r>
      <w:r w:rsidR="00FC5FD4">
        <w:rPr>
          <w:rFonts w:ascii="Arial" w:hAnsi="Arial" w:cs="Arial"/>
          <w:spacing w:val="-3"/>
        </w:rPr>
        <w:t>8</w:t>
      </w:r>
      <w:r w:rsidRPr="00D90892">
        <w:rPr>
          <w:rFonts w:ascii="Arial" w:hAnsi="Arial" w:cs="Arial"/>
          <w:spacing w:val="-3"/>
        </w:rPr>
        <w:t xml:space="preserve">%), a w imporcie </w:t>
      </w:r>
      <w:r w:rsidRPr="00D90892">
        <w:rPr>
          <w:rFonts w:ascii="Arial" w:hAnsi="Arial" w:cs="Arial"/>
        </w:rPr>
        <w:t>–</w:t>
      </w:r>
      <w:r w:rsidR="00431A60">
        <w:rPr>
          <w:rFonts w:ascii="Arial" w:hAnsi="Arial" w:cs="Arial"/>
          <w:spacing w:val="-3"/>
        </w:rPr>
        <w:t>6</w:t>
      </w:r>
      <w:r w:rsidR="00FC5FD4">
        <w:rPr>
          <w:rFonts w:ascii="Arial" w:hAnsi="Arial" w:cs="Arial"/>
          <w:spacing w:val="-3"/>
        </w:rPr>
        <w:t>8,2</w:t>
      </w:r>
      <w:r w:rsidRPr="00D90892">
        <w:rPr>
          <w:rFonts w:ascii="Arial" w:hAnsi="Arial" w:cs="Arial"/>
          <w:spacing w:val="-3"/>
        </w:rPr>
        <w:t xml:space="preserve">% (w tym UE </w:t>
      </w:r>
      <w:r w:rsidR="00970666">
        <w:rPr>
          <w:rFonts w:ascii="Arial" w:hAnsi="Arial" w:cs="Arial"/>
          <w:spacing w:val="-3"/>
        </w:rPr>
        <w:t>6</w:t>
      </w:r>
      <w:r w:rsidR="00FC5FD4">
        <w:rPr>
          <w:rFonts w:ascii="Arial" w:hAnsi="Arial" w:cs="Arial"/>
          <w:spacing w:val="-3"/>
        </w:rPr>
        <w:t>1,2</w:t>
      </w:r>
      <w:r w:rsidRPr="00D90892">
        <w:rPr>
          <w:rFonts w:ascii="Arial" w:hAnsi="Arial" w:cs="Arial"/>
          <w:spacing w:val="-3"/>
        </w:rPr>
        <w:t xml:space="preserve">%), wobec odpowiednio </w:t>
      </w:r>
      <w:r w:rsidR="00202365">
        <w:rPr>
          <w:rFonts w:ascii="Arial" w:hAnsi="Arial" w:cs="Arial"/>
          <w:spacing w:val="-3"/>
        </w:rPr>
        <w:t>8</w:t>
      </w:r>
      <w:r w:rsidR="007237E6">
        <w:rPr>
          <w:rFonts w:ascii="Arial" w:hAnsi="Arial" w:cs="Arial"/>
          <w:spacing w:val="-3"/>
        </w:rPr>
        <w:t>5,</w:t>
      </w:r>
      <w:r w:rsidR="00F5767B">
        <w:rPr>
          <w:rFonts w:ascii="Arial" w:hAnsi="Arial" w:cs="Arial"/>
          <w:spacing w:val="-3"/>
        </w:rPr>
        <w:t>7</w:t>
      </w:r>
      <w:r w:rsidRPr="00D90892">
        <w:rPr>
          <w:rFonts w:ascii="Arial" w:hAnsi="Arial" w:cs="Arial"/>
          <w:spacing w:val="-3"/>
        </w:rPr>
        <w:t xml:space="preserve">% (w tym UE </w:t>
      </w:r>
      <w:r w:rsidR="000C7DC3">
        <w:rPr>
          <w:rFonts w:ascii="Arial" w:hAnsi="Arial" w:cs="Arial"/>
          <w:spacing w:val="-3"/>
        </w:rPr>
        <w:t>79,</w:t>
      </w:r>
      <w:r w:rsidR="00F5767B">
        <w:rPr>
          <w:rFonts w:ascii="Arial" w:hAnsi="Arial" w:cs="Arial"/>
          <w:spacing w:val="-3"/>
        </w:rPr>
        <w:t>4</w:t>
      </w:r>
      <w:r w:rsidRPr="00D90892">
        <w:rPr>
          <w:rFonts w:ascii="Arial" w:hAnsi="Arial" w:cs="Arial"/>
          <w:spacing w:val="-3"/>
        </w:rPr>
        <w:t xml:space="preserve">%) i </w:t>
      </w:r>
      <w:r w:rsidR="00FE205D">
        <w:rPr>
          <w:rFonts w:ascii="Arial" w:hAnsi="Arial" w:cs="Arial"/>
          <w:spacing w:val="-3"/>
        </w:rPr>
        <w:t>6</w:t>
      </w:r>
      <w:r w:rsidR="002A63BA">
        <w:rPr>
          <w:rFonts w:ascii="Arial" w:hAnsi="Arial" w:cs="Arial"/>
          <w:spacing w:val="-3"/>
        </w:rPr>
        <w:t>6,</w:t>
      </w:r>
      <w:r w:rsidR="00F5767B">
        <w:rPr>
          <w:rFonts w:ascii="Arial" w:hAnsi="Arial" w:cs="Arial"/>
          <w:spacing w:val="-3"/>
        </w:rPr>
        <w:t>9</w:t>
      </w:r>
      <w:r w:rsidRPr="00D90892">
        <w:rPr>
          <w:rFonts w:ascii="Arial" w:hAnsi="Arial" w:cs="Arial"/>
          <w:spacing w:val="-3"/>
        </w:rPr>
        <w:t xml:space="preserve">% (w tym UE </w:t>
      </w:r>
      <w:r w:rsidR="00187D96">
        <w:rPr>
          <w:rFonts w:ascii="Arial" w:hAnsi="Arial" w:cs="Arial"/>
          <w:spacing w:val="-3"/>
        </w:rPr>
        <w:t>60,0</w:t>
      </w:r>
      <w:r w:rsidRPr="00D90892">
        <w:rPr>
          <w:rFonts w:ascii="Arial" w:hAnsi="Arial" w:cs="Arial"/>
          <w:spacing w:val="-3"/>
        </w:rPr>
        <w:t xml:space="preserve">%) </w:t>
      </w:r>
      <w:r w:rsidR="00F5767B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>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 xml:space="preserve"> </w:t>
      </w:r>
      <w:r w:rsidR="00646A65">
        <w:rPr>
          <w:rFonts w:ascii="Arial" w:hAnsi="Arial" w:cs="Arial"/>
          <w:spacing w:val="-3"/>
        </w:rPr>
        <w:t>2015</w:t>
      </w:r>
      <w:r w:rsidR="00202365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>r</w:t>
      </w:r>
      <w:r w:rsidR="00202365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. </w:t>
      </w:r>
    </w:p>
    <w:p w:rsidR="00733AB7" w:rsidRPr="00D90892" w:rsidRDefault="00733AB7" w:rsidP="001F2EC9">
      <w:pPr>
        <w:tabs>
          <w:tab w:val="left" w:pos="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</w:p>
    <w:p w:rsidR="00096B2A" w:rsidRPr="00D90892" w:rsidRDefault="002C3BD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</w:rPr>
      </w:pPr>
      <w:r w:rsidRPr="00D90892">
        <w:rPr>
          <w:rFonts w:ascii="Arial" w:hAnsi="Arial" w:cs="Arial"/>
          <w:b/>
        </w:rPr>
        <w:t>Obroty handlu zagranicznego według ważniejszych krajów</w:t>
      </w:r>
    </w:p>
    <w:tbl>
      <w:tblPr>
        <w:tblW w:w="49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0"/>
        <w:gridCol w:w="1051"/>
        <w:gridCol w:w="1055"/>
        <w:gridCol w:w="1055"/>
        <w:gridCol w:w="840"/>
        <w:gridCol w:w="764"/>
        <w:gridCol w:w="739"/>
        <w:gridCol w:w="854"/>
        <w:gridCol w:w="12"/>
        <w:gridCol w:w="867"/>
      </w:tblGrid>
      <w:tr w:rsidR="00EA3FB6" w:rsidRPr="00D90892" w:rsidTr="00EA3FB6"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2823" w:type="pct"/>
            <w:gridSpan w:val="6"/>
            <w:tcBorders>
              <w:left w:val="single" w:sz="4" w:space="0" w:color="auto"/>
            </w:tcBorders>
            <w:vAlign w:val="center"/>
          </w:tcPr>
          <w:p w:rsidR="00EA3FB6" w:rsidRPr="00D90892" w:rsidRDefault="00EA3FB6" w:rsidP="00BB4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4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45" w:type="pct"/>
            <w:vMerge w:val="restart"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E64C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016</w:t>
            </w:r>
          </w:p>
        </w:tc>
      </w:tr>
      <w:tr w:rsidR="00EA3FB6" w:rsidRPr="00D90892" w:rsidTr="00EA3FB6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6" w:rsidRPr="00D90892" w:rsidRDefault="00EA3FB6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zł</w:t>
            </w:r>
          </w:p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541" w:type="pct"/>
            <w:vMerge w:val="restart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1202" w:type="pct"/>
            <w:gridSpan w:val="3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BB4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444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BB4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BB4AA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6B2A" w:rsidRPr="00D90892" w:rsidTr="004F63D3"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6B2A" w:rsidRPr="00D90892" w:rsidRDefault="00096B2A" w:rsidP="00096B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8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struktura w %</w:t>
            </w:r>
          </w:p>
        </w:tc>
      </w:tr>
      <w:tr w:rsidR="00096B2A" w:rsidRPr="00D90892" w:rsidTr="00B768EB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D90892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EKSPORT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024,3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163,9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621,3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104,0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27,1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27,4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436,9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646,3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296,4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105,6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6,7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801,0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482,0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151,0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6,6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215,8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175,5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5,5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5,5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38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300,2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784,3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814,1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105,5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100,9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101,5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4,8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36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004,4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181,1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282,1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103,4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104,2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4,5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Szwecja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288,8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944,7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359,6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113,2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108,9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2,9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22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694,6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783,2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216,4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Hiszpania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828,4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576,6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023,5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107,0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B34EFB" w:rsidRPr="00D90892" w:rsidTr="00B34EFB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D90892" w:rsidRDefault="00B34EFB" w:rsidP="00B34EFB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10D76">
              <w:rPr>
                <w:rFonts w:ascii="Arial" w:hAnsi="Arial" w:cs="Arial"/>
                <w:sz w:val="18"/>
                <w:szCs w:val="18"/>
              </w:rPr>
              <w:t>10.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Węgry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296,0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441,2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34EFB">
              <w:rPr>
                <w:rFonts w:ascii="Arial" w:hAnsi="Arial" w:cs="Arial"/>
                <w:sz w:val="18"/>
                <w:szCs w:val="18"/>
              </w:rPr>
              <w:t>901,0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106,6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101,9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102,6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34EFB" w:rsidRPr="00B34EFB" w:rsidRDefault="00B34EFB" w:rsidP="00B34EFB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4EFB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096B2A" w:rsidRPr="00D90892" w:rsidTr="00B768EB">
        <w:tc>
          <w:tcPr>
            <w:tcW w:w="5000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96B2A" w:rsidRPr="00145085" w:rsidRDefault="00096B2A" w:rsidP="00096B2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944635">
              <w:rPr>
                <w:rFonts w:ascii="Arial" w:hAnsi="Arial" w:cs="Arial"/>
                <w:b/>
                <w:sz w:val="18"/>
                <w:szCs w:val="18"/>
              </w:rPr>
              <w:t>IMPORT</w:t>
            </w:r>
            <w:r w:rsidR="00733AB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183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201,5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46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792,5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42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151,0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108,0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103,3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103,9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22,9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23,3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94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235,2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24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007,4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21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665,2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109,9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105,2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11,6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12,0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45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337,9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571,6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443,0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84,4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80,5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81,1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7,3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5,8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4. Włochy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43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722,1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172,8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059,8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109,6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104,8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5,6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5. Francja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31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273,7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986,8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196,3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112,5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107,6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108,3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4,0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30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216,5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710,0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951,3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101,3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101,8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3,8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3,8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Czechy.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28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468,0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7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270,3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6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550,6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110,3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105,4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106,1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3,5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3,6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Stany Zjednoczone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22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135,3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644,6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091,9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111,9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107,6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2,8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20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842,2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324,6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795,7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115,5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110,4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111,1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2,4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2,7</w:t>
            </w:r>
          </w:p>
        </w:tc>
      </w:tr>
      <w:tr w:rsidR="002F4DC1" w:rsidRPr="00D90892" w:rsidTr="00987AFE">
        <w:tc>
          <w:tcPr>
            <w:tcW w:w="1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D90892" w:rsidRDefault="002F4DC1" w:rsidP="002F4DC1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 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20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355,0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5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196,2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4</w:t>
            </w:r>
            <w:r w:rsidR="00891A0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4DC1">
              <w:rPr>
                <w:rFonts w:ascii="Arial" w:hAnsi="Arial" w:cs="Arial"/>
                <w:sz w:val="18"/>
                <w:szCs w:val="18"/>
              </w:rPr>
              <w:t>682,3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101,4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96,9</w:t>
            </w:r>
          </w:p>
        </w:tc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97,6</w:t>
            </w:r>
          </w:p>
        </w:tc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  <w:tc>
          <w:tcPr>
            <w:tcW w:w="45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4DC1" w:rsidRPr="002F4DC1" w:rsidRDefault="002F4DC1" w:rsidP="002F4DC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F4DC1">
              <w:rPr>
                <w:rFonts w:ascii="Arial" w:hAnsi="Arial" w:cs="Arial"/>
                <w:sz w:val="18"/>
                <w:szCs w:val="18"/>
              </w:rPr>
              <w:t>2,6</w:t>
            </w:r>
          </w:p>
        </w:tc>
      </w:tr>
    </w:tbl>
    <w:p w:rsidR="00C94F55" w:rsidRDefault="00C94F55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1B4634" w:rsidRDefault="001B4634" w:rsidP="00C94F55">
      <w:pPr>
        <w:spacing w:after="120" w:line="288" w:lineRule="auto"/>
        <w:ind w:left="142"/>
        <w:rPr>
          <w:rFonts w:ascii="Arial" w:hAnsi="Arial" w:cs="Arial"/>
          <w:sz w:val="20"/>
        </w:rPr>
      </w:pPr>
    </w:p>
    <w:p w:rsidR="00817E2F" w:rsidRPr="00D90892" w:rsidRDefault="00817E2F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Udział </w:t>
      </w:r>
      <w:r w:rsidRPr="00D90892">
        <w:rPr>
          <w:rFonts w:ascii="Arial" w:hAnsi="Arial" w:cs="Arial"/>
          <w:b/>
        </w:rPr>
        <w:t>Niemiec</w:t>
      </w:r>
      <w:r w:rsidRPr="00D90892">
        <w:rPr>
          <w:rFonts w:ascii="Arial" w:hAnsi="Arial" w:cs="Arial"/>
        </w:rPr>
        <w:t xml:space="preserve"> w eksporcie zwiększył się w porównaniu z 201</w:t>
      </w:r>
      <w:r w:rsidR="00824892">
        <w:rPr>
          <w:rFonts w:ascii="Arial" w:hAnsi="Arial" w:cs="Arial"/>
        </w:rPr>
        <w:t>5</w:t>
      </w:r>
      <w:r w:rsidRPr="00D90892">
        <w:rPr>
          <w:rFonts w:ascii="Arial" w:hAnsi="Arial" w:cs="Arial"/>
        </w:rPr>
        <w:t xml:space="preserve"> r. o </w:t>
      </w:r>
      <w:r w:rsidR="005D0DD7">
        <w:rPr>
          <w:rFonts w:ascii="Arial" w:hAnsi="Arial" w:cs="Arial"/>
        </w:rPr>
        <w:t>0,</w:t>
      </w:r>
      <w:r w:rsidR="002A2E5B">
        <w:rPr>
          <w:rFonts w:ascii="Arial" w:hAnsi="Arial" w:cs="Arial"/>
        </w:rPr>
        <w:t>3</w:t>
      </w:r>
      <w:r w:rsidRPr="00D90892">
        <w:rPr>
          <w:rFonts w:ascii="Arial" w:hAnsi="Arial" w:cs="Arial"/>
        </w:rPr>
        <w:t xml:space="preserve"> </w:t>
      </w:r>
      <w:r w:rsidR="00281B7B">
        <w:rPr>
          <w:rFonts w:ascii="Arial" w:hAnsi="Arial" w:cs="Arial"/>
        </w:rPr>
        <w:t xml:space="preserve">  </w:t>
      </w:r>
      <w:r w:rsidR="00E507F1">
        <w:rPr>
          <w:rFonts w:ascii="Arial" w:hAnsi="Arial" w:cs="Arial"/>
        </w:rPr>
        <w:t>p. proc.</w:t>
      </w:r>
      <w:r w:rsidRPr="00D90892">
        <w:rPr>
          <w:rFonts w:ascii="Arial" w:hAnsi="Arial" w:cs="Arial"/>
        </w:rPr>
        <w:t xml:space="preserve"> i wyniósł </w:t>
      </w:r>
      <w:r w:rsidR="005D0DD7">
        <w:rPr>
          <w:rFonts w:ascii="Arial" w:hAnsi="Arial" w:cs="Arial"/>
        </w:rPr>
        <w:t>27,</w:t>
      </w:r>
      <w:r w:rsidR="002A2E5B">
        <w:rPr>
          <w:rFonts w:ascii="Arial" w:hAnsi="Arial" w:cs="Arial"/>
        </w:rPr>
        <w:t>4</w:t>
      </w:r>
      <w:r w:rsidRPr="00D90892">
        <w:rPr>
          <w:rFonts w:ascii="Arial" w:hAnsi="Arial" w:cs="Arial"/>
        </w:rPr>
        <w:t xml:space="preserve">%, a </w:t>
      </w:r>
      <w:r w:rsidR="00241035">
        <w:rPr>
          <w:rFonts w:ascii="Arial" w:hAnsi="Arial" w:cs="Arial"/>
        </w:rPr>
        <w:t>w i</w:t>
      </w:r>
      <w:r w:rsidRPr="00D90892">
        <w:rPr>
          <w:rFonts w:ascii="Arial" w:hAnsi="Arial" w:cs="Arial"/>
        </w:rPr>
        <w:t>mpor</w:t>
      </w:r>
      <w:r w:rsidR="00241035">
        <w:rPr>
          <w:rFonts w:ascii="Arial" w:hAnsi="Arial" w:cs="Arial"/>
        </w:rPr>
        <w:t>cie</w:t>
      </w:r>
      <w:r w:rsidRPr="00D90892">
        <w:rPr>
          <w:rFonts w:ascii="Arial" w:hAnsi="Arial" w:cs="Arial"/>
        </w:rPr>
        <w:t xml:space="preserve"> </w:t>
      </w:r>
      <w:r w:rsidR="005C1C61">
        <w:rPr>
          <w:rFonts w:ascii="Arial" w:hAnsi="Arial" w:cs="Arial"/>
        </w:rPr>
        <w:t xml:space="preserve">– </w:t>
      </w:r>
      <w:r w:rsidR="00A63EBE">
        <w:rPr>
          <w:rFonts w:ascii="Arial" w:hAnsi="Arial" w:cs="Arial"/>
        </w:rPr>
        <w:t>o</w:t>
      </w:r>
      <w:r w:rsidR="005C1C61">
        <w:rPr>
          <w:rFonts w:ascii="Arial" w:hAnsi="Arial" w:cs="Arial"/>
        </w:rPr>
        <w:t xml:space="preserve"> </w:t>
      </w:r>
      <w:r w:rsidR="00D163CB">
        <w:rPr>
          <w:rFonts w:ascii="Arial" w:hAnsi="Arial" w:cs="Arial"/>
        </w:rPr>
        <w:t>0</w:t>
      </w:r>
      <w:r w:rsidR="00A63EBE">
        <w:rPr>
          <w:rFonts w:ascii="Arial" w:hAnsi="Arial" w:cs="Arial"/>
        </w:rPr>
        <w:t>,</w:t>
      </w:r>
      <w:r w:rsidR="002A2E5B">
        <w:rPr>
          <w:rFonts w:ascii="Arial" w:hAnsi="Arial" w:cs="Arial"/>
        </w:rPr>
        <w:t>4</w:t>
      </w:r>
      <w:r w:rsidR="00A63EBE">
        <w:rPr>
          <w:rFonts w:ascii="Arial" w:hAnsi="Arial" w:cs="Arial"/>
        </w:rPr>
        <w:t xml:space="preserve"> p. proc</w:t>
      </w:r>
      <w:r w:rsidR="00AB3B9E">
        <w:rPr>
          <w:rFonts w:ascii="Arial" w:hAnsi="Arial" w:cs="Arial"/>
        </w:rPr>
        <w:t xml:space="preserve"> i </w:t>
      </w:r>
      <w:r w:rsidR="00AB3B9E" w:rsidRPr="00D90892">
        <w:rPr>
          <w:rFonts w:ascii="Arial" w:hAnsi="Arial" w:cs="Arial"/>
        </w:rPr>
        <w:t xml:space="preserve">stanowił </w:t>
      </w:r>
      <w:r w:rsidR="00145C1A">
        <w:rPr>
          <w:rFonts w:ascii="Arial" w:hAnsi="Arial" w:cs="Arial"/>
        </w:rPr>
        <w:t>23,</w:t>
      </w:r>
      <w:r w:rsidR="002A2E5B">
        <w:rPr>
          <w:rFonts w:ascii="Arial" w:hAnsi="Arial" w:cs="Arial"/>
        </w:rPr>
        <w:t>3</w:t>
      </w:r>
      <w:r w:rsidR="00AB3B9E" w:rsidRPr="00D90892">
        <w:rPr>
          <w:rFonts w:ascii="Arial" w:hAnsi="Arial" w:cs="Arial"/>
        </w:rPr>
        <w:t>%</w:t>
      </w:r>
      <w:r w:rsidR="00A63EBE">
        <w:rPr>
          <w:rFonts w:ascii="Arial" w:hAnsi="Arial" w:cs="Arial"/>
        </w:rPr>
        <w:t>.</w:t>
      </w:r>
      <w:r w:rsidRPr="00D90892">
        <w:rPr>
          <w:rFonts w:ascii="Arial" w:hAnsi="Arial" w:cs="Arial"/>
        </w:rPr>
        <w:t xml:space="preserve"> Dodatnie saldo wyniosło </w:t>
      </w:r>
      <w:r w:rsidR="000B7FE1">
        <w:rPr>
          <w:rFonts w:ascii="Arial" w:hAnsi="Arial" w:cs="Arial"/>
        </w:rPr>
        <w:t>36</w:t>
      </w:r>
      <w:r w:rsidR="002A2E5B">
        <w:rPr>
          <w:rFonts w:ascii="Arial" w:hAnsi="Arial" w:cs="Arial"/>
        </w:rPr>
        <w:t xml:space="preserve"> 822</w:t>
      </w:r>
      <w:r w:rsidR="000B7FE1">
        <w:rPr>
          <w:rFonts w:ascii="Arial" w:hAnsi="Arial" w:cs="Arial"/>
        </w:rPr>
        <w:t>,8</w:t>
      </w:r>
      <w:r w:rsidRPr="00D90892">
        <w:rPr>
          <w:rFonts w:ascii="Arial" w:hAnsi="Arial" w:cs="Arial"/>
        </w:rPr>
        <w:t xml:space="preserve"> mln zł </w:t>
      </w:r>
      <w:r w:rsidR="00851BC0">
        <w:rPr>
          <w:rFonts w:ascii="Arial" w:hAnsi="Arial" w:cs="Arial"/>
        </w:rPr>
        <w:t xml:space="preserve">                 </w:t>
      </w:r>
      <w:r w:rsidRPr="00D90892">
        <w:rPr>
          <w:rFonts w:ascii="Arial" w:hAnsi="Arial" w:cs="Arial"/>
        </w:rPr>
        <w:t>(</w:t>
      </w:r>
      <w:r w:rsidR="000B7FE1">
        <w:rPr>
          <w:rFonts w:ascii="Arial" w:hAnsi="Arial" w:cs="Arial"/>
        </w:rPr>
        <w:t>9</w:t>
      </w:r>
      <w:r w:rsidR="002A2E5B">
        <w:rPr>
          <w:rFonts w:ascii="Arial" w:hAnsi="Arial" w:cs="Arial"/>
        </w:rPr>
        <w:t xml:space="preserve"> </w:t>
      </w:r>
      <w:r w:rsidR="000B7FE1">
        <w:rPr>
          <w:rFonts w:ascii="Arial" w:hAnsi="Arial" w:cs="Arial"/>
        </w:rPr>
        <w:t>3</w:t>
      </w:r>
      <w:r w:rsidR="002A2E5B">
        <w:rPr>
          <w:rFonts w:ascii="Arial" w:hAnsi="Arial" w:cs="Arial"/>
        </w:rPr>
        <w:t>71</w:t>
      </w:r>
      <w:r w:rsidR="000B7FE1">
        <w:rPr>
          <w:rFonts w:ascii="Arial" w:hAnsi="Arial" w:cs="Arial"/>
        </w:rPr>
        <w:t>,</w:t>
      </w:r>
      <w:r w:rsidR="002A2E5B">
        <w:rPr>
          <w:rFonts w:ascii="Arial" w:hAnsi="Arial" w:cs="Arial"/>
        </w:rPr>
        <w:t>4</w:t>
      </w:r>
      <w:r w:rsidRPr="00D90892">
        <w:rPr>
          <w:rFonts w:ascii="Arial" w:hAnsi="Arial" w:cs="Arial"/>
        </w:rPr>
        <w:t xml:space="preserve"> mln USD, </w:t>
      </w:r>
      <w:r w:rsidR="000B7FE1">
        <w:rPr>
          <w:rFonts w:ascii="Arial" w:hAnsi="Arial" w:cs="Arial"/>
        </w:rPr>
        <w:t>8</w:t>
      </w:r>
      <w:r w:rsidR="002A2E5B">
        <w:rPr>
          <w:rFonts w:ascii="Arial" w:hAnsi="Arial" w:cs="Arial"/>
        </w:rPr>
        <w:t xml:space="preserve"> </w:t>
      </w:r>
      <w:r w:rsidR="000B7FE1">
        <w:rPr>
          <w:rFonts w:ascii="Arial" w:hAnsi="Arial" w:cs="Arial"/>
        </w:rPr>
        <w:t>47</w:t>
      </w:r>
      <w:r w:rsidR="002A2E5B">
        <w:rPr>
          <w:rFonts w:ascii="Arial" w:hAnsi="Arial" w:cs="Arial"/>
        </w:rPr>
        <w:t>0</w:t>
      </w:r>
      <w:r w:rsidR="000B7FE1">
        <w:rPr>
          <w:rFonts w:ascii="Arial" w:hAnsi="Arial" w:cs="Arial"/>
        </w:rPr>
        <w:t>,3</w:t>
      </w:r>
      <w:r w:rsidRPr="00D90892">
        <w:rPr>
          <w:rFonts w:ascii="Arial" w:hAnsi="Arial" w:cs="Arial"/>
        </w:rPr>
        <w:t xml:space="preserve"> mln EUR) wobec </w:t>
      </w:r>
      <w:r w:rsidR="000B7FE1">
        <w:rPr>
          <w:rFonts w:ascii="Arial" w:hAnsi="Arial" w:cs="Arial"/>
        </w:rPr>
        <w:t>33</w:t>
      </w:r>
      <w:r w:rsidR="002A2E5B">
        <w:rPr>
          <w:rFonts w:ascii="Arial" w:hAnsi="Arial" w:cs="Arial"/>
        </w:rPr>
        <w:t xml:space="preserve"> </w:t>
      </w:r>
      <w:r w:rsidR="000B7FE1">
        <w:rPr>
          <w:rFonts w:ascii="Arial" w:hAnsi="Arial" w:cs="Arial"/>
        </w:rPr>
        <w:t>932,2</w:t>
      </w:r>
      <w:r w:rsidRPr="00D90892">
        <w:rPr>
          <w:rFonts w:ascii="Arial" w:hAnsi="Arial" w:cs="Arial"/>
        </w:rPr>
        <w:t> mln zł (</w:t>
      </w:r>
      <w:r w:rsidR="000B7FE1">
        <w:rPr>
          <w:rFonts w:ascii="Arial" w:hAnsi="Arial" w:cs="Arial"/>
        </w:rPr>
        <w:t>9</w:t>
      </w:r>
      <w:r w:rsidR="002A2E5B">
        <w:rPr>
          <w:rFonts w:ascii="Arial" w:hAnsi="Arial" w:cs="Arial"/>
        </w:rPr>
        <w:t xml:space="preserve"> </w:t>
      </w:r>
      <w:r w:rsidR="000B7FE1">
        <w:rPr>
          <w:rFonts w:ascii="Arial" w:hAnsi="Arial" w:cs="Arial"/>
        </w:rPr>
        <w:t>089,5</w:t>
      </w:r>
      <w:r w:rsidRPr="00D90892">
        <w:rPr>
          <w:rFonts w:ascii="Arial" w:hAnsi="Arial" w:cs="Arial"/>
        </w:rPr>
        <w:t xml:space="preserve"> mln USD, </w:t>
      </w:r>
      <w:r w:rsidR="000B7FE1">
        <w:rPr>
          <w:rFonts w:ascii="Arial" w:hAnsi="Arial" w:cs="Arial"/>
        </w:rPr>
        <w:t>8</w:t>
      </w:r>
      <w:r w:rsidR="00851BC0">
        <w:rPr>
          <w:rFonts w:ascii="Arial" w:hAnsi="Arial" w:cs="Arial"/>
        </w:rPr>
        <w:t xml:space="preserve"> </w:t>
      </w:r>
      <w:r w:rsidR="000B7FE1">
        <w:rPr>
          <w:rFonts w:ascii="Arial" w:hAnsi="Arial" w:cs="Arial"/>
        </w:rPr>
        <w:t>113,0</w:t>
      </w:r>
      <w:r w:rsidR="00112ACA">
        <w:rPr>
          <w:rFonts w:ascii="Arial" w:hAnsi="Arial" w:cs="Arial"/>
        </w:rPr>
        <w:t xml:space="preserve"> </w:t>
      </w:r>
      <w:r w:rsidRPr="00D90892">
        <w:rPr>
          <w:rFonts w:ascii="Arial" w:hAnsi="Arial" w:cs="Arial"/>
        </w:rPr>
        <w:t xml:space="preserve">mln EUR) </w:t>
      </w:r>
      <w:r w:rsidR="00C464EC">
        <w:rPr>
          <w:rFonts w:ascii="Arial" w:hAnsi="Arial" w:cs="Arial"/>
          <w:spacing w:val="-3"/>
        </w:rPr>
        <w:t>w</w:t>
      </w:r>
      <w:r w:rsidR="00A63EBE">
        <w:rPr>
          <w:rFonts w:ascii="Arial" w:hAnsi="Arial" w:cs="Arial"/>
          <w:spacing w:val="-3"/>
        </w:rPr>
        <w:t xml:space="preserve"> </w:t>
      </w:r>
      <w:r w:rsidR="00C05450">
        <w:rPr>
          <w:rFonts w:ascii="Arial" w:hAnsi="Arial" w:cs="Arial"/>
          <w:spacing w:val="-3"/>
        </w:rPr>
        <w:t>2015</w:t>
      </w:r>
      <w:r w:rsidRPr="00D90892">
        <w:rPr>
          <w:rFonts w:ascii="Arial" w:hAnsi="Arial" w:cs="Arial"/>
          <w:spacing w:val="-3"/>
        </w:rPr>
        <w:t xml:space="preserve"> r</w:t>
      </w:r>
      <w:r w:rsidR="008B4B42">
        <w:rPr>
          <w:rFonts w:ascii="Arial" w:hAnsi="Arial" w:cs="Arial"/>
          <w:spacing w:val="-3"/>
        </w:rPr>
        <w:t>oku</w:t>
      </w:r>
      <w:r w:rsidRPr="00D90892">
        <w:rPr>
          <w:rFonts w:ascii="Arial" w:hAnsi="Arial" w:cs="Arial"/>
          <w:spacing w:val="-3"/>
        </w:rPr>
        <w:t xml:space="preserve">. </w:t>
      </w:r>
    </w:p>
    <w:p w:rsidR="00817E2F" w:rsidRPr="00D90892" w:rsidRDefault="001D6FA8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  <w:spacing w:val="-3"/>
        </w:rPr>
      </w:pPr>
      <w:r w:rsidRPr="002F50F1">
        <w:rPr>
          <w:rFonts w:ascii="Arial" w:hAnsi="Arial" w:cs="Arial"/>
        </w:rPr>
        <w:t xml:space="preserve">Udział </w:t>
      </w:r>
      <w:r w:rsidRPr="002F50F1">
        <w:rPr>
          <w:rFonts w:ascii="Arial" w:hAnsi="Arial" w:cs="Arial"/>
          <w:b/>
        </w:rPr>
        <w:t>R</w:t>
      </w:r>
      <w:r w:rsidRPr="00D90892">
        <w:rPr>
          <w:rFonts w:ascii="Arial" w:hAnsi="Arial" w:cs="Arial"/>
          <w:b/>
        </w:rPr>
        <w:t xml:space="preserve">osji </w:t>
      </w:r>
      <w:r w:rsidR="00AB16D8" w:rsidRPr="00D90892">
        <w:rPr>
          <w:rFonts w:ascii="Arial" w:hAnsi="Arial" w:cs="Arial"/>
        </w:rPr>
        <w:t xml:space="preserve">w eksporcie </w:t>
      </w:r>
      <w:r w:rsidR="006E75CD">
        <w:rPr>
          <w:rFonts w:ascii="Arial" w:hAnsi="Arial" w:cs="Arial"/>
        </w:rPr>
        <w:t>nieznacznie obniżył się w porównaniu z 2015 r. o 0,1 p. proc. i</w:t>
      </w:r>
      <w:r w:rsidR="0030327C">
        <w:rPr>
          <w:rFonts w:ascii="Arial" w:hAnsi="Arial" w:cs="Arial"/>
        </w:rPr>
        <w:t xml:space="preserve"> </w:t>
      </w:r>
      <w:r w:rsidR="00AB16D8" w:rsidRPr="00D90892">
        <w:rPr>
          <w:rFonts w:ascii="Arial" w:hAnsi="Arial" w:cs="Arial"/>
        </w:rPr>
        <w:t xml:space="preserve">wyniósł </w:t>
      </w:r>
      <w:r w:rsidR="000E7253">
        <w:rPr>
          <w:rFonts w:ascii="Arial" w:hAnsi="Arial" w:cs="Arial"/>
        </w:rPr>
        <w:t>2,</w:t>
      </w:r>
      <w:r w:rsidR="00C05450">
        <w:rPr>
          <w:rFonts w:ascii="Arial" w:hAnsi="Arial" w:cs="Arial"/>
        </w:rPr>
        <w:t>8</w:t>
      </w:r>
      <w:r w:rsidR="00AB16D8" w:rsidRPr="00D90892">
        <w:rPr>
          <w:rFonts w:ascii="Arial" w:hAnsi="Arial" w:cs="Arial"/>
        </w:rPr>
        <w:t xml:space="preserve">%, </w:t>
      </w:r>
      <w:r w:rsidR="0030327C">
        <w:rPr>
          <w:rFonts w:ascii="Arial" w:hAnsi="Arial" w:cs="Arial"/>
        </w:rPr>
        <w:t xml:space="preserve">natomiast </w:t>
      </w:r>
      <w:r w:rsidR="00AB16D8" w:rsidRPr="00D90892">
        <w:rPr>
          <w:rFonts w:ascii="Arial" w:hAnsi="Arial" w:cs="Arial"/>
        </w:rPr>
        <w:t xml:space="preserve">w imporcie był niższy o </w:t>
      </w:r>
      <w:r w:rsidR="00112ACA">
        <w:rPr>
          <w:rFonts w:ascii="Arial" w:hAnsi="Arial" w:cs="Arial"/>
        </w:rPr>
        <w:t>1,</w:t>
      </w:r>
      <w:r w:rsidR="006E75CD">
        <w:rPr>
          <w:rFonts w:ascii="Arial" w:hAnsi="Arial" w:cs="Arial"/>
        </w:rPr>
        <w:t>5</w:t>
      </w:r>
      <w:r w:rsidR="00AB16D8" w:rsidRPr="00D90892">
        <w:rPr>
          <w:rFonts w:ascii="Arial" w:hAnsi="Arial" w:cs="Arial"/>
        </w:rPr>
        <w:t xml:space="preserve"> p. proc. i stanowił </w:t>
      </w:r>
      <w:r w:rsidR="00AB16D8">
        <w:rPr>
          <w:rFonts w:ascii="Arial" w:hAnsi="Arial" w:cs="Arial"/>
        </w:rPr>
        <w:t>5,8</w:t>
      </w:r>
      <w:r w:rsidR="00AB16D8" w:rsidRPr="00D90892">
        <w:rPr>
          <w:rFonts w:ascii="Arial" w:hAnsi="Arial" w:cs="Arial"/>
        </w:rPr>
        <w:t xml:space="preserve">%. </w:t>
      </w:r>
      <w:r w:rsidR="00817E2F" w:rsidRPr="00D90892">
        <w:rPr>
          <w:rFonts w:ascii="Arial" w:hAnsi="Arial" w:cs="Arial"/>
        </w:rPr>
        <w:t xml:space="preserve">Ujemne saldo wyniosło </w:t>
      </w:r>
      <w:r w:rsidR="006E75CD">
        <w:rPr>
          <w:rFonts w:ascii="Arial" w:hAnsi="Arial" w:cs="Arial"/>
        </w:rPr>
        <w:t>22</w:t>
      </w:r>
      <w:r w:rsidR="00803C78">
        <w:rPr>
          <w:rFonts w:ascii="Arial" w:hAnsi="Arial" w:cs="Arial"/>
        </w:rPr>
        <w:t> 643,3</w:t>
      </w:r>
      <w:r w:rsidR="00817E2F" w:rsidRPr="00D90892">
        <w:rPr>
          <w:rFonts w:ascii="Arial" w:hAnsi="Arial" w:cs="Arial"/>
        </w:rPr>
        <w:t xml:space="preserve"> mln zł (minus </w:t>
      </w:r>
      <w:r w:rsidR="00C05450">
        <w:rPr>
          <w:rFonts w:ascii="Arial" w:hAnsi="Arial" w:cs="Arial"/>
        </w:rPr>
        <w:t>5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7</w:t>
      </w:r>
      <w:r w:rsidR="00803C78">
        <w:rPr>
          <w:rFonts w:ascii="Arial" w:hAnsi="Arial" w:cs="Arial"/>
        </w:rPr>
        <w:t>88</w:t>
      </w:r>
      <w:r w:rsidR="006E75CD">
        <w:rPr>
          <w:rFonts w:ascii="Arial" w:hAnsi="Arial" w:cs="Arial"/>
        </w:rPr>
        <w:t>,</w:t>
      </w:r>
      <w:r w:rsidR="00803C78">
        <w:rPr>
          <w:rFonts w:ascii="Arial" w:hAnsi="Arial" w:cs="Arial"/>
        </w:rPr>
        <w:t>4</w:t>
      </w:r>
      <w:r w:rsidR="003029C5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</w:rPr>
        <w:t xml:space="preserve">mln USD, minus </w:t>
      </w:r>
      <w:r w:rsidR="006E75CD">
        <w:rPr>
          <w:rFonts w:ascii="Arial" w:hAnsi="Arial" w:cs="Arial"/>
        </w:rPr>
        <w:t>5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22</w:t>
      </w:r>
      <w:r w:rsidR="00803C78">
        <w:rPr>
          <w:rFonts w:ascii="Arial" w:hAnsi="Arial" w:cs="Arial"/>
        </w:rPr>
        <w:t>6</w:t>
      </w:r>
      <w:r w:rsidR="006E75CD">
        <w:rPr>
          <w:rFonts w:ascii="Arial" w:hAnsi="Arial" w:cs="Arial"/>
        </w:rPr>
        <w:t>,</w:t>
      </w:r>
      <w:r w:rsidR="00803C78">
        <w:rPr>
          <w:rFonts w:ascii="Arial" w:hAnsi="Arial" w:cs="Arial"/>
        </w:rPr>
        <w:t>6</w:t>
      </w:r>
      <w:r w:rsidR="00C05450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</w:rPr>
        <w:t xml:space="preserve">mln EUR) wobec minus </w:t>
      </w:r>
      <w:r w:rsidR="00C05450">
        <w:rPr>
          <w:rFonts w:ascii="Arial" w:hAnsi="Arial" w:cs="Arial"/>
        </w:rPr>
        <w:t>3</w:t>
      </w:r>
      <w:r w:rsidR="006E75CD">
        <w:rPr>
          <w:rFonts w:ascii="Arial" w:hAnsi="Arial" w:cs="Arial"/>
        </w:rPr>
        <w:t>2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316,9</w:t>
      </w:r>
      <w:r w:rsidR="00817E2F" w:rsidRPr="00D90892">
        <w:rPr>
          <w:rFonts w:ascii="Arial" w:hAnsi="Arial" w:cs="Arial"/>
        </w:rPr>
        <w:t xml:space="preserve"> mln zł (minus </w:t>
      </w:r>
      <w:r w:rsidR="006E6C9D">
        <w:rPr>
          <w:rFonts w:ascii="Arial" w:hAnsi="Arial" w:cs="Arial"/>
        </w:rPr>
        <w:t>8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678,0</w:t>
      </w:r>
      <w:r w:rsidR="00817E2F" w:rsidRPr="00D90892">
        <w:rPr>
          <w:rFonts w:ascii="Arial" w:hAnsi="Arial" w:cs="Arial"/>
        </w:rPr>
        <w:t xml:space="preserve"> mln USD, minus </w:t>
      </w:r>
      <w:r w:rsidR="006E6C9D">
        <w:rPr>
          <w:rFonts w:ascii="Arial" w:hAnsi="Arial" w:cs="Arial"/>
        </w:rPr>
        <w:t>7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759,7</w:t>
      </w:r>
      <w:r w:rsidR="00AB16D8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</w:rPr>
        <w:t xml:space="preserve">mln  EUR) </w:t>
      </w:r>
      <w:r w:rsidR="00803C78">
        <w:rPr>
          <w:rFonts w:ascii="Arial" w:hAnsi="Arial" w:cs="Arial"/>
          <w:spacing w:val="-3"/>
        </w:rPr>
        <w:t>w</w:t>
      </w:r>
      <w:r w:rsidR="0030327C">
        <w:rPr>
          <w:rFonts w:ascii="Arial" w:hAnsi="Arial" w:cs="Arial"/>
          <w:spacing w:val="-3"/>
        </w:rPr>
        <w:t xml:space="preserve"> </w:t>
      </w:r>
      <w:r w:rsidR="006E6C9D">
        <w:rPr>
          <w:rFonts w:ascii="Arial" w:hAnsi="Arial" w:cs="Arial"/>
          <w:spacing w:val="-3"/>
        </w:rPr>
        <w:t>2015</w:t>
      </w:r>
      <w:r w:rsidR="0030327C">
        <w:rPr>
          <w:rFonts w:ascii="Arial" w:hAnsi="Arial" w:cs="Arial"/>
          <w:spacing w:val="-3"/>
        </w:rPr>
        <w:t xml:space="preserve"> roku</w:t>
      </w:r>
      <w:r w:rsidR="00817E2F" w:rsidRPr="00D90892">
        <w:rPr>
          <w:rFonts w:ascii="Arial" w:hAnsi="Arial" w:cs="Arial"/>
          <w:spacing w:val="-3"/>
        </w:rPr>
        <w:t xml:space="preserve">. </w:t>
      </w:r>
    </w:p>
    <w:p w:rsidR="00817E2F" w:rsidRPr="00D90892" w:rsidRDefault="00817E2F" w:rsidP="001F2EC9">
      <w:pPr>
        <w:tabs>
          <w:tab w:val="left" w:pos="-720"/>
          <w:tab w:val="left" w:pos="277"/>
          <w:tab w:val="left" w:pos="567"/>
          <w:tab w:val="left" w:pos="831"/>
          <w:tab w:val="left" w:pos="1108"/>
          <w:tab w:val="left" w:pos="1386"/>
          <w:tab w:val="left" w:pos="1663"/>
          <w:tab w:val="left" w:pos="1940"/>
          <w:tab w:val="left" w:pos="2217"/>
          <w:tab w:val="left" w:pos="2494"/>
          <w:tab w:val="left" w:pos="2772"/>
          <w:tab w:val="left" w:pos="3049"/>
          <w:tab w:val="left" w:pos="3326"/>
          <w:tab w:val="left" w:pos="3603"/>
          <w:tab w:val="left" w:pos="3880"/>
          <w:tab w:val="left" w:pos="4158"/>
          <w:tab w:val="left" w:pos="4435"/>
          <w:tab w:val="left" w:pos="4712"/>
          <w:tab w:val="left" w:pos="4989"/>
          <w:tab w:val="left" w:pos="5266"/>
          <w:tab w:val="left" w:pos="5544"/>
          <w:tab w:val="left" w:pos="5821"/>
          <w:tab w:val="left" w:pos="6098"/>
          <w:tab w:val="left" w:pos="6375"/>
          <w:tab w:val="left" w:pos="6652"/>
          <w:tab w:val="left" w:pos="6930"/>
          <w:tab w:val="left" w:pos="7207"/>
          <w:tab w:val="left" w:pos="7484"/>
          <w:tab w:val="left" w:pos="7761"/>
          <w:tab w:val="left" w:pos="8038"/>
          <w:tab w:val="left" w:pos="8316"/>
          <w:tab w:val="left" w:pos="8593"/>
          <w:tab w:val="left" w:pos="8870"/>
          <w:tab w:val="left" w:pos="9147"/>
          <w:tab w:val="left" w:pos="9424"/>
        </w:tabs>
        <w:spacing w:before="240" w:after="0" w:line="240" w:lineRule="auto"/>
        <w:jc w:val="both"/>
        <w:rPr>
          <w:rFonts w:ascii="Arial" w:hAnsi="Arial" w:cs="Arial"/>
          <w:spacing w:val="-3"/>
        </w:rPr>
      </w:pPr>
      <w:r w:rsidRPr="00D90892">
        <w:rPr>
          <w:rFonts w:ascii="Arial" w:hAnsi="Arial" w:cs="Arial"/>
        </w:rPr>
        <w:t xml:space="preserve">W </w:t>
      </w:r>
      <w:r w:rsidR="006E75CD">
        <w:rPr>
          <w:rFonts w:ascii="Arial" w:hAnsi="Arial" w:cs="Arial"/>
        </w:rPr>
        <w:t>2016 r.</w:t>
      </w:r>
      <w:r w:rsidR="001E23A9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b/>
          <w:spacing w:val="-3"/>
        </w:rPr>
        <w:t>Ukraina</w:t>
      </w:r>
      <w:r w:rsidRPr="00D90892">
        <w:rPr>
          <w:rFonts w:ascii="Arial" w:hAnsi="Arial" w:cs="Arial"/>
          <w:spacing w:val="-3"/>
        </w:rPr>
        <w:t xml:space="preserve"> zajmowała </w:t>
      </w:r>
      <w:r w:rsidR="006E6C9D">
        <w:rPr>
          <w:rFonts w:ascii="Arial" w:hAnsi="Arial" w:cs="Arial"/>
          <w:spacing w:val="-3"/>
        </w:rPr>
        <w:t>czternaste</w:t>
      </w:r>
      <w:r w:rsidRPr="00D90892">
        <w:rPr>
          <w:rFonts w:ascii="Arial" w:hAnsi="Arial" w:cs="Arial"/>
          <w:spacing w:val="-3"/>
        </w:rPr>
        <w:t xml:space="preserve"> miejsce na liście naszych partnerów handlowych w eksporcie oraz dwudzieste </w:t>
      </w:r>
      <w:r w:rsidR="000E7253">
        <w:rPr>
          <w:rFonts w:ascii="Arial" w:hAnsi="Arial" w:cs="Arial"/>
          <w:spacing w:val="-3"/>
        </w:rPr>
        <w:t>drugie</w:t>
      </w:r>
      <w:r w:rsidRPr="00D90892">
        <w:rPr>
          <w:rFonts w:ascii="Arial" w:hAnsi="Arial" w:cs="Arial"/>
          <w:spacing w:val="-3"/>
        </w:rPr>
        <w:t xml:space="preserve"> w imporcie</w:t>
      </w:r>
      <w:r w:rsidR="001E23A9">
        <w:rPr>
          <w:rFonts w:ascii="Arial" w:hAnsi="Arial" w:cs="Arial"/>
          <w:spacing w:val="-3"/>
        </w:rPr>
        <w:t xml:space="preserve">, </w:t>
      </w:r>
      <w:r w:rsidR="00B83654">
        <w:rPr>
          <w:rFonts w:ascii="Arial" w:hAnsi="Arial" w:cs="Arial"/>
          <w:spacing w:val="-3"/>
        </w:rPr>
        <w:t xml:space="preserve">w </w:t>
      </w:r>
      <w:r w:rsidR="001E23A9">
        <w:rPr>
          <w:rFonts w:ascii="Arial" w:hAnsi="Arial" w:cs="Arial"/>
          <w:spacing w:val="-3"/>
        </w:rPr>
        <w:t xml:space="preserve">2015 r. w eksporcie była na </w:t>
      </w:r>
      <w:r w:rsidR="006E75CD">
        <w:rPr>
          <w:rFonts w:ascii="Arial" w:hAnsi="Arial" w:cs="Arial"/>
          <w:spacing w:val="-3"/>
        </w:rPr>
        <w:t>szesnastym</w:t>
      </w:r>
      <w:r w:rsidR="001E23A9">
        <w:rPr>
          <w:rFonts w:ascii="Arial" w:hAnsi="Arial" w:cs="Arial"/>
          <w:spacing w:val="-3"/>
        </w:rPr>
        <w:t xml:space="preserve">, a w imporcie na dwudziestym </w:t>
      </w:r>
      <w:r w:rsidR="000E7253">
        <w:rPr>
          <w:rFonts w:ascii="Arial" w:hAnsi="Arial" w:cs="Arial"/>
          <w:spacing w:val="-3"/>
        </w:rPr>
        <w:t>drugim</w:t>
      </w:r>
      <w:r w:rsidR="001E23A9">
        <w:rPr>
          <w:rFonts w:ascii="Arial" w:hAnsi="Arial" w:cs="Arial"/>
          <w:spacing w:val="-3"/>
        </w:rPr>
        <w:t xml:space="preserve"> miejscu</w:t>
      </w:r>
      <w:r w:rsidRPr="00D90892">
        <w:rPr>
          <w:rFonts w:ascii="Arial" w:hAnsi="Arial" w:cs="Arial"/>
          <w:spacing w:val="-3"/>
        </w:rPr>
        <w:t xml:space="preserve">. </w:t>
      </w:r>
      <w:r w:rsidRPr="00D90892">
        <w:rPr>
          <w:rFonts w:ascii="Arial" w:hAnsi="Arial" w:cs="Arial"/>
        </w:rPr>
        <w:t>Udział Ukrainy</w:t>
      </w:r>
      <w:r w:rsidRPr="00D90892">
        <w:rPr>
          <w:rFonts w:ascii="Arial" w:hAnsi="Arial" w:cs="Arial"/>
          <w:b/>
        </w:rPr>
        <w:t xml:space="preserve"> </w:t>
      </w:r>
      <w:r w:rsidRPr="00D90892">
        <w:rPr>
          <w:rFonts w:ascii="Arial" w:hAnsi="Arial" w:cs="Arial"/>
        </w:rPr>
        <w:t xml:space="preserve">w eksporcie </w:t>
      </w:r>
      <w:r w:rsidR="001E23A9">
        <w:rPr>
          <w:rFonts w:ascii="Arial" w:hAnsi="Arial" w:cs="Arial"/>
        </w:rPr>
        <w:t>wzrósł</w:t>
      </w:r>
      <w:r w:rsidRPr="00D90892">
        <w:rPr>
          <w:rFonts w:ascii="Arial" w:hAnsi="Arial" w:cs="Arial"/>
        </w:rPr>
        <w:t xml:space="preserve"> w porównaniu </w:t>
      </w:r>
      <w:r w:rsidR="00A96AE6">
        <w:rPr>
          <w:rFonts w:ascii="Arial" w:hAnsi="Arial" w:cs="Arial"/>
        </w:rPr>
        <w:t xml:space="preserve">z </w:t>
      </w:r>
      <w:r w:rsidR="006E75CD">
        <w:rPr>
          <w:rFonts w:ascii="Arial" w:hAnsi="Arial" w:cs="Arial"/>
        </w:rPr>
        <w:t xml:space="preserve">2015 </w:t>
      </w:r>
      <w:r w:rsidR="00A96AE6">
        <w:rPr>
          <w:rFonts w:ascii="Arial" w:hAnsi="Arial" w:cs="Arial"/>
        </w:rPr>
        <w:t>r</w:t>
      </w:r>
      <w:r w:rsidR="006E75CD">
        <w:rPr>
          <w:rFonts w:ascii="Arial" w:hAnsi="Arial" w:cs="Arial"/>
        </w:rPr>
        <w:t>.</w:t>
      </w:r>
      <w:r w:rsidRPr="00D90892">
        <w:rPr>
          <w:rFonts w:ascii="Arial" w:hAnsi="Arial" w:cs="Arial"/>
        </w:rPr>
        <w:t xml:space="preserve"> o 0,</w:t>
      </w:r>
      <w:r w:rsidR="000E7253">
        <w:rPr>
          <w:rFonts w:ascii="Arial" w:hAnsi="Arial" w:cs="Arial"/>
        </w:rPr>
        <w:t>2</w:t>
      </w:r>
      <w:r w:rsidRPr="00D90892">
        <w:rPr>
          <w:rFonts w:ascii="Arial" w:hAnsi="Arial" w:cs="Arial"/>
        </w:rPr>
        <w:t xml:space="preserve"> p. proc. i wyniósł 1,</w:t>
      </w:r>
      <w:r w:rsidR="006E75CD">
        <w:rPr>
          <w:rFonts w:ascii="Arial" w:hAnsi="Arial" w:cs="Arial"/>
        </w:rPr>
        <w:t>9</w:t>
      </w:r>
      <w:r w:rsidRPr="00D90892">
        <w:rPr>
          <w:rFonts w:ascii="Arial" w:hAnsi="Arial" w:cs="Arial"/>
        </w:rPr>
        <w:t xml:space="preserve"> %, </w:t>
      </w:r>
      <w:r w:rsidR="00232EC6">
        <w:rPr>
          <w:rFonts w:ascii="Arial" w:hAnsi="Arial" w:cs="Arial"/>
        </w:rPr>
        <w:t xml:space="preserve">w </w:t>
      </w:r>
      <w:r w:rsidR="00E73813">
        <w:rPr>
          <w:rFonts w:ascii="Arial" w:hAnsi="Arial" w:cs="Arial"/>
        </w:rPr>
        <w:t>imporcie</w:t>
      </w:r>
      <w:r w:rsidR="00056D68">
        <w:rPr>
          <w:rFonts w:ascii="Arial" w:hAnsi="Arial" w:cs="Arial"/>
        </w:rPr>
        <w:t xml:space="preserve"> </w:t>
      </w:r>
      <w:r w:rsidR="008E52B6">
        <w:rPr>
          <w:rFonts w:ascii="Arial" w:hAnsi="Arial" w:cs="Arial"/>
        </w:rPr>
        <w:t>o 0,</w:t>
      </w:r>
      <w:r w:rsidR="00112ACA">
        <w:rPr>
          <w:rFonts w:ascii="Arial" w:hAnsi="Arial" w:cs="Arial"/>
        </w:rPr>
        <w:t>1</w:t>
      </w:r>
      <w:r w:rsidR="00232EC6">
        <w:rPr>
          <w:rFonts w:ascii="Arial" w:hAnsi="Arial" w:cs="Arial"/>
        </w:rPr>
        <w:t xml:space="preserve"> p. proc.</w:t>
      </w:r>
      <w:r w:rsidRPr="00D90892">
        <w:rPr>
          <w:rFonts w:ascii="Arial" w:hAnsi="Arial" w:cs="Arial"/>
        </w:rPr>
        <w:t xml:space="preserve"> stanowi</w:t>
      </w:r>
      <w:r w:rsidR="00056D68">
        <w:rPr>
          <w:rFonts w:ascii="Arial" w:hAnsi="Arial" w:cs="Arial"/>
        </w:rPr>
        <w:t>ąc</w:t>
      </w:r>
      <w:r w:rsidRPr="00D90892">
        <w:rPr>
          <w:rFonts w:ascii="Arial" w:hAnsi="Arial" w:cs="Arial"/>
        </w:rPr>
        <w:t xml:space="preserve"> </w:t>
      </w:r>
      <w:r w:rsidR="005643AA">
        <w:rPr>
          <w:rFonts w:ascii="Arial" w:hAnsi="Arial" w:cs="Arial"/>
        </w:rPr>
        <w:t>1,0</w:t>
      </w:r>
      <w:r w:rsidRPr="00D90892">
        <w:rPr>
          <w:rFonts w:ascii="Arial" w:hAnsi="Arial" w:cs="Arial"/>
        </w:rPr>
        <w:t xml:space="preserve">%. </w:t>
      </w:r>
      <w:r w:rsidRPr="00D90892">
        <w:rPr>
          <w:rFonts w:ascii="Arial" w:hAnsi="Arial" w:cs="Arial"/>
          <w:spacing w:val="-3"/>
        </w:rPr>
        <w:t xml:space="preserve">Dodatnie saldo wyniosło </w:t>
      </w:r>
      <w:r w:rsidR="006E75CD">
        <w:rPr>
          <w:rFonts w:ascii="Arial" w:hAnsi="Arial" w:cs="Arial"/>
          <w:spacing w:val="-3"/>
        </w:rPr>
        <w:t>7</w:t>
      </w:r>
      <w:r w:rsidR="00803C78">
        <w:rPr>
          <w:rFonts w:ascii="Arial" w:hAnsi="Arial" w:cs="Arial"/>
          <w:spacing w:val="-3"/>
        </w:rPr>
        <w:t> 099,0</w:t>
      </w:r>
      <w:r w:rsidR="00232EC6">
        <w:rPr>
          <w:rFonts w:ascii="Arial" w:hAnsi="Arial" w:cs="Arial"/>
          <w:spacing w:val="-3"/>
        </w:rPr>
        <w:t xml:space="preserve"> </w:t>
      </w:r>
      <w:r w:rsidRPr="00D90892">
        <w:rPr>
          <w:rFonts w:ascii="Arial" w:hAnsi="Arial" w:cs="Arial"/>
          <w:spacing w:val="-3"/>
        </w:rPr>
        <w:t xml:space="preserve">mln zł </w:t>
      </w:r>
      <w:r w:rsidRPr="00D90892">
        <w:rPr>
          <w:rFonts w:ascii="Arial" w:hAnsi="Arial" w:cs="Arial"/>
        </w:rPr>
        <w:t>(</w:t>
      </w:r>
      <w:r w:rsidR="006E75CD">
        <w:rPr>
          <w:rFonts w:ascii="Arial" w:hAnsi="Arial" w:cs="Arial"/>
        </w:rPr>
        <w:t>1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8</w:t>
      </w:r>
      <w:r w:rsidR="00803C78">
        <w:rPr>
          <w:rFonts w:ascii="Arial" w:hAnsi="Arial" w:cs="Arial"/>
        </w:rPr>
        <w:t>08</w:t>
      </w:r>
      <w:r w:rsidR="006E75CD">
        <w:rPr>
          <w:rFonts w:ascii="Arial" w:hAnsi="Arial" w:cs="Arial"/>
        </w:rPr>
        <w:t>,</w:t>
      </w:r>
      <w:r w:rsidR="00803C78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 mln USD, </w:t>
      </w:r>
      <w:r w:rsidR="006E75CD">
        <w:rPr>
          <w:rFonts w:ascii="Arial" w:hAnsi="Arial" w:cs="Arial"/>
        </w:rPr>
        <w:t>1</w:t>
      </w:r>
      <w:r w:rsidR="00803C78">
        <w:rPr>
          <w:rFonts w:ascii="Arial" w:hAnsi="Arial" w:cs="Arial"/>
        </w:rPr>
        <w:t> </w:t>
      </w:r>
      <w:r w:rsidR="006E75CD">
        <w:rPr>
          <w:rFonts w:ascii="Arial" w:hAnsi="Arial" w:cs="Arial"/>
        </w:rPr>
        <w:t>6</w:t>
      </w:r>
      <w:r w:rsidR="00803C78">
        <w:rPr>
          <w:rFonts w:ascii="Arial" w:hAnsi="Arial" w:cs="Arial"/>
        </w:rPr>
        <w:t>32,0</w:t>
      </w:r>
      <w:r w:rsidRPr="00D90892">
        <w:rPr>
          <w:rFonts w:ascii="Arial" w:hAnsi="Arial" w:cs="Arial"/>
        </w:rPr>
        <w:t xml:space="preserve"> mln EUR) wobec </w:t>
      </w:r>
      <w:r w:rsidR="006E75CD">
        <w:rPr>
          <w:rFonts w:ascii="Arial" w:hAnsi="Arial" w:cs="Arial"/>
        </w:rPr>
        <w:t>6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050,7</w:t>
      </w:r>
      <w:r w:rsidR="00232EC6">
        <w:rPr>
          <w:rFonts w:ascii="Arial" w:hAnsi="Arial" w:cs="Arial"/>
        </w:rPr>
        <w:t xml:space="preserve"> </w:t>
      </w:r>
      <w:r w:rsidR="00415CAE">
        <w:rPr>
          <w:rFonts w:ascii="Arial" w:hAnsi="Arial" w:cs="Arial"/>
        </w:rPr>
        <w:t>mln zł (</w:t>
      </w:r>
      <w:r w:rsidR="006E6C9D">
        <w:rPr>
          <w:rFonts w:ascii="Arial" w:hAnsi="Arial" w:cs="Arial"/>
        </w:rPr>
        <w:t>1</w:t>
      </w:r>
      <w:r w:rsidR="00803C78">
        <w:rPr>
          <w:rFonts w:ascii="Arial" w:hAnsi="Arial" w:cs="Arial"/>
        </w:rPr>
        <w:t xml:space="preserve"> </w:t>
      </w:r>
      <w:r w:rsidR="006E75CD">
        <w:rPr>
          <w:rFonts w:ascii="Arial" w:hAnsi="Arial" w:cs="Arial"/>
        </w:rPr>
        <w:t>602,8</w:t>
      </w:r>
      <w:r w:rsidR="00415CAE">
        <w:rPr>
          <w:rFonts w:ascii="Arial" w:hAnsi="Arial" w:cs="Arial"/>
        </w:rPr>
        <w:t xml:space="preserve"> mln USD, </w:t>
      </w:r>
      <w:r w:rsidR="006E6C9D">
        <w:rPr>
          <w:rFonts w:ascii="Arial" w:hAnsi="Arial" w:cs="Arial"/>
        </w:rPr>
        <w:t>1</w:t>
      </w:r>
      <w:r w:rsidR="00803C78">
        <w:rPr>
          <w:rFonts w:ascii="Arial" w:hAnsi="Arial" w:cs="Arial"/>
        </w:rPr>
        <w:t> </w:t>
      </w:r>
      <w:r w:rsidR="006E75CD">
        <w:rPr>
          <w:rFonts w:ascii="Arial" w:hAnsi="Arial" w:cs="Arial"/>
        </w:rPr>
        <w:t>447,3</w:t>
      </w:r>
      <w:r w:rsidRPr="00D90892">
        <w:rPr>
          <w:rFonts w:ascii="Arial" w:hAnsi="Arial" w:cs="Arial"/>
        </w:rPr>
        <w:t xml:space="preserve"> mln EUR) </w:t>
      </w:r>
      <w:r w:rsidRPr="00D90892">
        <w:rPr>
          <w:rFonts w:ascii="Arial" w:hAnsi="Arial" w:cs="Arial"/>
          <w:spacing w:val="-3"/>
        </w:rPr>
        <w:t>w</w:t>
      </w:r>
      <w:r w:rsidR="00415CAE">
        <w:rPr>
          <w:rFonts w:ascii="Arial" w:hAnsi="Arial" w:cs="Arial"/>
          <w:spacing w:val="-3"/>
        </w:rPr>
        <w:t> </w:t>
      </w:r>
      <w:r w:rsidRPr="00D90892">
        <w:rPr>
          <w:rFonts w:ascii="Arial" w:hAnsi="Arial" w:cs="Arial"/>
          <w:spacing w:val="-3"/>
        </w:rPr>
        <w:t>201</w:t>
      </w:r>
      <w:r w:rsidR="008E52B6">
        <w:rPr>
          <w:rFonts w:ascii="Arial" w:hAnsi="Arial" w:cs="Arial"/>
          <w:spacing w:val="-3"/>
        </w:rPr>
        <w:t>5</w:t>
      </w:r>
      <w:r w:rsidRPr="00D90892">
        <w:rPr>
          <w:rFonts w:ascii="Arial" w:hAnsi="Arial" w:cs="Arial"/>
          <w:spacing w:val="-3"/>
        </w:rPr>
        <w:t xml:space="preserve"> r.</w:t>
      </w:r>
    </w:p>
    <w:p w:rsidR="00817E2F" w:rsidRPr="00D90892" w:rsidRDefault="00D05A31" w:rsidP="001F2EC9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spacing w:before="240" w:after="0" w:line="240" w:lineRule="auto"/>
        <w:ind w:right="2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</w:t>
      </w:r>
      <w:r w:rsidR="006E75CD">
        <w:rPr>
          <w:rFonts w:ascii="Arial" w:hAnsi="Arial" w:cs="Arial"/>
        </w:rPr>
        <w:t>dwunastu</w:t>
      </w:r>
      <w:r w:rsidR="000E7253">
        <w:rPr>
          <w:rFonts w:ascii="Arial" w:hAnsi="Arial" w:cs="Arial"/>
        </w:rPr>
        <w:t xml:space="preserve"> miesiącach</w:t>
      </w:r>
      <w:r w:rsidR="001E23A9">
        <w:rPr>
          <w:rFonts w:ascii="Arial" w:hAnsi="Arial" w:cs="Arial"/>
        </w:rPr>
        <w:t xml:space="preserve"> </w:t>
      </w:r>
      <w:r w:rsidR="00B83654">
        <w:rPr>
          <w:rFonts w:ascii="Arial" w:hAnsi="Arial" w:cs="Arial"/>
        </w:rPr>
        <w:t>2016</w:t>
      </w:r>
      <w:r w:rsidR="00DC5FA1">
        <w:rPr>
          <w:rFonts w:ascii="Arial" w:hAnsi="Arial" w:cs="Arial"/>
        </w:rPr>
        <w:t xml:space="preserve"> </w:t>
      </w:r>
      <w:r w:rsidR="001E23A9">
        <w:rPr>
          <w:rFonts w:ascii="Arial" w:hAnsi="Arial" w:cs="Arial"/>
        </w:rPr>
        <w:t>r.</w:t>
      </w:r>
      <w:r w:rsidR="00817E2F" w:rsidRPr="00D90892">
        <w:rPr>
          <w:rFonts w:ascii="Arial" w:hAnsi="Arial" w:cs="Arial"/>
        </w:rPr>
        <w:t xml:space="preserve"> wśród </w:t>
      </w:r>
      <w:r w:rsidR="00817E2F" w:rsidRPr="009C1CBB">
        <w:rPr>
          <w:rFonts w:ascii="Arial" w:hAnsi="Arial" w:cs="Arial"/>
          <w:b/>
        </w:rPr>
        <w:t>głównych</w:t>
      </w:r>
      <w:r w:rsidR="00817E2F" w:rsidRPr="00D90892">
        <w:rPr>
          <w:rFonts w:ascii="Arial" w:hAnsi="Arial" w:cs="Arial"/>
        </w:rPr>
        <w:t xml:space="preserve"> </w:t>
      </w:r>
      <w:r w:rsidR="00817E2F" w:rsidRPr="00D90892">
        <w:rPr>
          <w:rFonts w:ascii="Arial" w:hAnsi="Arial" w:cs="Arial"/>
          <w:b/>
        </w:rPr>
        <w:t>partnerów handlowych</w:t>
      </w:r>
      <w:r w:rsidR="00817E2F" w:rsidRPr="00D90892">
        <w:rPr>
          <w:rFonts w:ascii="Arial" w:hAnsi="Arial" w:cs="Arial"/>
        </w:rPr>
        <w:t xml:space="preserve"> Polski </w:t>
      </w:r>
      <w:r w:rsidR="005643AA" w:rsidRPr="00D90892">
        <w:rPr>
          <w:rFonts w:ascii="Arial" w:hAnsi="Arial" w:cs="Arial"/>
        </w:rPr>
        <w:t xml:space="preserve">odnotowano wzrost eksportu do </w:t>
      </w:r>
      <w:r w:rsidR="005643AA">
        <w:rPr>
          <w:rFonts w:ascii="Arial" w:hAnsi="Arial" w:cs="Arial"/>
        </w:rPr>
        <w:t>wszystkich krajów z pierwszej dziesiątki naszych partnerów</w:t>
      </w:r>
      <w:r w:rsidR="00646A8A">
        <w:rPr>
          <w:rFonts w:ascii="Arial" w:hAnsi="Arial" w:cs="Arial"/>
        </w:rPr>
        <w:t xml:space="preserve">, czyli do Szwecji, Hiszpanii, </w:t>
      </w:r>
      <w:r w:rsidR="00137415">
        <w:rPr>
          <w:rFonts w:ascii="Arial" w:hAnsi="Arial" w:cs="Arial"/>
        </w:rPr>
        <w:t xml:space="preserve">Holandii, </w:t>
      </w:r>
      <w:r w:rsidR="00646A8A">
        <w:rPr>
          <w:rFonts w:ascii="Arial" w:hAnsi="Arial" w:cs="Arial"/>
        </w:rPr>
        <w:t>Niemiec,</w:t>
      </w:r>
      <w:r w:rsidR="00650011" w:rsidRPr="00650011">
        <w:rPr>
          <w:rFonts w:ascii="Arial" w:hAnsi="Arial" w:cs="Arial"/>
        </w:rPr>
        <w:t xml:space="preserve"> </w:t>
      </w:r>
      <w:r w:rsidR="00650011">
        <w:rPr>
          <w:rFonts w:ascii="Arial" w:hAnsi="Arial" w:cs="Arial"/>
        </w:rPr>
        <w:t>na Węgry, do</w:t>
      </w:r>
      <w:r w:rsidR="00646A8A">
        <w:rPr>
          <w:rFonts w:ascii="Arial" w:hAnsi="Arial" w:cs="Arial"/>
        </w:rPr>
        <w:t xml:space="preserve"> </w:t>
      </w:r>
      <w:r w:rsidR="00650011">
        <w:rPr>
          <w:rFonts w:ascii="Arial" w:hAnsi="Arial" w:cs="Arial"/>
        </w:rPr>
        <w:t xml:space="preserve">Francji, Czech, </w:t>
      </w:r>
      <w:r w:rsidR="00137415">
        <w:rPr>
          <w:rFonts w:ascii="Arial" w:hAnsi="Arial" w:cs="Arial"/>
        </w:rPr>
        <w:t xml:space="preserve">Rosji, </w:t>
      </w:r>
      <w:r w:rsidR="00650011">
        <w:rPr>
          <w:rFonts w:ascii="Arial" w:hAnsi="Arial" w:cs="Arial"/>
        </w:rPr>
        <w:t xml:space="preserve">Wielkiej Brytanii  oraz </w:t>
      </w:r>
      <w:r w:rsidR="00646A8A">
        <w:rPr>
          <w:rFonts w:ascii="Arial" w:hAnsi="Arial" w:cs="Arial"/>
        </w:rPr>
        <w:t xml:space="preserve">Włoch, </w:t>
      </w:r>
      <w:r w:rsidR="005643AA" w:rsidRPr="00D90892">
        <w:rPr>
          <w:rFonts w:ascii="Arial" w:hAnsi="Arial" w:cs="Arial"/>
        </w:rPr>
        <w:t xml:space="preserve">a importu – </w:t>
      </w:r>
      <w:r w:rsidR="005643AA">
        <w:rPr>
          <w:rFonts w:ascii="Arial" w:hAnsi="Arial" w:cs="Arial"/>
        </w:rPr>
        <w:t xml:space="preserve">z Belgii, </w:t>
      </w:r>
      <w:r w:rsidR="00650011">
        <w:rPr>
          <w:rFonts w:ascii="Arial" w:hAnsi="Arial" w:cs="Arial"/>
        </w:rPr>
        <w:t xml:space="preserve">Francji, </w:t>
      </w:r>
      <w:r w:rsidR="005643AA" w:rsidRPr="00D90892">
        <w:rPr>
          <w:rFonts w:ascii="Arial" w:hAnsi="Arial" w:cs="Arial"/>
        </w:rPr>
        <w:t>z</w:t>
      </w:r>
      <w:r w:rsidR="005643AA">
        <w:rPr>
          <w:rFonts w:ascii="Arial" w:hAnsi="Arial" w:cs="Arial"/>
        </w:rPr>
        <w:t>e</w:t>
      </w:r>
      <w:r w:rsidR="005643AA" w:rsidRPr="00D90892">
        <w:rPr>
          <w:rFonts w:ascii="Arial" w:hAnsi="Arial" w:cs="Arial"/>
        </w:rPr>
        <w:t xml:space="preserve"> </w:t>
      </w:r>
      <w:r w:rsidR="005643AA">
        <w:rPr>
          <w:rFonts w:ascii="Arial" w:hAnsi="Arial" w:cs="Arial"/>
        </w:rPr>
        <w:t>Stanów Zjednoczonych,</w:t>
      </w:r>
      <w:r w:rsidR="005643AA" w:rsidRPr="005643AA">
        <w:rPr>
          <w:rFonts w:ascii="Arial" w:hAnsi="Arial" w:cs="Arial"/>
        </w:rPr>
        <w:t xml:space="preserve"> </w:t>
      </w:r>
      <w:r w:rsidR="005643AA">
        <w:rPr>
          <w:rFonts w:ascii="Arial" w:hAnsi="Arial" w:cs="Arial"/>
        </w:rPr>
        <w:t xml:space="preserve">z </w:t>
      </w:r>
      <w:r w:rsidR="00650011">
        <w:rPr>
          <w:rFonts w:ascii="Arial" w:hAnsi="Arial" w:cs="Arial"/>
        </w:rPr>
        <w:t xml:space="preserve">Czech, </w:t>
      </w:r>
      <w:r w:rsidR="005643AA">
        <w:rPr>
          <w:rFonts w:ascii="Arial" w:hAnsi="Arial" w:cs="Arial"/>
        </w:rPr>
        <w:t xml:space="preserve">Chin, </w:t>
      </w:r>
      <w:r w:rsidR="00650011">
        <w:rPr>
          <w:rFonts w:ascii="Arial" w:hAnsi="Arial" w:cs="Arial"/>
        </w:rPr>
        <w:t xml:space="preserve">Włoch, </w:t>
      </w:r>
      <w:r w:rsidR="005643AA">
        <w:rPr>
          <w:rFonts w:ascii="Arial" w:hAnsi="Arial" w:cs="Arial"/>
        </w:rPr>
        <w:t xml:space="preserve">Niemiec, </w:t>
      </w:r>
      <w:r w:rsidR="002F3F9D">
        <w:rPr>
          <w:rFonts w:ascii="Arial" w:hAnsi="Arial" w:cs="Arial"/>
        </w:rPr>
        <w:t>Holandii</w:t>
      </w:r>
      <w:r w:rsidR="001F797E">
        <w:rPr>
          <w:rFonts w:ascii="Arial" w:hAnsi="Arial" w:cs="Arial"/>
        </w:rPr>
        <w:t xml:space="preserve"> </w:t>
      </w:r>
      <w:r w:rsidR="00BA0A8F">
        <w:rPr>
          <w:rFonts w:ascii="Arial" w:hAnsi="Arial" w:cs="Arial"/>
        </w:rPr>
        <w:t xml:space="preserve">   </w:t>
      </w:r>
      <w:r w:rsidR="005643AA">
        <w:rPr>
          <w:rFonts w:ascii="Arial" w:hAnsi="Arial" w:cs="Arial"/>
        </w:rPr>
        <w:t xml:space="preserve">i </w:t>
      </w:r>
      <w:r w:rsidR="001F797E">
        <w:rPr>
          <w:rFonts w:ascii="Arial" w:hAnsi="Arial" w:cs="Arial"/>
        </w:rPr>
        <w:t>Wielkiej Brytanii</w:t>
      </w:r>
      <w:r w:rsidR="005643AA" w:rsidRPr="00D90892">
        <w:rPr>
          <w:rFonts w:ascii="Arial" w:hAnsi="Arial" w:cs="Arial"/>
        </w:rPr>
        <w:t xml:space="preserve">. </w:t>
      </w:r>
      <w:r w:rsidR="005643AA">
        <w:rPr>
          <w:rFonts w:ascii="Arial" w:hAnsi="Arial" w:cs="Arial"/>
        </w:rPr>
        <w:t xml:space="preserve">Spadek importu </w:t>
      </w:r>
      <w:r w:rsidR="005643AA" w:rsidRPr="00D90892">
        <w:rPr>
          <w:rFonts w:ascii="Arial" w:hAnsi="Arial" w:cs="Arial"/>
        </w:rPr>
        <w:t xml:space="preserve"> </w:t>
      </w:r>
      <w:r w:rsidR="005643AA">
        <w:rPr>
          <w:rFonts w:ascii="Arial" w:hAnsi="Arial" w:cs="Arial"/>
        </w:rPr>
        <w:t xml:space="preserve">odnotowano w wymianie </w:t>
      </w:r>
      <w:r w:rsidR="005643AA" w:rsidRPr="00D90892">
        <w:rPr>
          <w:rFonts w:ascii="Arial" w:hAnsi="Arial" w:cs="Arial"/>
        </w:rPr>
        <w:t>z Rosj</w:t>
      </w:r>
      <w:r w:rsidR="005643AA">
        <w:rPr>
          <w:rFonts w:ascii="Arial" w:hAnsi="Arial" w:cs="Arial"/>
        </w:rPr>
        <w:t>ą</w:t>
      </w:r>
      <w:r w:rsidR="005643AA" w:rsidRPr="00D90892">
        <w:rPr>
          <w:rFonts w:ascii="Arial" w:hAnsi="Arial" w:cs="Arial"/>
        </w:rPr>
        <w:t>.</w:t>
      </w:r>
    </w:p>
    <w:p w:rsidR="00C94F55" w:rsidRPr="00D90892" w:rsidRDefault="00817E2F" w:rsidP="00415CAE">
      <w:pPr>
        <w:spacing w:before="240" w:after="0" w:line="240" w:lineRule="auto"/>
        <w:ind w:right="-85"/>
        <w:jc w:val="both"/>
        <w:rPr>
          <w:rFonts w:ascii="Arial" w:hAnsi="Arial" w:cs="Arial"/>
        </w:rPr>
      </w:pPr>
      <w:r w:rsidRPr="00D90892">
        <w:rPr>
          <w:rFonts w:ascii="Arial" w:hAnsi="Arial" w:cs="Arial"/>
        </w:rPr>
        <w:t xml:space="preserve">Obroty z </w:t>
      </w:r>
      <w:r w:rsidR="00B83654">
        <w:rPr>
          <w:rFonts w:ascii="Arial" w:hAnsi="Arial" w:cs="Arial"/>
        </w:rPr>
        <w:t xml:space="preserve">dziesięcioma najważniejszymi </w:t>
      </w:r>
      <w:r w:rsidRPr="00D90892">
        <w:rPr>
          <w:rFonts w:ascii="Arial" w:hAnsi="Arial" w:cs="Arial"/>
        </w:rPr>
        <w:t>naszy</w:t>
      </w:r>
      <w:r w:rsidR="00B83654">
        <w:rPr>
          <w:rFonts w:ascii="Arial" w:hAnsi="Arial" w:cs="Arial"/>
        </w:rPr>
        <w:t>mi</w:t>
      </w:r>
      <w:r w:rsidRPr="00D90892">
        <w:rPr>
          <w:rFonts w:ascii="Arial" w:hAnsi="Arial" w:cs="Arial"/>
        </w:rPr>
        <w:t xml:space="preserve"> partner</w:t>
      </w:r>
      <w:r w:rsidR="00B83654">
        <w:rPr>
          <w:rFonts w:ascii="Arial" w:hAnsi="Arial" w:cs="Arial"/>
        </w:rPr>
        <w:t>ami</w:t>
      </w:r>
      <w:r w:rsidRPr="00D90892">
        <w:rPr>
          <w:rFonts w:ascii="Arial" w:hAnsi="Arial" w:cs="Arial"/>
        </w:rPr>
        <w:t xml:space="preserve"> handlowy</w:t>
      </w:r>
      <w:r w:rsidR="00B83654">
        <w:rPr>
          <w:rFonts w:ascii="Arial" w:hAnsi="Arial" w:cs="Arial"/>
        </w:rPr>
        <w:t>mi</w:t>
      </w:r>
      <w:r w:rsidRPr="00D90892">
        <w:rPr>
          <w:rFonts w:ascii="Arial" w:hAnsi="Arial" w:cs="Arial"/>
        </w:rPr>
        <w:t xml:space="preserve"> stanowiły </w:t>
      </w:r>
      <w:r w:rsidR="00866C6C">
        <w:rPr>
          <w:rFonts w:ascii="Arial" w:hAnsi="Arial" w:cs="Arial"/>
        </w:rPr>
        <w:t>66,</w:t>
      </w:r>
      <w:r w:rsidR="00247CD9">
        <w:rPr>
          <w:rFonts w:ascii="Arial" w:hAnsi="Arial" w:cs="Arial"/>
        </w:rPr>
        <w:t>6</w:t>
      </w:r>
      <w:r w:rsidRPr="00D90892">
        <w:rPr>
          <w:rFonts w:ascii="Arial" w:hAnsi="Arial" w:cs="Arial"/>
        </w:rPr>
        <w:t xml:space="preserve">% eksportu </w:t>
      </w:r>
      <w:r w:rsidR="00247CD9">
        <w:rPr>
          <w:rFonts w:ascii="Arial" w:hAnsi="Arial" w:cs="Arial"/>
        </w:rPr>
        <w:t xml:space="preserve"> ogółem i</w:t>
      </w:r>
      <w:r w:rsidR="00B83654">
        <w:rPr>
          <w:rFonts w:ascii="Arial" w:hAnsi="Arial" w:cs="Arial"/>
        </w:rPr>
        <w:t xml:space="preserve"> 66,</w:t>
      </w:r>
      <w:r w:rsidR="00247CD9">
        <w:rPr>
          <w:rFonts w:ascii="Arial" w:hAnsi="Arial" w:cs="Arial"/>
        </w:rPr>
        <w:t>2</w:t>
      </w:r>
      <w:r w:rsidR="00B83654">
        <w:rPr>
          <w:rFonts w:ascii="Arial" w:hAnsi="Arial" w:cs="Arial"/>
        </w:rPr>
        <w:t xml:space="preserve">% </w:t>
      </w:r>
      <w:r w:rsidRPr="00D90892">
        <w:rPr>
          <w:rFonts w:ascii="Arial" w:hAnsi="Arial" w:cs="Arial"/>
        </w:rPr>
        <w:t xml:space="preserve">importu </w:t>
      </w:r>
      <w:r w:rsidR="00252A83" w:rsidRPr="00D90892">
        <w:rPr>
          <w:rFonts w:ascii="Arial" w:hAnsi="Arial" w:cs="Arial"/>
        </w:rPr>
        <w:t>ogółem</w:t>
      </w:r>
      <w:r w:rsidR="00B83654">
        <w:rPr>
          <w:rFonts w:ascii="Arial" w:hAnsi="Arial" w:cs="Arial"/>
        </w:rPr>
        <w:t xml:space="preserve"> (</w:t>
      </w:r>
      <w:r w:rsidR="00252A83">
        <w:rPr>
          <w:rFonts w:ascii="Arial" w:hAnsi="Arial" w:cs="Arial"/>
        </w:rPr>
        <w:t xml:space="preserve">wobec </w:t>
      </w:r>
      <w:r w:rsidR="00247CD9">
        <w:rPr>
          <w:rFonts w:ascii="Arial" w:hAnsi="Arial" w:cs="Arial"/>
        </w:rPr>
        <w:t xml:space="preserve">odpowiednio </w:t>
      </w:r>
      <w:r w:rsidR="00137415">
        <w:rPr>
          <w:rFonts w:ascii="Arial" w:hAnsi="Arial" w:cs="Arial"/>
        </w:rPr>
        <w:t>66,</w:t>
      </w:r>
      <w:r w:rsidR="00247CD9">
        <w:rPr>
          <w:rFonts w:ascii="Arial" w:hAnsi="Arial" w:cs="Arial"/>
        </w:rPr>
        <w:t>0</w:t>
      </w:r>
      <w:r w:rsidR="00252A83" w:rsidRPr="00D90892">
        <w:rPr>
          <w:rFonts w:ascii="Arial" w:hAnsi="Arial" w:cs="Arial"/>
        </w:rPr>
        <w:t xml:space="preserve">% </w:t>
      </w:r>
      <w:r w:rsidR="00247CD9">
        <w:rPr>
          <w:rFonts w:ascii="Arial" w:hAnsi="Arial" w:cs="Arial"/>
        </w:rPr>
        <w:t xml:space="preserve">i 66,1% </w:t>
      </w:r>
      <w:r w:rsidR="00B83654">
        <w:rPr>
          <w:rFonts w:ascii="Arial" w:hAnsi="Arial" w:cs="Arial"/>
        </w:rPr>
        <w:t>w 2015 r.)</w:t>
      </w:r>
      <w:r w:rsidRPr="00D90892">
        <w:rPr>
          <w:rFonts w:ascii="Arial" w:hAnsi="Arial" w:cs="Arial"/>
        </w:rPr>
        <w:t>.</w:t>
      </w:r>
    </w:p>
    <w:p w:rsidR="00817E2F" w:rsidRPr="00D90892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Default="00817E2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C8315F" w:rsidRDefault="00C8315F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281B7B" w:rsidRDefault="00281B7B" w:rsidP="00817E2F">
      <w:pPr>
        <w:spacing w:after="0" w:line="240" w:lineRule="auto"/>
        <w:ind w:right="-85" w:firstLine="426"/>
        <w:rPr>
          <w:rFonts w:ascii="Arial" w:hAnsi="Arial" w:cs="Arial"/>
        </w:rPr>
      </w:pPr>
    </w:p>
    <w:p w:rsidR="00817E2F" w:rsidRPr="00D90892" w:rsidRDefault="00817E2F" w:rsidP="002C3BD9">
      <w:pPr>
        <w:pStyle w:val="Nagwek2"/>
        <w:spacing w:before="0" w:after="200" w:line="240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D90892">
        <w:rPr>
          <w:rFonts w:ascii="Arial" w:hAnsi="Arial" w:cs="Arial"/>
          <w:color w:val="auto"/>
          <w:sz w:val="22"/>
          <w:szCs w:val="22"/>
        </w:rPr>
        <w:lastRenderedPageBreak/>
        <w:t>Import w</w:t>
      </w:r>
      <w:r w:rsidR="00AB3B9E">
        <w:rPr>
          <w:rFonts w:ascii="Arial" w:hAnsi="Arial" w:cs="Arial"/>
          <w:color w:val="auto"/>
          <w:sz w:val="22"/>
          <w:szCs w:val="22"/>
        </w:rPr>
        <w:t>edłu</w:t>
      </w:r>
      <w:r w:rsidRPr="00D90892">
        <w:rPr>
          <w:rFonts w:ascii="Arial" w:hAnsi="Arial" w:cs="Arial"/>
          <w:color w:val="auto"/>
          <w:sz w:val="22"/>
          <w:szCs w:val="22"/>
        </w:rPr>
        <w:t>g kraju wysyłki</w:t>
      </w:r>
      <w:r w:rsidR="00733AB7">
        <w:rPr>
          <w:rFonts w:ascii="Arial" w:hAnsi="Arial" w:cs="Arial"/>
          <w:color w:val="auto"/>
          <w:sz w:val="22"/>
          <w:szCs w:val="22"/>
          <w:vertAlign w:val="superscript"/>
        </w:rPr>
        <w:t>5</w:t>
      </w:r>
      <w:r w:rsidRPr="00D90892">
        <w:rPr>
          <w:rFonts w:ascii="Arial" w:hAnsi="Arial" w:cs="Arial"/>
          <w:color w:val="auto"/>
          <w:sz w:val="22"/>
          <w:szCs w:val="22"/>
        </w:rPr>
        <w:t xml:space="preserve"> ogółem i według </w:t>
      </w:r>
      <w:r w:rsidR="00C464EC">
        <w:rPr>
          <w:rFonts w:ascii="Arial" w:hAnsi="Arial" w:cs="Arial"/>
          <w:color w:val="auto"/>
          <w:sz w:val="22"/>
          <w:szCs w:val="22"/>
        </w:rPr>
        <w:t xml:space="preserve">grup </w:t>
      </w:r>
      <w:r w:rsidRPr="00D90892">
        <w:rPr>
          <w:rFonts w:ascii="Arial" w:hAnsi="Arial" w:cs="Arial"/>
          <w:color w:val="auto"/>
          <w:sz w:val="22"/>
          <w:szCs w:val="22"/>
        </w:rPr>
        <w:t>krajów</w:t>
      </w:r>
      <w:r w:rsidR="002C3BD9" w:rsidRPr="00D90892">
        <w:rPr>
          <w:rFonts w:ascii="Arial" w:hAnsi="Arial" w:cs="Arial"/>
          <w:color w:val="auto"/>
          <w:sz w:val="22"/>
          <w:szCs w:val="22"/>
          <w:vertAlign w:val="superscript"/>
        </w:rPr>
        <w:t xml:space="preserve"> </w:t>
      </w:r>
    </w:p>
    <w:tbl>
      <w:tblPr>
        <w:tblW w:w="10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080"/>
        <w:gridCol w:w="1130"/>
        <w:gridCol w:w="1130"/>
        <w:gridCol w:w="720"/>
        <w:gridCol w:w="800"/>
        <w:gridCol w:w="720"/>
        <w:gridCol w:w="743"/>
        <w:gridCol w:w="23"/>
        <w:gridCol w:w="720"/>
      </w:tblGrid>
      <w:tr w:rsidR="00EA3FB6" w:rsidRPr="00D90892" w:rsidTr="00EA3FB6">
        <w:tc>
          <w:tcPr>
            <w:tcW w:w="322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Wyszczególnienie</w:t>
            </w:r>
          </w:p>
        </w:tc>
        <w:tc>
          <w:tcPr>
            <w:tcW w:w="558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A3FB6" w:rsidRPr="00D90892" w:rsidRDefault="00EA3FB6" w:rsidP="00307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FB6" w:rsidRPr="00D90892" w:rsidRDefault="00EA3FB6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A3FB6" w:rsidRPr="00D90892" w:rsidRDefault="00EA3FB6" w:rsidP="00B91D0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201</w:t>
            </w: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</w:tr>
      <w:tr w:rsidR="00EA3FB6" w:rsidRPr="00D90892" w:rsidTr="00EA3FB6">
        <w:tc>
          <w:tcPr>
            <w:tcW w:w="3227" w:type="dxa"/>
            <w:vMerge/>
            <w:tcBorders>
              <w:right w:val="single" w:sz="4" w:space="0" w:color="auto"/>
            </w:tcBorders>
          </w:tcPr>
          <w:p w:rsidR="00EA3FB6" w:rsidRPr="00D90892" w:rsidRDefault="00EA3FB6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ZŁ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USD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w mln EUR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307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2015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 = 100</w:t>
            </w:r>
          </w:p>
        </w:tc>
        <w:tc>
          <w:tcPr>
            <w:tcW w:w="7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307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307356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17E2F" w:rsidRPr="00D90892" w:rsidTr="00CE2E5A">
        <w:tc>
          <w:tcPr>
            <w:tcW w:w="322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2F" w:rsidRPr="00D90892" w:rsidRDefault="00817E2F" w:rsidP="00817E2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zł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USD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EUR</w:t>
            </w:r>
          </w:p>
        </w:tc>
        <w:tc>
          <w:tcPr>
            <w:tcW w:w="1486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7E2F" w:rsidRPr="00D90892" w:rsidRDefault="00817E2F" w:rsidP="00817E2F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>struktura w %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Import</w:t>
            </w:r>
            <w:r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5</w:t>
            </w:r>
            <w:r w:rsidRPr="00D90892">
              <w:rPr>
                <w:rFonts w:ascii="Arial" w:hAnsi="Arial" w:cs="Arial"/>
                <w:b/>
                <w:sz w:val="18"/>
                <w:szCs w:val="18"/>
                <w:lang w:val="en-US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786 470,1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200 672,4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180 924,6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106,1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101,5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102,1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636CFB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100,0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636CFB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7"/>
                <w:szCs w:val="17"/>
              </w:rPr>
            </w:pPr>
            <w:r w:rsidRPr="00636CFB">
              <w:rPr>
                <w:rFonts w:ascii="Arial" w:hAnsi="Arial" w:cs="Arial"/>
                <w:b/>
                <w:color w:val="000000"/>
                <w:sz w:val="17"/>
                <w:szCs w:val="17"/>
              </w:rPr>
              <w:t>100,0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605 909,8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154 676,9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139 394,6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108,0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103,9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75,7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77,1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570 247,1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145 592,6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131 193,7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108,7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104,5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70,8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72,5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461 624,8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117 862,3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106 205,6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108,5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103,7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104,4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57,4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58,7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122 048,7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31 069,9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28 058,3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106,3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101,9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102,2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15,5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58 511,6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14 925,6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13 471,7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89,5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85,5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86,0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8,8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7,4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D90892">
              <w:rPr>
                <w:rFonts w:ascii="Arial" w:hAnsi="Arial" w:cs="Arial"/>
                <w:b/>
                <w:sz w:val="18"/>
                <w:szCs w:val="18"/>
              </w:rPr>
              <w:t xml:space="preserve">Saldo </w:t>
            </w:r>
            <w:r w:rsidRPr="00D90892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17 007,7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4 375,3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3 918,3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17"/>
                <w:szCs w:val="17"/>
              </w:rPr>
            </w:pPr>
            <w:r w:rsidRPr="00BC1142">
              <w:rPr>
                <w:rFonts w:ascii="Arial" w:hAnsi="Arial" w:cs="Arial"/>
                <w:b/>
                <w:bCs/>
                <w:sz w:val="17"/>
                <w:szCs w:val="17"/>
              </w:rPr>
              <w:t>X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rozwinięte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87 624,0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22 372,2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20 179,0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tym UE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D90892">
              <w:rPr>
                <w:rFonts w:ascii="Arial" w:hAnsi="Arial" w:cs="Arial"/>
                <w:sz w:val="18"/>
                <w:szCs w:val="18"/>
                <w:vertAlign w:val="subscript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71 063,2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18 146,8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16 369,9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           w tym strefa euro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-7 058,9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-1 810,6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-1 616,6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Kraje rozwijające się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-56 004,1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-14 251,8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-12 879,1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  <w:tr w:rsidR="002D38A6" w:rsidRPr="00D90892" w:rsidTr="00803C95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2D38A6" w:rsidRPr="00D90892" w:rsidRDefault="002D38A6" w:rsidP="002D38A6">
            <w:pPr>
              <w:tabs>
                <w:tab w:val="left" w:leader="dot" w:pos="3686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Kraje Europy Środkowo – Wsch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-14 612,2</w:t>
            </w:r>
          </w:p>
        </w:tc>
        <w:tc>
          <w:tcPr>
            <w:tcW w:w="113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-3 745,1</w:t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A6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-3 381,6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vAlign w:val="bottom"/>
          </w:tcPr>
          <w:p w:rsidR="002D38A6" w:rsidRPr="00BC1142" w:rsidRDefault="002D38A6" w:rsidP="002D38A6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 w:rsidRPr="00BC1142">
              <w:rPr>
                <w:rFonts w:ascii="Arial" w:hAnsi="Arial" w:cs="Arial"/>
                <w:sz w:val="17"/>
                <w:szCs w:val="17"/>
              </w:rPr>
              <w:t>X</w:t>
            </w:r>
          </w:p>
        </w:tc>
      </w:tr>
    </w:tbl>
    <w:p w:rsidR="00817E2F" w:rsidRDefault="00817E2F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EA3FB6" w:rsidRPr="00D90892" w:rsidRDefault="00EA3FB6" w:rsidP="00817E2F">
      <w:pPr>
        <w:jc w:val="both"/>
        <w:rPr>
          <w:rFonts w:ascii="Arial" w:hAnsi="Arial" w:cs="Arial"/>
          <w:b/>
          <w:i/>
          <w:sz w:val="17"/>
          <w:szCs w:val="17"/>
          <w:vertAlign w:val="superscript"/>
        </w:rPr>
      </w:pPr>
    </w:p>
    <w:p w:rsidR="00CE2E5A" w:rsidRPr="00D90892" w:rsidRDefault="001F2EC9" w:rsidP="002C3BD9">
      <w:pPr>
        <w:tabs>
          <w:tab w:val="left" w:pos="-720"/>
          <w:tab w:val="left" w:pos="0"/>
          <w:tab w:val="left" w:pos="277"/>
          <w:tab w:val="left" w:pos="554"/>
          <w:tab w:val="left" w:pos="832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9425"/>
        </w:tabs>
        <w:suppressAutoHyphens/>
        <w:spacing w:line="240" w:lineRule="auto"/>
        <w:jc w:val="center"/>
        <w:rPr>
          <w:rFonts w:ascii="Arial" w:hAnsi="Arial" w:cs="Arial"/>
          <w:b/>
          <w:szCs w:val="18"/>
        </w:rPr>
      </w:pPr>
      <w:r w:rsidRPr="00D90892">
        <w:rPr>
          <w:rFonts w:ascii="Arial" w:hAnsi="Arial" w:cs="Arial"/>
          <w:b/>
          <w:szCs w:val="18"/>
        </w:rPr>
        <w:t>Import w</w:t>
      </w:r>
      <w:r w:rsidR="00AB3B9E">
        <w:rPr>
          <w:rFonts w:ascii="Arial" w:hAnsi="Arial" w:cs="Arial"/>
          <w:b/>
          <w:szCs w:val="18"/>
        </w:rPr>
        <w:t>edług</w:t>
      </w:r>
      <w:r w:rsidRPr="00D90892">
        <w:rPr>
          <w:rFonts w:ascii="Arial" w:hAnsi="Arial" w:cs="Arial"/>
          <w:b/>
          <w:szCs w:val="18"/>
        </w:rPr>
        <w:t xml:space="preserve"> kraju wysyłki</w:t>
      </w:r>
      <w:r w:rsidR="00733AB7">
        <w:rPr>
          <w:rFonts w:ascii="Arial" w:hAnsi="Arial" w:cs="Arial"/>
          <w:b/>
          <w:szCs w:val="18"/>
          <w:vertAlign w:val="superscript"/>
        </w:rPr>
        <w:t>5</w:t>
      </w:r>
      <w:r w:rsidRPr="00D90892">
        <w:rPr>
          <w:rFonts w:ascii="Arial" w:hAnsi="Arial" w:cs="Arial"/>
          <w:b/>
          <w:szCs w:val="18"/>
        </w:rPr>
        <w:t xml:space="preserve"> ważniejszych krajów</w:t>
      </w:r>
    </w:p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1130"/>
        <w:gridCol w:w="1134"/>
        <w:gridCol w:w="1134"/>
        <w:gridCol w:w="870"/>
        <w:gridCol w:w="833"/>
        <w:gridCol w:w="788"/>
        <w:gridCol w:w="884"/>
        <w:gridCol w:w="40"/>
        <w:gridCol w:w="845"/>
      </w:tblGrid>
      <w:tr w:rsidR="00EA3FB6" w:rsidRPr="00D90892" w:rsidTr="00EA3FB6"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Wyszczególnienie</w:t>
            </w:r>
          </w:p>
        </w:tc>
        <w:tc>
          <w:tcPr>
            <w:tcW w:w="5889" w:type="dxa"/>
            <w:gridSpan w:val="6"/>
            <w:tcBorders>
              <w:left w:val="single" w:sz="4" w:space="0" w:color="auto"/>
            </w:tcBorders>
            <w:vAlign w:val="center"/>
          </w:tcPr>
          <w:p w:rsidR="00EA3FB6" w:rsidRPr="00D90892" w:rsidRDefault="00EA3FB6" w:rsidP="00686B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84" w:type="dxa"/>
            <w:vMerge w:val="restart"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8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EA1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016</w:t>
            </w:r>
          </w:p>
        </w:tc>
      </w:tr>
      <w:tr w:rsidR="00EA3FB6" w:rsidRPr="00D90892" w:rsidTr="00EA3FB6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6" w:rsidRPr="00D90892" w:rsidRDefault="00EA3FB6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zł</w:t>
            </w:r>
          </w:p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USD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w mln EUR</w:t>
            </w:r>
          </w:p>
        </w:tc>
        <w:tc>
          <w:tcPr>
            <w:tcW w:w="2491" w:type="dxa"/>
            <w:gridSpan w:val="3"/>
            <w:tcBorders>
              <w:bottom w:val="single" w:sz="4" w:space="0" w:color="auto"/>
            </w:tcBorders>
            <w:vAlign w:val="center"/>
          </w:tcPr>
          <w:p w:rsidR="00EA3FB6" w:rsidRPr="00D90892" w:rsidRDefault="00EA3FB6" w:rsidP="00686B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D90892">
              <w:rPr>
                <w:rFonts w:ascii="Arial" w:hAnsi="Arial" w:cs="Arial"/>
                <w:sz w:val="18"/>
                <w:szCs w:val="18"/>
              </w:rPr>
              <w:t>01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D90892">
              <w:rPr>
                <w:rFonts w:ascii="Arial" w:hAnsi="Arial" w:cs="Arial"/>
                <w:sz w:val="18"/>
                <w:szCs w:val="18"/>
              </w:rPr>
              <w:t xml:space="preserve"> = 100</w:t>
            </w:r>
          </w:p>
        </w:tc>
        <w:tc>
          <w:tcPr>
            <w:tcW w:w="884" w:type="dxa"/>
            <w:vMerge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686B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EA3FB6" w:rsidRPr="00D90892" w:rsidRDefault="00EA3FB6" w:rsidP="00686BC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FB6" w:rsidRPr="00D90892" w:rsidTr="00EA3FB6"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FB6" w:rsidRPr="00D90892" w:rsidRDefault="00EA3FB6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3FB6" w:rsidRPr="00D90892" w:rsidRDefault="00EA3FB6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EA3FB6" w:rsidRPr="00D90892" w:rsidRDefault="00EA3FB6" w:rsidP="00CE2E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zł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USD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EUR</w:t>
            </w:r>
          </w:p>
        </w:tc>
        <w:tc>
          <w:tcPr>
            <w:tcW w:w="88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3FB6" w:rsidRPr="00D90892" w:rsidRDefault="00EA3FB6" w:rsidP="00CE2E5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2E5A" w:rsidRPr="00D90892" w:rsidTr="00CE2E5A">
        <w:tc>
          <w:tcPr>
            <w:tcW w:w="10309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E2E5A" w:rsidRPr="00D90892" w:rsidRDefault="00CE2E5A" w:rsidP="00CE2E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47CD9" w:rsidRPr="00D90892" w:rsidTr="007B46F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 xml:space="preserve">1. Niemcy 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221 441,9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56 544,7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50 947,5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103,2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103,8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27,7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28,2</w:t>
            </w:r>
          </w:p>
        </w:tc>
      </w:tr>
      <w:tr w:rsidR="00247CD9" w:rsidRPr="00D90892" w:rsidTr="007B46F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2. Chiny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56 465,1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14 371,5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12 976,8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107,0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6,8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7,2</w:t>
            </w:r>
          </w:p>
        </w:tc>
      </w:tr>
      <w:tr w:rsidR="00247CD9" w:rsidRPr="00D90892" w:rsidTr="007B46F5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3. Holandia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47 194,3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12 040,4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10 856,4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103,6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6,0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4. Rosja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46 211,0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11 795,2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10 643,1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83,8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80,0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80,5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5,9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5. Włochy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43 197,5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11 038,5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9 938,3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105,6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5,3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5,5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6. Francja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33 579,1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8 571,9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7 724,5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109,4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104,5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105,2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4,1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4,3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7. Czechy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31 992,7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8 169,6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7 361,4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110,3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105,4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106,1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4,1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8. Belgia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29 058,4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7 421,1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6 685,4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116,8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112,3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3,4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3,7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90892">
              <w:rPr>
                <w:rFonts w:ascii="Arial" w:hAnsi="Arial" w:cs="Arial"/>
                <w:sz w:val="18"/>
                <w:szCs w:val="18"/>
              </w:rPr>
              <w:t>W. Brytania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22 500,9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5 742,9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5 175,9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104,3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99,7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100,4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2,9</w:t>
            </w:r>
          </w:p>
        </w:tc>
      </w:tr>
      <w:tr w:rsidR="00247CD9" w:rsidRPr="00D90892" w:rsidTr="00987AFE">
        <w:tc>
          <w:tcPr>
            <w:tcW w:w="2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Pr="00D90892" w:rsidRDefault="00247CD9" w:rsidP="00247CD9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90892">
              <w:rPr>
                <w:rFonts w:ascii="Arial" w:hAnsi="Arial" w:cs="Arial"/>
                <w:sz w:val="18"/>
                <w:szCs w:val="18"/>
              </w:rPr>
              <w:t>10.</w:t>
            </w:r>
            <w:r>
              <w:rPr>
                <w:rFonts w:ascii="Arial" w:hAnsi="Arial" w:cs="Arial"/>
                <w:sz w:val="18"/>
                <w:szCs w:val="18"/>
              </w:rPr>
              <w:t xml:space="preserve"> Słowacja</w:t>
            </w:r>
            <w:r w:rsidRPr="00D90892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21 529,9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5 497,2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4 956,2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111,6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106,7</w:t>
            </w: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107,5</w:t>
            </w: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2,6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47CD9" w:rsidRDefault="00247CD9" w:rsidP="00247CD9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2,7</w:t>
            </w:r>
          </w:p>
        </w:tc>
      </w:tr>
      <w:tr w:rsidR="00AC46A4" w:rsidRPr="00D90892" w:rsidTr="007B46F5">
        <w:trPr>
          <w:trHeight w:val="116"/>
        </w:trPr>
        <w:tc>
          <w:tcPr>
            <w:tcW w:w="2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tabs>
                <w:tab w:val="left" w:leader="dot" w:pos="238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C46A4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6A4" w:rsidRPr="00D90892" w:rsidRDefault="00AC46A4" w:rsidP="00AC46A4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33AB7" w:rsidRDefault="00733AB7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</w:p>
    <w:p w:rsidR="00096B2A" w:rsidRPr="00D90892" w:rsidRDefault="00EA3FB6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1</w:t>
      </w:r>
      <w:r w:rsidR="00096B2A"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096B2A" w:rsidRPr="00D90892">
        <w:rPr>
          <w:rFonts w:ascii="Arial" w:hAnsi="Arial" w:cs="Arial"/>
          <w:i/>
          <w:sz w:val="18"/>
          <w:szCs w:val="18"/>
        </w:rPr>
        <w:t>Obroty z krajami UE obejmują: Austrię, Belgię, Bułgarię, Chorwację, Czechy, Cypr, Danię, Estonię, Finlandię, Francję, Grecję, Hiszpanię, Holandię, Irlandię, Litwę, Luksemburg, Łotwę, Maltę, Niemcy, Portugalię, Słowację, Słowenię, Szwecję, Rumunię, Węgry, Wielką Brytanię, Włochy.</w:t>
      </w:r>
    </w:p>
    <w:p w:rsidR="00096B2A" w:rsidRPr="00D90892" w:rsidRDefault="00EA3FB6" w:rsidP="00B56E2D">
      <w:pPr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A3FB6">
        <w:rPr>
          <w:rFonts w:ascii="Arial" w:hAnsi="Arial" w:cs="Arial"/>
          <w:i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="00096B2A" w:rsidRPr="00D90892">
        <w:rPr>
          <w:rFonts w:ascii="Arial" w:hAnsi="Arial" w:cs="Arial"/>
          <w:i/>
          <w:sz w:val="18"/>
          <w:szCs w:val="18"/>
        </w:rPr>
        <w:t>Obroty z krajami strefy euro obejmują: Austrię, Belgię, Cypr, Estonię, Finlandię, Francję, Grecję, Hiszpanię, Holandię, Irlandię,</w:t>
      </w:r>
      <w:r w:rsidR="00EE3BA6">
        <w:rPr>
          <w:rFonts w:ascii="Arial" w:hAnsi="Arial" w:cs="Arial"/>
          <w:i/>
          <w:sz w:val="18"/>
          <w:szCs w:val="18"/>
        </w:rPr>
        <w:t xml:space="preserve"> Litwę,</w:t>
      </w:r>
      <w:r w:rsidR="00096B2A" w:rsidRPr="00D90892">
        <w:rPr>
          <w:rFonts w:ascii="Arial" w:hAnsi="Arial" w:cs="Arial"/>
          <w:i/>
          <w:sz w:val="18"/>
          <w:szCs w:val="18"/>
        </w:rPr>
        <w:t xml:space="preserve"> Luksemburg, Łotwę, Maltę, Niemcy, Portugalię, Słowację, Słowenię, Włochy.</w:t>
      </w:r>
    </w:p>
    <w:p w:rsidR="00096B2A" w:rsidRPr="00D90892" w:rsidRDefault="00EA3FB6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  <w:vertAlign w:val="superscript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 xml:space="preserve">3 </w:t>
      </w:r>
      <w:r w:rsidR="00096B2A"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096B2A" w:rsidRPr="00D90892">
        <w:rPr>
          <w:rFonts w:ascii="Arial" w:hAnsi="Arial" w:cs="Arial"/>
          <w:i/>
          <w:sz w:val="18"/>
          <w:szCs w:val="18"/>
        </w:rPr>
        <w:t>Obroty z  krajami Europy Środkowo-Wschodniej obejmują: Albanię, Białoruś, Mołdawię, Rosję  i Ukrainę.</w:t>
      </w:r>
      <w:r w:rsidR="00096B2A"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</w:p>
    <w:p w:rsidR="00C464EC" w:rsidRDefault="00EA3FB6" w:rsidP="00B56E2D">
      <w:pPr>
        <w:tabs>
          <w:tab w:val="left" w:pos="10620"/>
        </w:tabs>
        <w:spacing w:before="120" w:after="0" w:line="24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4</w:t>
      </w:r>
      <w:r w:rsidR="00096B2A" w:rsidRPr="00D90892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DA10F4">
        <w:rPr>
          <w:rFonts w:ascii="Arial" w:hAnsi="Arial" w:cs="Arial"/>
          <w:b/>
          <w:i/>
          <w:sz w:val="18"/>
          <w:szCs w:val="18"/>
        </w:rPr>
        <w:t>K</w:t>
      </w:r>
      <w:r w:rsidR="00DA10F4" w:rsidRPr="00D90892">
        <w:rPr>
          <w:rFonts w:ascii="Arial" w:hAnsi="Arial" w:cs="Arial"/>
          <w:b/>
          <w:i/>
          <w:sz w:val="18"/>
          <w:szCs w:val="18"/>
        </w:rPr>
        <w:t>raj pochodzenia</w:t>
      </w:r>
      <w:r w:rsidR="00DA10F4">
        <w:rPr>
          <w:rFonts w:ascii="Arial" w:hAnsi="Arial" w:cs="Arial"/>
          <w:b/>
          <w:i/>
          <w:sz w:val="18"/>
          <w:szCs w:val="18"/>
        </w:rPr>
        <w:t xml:space="preserve"> </w:t>
      </w:r>
      <w:r w:rsidR="00DA10F4" w:rsidRPr="00DB2D9E">
        <w:rPr>
          <w:rFonts w:ascii="Arial" w:eastAsiaTheme="minorHAnsi" w:hAnsi="Arial" w:cs="Arial"/>
          <w:i/>
          <w:sz w:val="18"/>
          <w:szCs w:val="18"/>
          <w:lang w:eastAsia="en-US"/>
        </w:rPr>
        <w:t>to kraj, w którym towar został wytworzony, obrobiony lub przerobiony i w tym stanie nadszedł do polskiego obszaru celnego</w:t>
      </w:r>
      <w:r w:rsidR="00DA10F4" w:rsidRPr="00DB2D9E">
        <w:rPr>
          <w:rFonts w:ascii="Arial" w:hAnsi="Arial" w:cs="Arial"/>
          <w:i/>
          <w:sz w:val="18"/>
          <w:szCs w:val="18"/>
        </w:rPr>
        <w:t>.</w:t>
      </w:r>
    </w:p>
    <w:p w:rsidR="00DB2D9E" w:rsidRPr="00DB2D9E" w:rsidRDefault="00EA3FB6" w:rsidP="00DB2D9E">
      <w:pPr>
        <w:spacing w:before="120"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5</w:t>
      </w:r>
      <w:r w:rsidR="00DB2D9E" w:rsidRPr="00DB2D9E">
        <w:rPr>
          <w:rFonts w:ascii="Arial" w:hAnsi="Arial" w:cs="Arial"/>
          <w:i/>
          <w:sz w:val="18"/>
          <w:szCs w:val="18"/>
          <w:vertAlign w:val="superscript"/>
        </w:rPr>
        <w:t xml:space="preserve"> </w:t>
      </w:r>
      <w:r w:rsidR="00DA10F4">
        <w:rPr>
          <w:rFonts w:ascii="Arial" w:hAnsi="Arial" w:cs="Arial"/>
          <w:b/>
          <w:i/>
          <w:sz w:val="18"/>
          <w:szCs w:val="18"/>
        </w:rPr>
        <w:t>K</w:t>
      </w:r>
      <w:r w:rsidR="00DA10F4" w:rsidRPr="00D90892">
        <w:rPr>
          <w:rFonts w:ascii="Arial" w:eastAsia="Calibri" w:hAnsi="Arial" w:cs="Arial"/>
          <w:b/>
          <w:i/>
          <w:sz w:val="18"/>
          <w:szCs w:val="18"/>
        </w:rPr>
        <w:t xml:space="preserve">raj wysyłki </w:t>
      </w:r>
      <w:r w:rsidR="00DA10F4" w:rsidRPr="00DB2D9E">
        <w:rPr>
          <w:rFonts w:ascii="Arial" w:eastAsia="Calibri" w:hAnsi="Arial" w:cs="Arial"/>
          <w:i/>
          <w:sz w:val="18"/>
          <w:szCs w:val="18"/>
        </w:rPr>
        <w:t>to kraj, z którego terytorium zostały wprowadzone towary na obszar Polski</w:t>
      </w:r>
      <w:r w:rsidR="00DA10F4" w:rsidRPr="00DB2D9E">
        <w:rPr>
          <w:rFonts w:ascii="Arial" w:hAnsi="Arial" w:cs="Arial"/>
          <w:i/>
          <w:sz w:val="18"/>
          <w:szCs w:val="18"/>
        </w:rPr>
        <w:t xml:space="preserve"> bez względu na ich pochodzenie</w:t>
      </w:r>
      <w:r w:rsidR="00DA10F4" w:rsidRPr="00DB2D9E">
        <w:rPr>
          <w:rFonts w:ascii="Arial" w:eastAsia="Calibri" w:hAnsi="Arial" w:cs="Arial"/>
          <w:i/>
          <w:sz w:val="18"/>
          <w:szCs w:val="18"/>
        </w:rPr>
        <w:t>.</w:t>
      </w:r>
    </w:p>
    <w:p w:rsidR="006843ED" w:rsidRDefault="006843ED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p w:rsidR="001C6EB8" w:rsidRPr="00D90892" w:rsidRDefault="001C6EB8" w:rsidP="00334194">
      <w:pPr>
        <w:tabs>
          <w:tab w:val="left" w:pos="170"/>
        </w:tabs>
        <w:spacing w:before="120" w:after="0" w:line="240" w:lineRule="auto"/>
        <w:ind w:left="142" w:right="238"/>
        <w:jc w:val="both"/>
        <w:rPr>
          <w:rFonts w:ascii="Arial" w:hAnsi="Arial" w:cs="Arial"/>
          <w:noProof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946"/>
      </w:tblGrid>
      <w:tr w:rsidR="00334194" w:rsidRPr="00D1026C" w:rsidTr="00334194"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Opracowanie merytoryczne:</w:t>
            </w:r>
          </w:p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 xml:space="preserve">Departament </w:t>
            </w:r>
            <w:r w:rsidR="00096B2A" w:rsidRPr="00D90892">
              <w:rPr>
                <w:rFonts w:ascii="Arial" w:hAnsi="Arial" w:cs="Arial"/>
                <w:b/>
                <w:sz w:val="20"/>
              </w:rPr>
              <w:t>Handlu i Usług</w:t>
            </w:r>
          </w:p>
          <w:p w:rsidR="00334194" w:rsidRPr="00D90892" w:rsidRDefault="00096B2A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b/>
                <w:sz w:val="20"/>
              </w:rPr>
              <w:t>Aldona B. Matejak</w:t>
            </w:r>
          </w:p>
          <w:p w:rsidR="00334194" w:rsidRPr="00D90892" w:rsidRDefault="00334194" w:rsidP="00096B2A">
            <w:pPr>
              <w:jc w:val="center"/>
              <w:rPr>
                <w:rFonts w:ascii="Arial" w:hAnsi="Arial" w:cs="Arial"/>
                <w:sz w:val="20"/>
              </w:rPr>
            </w:pPr>
            <w:r w:rsidRPr="00D90892">
              <w:rPr>
                <w:rFonts w:ascii="Arial" w:hAnsi="Arial" w:cs="Arial"/>
                <w:sz w:val="20"/>
                <w:lang w:val="fi-FI"/>
              </w:rPr>
              <w:t>Tel: 22</w:t>
            </w:r>
            <w:r w:rsidR="00096B2A" w:rsidRPr="00D90892">
              <w:rPr>
                <w:rFonts w:ascii="Arial" w:hAnsi="Arial" w:cs="Arial"/>
                <w:sz w:val="20"/>
                <w:lang w:val="fi-FI"/>
              </w:rPr>
              <w:t> 608 34 83</w:t>
            </w:r>
          </w:p>
        </w:tc>
        <w:tc>
          <w:tcPr>
            <w:tcW w:w="4946" w:type="dxa"/>
          </w:tcPr>
          <w:p w:rsidR="00334194" w:rsidRPr="00D90892" w:rsidRDefault="00334194" w:rsidP="003341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90892">
              <w:rPr>
                <w:rFonts w:ascii="Arial" w:hAnsi="Arial" w:cs="Arial"/>
                <w:sz w:val="20"/>
              </w:rPr>
              <w:t>Rozpowszechnianie:</w:t>
            </w:r>
            <w:r w:rsidRPr="00D90892">
              <w:rPr>
                <w:rFonts w:ascii="Arial" w:hAnsi="Arial" w:cs="Arial"/>
                <w:sz w:val="20"/>
              </w:rPr>
              <w:br/>
            </w:r>
            <w:r w:rsidRPr="00D90892">
              <w:rPr>
                <w:rFonts w:ascii="Arial" w:hAnsi="Arial" w:cs="Arial"/>
                <w:b/>
                <w:sz w:val="20"/>
              </w:rPr>
              <w:t>Rzecznik Prasowy Prezesa GUS</w:t>
            </w:r>
          </w:p>
          <w:p w:rsidR="00334194" w:rsidRPr="00AD23A3" w:rsidRDefault="00AD23A3" w:rsidP="0033419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23A3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Karolina Dawidziuk </w:t>
            </w:r>
          </w:p>
          <w:p w:rsidR="00334194" w:rsidRPr="00D90892" w:rsidRDefault="00817B63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fi-FI"/>
              </w:rPr>
            </w:pPr>
            <w:r w:rsidRPr="00D90892">
              <w:rPr>
                <w:rFonts w:cs="Arial"/>
                <w:sz w:val="20"/>
                <w:szCs w:val="22"/>
                <w:lang w:val="fi-FI"/>
              </w:rPr>
              <w:t>Tel: 22 608 347</w:t>
            </w:r>
            <w:r w:rsidR="00334194" w:rsidRPr="00D90892">
              <w:rPr>
                <w:rFonts w:cs="Arial"/>
                <w:sz w:val="20"/>
                <w:szCs w:val="22"/>
                <w:lang w:val="fi-FI"/>
              </w:rPr>
              <w:t>5, 22 608 3009</w:t>
            </w:r>
          </w:p>
          <w:p w:rsidR="00334194" w:rsidRPr="00D90892" w:rsidRDefault="00334194" w:rsidP="00334194">
            <w:pPr>
              <w:pStyle w:val="Nagwek3"/>
              <w:spacing w:line="240" w:lineRule="auto"/>
              <w:outlineLvl w:val="2"/>
              <w:rPr>
                <w:rFonts w:cs="Arial"/>
                <w:sz w:val="20"/>
                <w:szCs w:val="22"/>
                <w:lang w:val="en-US"/>
              </w:rPr>
            </w:pPr>
            <w:r w:rsidRPr="00D90892">
              <w:rPr>
                <w:rFonts w:cs="Arial"/>
                <w:b w:val="0"/>
                <w:sz w:val="20"/>
                <w:szCs w:val="22"/>
                <w:lang w:val="en-US"/>
              </w:rPr>
              <w:t>e-mail</w:t>
            </w:r>
            <w:r w:rsidRPr="00D90892">
              <w:rPr>
                <w:rFonts w:cs="Arial"/>
                <w:b w:val="0"/>
                <w:sz w:val="20"/>
                <w:szCs w:val="22"/>
              </w:rPr>
              <w:t xml:space="preserve">: </w:t>
            </w:r>
            <w:hyperlink r:id="rId9" w:history="1">
              <w:r w:rsidRPr="00D90892">
                <w:rPr>
                  <w:rStyle w:val="Hipercze"/>
                  <w:rFonts w:cs="Arial"/>
                  <w:b w:val="0"/>
                  <w:szCs w:val="22"/>
                </w:rPr>
                <w:t>rzecznik@stat.gov.pl</w:t>
              </w:r>
            </w:hyperlink>
          </w:p>
        </w:tc>
      </w:tr>
    </w:tbl>
    <w:p w:rsidR="00334194" w:rsidRPr="00D90892" w:rsidRDefault="00334194" w:rsidP="0033419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D7BE1" w:rsidRPr="00D90892" w:rsidRDefault="00334194" w:rsidP="001F2EC9">
      <w:pPr>
        <w:spacing w:after="0" w:line="240" w:lineRule="auto"/>
        <w:jc w:val="center"/>
        <w:rPr>
          <w:rFonts w:ascii="Arial" w:hAnsi="Arial" w:cs="Arial"/>
        </w:rPr>
      </w:pPr>
      <w:r w:rsidRPr="00D90892">
        <w:rPr>
          <w:rFonts w:ascii="Arial" w:hAnsi="Arial" w:cs="Arial"/>
          <w:sz w:val="20"/>
          <w:szCs w:val="24"/>
        </w:rPr>
        <w:t xml:space="preserve">Więcej na: </w:t>
      </w:r>
      <w:hyperlink r:id="rId10" w:history="1">
        <w:r w:rsidR="00407398" w:rsidRPr="00D90892">
          <w:rPr>
            <w:rStyle w:val="Hipercze"/>
            <w:rFonts w:ascii="Arial" w:hAnsi="Arial" w:cs="Arial"/>
            <w:szCs w:val="20"/>
          </w:rPr>
          <w:t>http://stat.gov.pl/obszary-tematyczne/ceny-handel/</w:t>
        </w:r>
      </w:hyperlink>
    </w:p>
    <w:sectPr w:rsidR="000D7BE1" w:rsidRPr="00D90892" w:rsidSect="0092244A">
      <w:footerReference w:type="default" r:id="rId11"/>
      <w:pgSz w:w="11906" w:h="16838" w:code="9"/>
      <w:pgMar w:top="1134" w:right="1133" w:bottom="992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DDA" w:rsidRDefault="00066DDA" w:rsidP="000D7BE1">
      <w:pPr>
        <w:spacing w:after="0" w:line="240" w:lineRule="auto"/>
      </w:pPr>
      <w:r>
        <w:separator/>
      </w:r>
    </w:p>
  </w:endnote>
  <w:endnote w:type="continuationSeparator" w:id="0">
    <w:p w:rsidR="00066DDA" w:rsidRDefault="00066DDA" w:rsidP="000D7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6479381"/>
      <w:docPartObj>
        <w:docPartGallery w:val="Page Numbers (Bottom of Page)"/>
        <w:docPartUnique/>
      </w:docPartObj>
    </w:sdtPr>
    <w:sdtEndPr/>
    <w:sdtContent>
      <w:p w:rsidR="00803C78" w:rsidRDefault="00803C7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026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03C78" w:rsidRDefault="00803C7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DDA" w:rsidRDefault="00066DDA" w:rsidP="000D7BE1">
      <w:pPr>
        <w:spacing w:after="0" w:line="240" w:lineRule="auto"/>
      </w:pPr>
      <w:r>
        <w:separator/>
      </w:r>
    </w:p>
  </w:footnote>
  <w:footnote w:type="continuationSeparator" w:id="0">
    <w:p w:rsidR="00066DDA" w:rsidRDefault="00066DDA" w:rsidP="000D7B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0C3B"/>
    <w:multiLevelType w:val="hybridMultilevel"/>
    <w:tmpl w:val="160AD746"/>
    <w:lvl w:ilvl="0" w:tplc="F2068F18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9085AC9"/>
    <w:multiLevelType w:val="hybridMultilevel"/>
    <w:tmpl w:val="5038C97E"/>
    <w:lvl w:ilvl="0" w:tplc="F4C49BF4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6B656207"/>
    <w:multiLevelType w:val="hybridMultilevel"/>
    <w:tmpl w:val="061E242C"/>
    <w:lvl w:ilvl="0" w:tplc="7F08B8B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4C59"/>
    <w:rsid w:val="00006B2C"/>
    <w:rsid w:val="00010C45"/>
    <w:rsid w:val="00010E2F"/>
    <w:rsid w:val="00012F5E"/>
    <w:rsid w:val="00014887"/>
    <w:rsid w:val="00020434"/>
    <w:rsid w:val="000300C0"/>
    <w:rsid w:val="000412FB"/>
    <w:rsid w:val="00041D3F"/>
    <w:rsid w:val="00042E7C"/>
    <w:rsid w:val="00056D68"/>
    <w:rsid w:val="000570F8"/>
    <w:rsid w:val="00057E64"/>
    <w:rsid w:val="00060F93"/>
    <w:rsid w:val="00063A7D"/>
    <w:rsid w:val="00066DDA"/>
    <w:rsid w:val="00071393"/>
    <w:rsid w:val="00071D97"/>
    <w:rsid w:val="00075AC3"/>
    <w:rsid w:val="00096B2A"/>
    <w:rsid w:val="000A14C0"/>
    <w:rsid w:val="000A4DE0"/>
    <w:rsid w:val="000B7FE1"/>
    <w:rsid w:val="000C2F69"/>
    <w:rsid w:val="000C7DC3"/>
    <w:rsid w:val="000D0919"/>
    <w:rsid w:val="000D3CE7"/>
    <w:rsid w:val="000D6CDA"/>
    <w:rsid w:val="000D7BE1"/>
    <w:rsid w:val="000E15DF"/>
    <w:rsid w:val="000E1F4E"/>
    <w:rsid w:val="000E49D4"/>
    <w:rsid w:val="000E5DC3"/>
    <w:rsid w:val="000E7253"/>
    <w:rsid w:val="000F1916"/>
    <w:rsid w:val="000F4E3F"/>
    <w:rsid w:val="000F6A58"/>
    <w:rsid w:val="001104EB"/>
    <w:rsid w:val="001129D3"/>
    <w:rsid w:val="00112ACA"/>
    <w:rsid w:val="00113CC0"/>
    <w:rsid w:val="00114C87"/>
    <w:rsid w:val="00137415"/>
    <w:rsid w:val="00140F79"/>
    <w:rsid w:val="00143F95"/>
    <w:rsid w:val="00145085"/>
    <w:rsid w:val="00145C1A"/>
    <w:rsid w:val="00150295"/>
    <w:rsid w:val="00160ED3"/>
    <w:rsid w:val="00177F99"/>
    <w:rsid w:val="00187D96"/>
    <w:rsid w:val="0019562D"/>
    <w:rsid w:val="001A42BA"/>
    <w:rsid w:val="001B4634"/>
    <w:rsid w:val="001B4EBC"/>
    <w:rsid w:val="001B7EAB"/>
    <w:rsid w:val="001C0FB9"/>
    <w:rsid w:val="001C6EB8"/>
    <w:rsid w:val="001C6F6D"/>
    <w:rsid w:val="001D3F7A"/>
    <w:rsid w:val="001D6FA8"/>
    <w:rsid w:val="001D7942"/>
    <w:rsid w:val="001E23A9"/>
    <w:rsid w:val="001F2EC9"/>
    <w:rsid w:val="001F797E"/>
    <w:rsid w:val="00202365"/>
    <w:rsid w:val="00213246"/>
    <w:rsid w:val="0022346A"/>
    <w:rsid w:val="0022413E"/>
    <w:rsid w:val="00232EC6"/>
    <w:rsid w:val="0023615D"/>
    <w:rsid w:val="00240FC1"/>
    <w:rsid w:val="00241035"/>
    <w:rsid w:val="0024539D"/>
    <w:rsid w:val="00247CD9"/>
    <w:rsid w:val="00247E4B"/>
    <w:rsid w:val="00252A83"/>
    <w:rsid w:val="00256347"/>
    <w:rsid w:val="00261757"/>
    <w:rsid w:val="00262CD1"/>
    <w:rsid w:val="00263F4E"/>
    <w:rsid w:val="00270863"/>
    <w:rsid w:val="00277FDE"/>
    <w:rsid w:val="00281049"/>
    <w:rsid w:val="00281B7B"/>
    <w:rsid w:val="002830B9"/>
    <w:rsid w:val="00290987"/>
    <w:rsid w:val="0029665B"/>
    <w:rsid w:val="002A25F4"/>
    <w:rsid w:val="002A2E5B"/>
    <w:rsid w:val="002A63BA"/>
    <w:rsid w:val="002A6EA0"/>
    <w:rsid w:val="002A7C01"/>
    <w:rsid w:val="002C394E"/>
    <w:rsid w:val="002C3BD9"/>
    <w:rsid w:val="002C3E9D"/>
    <w:rsid w:val="002D3462"/>
    <w:rsid w:val="002D38A6"/>
    <w:rsid w:val="002D3D92"/>
    <w:rsid w:val="002D5ECB"/>
    <w:rsid w:val="002D7932"/>
    <w:rsid w:val="002E1FA6"/>
    <w:rsid w:val="002F09F1"/>
    <w:rsid w:val="002F0CE4"/>
    <w:rsid w:val="002F3F9D"/>
    <w:rsid w:val="002F4DC1"/>
    <w:rsid w:val="002F50F1"/>
    <w:rsid w:val="002F51B9"/>
    <w:rsid w:val="003001F6"/>
    <w:rsid w:val="003025C0"/>
    <w:rsid w:val="003029C5"/>
    <w:rsid w:val="0030327C"/>
    <w:rsid w:val="00307356"/>
    <w:rsid w:val="003208F3"/>
    <w:rsid w:val="00320BC6"/>
    <w:rsid w:val="00321DF1"/>
    <w:rsid w:val="00326955"/>
    <w:rsid w:val="00334194"/>
    <w:rsid w:val="00347E72"/>
    <w:rsid w:val="00363C92"/>
    <w:rsid w:val="00370709"/>
    <w:rsid w:val="00382A29"/>
    <w:rsid w:val="003871BB"/>
    <w:rsid w:val="003873D7"/>
    <w:rsid w:val="00390229"/>
    <w:rsid w:val="003A0A07"/>
    <w:rsid w:val="003A1215"/>
    <w:rsid w:val="003A19BE"/>
    <w:rsid w:val="003A7959"/>
    <w:rsid w:val="003B0E34"/>
    <w:rsid w:val="003B2323"/>
    <w:rsid w:val="003B3D5F"/>
    <w:rsid w:val="003C3321"/>
    <w:rsid w:val="003C3967"/>
    <w:rsid w:val="003C400B"/>
    <w:rsid w:val="003D1F8A"/>
    <w:rsid w:val="003D3F13"/>
    <w:rsid w:val="003D75FD"/>
    <w:rsid w:val="003E05DA"/>
    <w:rsid w:val="003E0C3D"/>
    <w:rsid w:val="003E7D68"/>
    <w:rsid w:val="003F3E04"/>
    <w:rsid w:val="00407398"/>
    <w:rsid w:val="004073BA"/>
    <w:rsid w:val="004110A1"/>
    <w:rsid w:val="00415252"/>
    <w:rsid w:val="00415CAE"/>
    <w:rsid w:val="00431A60"/>
    <w:rsid w:val="00435B2A"/>
    <w:rsid w:val="00437685"/>
    <w:rsid w:val="00463369"/>
    <w:rsid w:val="00471026"/>
    <w:rsid w:val="00476F9B"/>
    <w:rsid w:val="00481CF0"/>
    <w:rsid w:val="00497ADD"/>
    <w:rsid w:val="004A0495"/>
    <w:rsid w:val="004A1DB9"/>
    <w:rsid w:val="004C1B98"/>
    <w:rsid w:val="004C5201"/>
    <w:rsid w:val="004F63D3"/>
    <w:rsid w:val="004F681E"/>
    <w:rsid w:val="004F6BF1"/>
    <w:rsid w:val="005034AB"/>
    <w:rsid w:val="00503666"/>
    <w:rsid w:val="00506836"/>
    <w:rsid w:val="00507615"/>
    <w:rsid w:val="00513C7D"/>
    <w:rsid w:val="00525F72"/>
    <w:rsid w:val="005470E9"/>
    <w:rsid w:val="00551FBB"/>
    <w:rsid w:val="005643AA"/>
    <w:rsid w:val="0058500B"/>
    <w:rsid w:val="00587E26"/>
    <w:rsid w:val="00597FEB"/>
    <w:rsid w:val="005C1C61"/>
    <w:rsid w:val="005C7990"/>
    <w:rsid w:val="005D0DD7"/>
    <w:rsid w:val="005E2387"/>
    <w:rsid w:val="005E2A36"/>
    <w:rsid w:val="005E3C54"/>
    <w:rsid w:val="005E46D4"/>
    <w:rsid w:val="005F2B6E"/>
    <w:rsid w:val="005F2C79"/>
    <w:rsid w:val="005F69FB"/>
    <w:rsid w:val="0060366A"/>
    <w:rsid w:val="006056B2"/>
    <w:rsid w:val="00611386"/>
    <w:rsid w:val="00611A2A"/>
    <w:rsid w:val="006218FA"/>
    <w:rsid w:val="00625994"/>
    <w:rsid w:val="00627605"/>
    <w:rsid w:val="00631D4C"/>
    <w:rsid w:val="00635D99"/>
    <w:rsid w:val="00636CFB"/>
    <w:rsid w:val="006439F3"/>
    <w:rsid w:val="00644695"/>
    <w:rsid w:val="00644AFB"/>
    <w:rsid w:val="00646A65"/>
    <w:rsid w:val="00646A8A"/>
    <w:rsid w:val="00650011"/>
    <w:rsid w:val="00662B76"/>
    <w:rsid w:val="006643A7"/>
    <w:rsid w:val="006672B4"/>
    <w:rsid w:val="006677F9"/>
    <w:rsid w:val="006843ED"/>
    <w:rsid w:val="00686BCD"/>
    <w:rsid w:val="006A0298"/>
    <w:rsid w:val="006B2B99"/>
    <w:rsid w:val="006B5132"/>
    <w:rsid w:val="006B7DF1"/>
    <w:rsid w:val="006C1321"/>
    <w:rsid w:val="006C2C3B"/>
    <w:rsid w:val="006D0EEB"/>
    <w:rsid w:val="006E6C9D"/>
    <w:rsid w:val="006E75CD"/>
    <w:rsid w:val="006F365A"/>
    <w:rsid w:val="00701776"/>
    <w:rsid w:val="00710E85"/>
    <w:rsid w:val="0071446C"/>
    <w:rsid w:val="00715FF2"/>
    <w:rsid w:val="007237E6"/>
    <w:rsid w:val="0072604C"/>
    <w:rsid w:val="00733AB7"/>
    <w:rsid w:val="007375AC"/>
    <w:rsid w:val="00755F31"/>
    <w:rsid w:val="007564D8"/>
    <w:rsid w:val="0078270C"/>
    <w:rsid w:val="007B46F5"/>
    <w:rsid w:val="007B5556"/>
    <w:rsid w:val="007C3A85"/>
    <w:rsid w:val="007C5212"/>
    <w:rsid w:val="007C5CF7"/>
    <w:rsid w:val="007D4B3A"/>
    <w:rsid w:val="007E744C"/>
    <w:rsid w:val="007F3CAB"/>
    <w:rsid w:val="00803C78"/>
    <w:rsid w:val="00803C95"/>
    <w:rsid w:val="00806620"/>
    <w:rsid w:val="0081061E"/>
    <w:rsid w:val="00810D76"/>
    <w:rsid w:val="00817B63"/>
    <w:rsid w:val="00817E2F"/>
    <w:rsid w:val="00824892"/>
    <w:rsid w:val="00824A2F"/>
    <w:rsid w:val="00826343"/>
    <w:rsid w:val="00833263"/>
    <w:rsid w:val="00834C59"/>
    <w:rsid w:val="00837D26"/>
    <w:rsid w:val="00851BC0"/>
    <w:rsid w:val="00856685"/>
    <w:rsid w:val="00860BC9"/>
    <w:rsid w:val="008632B4"/>
    <w:rsid w:val="00863968"/>
    <w:rsid w:val="00865E3C"/>
    <w:rsid w:val="00866C6C"/>
    <w:rsid w:val="00876263"/>
    <w:rsid w:val="008819FD"/>
    <w:rsid w:val="00882195"/>
    <w:rsid w:val="00891A0D"/>
    <w:rsid w:val="008A53E2"/>
    <w:rsid w:val="008A6929"/>
    <w:rsid w:val="008B4B42"/>
    <w:rsid w:val="008C0ACE"/>
    <w:rsid w:val="008C3CF1"/>
    <w:rsid w:val="008C7F21"/>
    <w:rsid w:val="008E284A"/>
    <w:rsid w:val="008E52B6"/>
    <w:rsid w:val="0091161E"/>
    <w:rsid w:val="009150F8"/>
    <w:rsid w:val="00915354"/>
    <w:rsid w:val="0092244A"/>
    <w:rsid w:val="0092304B"/>
    <w:rsid w:val="00930960"/>
    <w:rsid w:val="00937AE7"/>
    <w:rsid w:val="00940BF6"/>
    <w:rsid w:val="00944635"/>
    <w:rsid w:val="009508D0"/>
    <w:rsid w:val="009561F3"/>
    <w:rsid w:val="00965D0D"/>
    <w:rsid w:val="00970666"/>
    <w:rsid w:val="0098197B"/>
    <w:rsid w:val="00981DA7"/>
    <w:rsid w:val="00982528"/>
    <w:rsid w:val="00987AFE"/>
    <w:rsid w:val="00993F07"/>
    <w:rsid w:val="009A08AB"/>
    <w:rsid w:val="009A16C2"/>
    <w:rsid w:val="009A204A"/>
    <w:rsid w:val="009A29AE"/>
    <w:rsid w:val="009A7793"/>
    <w:rsid w:val="009B265F"/>
    <w:rsid w:val="009C0154"/>
    <w:rsid w:val="009C1CBB"/>
    <w:rsid w:val="009D27B2"/>
    <w:rsid w:val="009D30D6"/>
    <w:rsid w:val="009E2DA7"/>
    <w:rsid w:val="009E4D13"/>
    <w:rsid w:val="009F276D"/>
    <w:rsid w:val="009F6424"/>
    <w:rsid w:val="00A002B1"/>
    <w:rsid w:val="00A11E1B"/>
    <w:rsid w:val="00A13055"/>
    <w:rsid w:val="00A2225C"/>
    <w:rsid w:val="00A31F9F"/>
    <w:rsid w:val="00A4064E"/>
    <w:rsid w:val="00A40BC4"/>
    <w:rsid w:val="00A4279F"/>
    <w:rsid w:val="00A5014D"/>
    <w:rsid w:val="00A56E1F"/>
    <w:rsid w:val="00A63EBE"/>
    <w:rsid w:val="00A65170"/>
    <w:rsid w:val="00A73989"/>
    <w:rsid w:val="00A87462"/>
    <w:rsid w:val="00A91F3A"/>
    <w:rsid w:val="00A935C9"/>
    <w:rsid w:val="00A94411"/>
    <w:rsid w:val="00A96AE6"/>
    <w:rsid w:val="00A9783F"/>
    <w:rsid w:val="00AA0863"/>
    <w:rsid w:val="00AA2034"/>
    <w:rsid w:val="00AA2454"/>
    <w:rsid w:val="00AB16D8"/>
    <w:rsid w:val="00AB3B9E"/>
    <w:rsid w:val="00AB4203"/>
    <w:rsid w:val="00AC0A67"/>
    <w:rsid w:val="00AC46A4"/>
    <w:rsid w:val="00AC7B2A"/>
    <w:rsid w:val="00AD031F"/>
    <w:rsid w:val="00AD23A3"/>
    <w:rsid w:val="00AE12C3"/>
    <w:rsid w:val="00AE551B"/>
    <w:rsid w:val="00B15B33"/>
    <w:rsid w:val="00B25755"/>
    <w:rsid w:val="00B2710C"/>
    <w:rsid w:val="00B3331F"/>
    <w:rsid w:val="00B34EFB"/>
    <w:rsid w:val="00B40E5D"/>
    <w:rsid w:val="00B4528A"/>
    <w:rsid w:val="00B471F6"/>
    <w:rsid w:val="00B56E2D"/>
    <w:rsid w:val="00B62052"/>
    <w:rsid w:val="00B63D14"/>
    <w:rsid w:val="00B70BA2"/>
    <w:rsid w:val="00B720C9"/>
    <w:rsid w:val="00B768EB"/>
    <w:rsid w:val="00B83654"/>
    <w:rsid w:val="00B91D0F"/>
    <w:rsid w:val="00B9366C"/>
    <w:rsid w:val="00BA0A8F"/>
    <w:rsid w:val="00BB3DD1"/>
    <w:rsid w:val="00BB4AAA"/>
    <w:rsid w:val="00BC1142"/>
    <w:rsid w:val="00BC1A72"/>
    <w:rsid w:val="00BC40C4"/>
    <w:rsid w:val="00BD17A4"/>
    <w:rsid w:val="00BE42F6"/>
    <w:rsid w:val="00BE4AC4"/>
    <w:rsid w:val="00BF1CFA"/>
    <w:rsid w:val="00BF6161"/>
    <w:rsid w:val="00C021F0"/>
    <w:rsid w:val="00C05407"/>
    <w:rsid w:val="00C05450"/>
    <w:rsid w:val="00C16E5E"/>
    <w:rsid w:val="00C23E96"/>
    <w:rsid w:val="00C34A86"/>
    <w:rsid w:val="00C464EC"/>
    <w:rsid w:val="00C5544B"/>
    <w:rsid w:val="00C6443A"/>
    <w:rsid w:val="00C663DA"/>
    <w:rsid w:val="00C8315F"/>
    <w:rsid w:val="00C9324D"/>
    <w:rsid w:val="00C94F55"/>
    <w:rsid w:val="00CA1F31"/>
    <w:rsid w:val="00CA5CD2"/>
    <w:rsid w:val="00CC1357"/>
    <w:rsid w:val="00CC1B2C"/>
    <w:rsid w:val="00CC6758"/>
    <w:rsid w:val="00CD09A1"/>
    <w:rsid w:val="00CD6232"/>
    <w:rsid w:val="00CE2E5A"/>
    <w:rsid w:val="00D03AEC"/>
    <w:rsid w:val="00D05A31"/>
    <w:rsid w:val="00D061F3"/>
    <w:rsid w:val="00D1026C"/>
    <w:rsid w:val="00D15C3B"/>
    <w:rsid w:val="00D163CB"/>
    <w:rsid w:val="00D22CAA"/>
    <w:rsid w:val="00D253F5"/>
    <w:rsid w:val="00D3669F"/>
    <w:rsid w:val="00D36ACE"/>
    <w:rsid w:val="00D448FC"/>
    <w:rsid w:val="00D45231"/>
    <w:rsid w:val="00D5445F"/>
    <w:rsid w:val="00D553F5"/>
    <w:rsid w:val="00D76703"/>
    <w:rsid w:val="00D80D3D"/>
    <w:rsid w:val="00D86480"/>
    <w:rsid w:val="00D90892"/>
    <w:rsid w:val="00D94720"/>
    <w:rsid w:val="00DA0782"/>
    <w:rsid w:val="00DA10F4"/>
    <w:rsid w:val="00DA1841"/>
    <w:rsid w:val="00DA3A89"/>
    <w:rsid w:val="00DA3E96"/>
    <w:rsid w:val="00DA408A"/>
    <w:rsid w:val="00DA4456"/>
    <w:rsid w:val="00DA4A9A"/>
    <w:rsid w:val="00DB2C6C"/>
    <w:rsid w:val="00DB2D9E"/>
    <w:rsid w:val="00DB3335"/>
    <w:rsid w:val="00DB4E91"/>
    <w:rsid w:val="00DB6384"/>
    <w:rsid w:val="00DB7E97"/>
    <w:rsid w:val="00DC1B12"/>
    <w:rsid w:val="00DC2DFF"/>
    <w:rsid w:val="00DC5FA1"/>
    <w:rsid w:val="00DE7F57"/>
    <w:rsid w:val="00E00BE3"/>
    <w:rsid w:val="00E0115A"/>
    <w:rsid w:val="00E028A9"/>
    <w:rsid w:val="00E0418C"/>
    <w:rsid w:val="00E12BCE"/>
    <w:rsid w:val="00E2168D"/>
    <w:rsid w:val="00E26BD2"/>
    <w:rsid w:val="00E34F13"/>
    <w:rsid w:val="00E354B4"/>
    <w:rsid w:val="00E420F2"/>
    <w:rsid w:val="00E507F1"/>
    <w:rsid w:val="00E5798D"/>
    <w:rsid w:val="00E57E39"/>
    <w:rsid w:val="00E64CAA"/>
    <w:rsid w:val="00E73813"/>
    <w:rsid w:val="00E7589F"/>
    <w:rsid w:val="00E75D1E"/>
    <w:rsid w:val="00E81FF5"/>
    <w:rsid w:val="00E859AD"/>
    <w:rsid w:val="00E85CCD"/>
    <w:rsid w:val="00E97462"/>
    <w:rsid w:val="00EA1F1F"/>
    <w:rsid w:val="00EA3FB6"/>
    <w:rsid w:val="00EA4405"/>
    <w:rsid w:val="00EA7118"/>
    <w:rsid w:val="00EA7620"/>
    <w:rsid w:val="00ED26A1"/>
    <w:rsid w:val="00ED5A58"/>
    <w:rsid w:val="00ED7381"/>
    <w:rsid w:val="00EE1127"/>
    <w:rsid w:val="00EE32FA"/>
    <w:rsid w:val="00EE33D8"/>
    <w:rsid w:val="00EE3BA6"/>
    <w:rsid w:val="00F00849"/>
    <w:rsid w:val="00F0476F"/>
    <w:rsid w:val="00F06B72"/>
    <w:rsid w:val="00F23568"/>
    <w:rsid w:val="00F25BCA"/>
    <w:rsid w:val="00F273D3"/>
    <w:rsid w:val="00F31C68"/>
    <w:rsid w:val="00F3305A"/>
    <w:rsid w:val="00F33CFC"/>
    <w:rsid w:val="00F538E4"/>
    <w:rsid w:val="00F57472"/>
    <w:rsid w:val="00F5767B"/>
    <w:rsid w:val="00F94DD4"/>
    <w:rsid w:val="00F96147"/>
    <w:rsid w:val="00FA1BE0"/>
    <w:rsid w:val="00FC564C"/>
    <w:rsid w:val="00FC5FD4"/>
    <w:rsid w:val="00FC63F5"/>
    <w:rsid w:val="00FE0C8C"/>
    <w:rsid w:val="00FE205D"/>
    <w:rsid w:val="00FE58B3"/>
    <w:rsid w:val="00FF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60D2BA-664B-4083-97D4-15466216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0C4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5E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334194"/>
    <w:pPr>
      <w:keepNext/>
      <w:spacing w:after="0" w:line="360" w:lineRule="auto"/>
      <w:jc w:val="center"/>
      <w:outlineLvl w:val="2"/>
    </w:pPr>
    <w:rPr>
      <w:rFonts w:ascii="Arial" w:hAnsi="Arial"/>
      <w:b/>
      <w:sz w:val="24"/>
      <w:szCs w:val="20"/>
      <w:lang w:val="en-GB" w:eastAsia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??wek 1"/>
    <w:basedOn w:val="Normalny"/>
    <w:next w:val="Normalny"/>
    <w:rsid w:val="00010C45"/>
    <w:pPr>
      <w:keepNext/>
      <w:widowControl w:val="0"/>
      <w:spacing w:before="240" w:after="0" w:line="300" w:lineRule="auto"/>
      <w:jc w:val="both"/>
    </w:pPr>
    <w:rPr>
      <w:rFonts w:ascii="Times New Roman" w:hAnsi="Times New Roman"/>
      <w:b/>
      <w:sz w:val="36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C4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010C45"/>
    <w:rPr>
      <w:vertAlign w:val="superscript"/>
    </w:rPr>
  </w:style>
  <w:style w:type="table" w:styleId="Tabela-Siatka">
    <w:name w:val="Table Grid"/>
    <w:basedOn w:val="Standardowy"/>
    <w:uiPriority w:val="59"/>
    <w:rsid w:val="003341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334194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334194"/>
    <w:rPr>
      <w:color w:val="0000FF"/>
      <w:sz w:val="2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D7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7BE1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C94F5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5E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65E3C"/>
    <w:rPr>
      <w:color w:val="800080" w:themeColor="followedHyperlink"/>
      <w:u w:val="single"/>
    </w:rPr>
  </w:style>
  <w:style w:type="paragraph" w:styleId="Tekstpodstawowywcity2">
    <w:name w:val="Body Text Indent 2"/>
    <w:basedOn w:val="Normalny"/>
    <w:link w:val="Tekstpodstawowywcity2Znak"/>
    <w:rsid w:val="00817E2F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after="0" w:line="360" w:lineRule="auto"/>
      <w:ind w:firstLine="567"/>
      <w:jc w:val="both"/>
    </w:pPr>
    <w:rPr>
      <w:rFonts w:ascii="Arial" w:hAnsi="Arial"/>
      <w:spacing w:val="-3"/>
      <w:sz w:val="24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17E2F"/>
    <w:rPr>
      <w:rFonts w:ascii="Arial" w:eastAsia="Times New Roman" w:hAnsi="Arial" w:cs="Times New Roman"/>
      <w:spacing w:val="-3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tat.gov.pl/obszary-tematyczne/ceny-hande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stat.gov.p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lukaszewiczm\Desktop\G&#321;&#211;WNY%20URZ&#260;D%20STATYSTYCZ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D9522-3DF8-4B87-816A-E4B0EFCB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GŁÓWNY URZĄD STATYSTYCZNY</Template>
  <TotalTime>3930</TotalTime>
  <Pages>3</Pages>
  <Words>1331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Łukaszewicz Mirosława</dc:creator>
  <cp:lastModifiedBy>Kapsa Julita</cp:lastModifiedBy>
  <cp:revision>293</cp:revision>
  <cp:lastPrinted>2017-07-18T08:47:00Z</cp:lastPrinted>
  <dcterms:created xsi:type="dcterms:W3CDTF">2015-01-19T08:17:00Z</dcterms:created>
  <dcterms:modified xsi:type="dcterms:W3CDTF">2017-07-18T08:49:00Z</dcterms:modified>
</cp:coreProperties>
</file>